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5280"/>
        <w:spacing w:after="0"/>
        <w:rPr>
          <w:sz w:val="20"/>
          <w:szCs w:val="20"/>
          <w:color w:val="auto"/>
        </w:rPr>
      </w:pPr>
      <w:r>
        <w:rPr>
          <w:rFonts w:ascii="Arial" w:cs="Arial" w:eastAsia="Arial" w:hAnsi="Arial"/>
          <w:sz w:val="16"/>
          <w:szCs w:val="16"/>
          <w:b w:val="1"/>
          <w:bCs w:val="1"/>
          <w:color w:val="auto"/>
        </w:rPr>
        <w:t>FORM 10-K</w:t>
      </w:r>
    </w:p>
    <w:p>
      <w:pPr>
        <w:spacing w:after="0" w:line="171" w:lineRule="exact"/>
        <w:rPr>
          <w:sz w:val="24"/>
          <w:szCs w:val="24"/>
          <w:color w:val="auto"/>
        </w:rPr>
      </w:pPr>
    </w:p>
    <w:p>
      <w:pPr>
        <w:ind w:left="5320"/>
        <w:spacing w:after="0"/>
        <w:rPr>
          <w:sz w:val="20"/>
          <w:szCs w:val="20"/>
          <w:color w:val="auto"/>
        </w:rPr>
      </w:pPr>
      <w:r>
        <w:rPr>
          <w:rFonts w:ascii="Arial" w:cs="Arial" w:eastAsia="Arial" w:hAnsi="Arial"/>
          <w:sz w:val="16"/>
          <w:szCs w:val="16"/>
          <w:color w:val="auto"/>
        </w:rPr>
        <w:t>(Mark One)</w:t>
      </w:r>
    </w:p>
    <w:p>
      <w:pPr>
        <w:spacing w:after="0" w:line="221" w:lineRule="exact"/>
        <w:rPr>
          <w:sz w:val="24"/>
          <w:szCs w:val="24"/>
          <w:color w:val="auto"/>
        </w:rPr>
      </w:pPr>
    </w:p>
    <w:p>
      <w:pPr>
        <w:ind w:left="2080" w:hanging="227"/>
        <w:spacing w:after="0"/>
        <w:tabs>
          <w:tab w:leader="none" w:pos="20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fiscal year ended </w:t>
      </w:r>
      <w:r>
        <w:rPr>
          <w:rFonts w:ascii="Arial" w:cs="Arial" w:eastAsia="Arial" w:hAnsi="Arial"/>
          <w:sz w:val="16"/>
          <w:szCs w:val="16"/>
          <w:b w:val="1"/>
          <w:bCs w:val="1"/>
          <w:color w:val="auto"/>
        </w:rPr>
        <w:t>December 31, 2016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left="4300" w:right="1700" w:hanging="2595"/>
        <w:spacing w:after="0" w:line="578" w:lineRule="auto"/>
        <w:tabs>
          <w:tab w:leader="none" w:pos="18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rPr>
      </w:pPr>
    </w:p>
    <w:p>
      <w:pPr>
        <w:ind w:left="45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54610</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w w:val="93"/>
              </w:rPr>
              <w:t>Delaware</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51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89"/>
              </w:rPr>
              <w:t>1345 Avenue of the Americas,</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10105</w:t>
            </w:r>
          </w:p>
        </w:tc>
      </w:tr>
      <w:tr>
        <w:trPr>
          <w:trHeight w:val="210"/>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6"/>
              </w:rPr>
              <w:t>New York, NY</w:t>
            </w:r>
          </w:p>
        </w:tc>
        <w:tc>
          <w:tcPr>
            <w:tcW w:w="5240" w:type="dxa"/>
            <w:vAlign w:val="bottom"/>
          </w:tcPr>
          <w:p>
            <w:pPr>
              <w:spacing w:after="0"/>
              <w:rPr>
                <w:sz w:val="18"/>
                <w:szCs w:val="18"/>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60" w:type="dxa"/>
            <w:vAlign w:val="bottom"/>
            <w:gridSpan w:val="4"/>
          </w:tcPr>
          <w:p>
            <w:pPr>
              <w:jc w:val="center"/>
              <w:ind w:right="3440"/>
              <w:spacing w:after="0"/>
              <w:rPr>
                <w:sz w:val="20"/>
                <w:szCs w:val="20"/>
                <w:color w:val="auto"/>
              </w:rPr>
            </w:pPr>
            <w:r>
              <w:rPr>
                <w:rFonts w:ascii="Arial" w:cs="Arial" w:eastAsia="Arial" w:hAnsi="Arial"/>
                <w:sz w:val="16"/>
                <w:szCs w:val="16"/>
                <w:color w:val="auto"/>
                <w:w w:val="91"/>
              </w:rPr>
              <w:t xml:space="preserve">(Registrant’s telephone number, including area code) </w:t>
            </w:r>
            <w:r>
              <w:rPr>
                <w:rFonts w:ascii="Arial" w:cs="Arial" w:eastAsia="Arial" w:hAnsi="Arial"/>
                <w:sz w:val="16"/>
                <w:szCs w:val="16"/>
                <w:b w:val="1"/>
                <w:bCs w:val="1"/>
                <w:color w:val="auto"/>
                <w:w w:val="91"/>
              </w:rPr>
              <w:t>(212) 798-6100</w:t>
            </w:r>
          </w:p>
        </w:tc>
      </w:tr>
      <w:tr>
        <w:trPr>
          <w:trHeight w:val="33"/>
        </w:trPr>
        <w:tc>
          <w:tcPr>
            <w:tcW w:w="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0"/>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960" w:type="dxa"/>
            <w:vAlign w:val="bottom"/>
            <w:gridSpan w:val="4"/>
          </w:tcPr>
          <w:p>
            <w:pPr>
              <w:jc w:val="center"/>
              <w:ind w:right="346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341"/>
        </w:trPr>
        <w:tc>
          <w:tcPr>
            <w:tcW w:w="40" w:type="dxa"/>
            <w:vAlign w:val="bottom"/>
          </w:tcPr>
          <w:p>
            <w:pPr>
              <w:spacing w:after="0"/>
              <w:rPr>
                <w:sz w:val="24"/>
                <w:szCs w:val="24"/>
                <w:color w:val="auto"/>
              </w:rPr>
            </w:pPr>
          </w:p>
        </w:tc>
        <w:tc>
          <w:tcPr>
            <w:tcW w:w="3420" w:type="dxa"/>
            <w:vAlign w:val="bottom"/>
          </w:tcPr>
          <w:p>
            <w:pPr>
              <w:jc w:val="center"/>
              <w:ind w:left="1739"/>
              <w:spacing w:after="0"/>
              <w:rPr>
                <w:sz w:val="20"/>
                <w:szCs w:val="20"/>
                <w:color w:val="auto"/>
              </w:rPr>
            </w:pPr>
            <w:r>
              <w:rPr>
                <w:rFonts w:ascii="Arial" w:cs="Arial" w:eastAsia="Arial" w:hAnsi="Arial"/>
                <w:sz w:val="16"/>
                <w:szCs w:val="16"/>
                <w:b w:val="1"/>
                <w:bCs w:val="1"/>
                <w:color w:val="auto"/>
                <w:w w:val="89"/>
              </w:rPr>
              <w:t>Title of each class:</w:t>
            </w: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7"/>
        </w:trPr>
        <w:tc>
          <w:tcPr>
            <w:tcW w:w="40" w:type="dxa"/>
            <w:vAlign w:val="bottom"/>
          </w:tcPr>
          <w:p>
            <w:pPr>
              <w:spacing w:after="0"/>
              <w:rPr>
                <w:sz w:val="4"/>
                <w:szCs w:val="4"/>
                <w:color w:val="auto"/>
              </w:rPr>
            </w:pPr>
          </w:p>
        </w:tc>
        <w:tc>
          <w:tcPr>
            <w:tcW w:w="34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17"/>
        </w:trPr>
        <w:tc>
          <w:tcPr>
            <w:tcW w:w="40" w:type="dxa"/>
            <w:vAlign w:val="bottom"/>
          </w:tcPr>
          <w:p>
            <w:pPr>
              <w:spacing w:after="0"/>
              <w:rPr>
                <w:sz w:val="18"/>
                <w:szCs w:val="18"/>
                <w:color w:val="auto"/>
              </w:rPr>
            </w:pPr>
          </w:p>
        </w:tc>
        <w:tc>
          <w:tcPr>
            <w:tcW w:w="3420" w:type="dxa"/>
            <w:vAlign w:val="bottom"/>
          </w:tcPr>
          <w:p>
            <w:pPr>
              <w:jc w:val="center"/>
              <w:ind w:left="1739"/>
              <w:spacing w:after="0"/>
              <w:rPr>
                <w:sz w:val="20"/>
                <w:szCs w:val="20"/>
                <w:color w:val="auto"/>
              </w:rPr>
            </w:pPr>
            <w:r>
              <w:rPr>
                <w:rFonts w:ascii="Arial" w:cs="Arial" w:eastAsia="Arial" w:hAnsi="Arial"/>
                <w:sz w:val="16"/>
                <w:szCs w:val="16"/>
                <w:color w:val="auto"/>
                <w:w w:val="89"/>
              </w:rPr>
              <w:t>Class A common shares</w:t>
            </w: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40" w:type="dxa"/>
            <w:vAlign w:val="bottom"/>
            <w:gridSpan w:val="2"/>
          </w:tcPr>
          <w:p>
            <w:pPr>
              <w:jc w:val="center"/>
              <w:ind w:right="40"/>
              <w:spacing w:after="0"/>
              <w:rPr>
                <w:sz w:val="20"/>
                <w:szCs w:val="20"/>
                <w:color w:val="auto"/>
              </w:rPr>
            </w:pPr>
            <w:r>
              <w:rPr>
                <w:rFonts w:ascii="Arial" w:cs="Arial" w:eastAsia="Arial" w:hAnsi="Arial"/>
                <w:sz w:val="16"/>
                <w:szCs w:val="16"/>
                <w:color w:val="auto"/>
                <w:w w:val="93"/>
              </w:rPr>
              <w:t>New York Stock Exchange (NYSE)</w:t>
            </w:r>
          </w:p>
        </w:tc>
      </w:tr>
      <w:tr>
        <w:trPr>
          <w:trHeight w:val="284"/>
        </w:trPr>
        <w:tc>
          <w:tcPr>
            <w:tcW w:w="11420" w:type="dxa"/>
            <w:vAlign w:val="bottom"/>
            <w:gridSpan w:val="6"/>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r>
      <w:tr>
        <w:trPr>
          <w:trHeight w:val="315"/>
        </w:trPr>
        <w:tc>
          <w:tcPr>
            <w:tcW w:w="11420" w:type="dxa"/>
            <w:vAlign w:val="bottom"/>
            <w:gridSpan w:val="6"/>
          </w:tcPr>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97"/>
        </w:trPr>
        <w:tc>
          <w:tcPr>
            <w:tcW w:w="11420" w:type="dxa"/>
            <w:vAlign w:val="bottom"/>
            <w:gridSpan w:val="6"/>
          </w:tcPr>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73" w:lineRule="exact"/>
        <w:rPr>
          <w:sz w:val="24"/>
          <w:szCs w:val="24"/>
          <w:color w:val="auto"/>
        </w:rPr>
      </w:pPr>
    </w:p>
    <w:p>
      <w:pPr>
        <w:ind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4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20"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89"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7220" w:space="720"/>
            <w:col w:w="3480"/>
          </w:cols>
          <w:pgMar w:left="240" w:top="234" w:right="239" w:bottom="1440" w:gutter="0" w:footer="0" w:header="0"/>
          <w:type w:val="continuous"/>
        </w:sectPr>
      </w:pPr>
    </w:p>
    <w:p>
      <w:pPr>
        <w:spacing w:after="0" w:line="30"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3">
            <w:col w:w="3440" w:space="80"/>
            <w:col w:w="3340" w:space="720"/>
            <w:col w:w="3840"/>
          </w:cols>
          <w:pgMar w:left="240" w:top="234" w:right="2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420"/>
          </w:cols>
          <w:pgMar w:left="240" w:top="234" w:right="239" w:bottom="1440" w:gutter="0" w:footer="0" w:header="0"/>
          <w:type w:val="continuous"/>
        </w:sectPr>
      </w:pPr>
    </w:p>
    <w:p>
      <w:pPr>
        <w:spacing w:after="0" w:line="166" w:lineRule="exact"/>
        <w:rPr>
          <w:sz w:val="24"/>
          <w:szCs w:val="24"/>
          <w:color w:val="auto"/>
        </w:rPr>
      </w:pPr>
    </w:p>
    <w:p>
      <w:pPr>
        <w:ind w:right="200"/>
        <w:spacing w:after="0" w:line="275" w:lineRule="auto"/>
        <w:rPr>
          <w:sz w:val="20"/>
          <w:szCs w:val="20"/>
          <w:color w:val="auto"/>
        </w:rPr>
      </w:pPr>
      <w:r>
        <w:rPr>
          <w:rFonts w:ascii="Arial" w:cs="Arial" w:eastAsia="Arial" w:hAnsi="Arial"/>
          <w:sz w:val="16"/>
          <w:szCs w:val="16"/>
          <w:color w:val="auto"/>
        </w:rPr>
        <w:t>The aggregate market value of the voting and non-voting common equity of Fortress Transportation and Infrastructure Investors LLC held by non-affiliates as of the close of business as of June 30, 2016 was $684 million.</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There were 75,757,175 common shares representing limited liability company interests outstanding at February 24, 2017.</w:t>
      </w:r>
    </w:p>
    <w:p>
      <w:pPr>
        <w:sectPr>
          <w:pgSz w:w="11900" w:h="16838" w:orient="portrait"/>
          <w:cols w:equalWidth="0" w:num="1">
            <w:col w:w="11420"/>
          </w:cols>
          <w:pgMar w:left="240" w:top="234" w:right="239" w:bottom="1440" w:gutter="0" w:footer="0" w:header="0"/>
          <w:type w:val="continuous"/>
        </w:sectPr>
      </w:pPr>
    </w:p>
    <w:bookmarkStart w:id="1" w:name="page2"/>
    <w:bookmarkEnd w:id="1"/>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Portions of the registrant's definitive proxy statement for the registrant's 2017 annual meeting, to be filed within 120 days after the close of the registrant's fiscal year, are incorporated by reference into Part III of this Annual Report on Form 10-K.</w:t>
      </w:r>
    </w:p>
    <w:p>
      <w:pPr>
        <w:sectPr>
          <w:pgSz w:w="11900" w:h="16838" w:orient="portrait"/>
          <w:cols w:equalWidth="0" w:num="1">
            <w:col w:w="10960"/>
          </w:cols>
          <w:pgMar w:left="240" w:top="369" w:right="699" w:bottom="1440" w:gutter="0" w:footer="0" w:header="0"/>
        </w:sectPr>
      </w:pPr>
    </w:p>
    <w:bookmarkStart w:id="2" w:name="page3"/>
    <w:bookmarkEnd w:id="2"/>
    <w:p>
      <w:pPr>
        <w:jc w:val="center"/>
        <w:ind w:right="-519"/>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9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INDEX TO FORM 10-K</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20" w:type="dxa"/>
            <w:vAlign w:val="bottom"/>
            <w:gridSpan w:val="10"/>
          </w:tcPr>
          <w:p>
            <w:pPr>
              <w:jc w:val="center"/>
              <w:ind w:right="4440"/>
              <w:spacing w:after="0"/>
              <w:rPr>
                <w:sz w:val="20"/>
                <w:szCs w:val="20"/>
                <w:color w:val="auto"/>
              </w:rPr>
            </w:pPr>
            <w:r>
              <w:rPr>
                <w:rFonts w:ascii="Arial" w:cs="Arial" w:eastAsia="Arial" w:hAnsi="Arial"/>
                <w:sz w:val="14"/>
                <w:szCs w:val="14"/>
                <w:b w:val="1"/>
                <w:bCs w:val="1"/>
                <w:color w:val="auto"/>
              </w:rPr>
              <w:t>PART I</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2"/>
        </w:trPr>
        <w:tc>
          <w:tcPr>
            <w:tcW w:w="1040" w:type="dxa"/>
            <w:vAlign w:val="bottom"/>
          </w:tcPr>
          <w:p>
            <w:pPr>
              <w:spacing w:after="0"/>
              <w:rPr>
                <w:sz w:val="21"/>
                <w:szCs w:val="21"/>
                <w:color w:val="auto"/>
              </w:rPr>
            </w:pPr>
          </w:p>
        </w:tc>
        <w:tc>
          <w:tcPr>
            <w:tcW w:w="9580" w:type="dxa"/>
            <w:vAlign w:val="bottom"/>
            <w:gridSpan w:val="43"/>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Forward-Looking Statements</w:t>
              </w:r>
            </w:hyperlink>
          </w:p>
        </w:tc>
        <w:tc>
          <w:tcPr>
            <w:tcW w:w="140" w:type="dxa"/>
            <w:vAlign w:val="bottom"/>
          </w:tcPr>
          <w:p>
            <w:pPr>
              <w:spacing w:after="0"/>
              <w:rPr>
                <w:rFonts w:ascii="Arial" w:cs="Arial" w:eastAsia="Arial" w:hAnsi="Arial"/>
                <w:sz w:val="14"/>
                <w:szCs w:val="14"/>
                <w:color w:val="0000EE"/>
              </w:rPr>
            </w:pPr>
            <w:hyperlink w:anchor="page4">
              <w:r>
                <w:rPr>
                  <w:rFonts w:ascii="Arial" w:cs="Arial" w:eastAsia="Arial" w:hAnsi="Arial"/>
                  <w:sz w:val="14"/>
                  <w:szCs w:val="14"/>
                  <w:color w:val="0000EE"/>
                </w:rPr>
                <w:t>4</w:t>
              </w:r>
            </w:hyperlink>
          </w:p>
        </w:tc>
        <w:tc>
          <w:tcPr>
            <w:tcW w:w="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w:t>
            </w:r>
          </w:p>
        </w:tc>
        <w:tc>
          <w:tcPr>
            <w:tcW w:w="1680" w:type="dxa"/>
            <w:vAlign w:val="bottom"/>
            <w:gridSpan w:val="14"/>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Business</w:t>
              </w:r>
            </w:hyperlink>
          </w:p>
        </w:tc>
        <w:tc>
          <w:tcPr>
            <w:tcW w:w="7900" w:type="dxa"/>
            <w:vAlign w:val="bottom"/>
            <w:gridSpan w:val="29"/>
          </w:tcPr>
          <w:p>
            <w:pPr>
              <w:spacing w:after="0"/>
              <w:rPr>
                <w:sz w:val="15"/>
                <w:szCs w:val="15"/>
                <w:color w:val="auto"/>
              </w:rPr>
            </w:pPr>
          </w:p>
        </w:tc>
        <w:tc>
          <w:tcPr>
            <w:tcW w:w="140" w:type="dxa"/>
            <w:vAlign w:val="bottom"/>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6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1A.</w:t>
            </w:r>
          </w:p>
        </w:tc>
        <w:tc>
          <w:tcPr>
            <w:tcW w:w="720" w:type="dxa"/>
            <w:vAlign w:val="bottom"/>
            <w:tcBorders>
              <w:bottom w:val="single" w:sz="8" w:color="0000EE"/>
            </w:tcBorders>
            <w:gridSpan w:val="4"/>
          </w:tcPr>
          <w:p>
            <w:pPr>
              <w:spacing w:after="0"/>
              <w:rPr>
                <w:rFonts w:ascii="Arial" w:cs="Arial" w:eastAsia="Arial" w:hAnsi="Arial"/>
                <w:sz w:val="14"/>
                <w:szCs w:val="14"/>
                <w:color w:val="0000EE"/>
                <w:w w:val="89"/>
              </w:rPr>
            </w:pPr>
            <w:hyperlink w:anchor="page14">
              <w:r>
                <w:rPr>
                  <w:rFonts w:ascii="Arial" w:cs="Arial" w:eastAsia="Arial" w:hAnsi="Arial"/>
                  <w:sz w:val="14"/>
                  <w:szCs w:val="14"/>
                  <w:color w:val="0000EE"/>
                  <w:w w:val="89"/>
                </w:rPr>
                <w:t>Risk Factors</w:t>
              </w:r>
            </w:hyperlink>
          </w:p>
        </w:tc>
        <w:tc>
          <w:tcPr>
            <w:tcW w:w="8860" w:type="dxa"/>
            <w:vAlign w:val="bottom"/>
            <w:gridSpan w:val="39"/>
          </w:tcPr>
          <w:p>
            <w:pPr>
              <w:spacing w:after="0"/>
              <w:rPr>
                <w:sz w:val="15"/>
                <w:szCs w:val="15"/>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14">
              <w:r>
                <w:rPr>
                  <w:rFonts w:ascii="Arial" w:cs="Arial" w:eastAsia="Arial" w:hAnsi="Arial"/>
                  <w:sz w:val="14"/>
                  <w:szCs w:val="14"/>
                  <w:color w:val="0000EE"/>
                  <w:w w:val="76"/>
                </w:rPr>
                <w:t>14</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1B.</w:t>
            </w:r>
          </w:p>
        </w:tc>
        <w:tc>
          <w:tcPr>
            <w:tcW w:w="1680" w:type="dxa"/>
            <w:vAlign w:val="bottom"/>
            <w:tcBorders>
              <w:bottom w:val="single" w:sz="8" w:color="0000EE"/>
            </w:tcBorders>
            <w:gridSpan w:val="14"/>
          </w:tcPr>
          <w:p>
            <w:pPr>
              <w:spacing w:after="0"/>
              <w:rPr>
                <w:rFonts w:ascii="Arial" w:cs="Arial" w:eastAsia="Arial" w:hAnsi="Arial"/>
                <w:sz w:val="14"/>
                <w:szCs w:val="14"/>
                <w:color w:val="0000EE"/>
                <w:w w:val="93"/>
              </w:rPr>
            </w:pPr>
            <w:hyperlink w:anchor="page35">
              <w:r>
                <w:rPr>
                  <w:rFonts w:ascii="Arial" w:cs="Arial" w:eastAsia="Arial" w:hAnsi="Arial"/>
                  <w:sz w:val="14"/>
                  <w:szCs w:val="14"/>
                  <w:color w:val="0000EE"/>
                  <w:w w:val="93"/>
                </w:rPr>
                <w:t>Unresolved Staff Comments</w:t>
              </w:r>
            </w:hyperlink>
          </w:p>
        </w:tc>
        <w:tc>
          <w:tcPr>
            <w:tcW w:w="7900" w:type="dxa"/>
            <w:vAlign w:val="bottom"/>
            <w:gridSpan w:val="29"/>
          </w:tcPr>
          <w:p>
            <w:pPr>
              <w:spacing w:after="0"/>
              <w:rPr>
                <w:sz w:val="15"/>
                <w:szCs w:val="15"/>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35">
              <w:r>
                <w:rPr>
                  <w:rFonts w:ascii="Arial" w:cs="Arial" w:eastAsia="Arial" w:hAnsi="Arial"/>
                  <w:sz w:val="14"/>
                  <w:szCs w:val="14"/>
                  <w:color w:val="0000EE"/>
                  <w:w w:val="76"/>
                </w:rPr>
                <w:t>35</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2.</w:t>
            </w:r>
          </w:p>
        </w:tc>
        <w:tc>
          <w:tcPr>
            <w:tcW w:w="580" w:type="dxa"/>
            <w:vAlign w:val="bottom"/>
            <w:tcBorders>
              <w:bottom w:val="single" w:sz="8" w:color="0000EE"/>
            </w:tcBorders>
            <w:gridSpan w:val="3"/>
          </w:tcPr>
          <w:p>
            <w:pPr>
              <w:spacing w:after="0"/>
              <w:rPr>
                <w:rFonts w:ascii="Arial" w:cs="Arial" w:eastAsia="Arial" w:hAnsi="Arial"/>
                <w:sz w:val="14"/>
                <w:szCs w:val="14"/>
                <w:color w:val="0000EE"/>
                <w:w w:val="87"/>
              </w:rPr>
            </w:pPr>
            <w:hyperlink w:anchor="page35">
              <w:r>
                <w:rPr>
                  <w:rFonts w:ascii="Arial" w:cs="Arial" w:eastAsia="Arial" w:hAnsi="Arial"/>
                  <w:sz w:val="14"/>
                  <w:szCs w:val="14"/>
                  <w:color w:val="0000EE"/>
                  <w:w w:val="87"/>
                </w:rPr>
                <w:t>Properties</w:t>
              </w:r>
            </w:hyperlink>
          </w:p>
        </w:tc>
        <w:tc>
          <w:tcPr>
            <w:tcW w:w="9000" w:type="dxa"/>
            <w:vAlign w:val="bottom"/>
            <w:gridSpan w:val="40"/>
          </w:tcPr>
          <w:p>
            <w:pPr>
              <w:spacing w:after="0"/>
              <w:rPr>
                <w:sz w:val="15"/>
                <w:szCs w:val="15"/>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35">
              <w:r>
                <w:rPr>
                  <w:rFonts w:ascii="Arial" w:cs="Arial" w:eastAsia="Arial" w:hAnsi="Arial"/>
                  <w:sz w:val="14"/>
                  <w:szCs w:val="14"/>
                  <w:color w:val="0000EE"/>
                  <w:w w:val="76"/>
                </w:rPr>
                <w:t>35</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3.</w:t>
            </w:r>
          </w:p>
        </w:tc>
        <w:tc>
          <w:tcPr>
            <w:tcW w:w="9580" w:type="dxa"/>
            <w:vAlign w:val="bottom"/>
            <w:gridSpan w:val="43"/>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Legal Proceedings</w:t>
              </w:r>
            </w:hyperlink>
          </w:p>
        </w:tc>
        <w:tc>
          <w:tcPr>
            <w:tcW w:w="140" w:type="dxa"/>
            <w:vAlign w:val="bottom"/>
          </w:tcPr>
          <w:p>
            <w:pPr>
              <w:spacing w:after="0"/>
              <w:rPr>
                <w:rFonts w:ascii="Arial" w:cs="Arial" w:eastAsia="Arial" w:hAnsi="Arial"/>
                <w:sz w:val="14"/>
                <w:szCs w:val="14"/>
                <w:color w:val="0000EE"/>
                <w:w w:val="76"/>
              </w:rPr>
            </w:pPr>
            <w:hyperlink w:anchor="page35">
              <w:r>
                <w:rPr>
                  <w:rFonts w:ascii="Arial" w:cs="Arial" w:eastAsia="Arial" w:hAnsi="Arial"/>
                  <w:sz w:val="14"/>
                  <w:szCs w:val="14"/>
                  <w:color w:val="0000EE"/>
                  <w:w w:val="76"/>
                </w:rPr>
                <w:t>35</w:t>
              </w:r>
            </w:hyperlink>
          </w:p>
        </w:tc>
        <w:tc>
          <w:tcPr>
            <w:tcW w:w="6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4.</w:t>
            </w:r>
          </w:p>
        </w:tc>
        <w:tc>
          <w:tcPr>
            <w:tcW w:w="9580" w:type="dxa"/>
            <w:vAlign w:val="bottom"/>
            <w:gridSpan w:val="43"/>
          </w:tcPr>
          <w:p>
            <w:pPr>
              <w:spacing w:after="0"/>
              <w:rPr>
                <w:rFonts w:ascii="Arial" w:cs="Arial" w:eastAsia="Arial" w:hAnsi="Arial"/>
                <w:sz w:val="14"/>
                <w:szCs w:val="14"/>
                <w:color w:val="0000EE"/>
              </w:rPr>
            </w:pPr>
            <w:hyperlink w:anchor="page35">
              <w:r>
                <w:rPr>
                  <w:rFonts w:ascii="Arial" w:cs="Arial" w:eastAsia="Arial" w:hAnsi="Arial"/>
                  <w:sz w:val="14"/>
                  <w:szCs w:val="14"/>
                  <w:color w:val="0000EE"/>
                </w:rPr>
                <w:t>Mine Safety Disclosures</w:t>
              </w:r>
            </w:hyperlink>
          </w:p>
        </w:tc>
        <w:tc>
          <w:tcPr>
            <w:tcW w:w="140" w:type="dxa"/>
            <w:vAlign w:val="bottom"/>
          </w:tcPr>
          <w:p>
            <w:pPr>
              <w:spacing w:after="0"/>
              <w:rPr>
                <w:rFonts w:ascii="Arial" w:cs="Arial" w:eastAsia="Arial" w:hAnsi="Arial"/>
                <w:sz w:val="14"/>
                <w:szCs w:val="14"/>
                <w:color w:val="0000EE"/>
                <w:w w:val="76"/>
              </w:rPr>
            </w:pPr>
            <w:hyperlink w:anchor="page35">
              <w:r>
                <w:rPr>
                  <w:rFonts w:ascii="Arial" w:cs="Arial" w:eastAsia="Arial" w:hAnsi="Arial"/>
                  <w:sz w:val="14"/>
                  <w:szCs w:val="14"/>
                  <w:color w:val="0000EE"/>
                  <w:w w:val="76"/>
                </w:rPr>
                <w:t>35</w:t>
              </w:r>
            </w:hyperlink>
          </w:p>
        </w:tc>
        <w:tc>
          <w:tcPr>
            <w:tcW w:w="60" w:type="dxa"/>
            <w:vAlign w:val="bottom"/>
          </w:tcPr>
          <w:p>
            <w:pPr>
              <w:spacing w:after="0"/>
              <w:rPr>
                <w:sz w:val="15"/>
                <w:szCs w:val="15"/>
                <w:color w:val="auto"/>
              </w:rPr>
            </w:pPr>
          </w:p>
        </w:tc>
      </w:tr>
      <w:tr>
        <w:trPr>
          <w:trHeight w:val="279"/>
        </w:trPr>
        <w:tc>
          <w:tcPr>
            <w:tcW w:w="10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20" w:type="dxa"/>
            <w:vAlign w:val="bottom"/>
            <w:gridSpan w:val="10"/>
          </w:tcPr>
          <w:p>
            <w:pPr>
              <w:jc w:val="center"/>
              <w:ind w:right="4420"/>
              <w:spacing w:after="0"/>
              <w:rPr>
                <w:sz w:val="20"/>
                <w:szCs w:val="20"/>
                <w:color w:val="auto"/>
              </w:rPr>
            </w:pPr>
            <w:r>
              <w:rPr>
                <w:rFonts w:ascii="Arial" w:cs="Arial" w:eastAsia="Arial" w:hAnsi="Arial"/>
                <w:sz w:val="14"/>
                <w:szCs w:val="14"/>
                <w:b w:val="1"/>
                <w:bCs w:val="1"/>
                <w:color w:val="auto"/>
              </w:rPr>
              <w:t>PART II</w:t>
            </w: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Item 5.</w:t>
            </w:r>
          </w:p>
        </w:tc>
        <w:tc>
          <w:tcPr>
            <w:tcW w:w="6460" w:type="dxa"/>
            <w:vAlign w:val="bottom"/>
            <w:tcBorders>
              <w:bottom w:val="single" w:sz="8" w:color="0000EE"/>
            </w:tcBorders>
            <w:gridSpan w:val="41"/>
          </w:tcPr>
          <w:p>
            <w:pPr>
              <w:spacing w:after="0"/>
              <w:rPr>
                <w:rFonts w:ascii="Arial" w:cs="Arial" w:eastAsia="Arial" w:hAnsi="Arial"/>
                <w:sz w:val="14"/>
                <w:szCs w:val="14"/>
                <w:color w:val="0000EE"/>
                <w:w w:val="93"/>
              </w:rPr>
            </w:pPr>
            <w:hyperlink w:anchor="page36">
              <w:r>
                <w:rPr>
                  <w:rFonts w:ascii="Arial" w:cs="Arial" w:eastAsia="Arial" w:hAnsi="Arial"/>
                  <w:sz w:val="14"/>
                  <w:szCs w:val="14"/>
                  <w:color w:val="0000EE"/>
                  <w:w w:val="93"/>
                </w:rPr>
                <w:t>Market for Registrant’s Common Equity, Related Stockholder Matters and Issuer Purchases of Equity Securities</w:t>
              </w:r>
            </w:hyperlink>
          </w:p>
        </w:tc>
        <w:tc>
          <w:tcPr>
            <w:tcW w:w="3120" w:type="dxa"/>
            <w:vAlign w:val="bottom"/>
            <w:gridSpan w:val="2"/>
          </w:tcPr>
          <w:p>
            <w:pPr>
              <w:spacing w:after="0"/>
              <w:rPr>
                <w:sz w:val="15"/>
                <w:szCs w:val="15"/>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36">
              <w:r>
                <w:rPr>
                  <w:rFonts w:ascii="Arial" w:cs="Arial" w:eastAsia="Arial" w:hAnsi="Arial"/>
                  <w:sz w:val="14"/>
                  <w:szCs w:val="14"/>
                  <w:color w:val="0000EE"/>
                  <w:w w:val="76"/>
                </w:rPr>
                <w:t>36</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6.</w:t>
            </w:r>
          </w:p>
        </w:tc>
        <w:tc>
          <w:tcPr>
            <w:tcW w:w="9580" w:type="dxa"/>
            <w:vAlign w:val="bottom"/>
            <w:gridSpan w:val="43"/>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Selected Financial Data</w:t>
              </w:r>
            </w:hyperlink>
          </w:p>
        </w:tc>
        <w:tc>
          <w:tcPr>
            <w:tcW w:w="140" w:type="dxa"/>
            <w:vAlign w:val="bottom"/>
          </w:tcPr>
          <w:p>
            <w:pPr>
              <w:spacing w:after="0"/>
              <w:rPr>
                <w:rFonts w:ascii="Arial" w:cs="Arial" w:eastAsia="Arial" w:hAnsi="Arial"/>
                <w:sz w:val="14"/>
                <w:szCs w:val="14"/>
                <w:color w:val="0000EE"/>
                <w:w w:val="76"/>
              </w:rPr>
            </w:pPr>
            <w:hyperlink w:anchor="page37">
              <w:r>
                <w:rPr>
                  <w:rFonts w:ascii="Arial" w:cs="Arial" w:eastAsia="Arial" w:hAnsi="Arial"/>
                  <w:sz w:val="14"/>
                  <w:szCs w:val="14"/>
                  <w:color w:val="0000EE"/>
                  <w:w w:val="76"/>
                </w:rPr>
                <w:t>37</w:t>
              </w:r>
            </w:hyperlink>
          </w:p>
        </w:tc>
        <w:tc>
          <w:tcPr>
            <w:tcW w:w="6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7.</w:t>
            </w:r>
          </w:p>
        </w:tc>
        <w:tc>
          <w:tcPr>
            <w:tcW w:w="5160" w:type="dxa"/>
            <w:vAlign w:val="bottom"/>
            <w:tcBorders>
              <w:bottom w:val="single" w:sz="8" w:color="0000EE"/>
            </w:tcBorders>
            <w:gridSpan w:val="35"/>
          </w:tcPr>
          <w:p>
            <w:pPr>
              <w:spacing w:after="0"/>
              <w:rPr>
                <w:rFonts w:ascii="Arial" w:cs="Arial" w:eastAsia="Arial" w:hAnsi="Arial"/>
                <w:sz w:val="14"/>
                <w:szCs w:val="14"/>
                <w:color w:val="0000EE"/>
                <w:w w:val="93"/>
              </w:rPr>
            </w:pPr>
            <w:hyperlink w:anchor="page39">
              <w:r>
                <w:rPr>
                  <w:rFonts w:ascii="Arial" w:cs="Arial" w:eastAsia="Arial" w:hAnsi="Arial"/>
                  <w:sz w:val="14"/>
                  <w:szCs w:val="14"/>
                  <w:color w:val="0000EE"/>
                  <w:w w:val="93"/>
                </w:rPr>
                <w:t>Management’s Discussion and Analysis of Financial Condition and Results of Operations</w:t>
              </w:r>
            </w:hyperlink>
          </w:p>
        </w:tc>
        <w:tc>
          <w:tcPr>
            <w:tcW w:w="4420" w:type="dxa"/>
            <w:vAlign w:val="bottom"/>
            <w:gridSpan w:val="8"/>
          </w:tcPr>
          <w:p>
            <w:pPr>
              <w:spacing w:after="0"/>
              <w:rPr>
                <w:sz w:val="15"/>
                <w:szCs w:val="15"/>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39">
              <w:r>
                <w:rPr>
                  <w:rFonts w:ascii="Arial" w:cs="Arial" w:eastAsia="Arial" w:hAnsi="Arial"/>
                  <w:sz w:val="14"/>
                  <w:szCs w:val="14"/>
                  <w:color w:val="0000EE"/>
                  <w:w w:val="76"/>
                </w:rPr>
                <w:t>39</w:t>
              </w:r>
            </w:hyperlink>
          </w:p>
        </w:tc>
        <w:tc>
          <w:tcPr>
            <w:tcW w:w="60" w:type="dxa"/>
            <w:vAlign w:val="bottom"/>
          </w:tcPr>
          <w:p>
            <w:pPr>
              <w:spacing w:after="0"/>
              <w:rPr>
                <w:sz w:val="15"/>
                <w:szCs w:val="15"/>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7A.</w:t>
            </w:r>
          </w:p>
        </w:tc>
        <w:tc>
          <w:tcPr>
            <w:tcW w:w="9580" w:type="dxa"/>
            <w:vAlign w:val="bottom"/>
            <w:gridSpan w:val="43"/>
          </w:tcPr>
          <w:p>
            <w:pPr>
              <w:spacing w:after="0"/>
              <w:rPr>
                <w:rFonts w:ascii="Arial" w:cs="Arial" w:eastAsia="Arial" w:hAnsi="Arial"/>
                <w:sz w:val="14"/>
                <w:szCs w:val="14"/>
                <w:color w:val="0000EE"/>
              </w:rPr>
            </w:pPr>
            <w:hyperlink w:anchor="page85">
              <w:r>
                <w:rPr>
                  <w:rFonts w:ascii="Arial" w:cs="Arial" w:eastAsia="Arial" w:hAnsi="Arial"/>
                  <w:sz w:val="14"/>
                  <w:szCs w:val="14"/>
                  <w:color w:val="0000EE"/>
                </w:rPr>
                <w:t>Quantitative and Qualitative Disclosures About Market Risk</w:t>
              </w:r>
            </w:hyperlink>
          </w:p>
        </w:tc>
        <w:tc>
          <w:tcPr>
            <w:tcW w:w="140" w:type="dxa"/>
            <w:vAlign w:val="bottom"/>
          </w:tcPr>
          <w:p>
            <w:pPr>
              <w:spacing w:after="0"/>
              <w:rPr>
                <w:rFonts w:ascii="Arial" w:cs="Arial" w:eastAsia="Arial" w:hAnsi="Arial"/>
                <w:sz w:val="14"/>
                <w:szCs w:val="14"/>
                <w:color w:val="0000EE"/>
                <w:w w:val="76"/>
              </w:rPr>
            </w:pPr>
            <w:hyperlink w:anchor="page85">
              <w:r>
                <w:rPr>
                  <w:rFonts w:ascii="Arial" w:cs="Arial" w:eastAsia="Arial" w:hAnsi="Arial"/>
                  <w:sz w:val="14"/>
                  <w:szCs w:val="14"/>
                  <w:color w:val="0000EE"/>
                  <w:w w:val="76"/>
                </w:rPr>
                <w:t>85</w:t>
              </w:r>
            </w:hyperlink>
          </w:p>
        </w:tc>
        <w:tc>
          <w:tcPr>
            <w:tcW w:w="6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8.</w:t>
            </w:r>
          </w:p>
        </w:tc>
        <w:tc>
          <w:tcPr>
            <w:tcW w:w="5520" w:type="dxa"/>
            <w:vAlign w:val="bottom"/>
            <w:tcBorders>
              <w:bottom w:val="single" w:sz="8" w:color="0000EE"/>
            </w:tcBorders>
            <w:gridSpan w:val="39"/>
          </w:tcPr>
          <w:p>
            <w:pPr>
              <w:spacing w:after="0"/>
              <w:rPr>
                <w:rFonts w:ascii="Arial" w:cs="Arial" w:eastAsia="Arial" w:hAnsi="Arial"/>
                <w:sz w:val="14"/>
                <w:szCs w:val="14"/>
                <w:color w:val="0000EE"/>
                <w:w w:val="93"/>
              </w:rPr>
            </w:pPr>
            <w:hyperlink w:anchor="page87">
              <w:r>
                <w:rPr>
                  <w:rFonts w:ascii="Arial" w:cs="Arial" w:eastAsia="Arial" w:hAnsi="Arial"/>
                  <w:sz w:val="14"/>
                  <w:szCs w:val="14"/>
                  <w:color w:val="0000EE"/>
                  <w:w w:val="93"/>
                </w:rPr>
                <w:t>Consolidated Financial Statements of Fortress Transportation and Infrastructure Investors LLC:</w:t>
              </w:r>
            </w:hyperlink>
          </w:p>
        </w:tc>
        <w:tc>
          <w:tcPr>
            <w:tcW w:w="4060" w:type="dxa"/>
            <w:vAlign w:val="bottom"/>
            <w:gridSpan w:val="4"/>
          </w:tcPr>
          <w:p>
            <w:pPr>
              <w:spacing w:after="0"/>
              <w:rPr>
                <w:sz w:val="15"/>
                <w:szCs w:val="15"/>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87">
              <w:r>
                <w:rPr>
                  <w:rFonts w:ascii="Arial" w:cs="Arial" w:eastAsia="Arial" w:hAnsi="Arial"/>
                  <w:sz w:val="14"/>
                  <w:szCs w:val="14"/>
                  <w:color w:val="0000EE"/>
                  <w:w w:val="76"/>
                </w:rPr>
                <w:t>87</w:t>
              </w:r>
            </w:hyperlink>
          </w:p>
        </w:tc>
        <w:tc>
          <w:tcPr>
            <w:tcW w:w="60" w:type="dxa"/>
            <w:vAlign w:val="bottom"/>
          </w:tcPr>
          <w:p>
            <w:pPr>
              <w:spacing w:after="0"/>
              <w:rPr>
                <w:sz w:val="15"/>
                <w:szCs w:val="15"/>
                <w:color w:val="auto"/>
              </w:rPr>
            </w:pPr>
          </w:p>
        </w:tc>
      </w:tr>
      <w:tr>
        <w:trPr>
          <w:trHeight w:val="250"/>
        </w:trPr>
        <w:tc>
          <w:tcPr>
            <w:tcW w:w="1040" w:type="dxa"/>
            <w:vAlign w:val="bottom"/>
          </w:tcPr>
          <w:p>
            <w:pPr>
              <w:spacing w:after="0"/>
              <w:rPr>
                <w:sz w:val="21"/>
                <w:szCs w:val="21"/>
                <w:color w:val="auto"/>
              </w:rPr>
            </w:pPr>
          </w:p>
        </w:tc>
        <w:tc>
          <w:tcPr>
            <w:tcW w:w="3380" w:type="dxa"/>
            <w:vAlign w:val="bottom"/>
            <w:tcBorders>
              <w:bottom w:val="single" w:sz="8" w:color="0000EE"/>
            </w:tcBorders>
            <w:gridSpan w:val="29"/>
          </w:tcPr>
          <w:p>
            <w:pPr>
              <w:spacing w:after="0"/>
              <w:rPr>
                <w:rFonts w:ascii="Arial" w:cs="Arial" w:eastAsia="Arial" w:hAnsi="Arial"/>
                <w:sz w:val="14"/>
                <w:szCs w:val="14"/>
                <w:color w:val="0000EE"/>
                <w:w w:val="93"/>
              </w:rPr>
            </w:pPr>
            <w:hyperlink w:anchor="page88">
              <w:r>
                <w:rPr>
                  <w:rFonts w:ascii="Arial" w:cs="Arial" w:eastAsia="Arial" w:hAnsi="Arial"/>
                  <w:sz w:val="14"/>
                  <w:szCs w:val="14"/>
                  <w:color w:val="0000EE"/>
                  <w:w w:val="93"/>
                </w:rPr>
                <w:t>Report of Independent Registered Public Accounting Firm</w:t>
              </w:r>
            </w:hyperlink>
          </w:p>
        </w:tc>
        <w:tc>
          <w:tcPr>
            <w:tcW w:w="6200" w:type="dxa"/>
            <w:vAlign w:val="bottom"/>
            <w:gridSpan w:val="14"/>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88">
              <w:r>
                <w:rPr>
                  <w:rFonts w:ascii="Arial" w:cs="Arial" w:eastAsia="Arial" w:hAnsi="Arial"/>
                  <w:sz w:val="14"/>
                  <w:szCs w:val="14"/>
                  <w:color w:val="0000EE"/>
                  <w:w w:val="76"/>
                </w:rPr>
                <w:t>88</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560" w:type="dxa"/>
            <w:vAlign w:val="bottom"/>
            <w:tcBorders>
              <w:bottom w:val="single" w:sz="8" w:color="0000EE"/>
            </w:tcBorders>
            <w:gridSpan w:val="34"/>
          </w:tcPr>
          <w:p>
            <w:pPr>
              <w:spacing w:after="0"/>
              <w:rPr>
                <w:rFonts w:ascii="Arial" w:cs="Arial" w:eastAsia="Arial" w:hAnsi="Arial"/>
                <w:sz w:val="14"/>
                <w:szCs w:val="14"/>
                <w:color w:val="0000EE"/>
                <w:w w:val="91"/>
              </w:rPr>
            </w:pPr>
            <w:hyperlink w:anchor="page90">
              <w:r>
                <w:rPr>
                  <w:rFonts w:ascii="Arial" w:cs="Arial" w:eastAsia="Arial" w:hAnsi="Arial"/>
                  <w:sz w:val="14"/>
                  <w:szCs w:val="14"/>
                  <w:color w:val="0000EE"/>
                  <w:w w:val="91"/>
                </w:rPr>
                <w:t>Consolidated Balance Sheets as of December 31, 2016 and December 31, 2015</w:t>
              </w:r>
            </w:hyperlink>
          </w:p>
        </w:tc>
        <w:tc>
          <w:tcPr>
            <w:tcW w:w="5020" w:type="dxa"/>
            <w:vAlign w:val="bottom"/>
            <w:gridSpan w:val="9"/>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90">
              <w:r>
                <w:rPr>
                  <w:rFonts w:ascii="Arial" w:cs="Arial" w:eastAsia="Arial" w:hAnsi="Arial"/>
                  <w:sz w:val="14"/>
                  <w:szCs w:val="14"/>
                  <w:color w:val="0000EE"/>
                  <w:w w:val="76"/>
                </w:rPr>
                <w:t>90</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5480" w:type="dxa"/>
            <w:vAlign w:val="bottom"/>
            <w:tcBorders>
              <w:bottom w:val="single" w:sz="8" w:color="0000EE"/>
            </w:tcBorders>
            <w:gridSpan w:val="37"/>
          </w:tcPr>
          <w:p>
            <w:pPr>
              <w:spacing w:after="0"/>
              <w:rPr>
                <w:rFonts w:ascii="Arial" w:cs="Arial" w:eastAsia="Arial" w:hAnsi="Arial"/>
                <w:sz w:val="14"/>
                <w:szCs w:val="14"/>
                <w:color w:val="0000EE"/>
                <w:w w:val="91"/>
              </w:rPr>
            </w:pPr>
            <w:hyperlink w:anchor="page91">
              <w:r>
                <w:rPr>
                  <w:rFonts w:ascii="Arial" w:cs="Arial" w:eastAsia="Arial" w:hAnsi="Arial"/>
                  <w:sz w:val="14"/>
                  <w:szCs w:val="14"/>
                  <w:color w:val="0000EE"/>
                  <w:w w:val="91"/>
                </w:rPr>
                <w:t>Consolidated Statements of Operations for the years ended December 31, 2016, 2015 and 2014</w:t>
              </w:r>
            </w:hyperlink>
          </w:p>
        </w:tc>
        <w:tc>
          <w:tcPr>
            <w:tcW w:w="4100" w:type="dxa"/>
            <w:vAlign w:val="bottom"/>
            <w:gridSpan w:val="6"/>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91">
              <w:r>
                <w:rPr>
                  <w:rFonts w:ascii="Arial" w:cs="Arial" w:eastAsia="Arial" w:hAnsi="Arial"/>
                  <w:sz w:val="14"/>
                  <w:szCs w:val="14"/>
                  <w:color w:val="0000EE"/>
                  <w:w w:val="76"/>
                </w:rPr>
                <w:t>91</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6620" w:type="dxa"/>
            <w:vAlign w:val="bottom"/>
            <w:tcBorders>
              <w:bottom w:val="single" w:sz="8" w:color="0000EE"/>
            </w:tcBorders>
            <w:gridSpan w:val="42"/>
          </w:tcPr>
          <w:p>
            <w:pPr>
              <w:spacing w:after="0"/>
              <w:rPr>
                <w:rFonts w:ascii="Arial" w:cs="Arial" w:eastAsia="Arial" w:hAnsi="Arial"/>
                <w:sz w:val="14"/>
                <w:szCs w:val="14"/>
                <w:color w:val="0000EE"/>
                <w:w w:val="91"/>
              </w:rPr>
            </w:pPr>
            <w:hyperlink w:anchor="page92">
              <w:r>
                <w:rPr>
                  <w:rFonts w:ascii="Arial" w:cs="Arial" w:eastAsia="Arial" w:hAnsi="Arial"/>
                  <w:sz w:val="14"/>
                  <w:szCs w:val="14"/>
                  <w:color w:val="0000EE"/>
                  <w:w w:val="91"/>
                </w:rPr>
                <w:t>Consolidated Statements of Comprehensive (Loss) Income for the years ended December 31, 2016, 2015 and 2014</w:t>
              </w:r>
            </w:hyperlink>
          </w:p>
        </w:tc>
        <w:tc>
          <w:tcPr>
            <w:tcW w:w="2960" w:type="dxa"/>
            <w:vAlign w:val="bottom"/>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92">
              <w:r>
                <w:rPr>
                  <w:rFonts w:ascii="Arial" w:cs="Arial" w:eastAsia="Arial" w:hAnsi="Arial"/>
                  <w:sz w:val="14"/>
                  <w:szCs w:val="14"/>
                  <w:color w:val="0000EE"/>
                  <w:w w:val="76"/>
                </w:rPr>
                <w:t>92</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5500" w:type="dxa"/>
            <w:vAlign w:val="bottom"/>
            <w:tcBorders>
              <w:bottom w:val="single" w:sz="8" w:color="0000EE"/>
            </w:tcBorders>
            <w:gridSpan w:val="38"/>
          </w:tcPr>
          <w:p>
            <w:pPr>
              <w:spacing w:after="0"/>
              <w:rPr>
                <w:rFonts w:ascii="Arial" w:cs="Arial" w:eastAsia="Arial" w:hAnsi="Arial"/>
                <w:sz w:val="14"/>
                <w:szCs w:val="14"/>
                <w:color w:val="0000EE"/>
                <w:w w:val="91"/>
              </w:rPr>
            </w:pPr>
            <w:hyperlink w:anchor="page93">
              <w:r>
                <w:rPr>
                  <w:rFonts w:ascii="Arial" w:cs="Arial" w:eastAsia="Arial" w:hAnsi="Arial"/>
                  <w:sz w:val="14"/>
                  <w:szCs w:val="14"/>
                  <w:color w:val="0000EE"/>
                  <w:w w:val="91"/>
                </w:rPr>
                <w:t>Consolidated Statement of Changes in Equity for the years ended December 31, 2016 and 2014</w:t>
              </w:r>
            </w:hyperlink>
          </w:p>
        </w:tc>
        <w:tc>
          <w:tcPr>
            <w:tcW w:w="4080" w:type="dxa"/>
            <w:vAlign w:val="bottom"/>
            <w:gridSpan w:val="5"/>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93">
              <w:r>
                <w:rPr>
                  <w:rFonts w:ascii="Arial" w:cs="Arial" w:eastAsia="Arial" w:hAnsi="Arial"/>
                  <w:sz w:val="14"/>
                  <w:szCs w:val="14"/>
                  <w:color w:val="0000EE"/>
                  <w:w w:val="76"/>
                </w:rPr>
                <w:t>93</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5520" w:type="dxa"/>
            <w:vAlign w:val="bottom"/>
            <w:tcBorders>
              <w:bottom w:val="single" w:sz="8" w:color="0000EE"/>
            </w:tcBorders>
            <w:gridSpan w:val="39"/>
          </w:tcPr>
          <w:p>
            <w:pPr>
              <w:spacing w:after="0"/>
              <w:rPr>
                <w:rFonts w:ascii="Arial" w:cs="Arial" w:eastAsia="Arial" w:hAnsi="Arial"/>
                <w:sz w:val="14"/>
                <w:szCs w:val="14"/>
                <w:color w:val="0000EE"/>
                <w:w w:val="91"/>
              </w:rPr>
            </w:pPr>
            <w:hyperlink w:anchor="page94">
              <w:r>
                <w:rPr>
                  <w:rFonts w:ascii="Arial" w:cs="Arial" w:eastAsia="Arial" w:hAnsi="Arial"/>
                  <w:sz w:val="14"/>
                  <w:szCs w:val="14"/>
                  <w:color w:val="0000EE"/>
                  <w:w w:val="91"/>
                </w:rPr>
                <w:t>Consolidated Statements of Cash Flows for the years ended December 31, 2016, 2015 and 2014</w:t>
              </w:r>
            </w:hyperlink>
          </w:p>
        </w:tc>
        <w:tc>
          <w:tcPr>
            <w:tcW w:w="4060" w:type="dxa"/>
            <w:vAlign w:val="bottom"/>
            <w:gridSpan w:val="4"/>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94">
              <w:r>
                <w:rPr>
                  <w:rFonts w:ascii="Arial" w:cs="Arial" w:eastAsia="Arial" w:hAnsi="Arial"/>
                  <w:sz w:val="14"/>
                  <w:szCs w:val="14"/>
                  <w:color w:val="0000EE"/>
                  <w:w w:val="76"/>
                </w:rPr>
                <w:t>94</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2520" w:type="dxa"/>
            <w:vAlign w:val="bottom"/>
            <w:tcBorders>
              <w:bottom w:val="single" w:sz="8" w:color="0000EE"/>
            </w:tcBorders>
            <w:gridSpan w:val="23"/>
          </w:tcPr>
          <w:p>
            <w:pPr>
              <w:spacing w:after="0"/>
              <w:rPr>
                <w:rFonts w:ascii="Arial" w:cs="Arial" w:eastAsia="Arial" w:hAnsi="Arial"/>
                <w:sz w:val="14"/>
                <w:szCs w:val="14"/>
                <w:color w:val="0000EE"/>
                <w:w w:val="91"/>
              </w:rPr>
            </w:pPr>
            <w:hyperlink w:anchor="page96">
              <w:r>
                <w:rPr>
                  <w:rFonts w:ascii="Arial" w:cs="Arial" w:eastAsia="Arial" w:hAnsi="Arial"/>
                  <w:sz w:val="14"/>
                  <w:szCs w:val="14"/>
                  <w:color w:val="0000EE"/>
                  <w:w w:val="91"/>
                </w:rPr>
                <w:t>Notes to Consolidated Financial Statements</w:t>
              </w:r>
            </w:hyperlink>
          </w:p>
        </w:tc>
        <w:tc>
          <w:tcPr>
            <w:tcW w:w="7060" w:type="dxa"/>
            <w:vAlign w:val="bottom"/>
            <w:gridSpan w:val="20"/>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96">
              <w:r>
                <w:rPr>
                  <w:rFonts w:ascii="Arial" w:cs="Arial" w:eastAsia="Arial" w:hAnsi="Arial"/>
                  <w:sz w:val="14"/>
                  <w:szCs w:val="14"/>
                  <w:color w:val="0000EE"/>
                  <w:w w:val="76"/>
                </w:rPr>
                <w:t>96</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Borders>
              <w:bottom w:val="single" w:sz="8" w:color="0000EE"/>
            </w:tcBorders>
            <w:gridSpan w:val="11"/>
          </w:tcPr>
          <w:p>
            <w:pPr>
              <w:spacing w:after="0"/>
              <w:rPr>
                <w:rFonts w:ascii="Arial" w:cs="Arial" w:eastAsia="Arial" w:hAnsi="Arial"/>
                <w:sz w:val="14"/>
                <w:szCs w:val="14"/>
                <w:color w:val="0000EE"/>
                <w:w w:val="93"/>
              </w:rPr>
            </w:pPr>
            <w:hyperlink w:anchor="page96">
              <w:r>
                <w:rPr>
                  <w:rFonts w:ascii="Arial" w:cs="Arial" w:eastAsia="Arial" w:hAnsi="Arial"/>
                  <w:sz w:val="14"/>
                  <w:szCs w:val="14"/>
                  <w:color w:val="0000EE"/>
                  <w:w w:val="93"/>
                </w:rPr>
                <w:t>Note 1: Organization</w:t>
              </w:r>
            </w:hyperlink>
          </w:p>
        </w:tc>
        <w:tc>
          <w:tcPr>
            <w:tcW w:w="8120" w:type="dxa"/>
            <w:vAlign w:val="bottom"/>
            <w:gridSpan w:val="31"/>
          </w:tcPr>
          <w:p>
            <w:pPr>
              <w:spacing w:after="0"/>
              <w:rPr>
                <w:sz w:val="21"/>
                <w:szCs w:val="21"/>
                <w:color w:val="auto"/>
              </w:rPr>
            </w:pPr>
          </w:p>
        </w:tc>
        <w:tc>
          <w:tcPr>
            <w:tcW w:w="140" w:type="dxa"/>
            <w:vAlign w:val="bottom"/>
            <w:tcBorders>
              <w:bottom w:val="single" w:sz="8" w:color="0000EE"/>
            </w:tcBorders>
          </w:tcPr>
          <w:p>
            <w:pPr>
              <w:spacing w:after="0"/>
              <w:rPr>
                <w:rFonts w:ascii="Arial" w:cs="Arial" w:eastAsia="Arial" w:hAnsi="Arial"/>
                <w:sz w:val="14"/>
                <w:szCs w:val="14"/>
                <w:color w:val="0000EE"/>
                <w:w w:val="76"/>
              </w:rPr>
            </w:pPr>
            <w:hyperlink w:anchor="page96">
              <w:r>
                <w:rPr>
                  <w:rFonts w:ascii="Arial" w:cs="Arial" w:eastAsia="Arial" w:hAnsi="Arial"/>
                  <w:sz w:val="14"/>
                  <w:szCs w:val="14"/>
                  <w:color w:val="0000EE"/>
                  <w:w w:val="76"/>
                </w:rPr>
                <w:t>96</w:t>
              </w:r>
            </w:hyperlink>
          </w:p>
        </w:tc>
        <w:tc>
          <w:tcPr>
            <w:tcW w:w="6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2"/>
          </w:tcPr>
          <w:p>
            <w:pPr>
              <w:spacing w:after="0"/>
              <w:rPr>
                <w:rFonts w:ascii="Arial" w:cs="Arial" w:eastAsia="Arial" w:hAnsi="Arial"/>
                <w:sz w:val="14"/>
                <w:szCs w:val="14"/>
                <w:color w:val="0000EE"/>
              </w:rPr>
            </w:pPr>
            <w:hyperlink w:anchor="page96">
              <w:r>
                <w:rPr>
                  <w:rFonts w:ascii="Arial" w:cs="Arial" w:eastAsia="Arial" w:hAnsi="Arial"/>
                  <w:sz w:val="14"/>
                  <w:szCs w:val="14"/>
                  <w:color w:val="0000EE"/>
                </w:rPr>
                <w:t>Note 2: Summary of Significant Accounting Policies</w:t>
              </w:r>
            </w:hyperlink>
          </w:p>
        </w:tc>
        <w:tc>
          <w:tcPr>
            <w:tcW w:w="140" w:type="dxa"/>
            <w:vAlign w:val="bottom"/>
          </w:tcPr>
          <w:p>
            <w:pPr>
              <w:spacing w:after="0"/>
              <w:rPr>
                <w:rFonts w:ascii="Arial" w:cs="Arial" w:eastAsia="Arial" w:hAnsi="Arial"/>
                <w:sz w:val="14"/>
                <w:szCs w:val="14"/>
                <w:color w:val="0000EE"/>
                <w:w w:val="76"/>
              </w:rPr>
            </w:pPr>
            <w:hyperlink w:anchor="page96">
              <w:r>
                <w:rPr>
                  <w:rFonts w:ascii="Arial" w:cs="Arial" w:eastAsia="Arial" w:hAnsi="Arial"/>
                  <w:sz w:val="14"/>
                  <w:szCs w:val="14"/>
                  <w:color w:val="0000EE"/>
                  <w:w w:val="76"/>
                </w:rPr>
                <w:t>96</w:t>
              </w:r>
            </w:hyperlink>
          </w:p>
        </w:tc>
        <w:tc>
          <w:tcPr>
            <w:tcW w:w="6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Borders>
              <w:bottom w:val="single" w:sz="8" w:color="0000EE"/>
            </w:tcBorders>
            <w:gridSpan w:val="10"/>
          </w:tcPr>
          <w:p>
            <w:pPr>
              <w:spacing w:after="0"/>
              <w:rPr>
                <w:rFonts w:ascii="Arial" w:cs="Arial" w:eastAsia="Arial" w:hAnsi="Arial"/>
                <w:sz w:val="14"/>
                <w:szCs w:val="14"/>
                <w:color w:val="0000EE"/>
                <w:w w:val="95"/>
              </w:rPr>
            </w:pPr>
            <w:hyperlink w:anchor="page107">
              <w:r>
                <w:rPr>
                  <w:rFonts w:ascii="Arial" w:cs="Arial" w:eastAsia="Arial" w:hAnsi="Arial"/>
                  <w:sz w:val="14"/>
                  <w:szCs w:val="14"/>
                  <w:color w:val="0000EE"/>
                  <w:w w:val="95"/>
                </w:rPr>
                <w:t>Note 3: Acquisitions</w:t>
              </w:r>
            </w:hyperlink>
          </w:p>
        </w:tc>
        <w:tc>
          <w:tcPr>
            <w:tcW w:w="1840" w:type="dxa"/>
            <w:vAlign w:val="bottom"/>
            <w:gridSpan w:val="16"/>
          </w:tcPr>
          <w:p>
            <w:pPr>
              <w:spacing w:after="0"/>
              <w:rPr>
                <w:sz w:val="21"/>
                <w:szCs w:val="21"/>
                <w:color w:val="auto"/>
              </w:rPr>
            </w:pPr>
          </w:p>
        </w:tc>
        <w:tc>
          <w:tcPr>
            <w:tcW w:w="6300" w:type="dxa"/>
            <w:vAlign w:val="bottom"/>
            <w:gridSpan w:val="16"/>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07">
              <w:r>
                <w:rPr>
                  <w:rFonts w:ascii="Arial" w:cs="Arial" w:eastAsia="Arial" w:hAnsi="Arial"/>
                  <w:sz w:val="14"/>
                  <w:szCs w:val="14"/>
                  <w:color w:val="0000EE"/>
                  <w:w w:val="76"/>
                </w:rPr>
                <w:t>107</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Borders>
              <w:bottom w:val="single" w:sz="8" w:color="0000EE"/>
            </w:tcBorders>
            <w:gridSpan w:val="18"/>
          </w:tcPr>
          <w:p>
            <w:pPr>
              <w:spacing w:after="0"/>
              <w:rPr>
                <w:rFonts w:ascii="Arial" w:cs="Arial" w:eastAsia="Arial" w:hAnsi="Arial"/>
                <w:sz w:val="14"/>
                <w:szCs w:val="14"/>
                <w:color w:val="0000EE"/>
                <w:w w:val="92"/>
              </w:rPr>
            </w:pPr>
            <w:hyperlink w:anchor="page109">
              <w:r>
                <w:rPr>
                  <w:rFonts w:ascii="Arial" w:cs="Arial" w:eastAsia="Arial" w:hAnsi="Arial"/>
                  <w:sz w:val="14"/>
                  <w:szCs w:val="14"/>
                  <w:color w:val="0000EE"/>
                  <w:w w:val="92"/>
                </w:rPr>
                <w:t>Note 4: Leasing Equipment, net</w:t>
              </w:r>
            </w:hyperlink>
          </w:p>
        </w:tc>
        <w:tc>
          <w:tcPr>
            <w:tcW w:w="7500" w:type="dxa"/>
            <w:vAlign w:val="bottom"/>
            <w:gridSpan w:val="24"/>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09">
              <w:r>
                <w:rPr>
                  <w:rFonts w:ascii="Arial" w:cs="Arial" w:eastAsia="Arial" w:hAnsi="Arial"/>
                  <w:sz w:val="14"/>
                  <w:szCs w:val="14"/>
                  <w:color w:val="0000EE"/>
                  <w:w w:val="76"/>
                </w:rPr>
                <w:t>109</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Borders>
              <w:bottom w:val="single" w:sz="8" w:color="0000EE"/>
            </w:tcBorders>
            <w:gridSpan w:val="14"/>
          </w:tcPr>
          <w:p>
            <w:pPr>
              <w:spacing w:after="0"/>
              <w:rPr>
                <w:rFonts w:ascii="Arial" w:cs="Arial" w:eastAsia="Arial" w:hAnsi="Arial"/>
                <w:sz w:val="14"/>
                <w:szCs w:val="14"/>
                <w:color w:val="0000EE"/>
                <w:w w:val="90"/>
              </w:rPr>
            </w:pPr>
            <w:hyperlink w:anchor="page109">
              <w:r>
                <w:rPr>
                  <w:rFonts w:ascii="Arial" w:cs="Arial" w:eastAsia="Arial" w:hAnsi="Arial"/>
                  <w:sz w:val="14"/>
                  <w:szCs w:val="14"/>
                  <w:color w:val="0000EE"/>
                  <w:w w:val="90"/>
                </w:rPr>
                <w:t>Note 5: Finance Leases, net</w:t>
              </w:r>
            </w:hyperlink>
          </w:p>
        </w:tc>
        <w:tc>
          <w:tcPr>
            <w:tcW w:w="7740" w:type="dxa"/>
            <w:vAlign w:val="bottom"/>
            <w:gridSpan w:val="28"/>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09">
              <w:r>
                <w:rPr>
                  <w:rFonts w:ascii="Arial" w:cs="Arial" w:eastAsia="Arial" w:hAnsi="Arial"/>
                  <w:sz w:val="14"/>
                  <w:szCs w:val="14"/>
                  <w:color w:val="0000EE"/>
                  <w:w w:val="76"/>
                </w:rPr>
                <w:t>109</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tcBorders>
              <w:bottom w:val="single" w:sz="8" w:color="0000EE"/>
            </w:tcBorders>
            <w:gridSpan w:val="24"/>
          </w:tcPr>
          <w:p>
            <w:pPr>
              <w:spacing w:after="0"/>
              <w:rPr>
                <w:rFonts w:ascii="Arial" w:cs="Arial" w:eastAsia="Arial" w:hAnsi="Arial"/>
                <w:sz w:val="14"/>
                <w:szCs w:val="14"/>
                <w:color w:val="0000EE"/>
                <w:w w:val="92"/>
              </w:rPr>
            </w:pPr>
            <w:hyperlink w:anchor="page110">
              <w:r>
                <w:rPr>
                  <w:rFonts w:ascii="Arial" w:cs="Arial" w:eastAsia="Arial" w:hAnsi="Arial"/>
                  <w:sz w:val="14"/>
                  <w:szCs w:val="14"/>
                  <w:color w:val="0000EE"/>
                  <w:w w:val="92"/>
                </w:rPr>
                <w:t>Note 6: Property, Plant and Equipment, net</w:t>
              </w:r>
            </w:hyperlink>
          </w:p>
        </w:tc>
        <w:tc>
          <w:tcPr>
            <w:tcW w:w="6860" w:type="dxa"/>
            <w:vAlign w:val="bottom"/>
            <w:gridSpan w:val="18"/>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10">
              <w:r>
                <w:rPr>
                  <w:rFonts w:ascii="Arial" w:cs="Arial" w:eastAsia="Arial" w:hAnsi="Arial"/>
                  <w:sz w:val="14"/>
                  <w:szCs w:val="14"/>
                  <w:color w:val="0000EE"/>
                  <w:w w:val="76"/>
                </w:rPr>
                <w:t>110</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0000EE"/>
            </w:tcBorders>
            <w:gridSpan w:val="8"/>
          </w:tcPr>
          <w:p>
            <w:pPr>
              <w:spacing w:after="0"/>
              <w:rPr>
                <w:rFonts w:ascii="Arial" w:cs="Arial" w:eastAsia="Arial" w:hAnsi="Arial"/>
                <w:sz w:val="14"/>
                <w:szCs w:val="14"/>
                <w:color w:val="0000EE"/>
                <w:w w:val="91"/>
              </w:rPr>
            </w:pPr>
            <w:hyperlink w:anchor="page111">
              <w:r>
                <w:rPr>
                  <w:rFonts w:ascii="Arial" w:cs="Arial" w:eastAsia="Arial" w:hAnsi="Arial"/>
                  <w:sz w:val="14"/>
                  <w:szCs w:val="14"/>
                  <w:color w:val="0000EE"/>
                  <w:w w:val="91"/>
                </w:rPr>
                <w:t>Note 7: Investments</w:t>
              </w:r>
            </w:hyperlink>
          </w:p>
        </w:tc>
        <w:tc>
          <w:tcPr>
            <w:tcW w:w="8180" w:type="dxa"/>
            <w:vAlign w:val="bottom"/>
            <w:gridSpan w:val="34"/>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11">
              <w:r>
                <w:rPr>
                  <w:rFonts w:ascii="Arial" w:cs="Arial" w:eastAsia="Arial" w:hAnsi="Arial"/>
                  <w:sz w:val="14"/>
                  <w:szCs w:val="14"/>
                  <w:color w:val="0000EE"/>
                  <w:w w:val="76"/>
                </w:rPr>
                <w:t>111</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2"/>
          </w:tcPr>
          <w:p>
            <w:pPr>
              <w:spacing w:after="0"/>
              <w:rPr>
                <w:rFonts w:ascii="Arial" w:cs="Arial" w:eastAsia="Arial" w:hAnsi="Arial"/>
                <w:sz w:val="14"/>
                <w:szCs w:val="14"/>
                <w:color w:val="0000EE"/>
              </w:rPr>
            </w:pPr>
            <w:hyperlink w:anchor="page112">
              <w:r>
                <w:rPr>
                  <w:rFonts w:ascii="Arial" w:cs="Arial" w:eastAsia="Arial" w:hAnsi="Arial"/>
                  <w:sz w:val="14"/>
                  <w:szCs w:val="14"/>
                  <w:color w:val="0000EE"/>
                </w:rPr>
                <w:t>Note 8: Intangible Assets and Liabilities, net</w:t>
              </w:r>
            </w:hyperlink>
          </w:p>
        </w:tc>
        <w:tc>
          <w:tcPr>
            <w:tcW w:w="200" w:type="dxa"/>
            <w:vAlign w:val="bottom"/>
            <w:gridSpan w:val="2"/>
          </w:tcPr>
          <w:p>
            <w:pPr>
              <w:spacing w:after="0"/>
              <w:rPr>
                <w:rFonts w:ascii="Arial" w:cs="Arial" w:eastAsia="Arial" w:hAnsi="Arial"/>
                <w:sz w:val="14"/>
                <w:szCs w:val="14"/>
                <w:color w:val="0000EE"/>
                <w:w w:val="76"/>
              </w:rPr>
            </w:pPr>
            <w:hyperlink w:anchor="page112">
              <w:r>
                <w:rPr>
                  <w:rFonts w:ascii="Arial" w:cs="Arial" w:eastAsia="Arial" w:hAnsi="Arial"/>
                  <w:sz w:val="14"/>
                  <w:szCs w:val="14"/>
                  <w:color w:val="0000EE"/>
                  <w:w w:val="76"/>
                </w:rPr>
                <w:t>112</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60" w:type="dxa"/>
            <w:vAlign w:val="bottom"/>
            <w:tcBorders>
              <w:top w:val="single" w:sz="8" w:color="0000EE"/>
            </w:tcBorders>
            <w:gridSpan w:val="25"/>
          </w:tcPr>
          <w:p>
            <w:pPr>
              <w:spacing w:after="0"/>
              <w:rPr>
                <w:rFonts w:ascii="Arial" w:cs="Arial" w:eastAsia="Arial" w:hAnsi="Arial"/>
                <w:sz w:val="14"/>
                <w:szCs w:val="14"/>
                <w:color w:val="0000EE"/>
              </w:rPr>
            </w:pPr>
            <w:hyperlink w:anchor="page113">
              <w:r>
                <w:rPr>
                  <w:rFonts w:ascii="Arial" w:cs="Arial" w:eastAsia="Arial" w:hAnsi="Arial"/>
                  <w:sz w:val="14"/>
                  <w:szCs w:val="14"/>
                  <w:color w:val="0000EE"/>
                </w:rPr>
                <w:t>Note 9: Debt, net</w:t>
              </w:r>
            </w:hyperlink>
          </w:p>
        </w:tc>
        <w:tc>
          <w:tcPr>
            <w:tcW w:w="6780" w:type="dxa"/>
            <w:vAlign w:val="bottom"/>
            <w:gridSpan w:val="17"/>
          </w:tcPr>
          <w:p>
            <w:pPr>
              <w:spacing w:after="0"/>
              <w:rPr>
                <w:sz w:val="21"/>
                <w:szCs w:val="21"/>
                <w:color w:val="auto"/>
              </w:rPr>
            </w:pPr>
          </w:p>
        </w:tc>
        <w:tc>
          <w:tcPr>
            <w:tcW w:w="200" w:type="dxa"/>
            <w:vAlign w:val="bottom"/>
            <w:tcBorders>
              <w:top w:val="single" w:sz="8" w:color="0000EE"/>
            </w:tcBorders>
            <w:gridSpan w:val="2"/>
          </w:tcPr>
          <w:p>
            <w:pPr>
              <w:spacing w:after="0"/>
              <w:rPr>
                <w:rFonts w:ascii="Arial" w:cs="Arial" w:eastAsia="Arial" w:hAnsi="Arial"/>
                <w:sz w:val="14"/>
                <w:szCs w:val="14"/>
                <w:color w:val="0000EE"/>
                <w:w w:val="76"/>
              </w:rPr>
            </w:pPr>
            <w:hyperlink w:anchor="page113">
              <w:r>
                <w:rPr>
                  <w:rFonts w:ascii="Arial" w:cs="Arial" w:eastAsia="Arial" w:hAnsi="Arial"/>
                  <w:sz w:val="14"/>
                  <w:szCs w:val="14"/>
                  <w:color w:val="0000EE"/>
                  <w:w w:val="76"/>
                </w:rPr>
                <w:t>113</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2"/>
          </w:tcPr>
          <w:p>
            <w:pPr>
              <w:spacing w:after="0"/>
              <w:rPr>
                <w:rFonts w:ascii="Arial" w:cs="Arial" w:eastAsia="Arial" w:hAnsi="Arial"/>
                <w:sz w:val="14"/>
                <w:szCs w:val="14"/>
                <w:color w:val="0000EE"/>
              </w:rPr>
            </w:pPr>
            <w:hyperlink w:anchor="page116">
              <w:r>
                <w:rPr>
                  <w:rFonts w:ascii="Arial" w:cs="Arial" w:eastAsia="Arial" w:hAnsi="Arial"/>
                  <w:sz w:val="14"/>
                  <w:szCs w:val="14"/>
                  <w:color w:val="0000EE"/>
                </w:rPr>
                <w:t>Note 10: Fair Value Measurements</w:t>
              </w:r>
            </w:hyperlink>
          </w:p>
        </w:tc>
        <w:tc>
          <w:tcPr>
            <w:tcW w:w="200" w:type="dxa"/>
            <w:vAlign w:val="bottom"/>
            <w:gridSpan w:val="2"/>
          </w:tcPr>
          <w:p>
            <w:pPr>
              <w:spacing w:after="0"/>
              <w:rPr>
                <w:rFonts w:ascii="Arial" w:cs="Arial" w:eastAsia="Arial" w:hAnsi="Arial"/>
                <w:sz w:val="14"/>
                <w:szCs w:val="14"/>
                <w:color w:val="0000EE"/>
                <w:w w:val="76"/>
              </w:rPr>
            </w:pPr>
            <w:hyperlink w:anchor="page116">
              <w:r>
                <w:rPr>
                  <w:rFonts w:ascii="Arial" w:cs="Arial" w:eastAsia="Arial" w:hAnsi="Arial"/>
                  <w:sz w:val="14"/>
                  <w:szCs w:val="14"/>
                  <w:color w:val="0000EE"/>
                  <w:w w:val="76"/>
                </w:rPr>
                <w:t>116</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Borders>
              <w:top w:val="single" w:sz="8" w:color="0000EE"/>
            </w:tcBorders>
            <w:gridSpan w:val="19"/>
          </w:tcPr>
          <w:p>
            <w:pPr>
              <w:spacing w:after="0"/>
              <w:rPr>
                <w:rFonts w:ascii="Arial" w:cs="Arial" w:eastAsia="Arial" w:hAnsi="Arial"/>
                <w:sz w:val="14"/>
                <w:szCs w:val="14"/>
                <w:color w:val="0000EE"/>
              </w:rPr>
            </w:pPr>
            <w:hyperlink w:anchor="page118">
              <w:r>
                <w:rPr>
                  <w:rFonts w:ascii="Arial" w:cs="Arial" w:eastAsia="Arial" w:hAnsi="Arial"/>
                  <w:sz w:val="14"/>
                  <w:szCs w:val="14"/>
                  <w:color w:val="0000EE"/>
                </w:rPr>
                <w:t>Note 11: Revenues</w:t>
              </w:r>
            </w:hyperlink>
          </w:p>
        </w:tc>
        <w:tc>
          <w:tcPr>
            <w:tcW w:w="7340" w:type="dxa"/>
            <w:vAlign w:val="bottom"/>
            <w:gridSpan w:val="23"/>
          </w:tcPr>
          <w:p>
            <w:pPr>
              <w:spacing w:after="0"/>
              <w:rPr>
                <w:sz w:val="21"/>
                <w:szCs w:val="21"/>
                <w:color w:val="auto"/>
              </w:rPr>
            </w:pPr>
          </w:p>
        </w:tc>
        <w:tc>
          <w:tcPr>
            <w:tcW w:w="200" w:type="dxa"/>
            <w:vAlign w:val="bottom"/>
            <w:tcBorders>
              <w:top w:val="single" w:sz="8" w:color="0000EE"/>
            </w:tcBorders>
            <w:gridSpan w:val="2"/>
          </w:tcPr>
          <w:p>
            <w:pPr>
              <w:spacing w:after="0"/>
              <w:rPr>
                <w:rFonts w:ascii="Arial" w:cs="Arial" w:eastAsia="Arial" w:hAnsi="Arial"/>
                <w:sz w:val="14"/>
                <w:szCs w:val="14"/>
                <w:color w:val="0000EE"/>
                <w:w w:val="76"/>
              </w:rPr>
            </w:pPr>
            <w:hyperlink w:anchor="page118">
              <w:r>
                <w:rPr>
                  <w:rFonts w:ascii="Arial" w:cs="Arial" w:eastAsia="Arial" w:hAnsi="Arial"/>
                  <w:sz w:val="14"/>
                  <w:szCs w:val="14"/>
                  <w:color w:val="0000EE"/>
                  <w:w w:val="76"/>
                </w:rPr>
                <w:t>118</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2"/>
          </w:tcPr>
          <w:p>
            <w:pPr>
              <w:spacing w:after="0"/>
              <w:rPr>
                <w:rFonts w:ascii="Arial" w:cs="Arial" w:eastAsia="Arial" w:hAnsi="Arial"/>
                <w:sz w:val="14"/>
                <w:szCs w:val="14"/>
                <w:color w:val="0000EE"/>
              </w:rPr>
            </w:pPr>
            <w:hyperlink w:anchor="page119">
              <w:r>
                <w:rPr>
                  <w:rFonts w:ascii="Arial" w:cs="Arial" w:eastAsia="Arial" w:hAnsi="Arial"/>
                  <w:sz w:val="14"/>
                  <w:szCs w:val="14"/>
                  <w:color w:val="0000EE"/>
                </w:rPr>
                <w:t>Note 12: Equity-Based Compensation</w:t>
              </w:r>
            </w:hyperlink>
          </w:p>
        </w:tc>
        <w:tc>
          <w:tcPr>
            <w:tcW w:w="200" w:type="dxa"/>
            <w:vAlign w:val="bottom"/>
            <w:gridSpan w:val="2"/>
          </w:tcPr>
          <w:p>
            <w:pPr>
              <w:spacing w:after="0"/>
              <w:rPr>
                <w:rFonts w:ascii="Arial" w:cs="Arial" w:eastAsia="Arial" w:hAnsi="Arial"/>
                <w:sz w:val="14"/>
                <w:szCs w:val="14"/>
                <w:color w:val="0000EE"/>
                <w:w w:val="76"/>
              </w:rPr>
            </w:pPr>
            <w:hyperlink w:anchor="page119">
              <w:r>
                <w:rPr>
                  <w:rFonts w:ascii="Arial" w:cs="Arial" w:eastAsia="Arial" w:hAnsi="Arial"/>
                  <w:sz w:val="14"/>
                  <w:szCs w:val="14"/>
                  <w:color w:val="0000EE"/>
                  <w:w w:val="76"/>
                </w:rPr>
                <w:t>119</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Borders>
              <w:top w:val="single" w:sz="8" w:color="0000EE"/>
              <w:bottom w:val="single" w:sz="8" w:color="0000EE"/>
            </w:tcBorders>
            <w:gridSpan w:val="12"/>
          </w:tcPr>
          <w:p>
            <w:pPr>
              <w:spacing w:after="0"/>
              <w:rPr>
                <w:rFonts w:ascii="Arial" w:cs="Arial" w:eastAsia="Arial" w:hAnsi="Arial"/>
                <w:sz w:val="14"/>
                <w:szCs w:val="14"/>
                <w:color w:val="0000EE"/>
                <w:w w:val="91"/>
              </w:rPr>
            </w:pPr>
            <w:hyperlink w:anchor="page121">
              <w:r>
                <w:rPr>
                  <w:rFonts w:ascii="Arial" w:cs="Arial" w:eastAsia="Arial" w:hAnsi="Arial"/>
                  <w:sz w:val="14"/>
                  <w:szCs w:val="14"/>
                  <w:color w:val="0000EE"/>
                  <w:w w:val="91"/>
                </w:rPr>
                <w:t>Note 13: Income Taxes</w:t>
              </w:r>
            </w:hyperlink>
          </w:p>
        </w:tc>
        <w:tc>
          <w:tcPr>
            <w:tcW w:w="840" w:type="dxa"/>
            <w:vAlign w:val="bottom"/>
            <w:tcBorders>
              <w:top w:val="single" w:sz="8" w:color="0000EE"/>
            </w:tcBorders>
            <w:gridSpan w:val="9"/>
          </w:tcPr>
          <w:p>
            <w:pPr>
              <w:spacing w:after="0"/>
              <w:rPr>
                <w:sz w:val="21"/>
                <w:szCs w:val="21"/>
                <w:color w:val="auto"/>
              </w:rPr>
            </w:pPr>
          </w:p>
        </w:tc>
        <w:tc>
          <w:tcPr>
            <w:tcW w:w="7160" w:type="dxa"/>
            <w:vAlign w:val="bottom"/>
            <w:gridSpan w:val="21"/>
          </w:tcPr>
          <w:p>
            <w:pPr>
              <w:spacing w:after="0"/>
              <w:rPr>
                <w:sz w:val="21"/>
                <w:szCs w:val="21"/>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76"/>
              </w:rPr>
            </w:pPr>
            <w:hyperlink w:anchor="page121">
              <w:r>
                <w:rPr>
                  <w:rFonts w:ascii="Arial" w:cs="Arial" w:eastAsia="Arial" w:hAnsi="Arial"/>
                  <w:sz w:val="14"/>
                  <w:szCs w:val="14"/>
                  <w:color w:val="0000EE"/>
                  <w:w w:val="76"/>
                </w:rPr>
                <w:t>121</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00" w:type="dxa"/>
            <w:vAlign w:val="bottom"/>
            <w:tcBorders>
              <w:bottom w:val="single" w:sz="8" w:color="0000EE"/>
            </w:tcBorders>
            <w:gridSpan w:val="31"/>
          </w:tcPr>
          <w:p>
            <w:pPr>
              <w:spacing w:after="0"/>
              <w:rPr>
                <w:rFonts w:ascii="Arial" w:cs="Arial" w:eastAsia="Arial" w:hAnsi="Arial"/>
                <w:sz w:val="14"/>
                <w:szCs w:val="14"/>
                <w:color w:val="0000EE"/>
                <w:w w:val="93"/>
              </w:rPr>
            </w:pPr>
            <w:hyperlink w:anchor="page123">
              <w:r>
                <w:rPr>
                  <w:rFonts w:ascii="Arial" w:cs="Arial" w:eastAsia="Arial" w:hAnsi="Arial"/>
                  <w:sz w:val="14"/>
                  <w:szCs w:val="14"/>
                  <w:color w:val="0000EE"/>
                  <w:w w:val="93"/>
                </w:rPr>
                <w:t>Note 14: Management Agreement and Affiliate Transactions</w:t>
              </w:r>
            </w:hyperlink>
          </w:p>
        </w:tc>
        <w:tc>
          <w:tcPr>
            <w:tcW w:w="5840" w:type="dxa"/>
            <w:vAlign w:val="bottom"/>
            <w:gridSpan w:val="11"/>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23">
              <w:r>
                <w:rPr>
                  <w:rFonts w:ascii="Arial" w:cs="Arial" w:eastAsia="Arial" w:hAnsi="Arial"/>
                  <w:sz w:val="14"/>
                  <w:szCs w:val="14"/>
                  <w:color w:val="0000EE"/>
                  <w:w w:val="76"/>
                </w:rPr>
                <w:t>123</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2"/>
          </w:tcPr>
          <w:p>
            <w:pPr>
              <w:spacing w:after="0"/>
              <w:rPr>
                <w:rFonts w:ascii="Arial" w:cs="Arial" w:eastAsia="Arial" w:hAnsi="Arial"/>
                <w:sz w:val="14"/>
                <w:szCs w:val="14"/>
                <w:color w:val="0000EE"/>
              </w:rPr>
            </w:pPr>
            <w:hyperlink w:anchor="page125">
              <w:r>
                <w:rPr>
                  <w:rFonts w:ascii="Arial" w:cs="Arial" w:eastAsia="Arial" w:hAnsi="Arial"/>
                  <w:sz w:val="14"/>
                  <w:szCs w:val="14"/>
                  <w:color w:val="0000EE"/>
                </w:rPr>
                <w:t>Note 15: Segment Information</w:t>
              </w:r>
            </w:hyperlink>
          </w:p>
        </w:tc>
        <w:tc>
          <w:tcPr>
            <w:tcW w:w="200" w:type="dxa"/>
            <w:vAlign w:val="bottom"/>
            <w:gridSpan w:val="2"/>
          </w:tcPr>
          <w:p>
            <w:pPr>
              <w:spacing w:after="0"/>
              <w:rPr>
                <w:rFonts w:ascii="Arial" w:cs="Arial" w:eastAsia="Arial" w:hAnsi="Arial"/>
                <w:sz w:val="14"/>
                <w:szCs w:val="14"/>
                <w:color w:val="0000EE"/>
                <w:w w:val="76"/>
              </w:rPr>
            </w:pPr>
            <w:hyperlink w:anchor="page125">
              <w:r>
                <w:rPr>
                  <w:rFonts w:ascii="Arial" w:cs="Arial" w:eastAsia="Arial" w:hAnsi="Arial"/>
                  <w:sz w:val="14"/>
                  <w:szCs w:val="14"/>
                  <w:color w:val="0000EE"/>
                  <w:w w:val="76"/>
                </w:rPr>
                <w:t>125</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Borders>
              <w:top w:val="single" w:sz="8" w:color="0000EE"/>
              <w:bottom w:val="single" w:sz="8" w:color="0000EE"/>
            </w:tcBorders>
            <w:gridSpan w:val="16"/>
          </w:tcPr>
          <w:p>
            <w:pPr>
              <w:spacing w:after="0"/>
              <w:rPr>
                <w:rFonts w:ascii="Arial" w:cs="Arial" w:eastAsia="Arial" w:hAnsi="Arial"/>
                <w:sz w:val="14"/>
                <w:szCs w:val="14"/>
                <w:color w:val="0000EE"/>
                <w:w w:val="91"/>
              </w:rPr>
            </w:pPr>
            <w:hyperlink w:anchor="page134">
              <w:r>
                <w:rPr>
                  <w:rFonts w:ascii="Arial" w:cs="Arial" w:eastAsia="Arial" w:hAnsi="Arial"/>
                  <w:sz w:val="14"/>
                  <w:szCs w:val="14"/>
                  <w:color w:val="0000EE"/>
                  <w:w w:val="91"/>
                </w:rPr>
                <w:t>Note 16: Earnings per Share</w:t>
              </w:r>
            </w:hyperlink>
          </w:p>
        </w:tc>
        <w:tc>
          <w:tcPr>
            <w:tcW w:w="120" w:type="dxa"/>
            <w:vAlign w:val="bottom"/>
            <w:tcBorders>
              <w:top w:val="single" w:sz="8" w:color="0000EE"/>
            </w:tcBorders>
          </w:tcPr>
          <w:p>
            <w:pPr>
              <w:spacing w:after="0"/>
              <w:rPr>
                <w:sz w:val="21"/>
                <w:szCs w:val="21"/>
                <w:color w:val="auto"/>
              </w:rPr>
            </w:pPr>
          </w:p>
        </w:tc>
        <w:tc>
          <w:tcPr>
            <w:tcW w:w="7580" w:type="dxa"/>
            <w:vAlign w:val="bottom"/>
            <w:gridSpan w:val="25"/>
          </w:tcPr>
          <w:p>
            <w:pPr>
              <w:spacing w:after="0"/>
              <w:rPr>
                <w:sz w:val="21"/>
                <w:szCs w:val="21"/>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76"/>
              </w:rPr>
            </w:pPr>
            <w:hyperlink w:anchor="page134">
              <w:r>
                <w:rPr>
                  <w:rFonts w:ascii="Arial" w:cs="Arial" w:eastAsia="Arial" w:hAnsi="Arial"/>
                  <w:sz w:val="14"/>
                  <w:szCs w:val="14"/>
                  <w:color w:val="0000EE"/>
                  <w:w w:val="76"/>
                </w:rPr>
                <w:t>134</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tcBorders>
              <w:bottom w:val="single" w:sz="8" w:color="0000EE"/>
            </w:tcBorders>
            <w:gridSpan w:val="23"/>
          </w:tcPr>
          <w:p>
            <w:pPr>
              <w:spacing w:after="0"/>
              <w:rPr>
                <w:rFonts w:ascii="Arial" w:cs="Arial" w:eastAsia="Arial" w:hAnsi="Arial"/>
                <w:sz w:val="14"/>
                <w:szCs w:val="14"/>
                <w:color w:val="0000EE"/>
                <w:w w:val="92"/>
              </w:rPr>
            </w:pPr>
            <w:hyperlink w:anchor="page135">
              <w:r>
                <w:rPr>
                  <w:rFonts w:ascii="Arial" w:cs="Arial" w:eastAsia="Arial" w:hAnsi="Arial"/>
                  <w:sz w:val="14"/>
                  <w:szCs w:val="14"/>
                  <w:color w:val="0000EE"/>
                  <w:w w:val="92"/>
                </w:rPr>
                <w:t>Note 17: Commitments and Contingencies</w:t>
              </w:r>
            </w:hyperlink>
          </w:p>
        </w:tc>
        <w:tc>
          <w:tcPr>
            <w:tcW w:w="6880" w:type="dxa"/>
            <w:vAlign w:val="bottom"/>
            <w:gridSpan w:val="19"/>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35">
              <w:r>
                <w:rPr>
                  <w:rFonts w:ascii="Arial" w:cs="Arial" w:eastAsia="Arial" w:hAnsi="Arial"/>
                  <w:sz w:val="14"/>
                  <w:szCs w:val="14"/>
                  <w:color w:val="0000EE"/>
                  <w:w w:val="76"/>
                </w:rPr>
                <w:t>135</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Borders>
              <w:bottom w:val="single" w:sz="8" w:color="0000EE"/>
            </w:tcBorders>
            <w:gridSpan w:val="27"/>
          </w:tcPr>
          <w:p>
            <w:pPr>
              <w:spacing w:after="0"/>
              <w:rPr>
                <w:rFonts w:ascii="Arial" w:cs="Arial" w:eastAsia="Arial" w:hAnsi="Arial"/>
                <w:sz w:val="14"/>
                <w:szCs w:val="14"/>
                <w:color w:val="0000EE"/>
                <w:w w:val="95"/>
              </w:rPr>
            </w:pPr>
            <w:hyperlink w:anchor="page136">
              <w:r>
                <w:rPr>
                  <w:rFonts w:ascii="Arial" w:cs="Arial" w:eastAsia="Arial" w:hAnsi="Arial"/>
                  <w:sz w:val="14"/>
                  <w:szCs w:val="14"/>
                  <w:color w:val="0000EE"/>
                  <w:w w:val="95"/>
                </w:rPr>
                <w:t>Note 18: Quarterly Financial Information (Unaudited)</w:t>
              </w:r>
            </w:hyperlink>
          </w:p>
        </w:tc>
        <w:tc>
          <w:tcPr>
            <w:tcW w:w="6220" w:type="dxa"/>
            <w:vAlign w:val="bottom"/>
            <w:gridSpan w:val="15"/>
          </w:tcPr>
          <w:p>
            <w:pPr>
              <w:spacing w:after="0"/>
              <w:rPr>
                <w:sz w:val="21"/>
                <w:szCs w:val="21"/>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36">
              <w:r>
                <w:rPr>
                  <w:rFonts w:ascii="Arial" w:cs="Arial" w:eastAsia="Arial" w:hAnsi="Arial"/>
                  <w:sz w:val="14"/>
                  <w:szCs w:val="14"/>
                  <w:color w:val="0000EE"/>
                  <w:w w:val="76"/>
                </w:rPr>
                <w:t>136</w:t>
              </w:r>
            </w:hyperlink>
          </w:p>
        </w:tc>
      </w:tr>
      <w:tr>
        <w:trPr>
          <w:trHeight w:val="250"/>
        </w:trPr>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340" w:type="dxa"/>
            <w:vAlign w:val="bottom"/>
            <w:gridSpan w:val="42"/>
          </w:tcPr>
          <w:p>
            <w:pPr>
              <w:spacing w:after="0"/>
              <w:rPr>
                <w:rFonts w:ascii="Arial" w:cs="Arial" w:eastAsia="Arial" w:hAnsi="Arial"/>
                <w:sz w:val="14"/>
                <w:szCs w:val="14"/>
                <w:color w:val="0000EE"/>
              </w:rPr>
            </w:pPr>
            <w:hyperlink w:anchor="page137">
              <w:r>
                <w:rPr>
                  <w:rFonts w:ascii="Arial" w:cs="Arial" w:eastAsia="Arial" w:hAnsi="Arial"/>
                  <w:sz w:val="14"/>
                  <w:szCs w:val="14"/>
                  <w:color w:val="0000EE"/>
                </w:rPr>
                <w:t>Note 19: Subsequent Events</w:t>
              </w:r>
            </w:hyperlink>
          </w:p>
        </w:tc>
        <w:tc>
          <w:tcPr>
            <w:tcW w:w="200" w:type="dxa"/>
            <w:vAlign w:val="bottom"/>
            <w:gridSpan w:val="2"/>
          </w:tcPr>
          <w:p>
            <w:pPr>
              <w:spacing w:after="0"/>
              <w:rPr>
                <w:rFonts w:ascii="Arial" w:cs="Arial" w:eastAsia="Arial" w:hAnsi="Arial"/>
                <w:sz w:val="14"/>
                <w:szCs w:val="14"/>
                <w:color w:val="0000EE"/>
                <w:w w:val="76"/>
              </w:rPr>
            </w:pPr>
            <w:hyperlink w:anchor="page137">
              <w:r>
                <w:rPr>
                  <w:rFonts w:ascii="Arial" w:cs="Arial" w:eastAsia="Arial" w:hAnsi="Arial"/>
                  <w:sz w:val="14"/>
                  <w:szCs w:val="14"/>
                  <w:color w:val="0000EE"/>
                  <w:w w:val="76"/>
                </w:rPr>
                <w:t>137</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580" w:type="dxa"/>
            <w:vAlign w:val="bottom"/>
            <w:gridSpan w:val="43"/>
          </w:tcPr>
          <w:p>
            <w:pPr>
              <w:spacing w:after="0"/>
              <w:rPr>
                <w:rFonts w:ascii="Arial" w:cs="Arial" w:eastAsia="Arial" w:hAnsi="Arial"/>
                <w:sz w:val="14"/>
                <w:szCs w:val="14"/>
                <w:color w:val="0000EE"/>
              </w:rPr>
            </w:pPr>
            <w:hyperlink w:anchor="page138">
              <w:r>
                <w:rPr>
                  <w:rFonts w:ascii="Arial" w:cs="Arial" w:eastAsia="Arial" w:hAnsi="Arial"/>
                  <w:sz w:val="14"/>
                  <w:szCs w:val="14"/>
                  <w:color w:val="0000EE"/>
                </w:rPr>
                <w:t>Consolidated Financial Statements of Intermodal Finance I Ltd</w:t>
              </w:r>
            </w:hyperlink>
          </w:p>
        </w:tc>
        <w:tc>
          <w:tcPr>
            <w:tcW w:w="200" w:type="dxa"/>
            <w:vAlign w:val="bottom"/>
            <w:gridSpan w:val="2"/>
          </w:tcPr>
          <w:p>
            <w:pPr>
              <w:spacing w:after="0"/>
              <w:rPr>
                <w:rFonts w:ascii="Arial" w:cs="Arial" w:eastAsia="Arial" w:hAnsi="Arial"/>
                <w:sz w:val="14"/>
                <w:szCs w:val="14"/>
                <w:color w:val="0000EE"/>
                <w:w w:val="76"/>
              </w:rPr>
            </w:pPr>
            <w:hyperlink w:anchor="page138">
              <w:r>
                <w:rPr>
                  <w:rFonts w:ascii="Arial" w:cs="Arial" w:eastAsia="Arial" w:hAnsi="Arial"/>
                  <w:sz w:val="14"/>
                  <w:szCs w:val="14"/>
                  <w:color w:val="0000EE"/>
                  <w:w w:val="76"/>
                </w:rPr>
                <w:t>138</w:t>
              </w:r>
            </w:hyperlink>
          </w:p>
        </w:tc>
      </w:tr>
      <w:tr>
        <w:trPr>
          <w:trHeight w:val="20"/>
        </w:trPr>
        <w:tc>
          <w:tcPr>
            <w:tcW w:w="104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840" w:type="dxa"/>
            <w:vAlign w:val="bottom"/>
            <w:gridSpan w:val="10"/>
            <w:shd w:val="clear" w:color="auto" w:fill="0000EE"/>
          </w:tcPr>
          <w:p>
            <w:pPr>
              <w:spacing w:after="0" w:line="20" w:lineRule="exact"/>
              <w:rPr>
                <w:sz w:val="1"/>
                <w:szCs w:val="1"/>
                <w:color w:val="auto"/>
              </w:rPr>
            </w:pPr>
          </w:p>
        </w:tc>
        <w:tc>
          <w:tcPr>
            <w:tcW w:w="1000" w:type="dxa"/>
            <w:vAlign w:val="bottom"/>
            <w:tcBorders>
              <w:right w:val="single" w:sz="8" w:color="0000EE"/>
            </w:tcBorders>
            <w:gridSpan w:val="6"/>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9.</w:t>
            </w:r>
          </w:p>
        </w:tc>
        <w:tc>
          <w:tcPr>
            <w:tcW w:w="5180" w:type="dxa"/>
            <w:vAlign w:val="bottom"/>
            <w:tcBorders>
              <w:bottom w:val="single" w:sz="8" w:color="0000EE"/>
            </w:tcBorders>
            <w:gridSpan w:val="36"/>
          </w:tcPr>
          <w:p>
            <w:pPr>
              <w:spacing w:after="0"/>
              <w:rPr>
                <w:rFonts w:ascii="Arial" w:cs="Arial" w:eastAsia="Arial" w:hAnsi="Arial"/>
                <w:sz w:val="14"/>
                <w:szCs w:val="14"/>
                <w:color w:val="0000EE"/>
                <w:w w:val="93"/>
              </w:rPr>
            </w:pPr>
            <w:hyperlink w:anchor="page159">
              <w:r>
                <w:rPr>
                  <w:rFonts w:ascii="Arial" w:cs="Arial" w:eastAsia="Arial" w:hAnsi="Arial"/>
                  <w:sz w:val="14"/>
                  <w:szCs w:val="14"/>
                  <w:color w:val="0000EE"/>
                  <w:w w:val="93"/>
                </w:rPr>
                <w:t>Changes in and Disagreements with Accountants on Accounting and Financial Disclosure</w:t>
              </w:r>
            </w:hyperlink>
          </w:p>
        </w:tc>
        <w:tc>
          <w:tcPr>
            <w:tcW w:w="4400" w:type="dxa"/>
            <w:vAlign w:val="bottom"/>
            <w:gridSpan w:val="7"/>
          </w:tcPr>
          <w:p>
            <w:pPr>
              <w:spacing w:after="0"/>
              <w:rPr>
                <w:sz w:val="15"/>
                <w:szCs w:val="15"/>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59">
              <w:r>
                <w:rPr>
                  <w:rFonts w:ascii="Arial" w:cs="Arial" w:eastAsia="Arial" w:hAnsi="Arial"/>
                  <w:sz w:val="14"/>
                  <w:szCs w:val="14"/>
                  <w:color w:val="0000EE"/>
                  <w:w w:val="76"/>
                </w:rPr>
                <w:t>159</w:t>
              </w:r>
            </w:hyperlink>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9A.</w:t>
            </w:r>
          </w:p>
        </w:tc>
        <w:tc>
          <w:tcPr>
            <w:tcW w:w="1420" w:type="dxa"/>
            <w:vAlign w:val="bottom"/>
            <w:tcBorders>
              <w:bottom w:val="single" w:sz="8" w:color="0000EE"/>
            </w:tcBorders>
            <w:gridSpan w:val="10"/>
          </w:tcPr>
          <w:p>
            <w:pPr>
              <w:spacing w:after="0"/>
              <w:rPr>
                <w:rFonts w:ascii="Arial" w:cs="Arial" w:eastAsia="Arial" w:hAnsi="Arial"/>
                <w:sz w:val="14"/>
                <w:szCs w:val="14"/>
                <w:color w:val="0000EE"/>
                <w:w w:val="90"/>
              </w:rPr>
            </w:pPr>
            <w:hyperlink w:anchor="page159">
              <w:r>
                <w:rPr>
                  <w:rFonts w:ascii="Arial" w:cs="Arial" w:eastAsia="Arial" w:hAnsi="Arial"/>
                  <w:sz w:val="14"/>
                  <w:szCs w:val="14"/>
                  <w:color w:val="0000EE"/>
                  <w:w w:val="90"/>
                </w:rPr>
                <w:t>Controls and Procedures</w:t>
              </w:r>
            </w:hyperlink>
          </w:p>
        </w:tc>
        <w:tc>
          <w:tcPr>
            <w:tcW w:w="8160" w:type="dxa"/>
            <w:vAlign w:val="bottom"/>
            <w:gridSpan w:val="33"/>
          </w:tcPr>
          <w:p>
            <w:pPr>
              <w:spacing w:after="0"/>
              <w:rPr>
                <w:sz w:val="15"/>
                <w:szCs w:val="15"/>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59">
              <w:r>
                <w:rPr>
                  <w:rFonts w:ascii="Arial" w:cs="Arial" w:eastAsia="Arial" w:hAnsi="Arial"/>
                  <w:sz w:val="14"/>
                  <w:szCs w:val="14"/>
                  <w:color w:val="0000EE"/>
                  <w:w w:val="76"/>
                </w:rPr>
                <w:t>159</w:t>
              </w:r>
            </w:hyperlink>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9B.</w:t>
            </w:r>
          </w:p>
        </w:tc>
        <w:tc>
          <w:tcPr>
            <w:tcW w:w="9580" w:type="dxa"/>
            <w:vAlign w:val="bottom"/>
            <w:gridSpan w:val="43"/>
          </w:tcPr>
          <w:p>
            <w:pPr>
              <w:spacing w:after="0"/>
              <w:rPr>
                <w:rFonts w:ascii="Arial" w:cs="Arial" w:eastAsia="Arial" w:hAnsi="Arial"/>
                <w:sz w:val="14"/>
                <w:szCs w:val="14"/>
                <w:color w:val="0000EE"/>
              </w:rPr>
            </w:pPr>
            <w:hyperlink w:anchor="page159">
              <w:r>
                <w:rPr>
                  <w:rFonts w:ascii="Arial" w:cs="Arial" w:eastAsia="Arial" w:hAnsi="Arial"/>
                  <w:sz w:val="14"/>
                  <w:szCs w:val="14"/>
                  <w:color w:val="0000EE"/>
                </w:rPr>
                <w:t>Other Information</w:t>
              </w:r>
            </w:hyperlink>
          </w:p>
        </w:tc>
        <w:tc>
          <w:tcPr>
            <w:tcW w:w="200" w:type="dxa"/>
            <w:vAlign w:val="bottom"/>
            <w:gridSpan w:val="2"/>
          </w:tcPr>
          <w:p>
            <w:pPr>
              <w:spacing w:after="0"/>
              <w:rPr>
                <w:rFonts w:ascii="Arial" w:cs="Arial" w:eastAsia="Arial" w:hAnsi="Arial"/>
                <w:sz w:val="14"/>
                <w:szCs w:val="14"/>
                <w:color w:val="0000EE"/>
                <w:w w:val="76"/>
              </w:rPr>
            </w:pPr>
            <w:hyperlink w:anchor="page159">
              <w:r>
                <w:rPr>
                  <w:rFonts w:ascii="Arial" w:cs="Arial" w:eastAsia="Arial" w:hAnsi="Arial"/>
                  <w:sz w:val="14"/>
                  <w:szCs w:val="14"/>
                  <w:color w:val="0000EE"/>
                  <w:w w:val="76"/>
                </w:rPr>
                <w:t>159</w:t>
              </w:r>
            </w:hyperlink>
          </w:p>
        </w:tc>
      </w:tr>
      <w:tr>
        <w:trPr>
          <w:trHeight w:val="279"/>
        </w:trPr>
        <w:tc>
          <w:tcPr>
            <w:tcW w:w="10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20" w:type="dxa"/>
            <w:vAlign w:val="bottom"/>
            <w:gridSpan w:val="10"/>
          </w:tcPr>
          <w:p>
            <w:pPr>
              <w:jc w:val="center"/>
              <w:ind w:right="4440"/>
              <w:spacing w:after="0"/>
              <w:rPr>
                <w:sz w:val="20"/>
                <w:szCs w:val="20"/>
                <w:color w:val="auto"/>
              </w:rPr>
            </w:pPr>
            <w:r>
              <w:rPr>
                <w:rFonts w:ascii="Arial" w:cs="Arial" w:eastAsia="Arial" w:hAnsi="Arial"/>
                <w:sz w:val="14"/>
                <w:szCs w:val="14"/>
                <w:b w:val="1"/>
                <w:bCs w:val="1"/>
                <w:color w:val="auto"/>
              </w:rPr>
              <w:t>PART III</w:t>
            </w: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Item 10.</w:t>
            </w:r>
          </w:p>
        </w:tc>
        <w:tc>
          <w:tcPr>
            <w:tcW w:w="9580" w:type="dxa"/>
            <w:vAlign w:val="bottom"/>
            <w:gridSpan w:val="43"/>
          </w:tcPr>
          <w:p>
            <w:pPr>
              <w:spacing w:after="0"/>
              <w:rPr>
                <w:rFonts w:ascii="Arial" w:cs="Arial" w:eastAsia="Arial" w:hAnsi="Arial"/>
                <w:sz w:val="14"/>
                <w:szCs w:val="14"/>
                <w:color w:val="0000EE"/>
              </w:rPr>
            </w:pPr>
            <w:hyperlink w:anchor="page159">
              <w:r>
                <w:rPr>
                  <w:rFonts w:ascii="Arial" w:cs="Arial" w:eastAsia="Arial" w:hAnsi="Arial"/>
                  <w:sz w:val="14"/>
                  <w:szCs w:val="14"/>
                  <w:color w:val="0000EE"/>
                </w:rPr>
                <w:t>Directors, Executive Officers and Corporate Governance</w:t>
              </w:r>
            </w:hyperlink>
          </w:p>
        </w:tc>
        <w:tc>
          <w:tcPr>
            <w:tcW w:w="200" w:type="dxa"/>
            <w:vAlign w:val="bottom"/>
            <w:gridSpan w:val="2"/>
          </w:tcPr>
          <w:p>
            <w:pPr>
              <w:spacing w:after="0"/>
              <w:rPr>
                <w:rFonts w:ascii="Arial" w:cs="Arial" w:eastAsia="Arial" w:hAnsi="Arial"/>
                <w:sz w:val="14"/>
                <w:szCs w:val="14"/>
                <w:color w:val="0000EE"/>
                <w:w w:val="76"/>
              </w:rPr>
            </w:pPr>
            <w:hyperlink w:anchor="page159">
              <w:r>
                <w:rPr>
                  <w:rFonts w:ascii="Arial" w:cs="Arial" w:eastAsia="Arial" w:hAnsi="Arial"/>
                  <w:sz w:val="14"/>
                  <w:szCs w:val="14"/>
                  <w:color w:val="0000EE"/>
                  <w:w w:val="76"/>
                </w:rPr>
                <w:t>159</w:t>
              </w:r>
            </w:hyperlink>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11.</w:t>
            </w:r>
          </w:p>
        </w:tc>
        <w:tc>
          <w:tcPr>
            <w:tcW w:w="1440" w:type="dxa"/>
            <w:vAlign w:val="bottom"/>
            <w:tcBorders>
              <w:top w:val="single" w:sz="8" w:color="0000EE"/>
              <w:bottom w:val="single" w:sz="8" w:color="0000EE"/>
            </w:tcBorders>
            <w:gridSpan w:val="11"/>
          </w:tcPr>
          <w:p>
            <w:pPr>
              <w:spacing w:after="0"/>
              <w:rPr>
                <w:rFonts w:ascii="Arial" w:cs="Arial" w:eastAsia="Arial" w:hAnsi="Arial"/>
                <w:sz w:val="14"/>
                <w:szCs w:val="14"/>
                <w:color w:val="0000EE"/>
                <w:w w:val="91"/>
              </w:rPr>
            </w:pPr>
            <w:hyperlink w:anchor="page159">
              <w:r>
                <w:rPr>
                  <w:rFonts w:ascii="Arial" w:cs="Arial" w:eastAsia="Arial" w:hAnsi="Arial"/>
                  <w:sz w:val="14"/>
                  <w:szCs w:val="14"/>
                  <w:color w:val="0000EE"/>
                  <w:w w:val="91"/>
                </w:rPr>
                <w:t>Executive Compensation</w:t>
              </w:r>
            </w:hyperlink>
          </w:p>
        </w:tc>
        <w:tc>
          <w:tcPr>
            <w:tcW w:w="1840" w:type="dxa"/>
            <w:vAlign w:val="bottom"/>
            <w:tcBorders>
              <w:top w:val="single" w:sz="8" w:color="0000EE"/>
            </w:tcBorders>
            <w:gridSpan w:val="16"/>
          </w:tcPr>
          <w:p>
            <w:pPr>
              <w:spacing w:after="0"/>
              <w:rPr>
                <w:sz w:val="15"/>
                <w:szCs w:val="15"/>
                <w:color w:val="auto"/>
              </w:rPr>
            </w:pPr>
          </w:p>
        </w:tc>
        <w:tc>
          <w:tcPr>
            <w:tcW w:w="6300" w:type="dxa"/>
            <w:vAlign w:val="bottom"/>
            <w:gridSpan w:val="16"/>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76"/>
              </w:rPr>
            </w:pPr>
            <w:hyperlink w:anchor="page159">
              <w:r>
                <w:rPr>
                  <w:rFonts w:ascii="Arial" w:cs="Arial" w:eastAsia="Arial" w:hAnsi="Arial"/>
                  <w:sz w:val="14"/>
                  <w:szCs w:val="14"/>
                  <w:color w:val="0000EE"/>
                  <w:w w:val="76"/>
                </w:rPr>
                <w:t>159</w:t>
              </w:r>
            </w:hyperlink>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12.</w:t>
            </w:r>
          </w:p>
        </w:tc>
        <w:tc>
          <w:tcPr>
            <w:tcW w:w="9580" w:type="dxa"/>
            <w:vAlign w:val="bottom"/>
            <w:gridSpan w:val="43"/>
          </w:tcPr>
          <w:p>
            <w:pPr>
              <w:spacing w:after="0"/>
              <w:rPr>
                <w:rFonts w:ascii="Arial" w:cs="Arial" w:eastAsia="Arial" w:hAnsi="Arial"/>
                <w:sz w:val="14"/>
                <w:szCs w:val="14"/>
                <w:color w:val="0000EE"/>
              </w:rPr>
            </w:pPr>
            <w:hyperlink w:anchor="page160">
              <w:r>
                <w:rPr>
                  <w:rFonts w:ascii="Arial" w:cs="Arial" w:eastAsia="Arial" w:hAnsi="Arial"/>
                  <w:sz w:val="14"/>
                  <w:szCs w:val="14"/>
                  <w:color w:val="0000EE"/>
                </w:rPr>
                <w:t>Security Ownership of Certain Beneficial Owners and Management and Related Stockholder Matters</w:t>
              </w:r>
            </w:hyperlink>
          </w:p>
        </w:tc>
        <w:tc>
          <w:tcPr>
            <w:tcW w:w="200" w:type="dxa"/>
            <w:vAlign w:val="bottom"/>
            <w:gridSpan w:val="2"/>
          </w:tcPr>
          <w:p>
            <w:pPr>
              <w:spacing w:after="0"/>
              <w:rPr>
                <w:rFonts w:ascii="Arial" w:cs="Arial" w:eastAsia="Arial" w:hAnsi="Arial"/>
                <w:sz w:val="14"/>
                <w:szCs w:val="14"/>
                <w:color w:val="0000EE"/>
                <w:w w:val="76"/>
              </w:rPr>
            </w:pPr>
            <w:hyperlink w:anchor="page160">
              <w:r>
                <w:rPr>
                  <w:rFonts w:ascii="Arial" w:cs="Arial" w:eastAsia="Arial" w:hAnsi="Arial"/>
                  <w:sz w:val="14"/>
                  <w:szCs w:val="14"/>
                  <w:color w:val="0000EE"/>
                  <w:w w:val="76"/>
                </w:rPr>
                <w:t>160</w:t>
              </w:r>
            </w:hyperlink>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13.</w:t>
            </w:r>
          </w:p>
        </w:tc>
        <w:tc>
          <w:tcPr>
            <w:tcW w:w="4360" w:type="dxa"/>
            <w:vAlign w:val="bottom"/>
            <w:tcBorders>
              <w:top w:val="single" w:sz="8" w:color="0000EE"/>
              <w:bottom w:val="single" w:sz="8" w:color="0000EE"/>
            </w:tcBorders>
            <w:gridSpan w:val="33"/>
          </w:tcPr>
          <w:p>
            <w:pPr>
              <w:spacing w:after="0"/>
              <w:rPr>
                <w:rFonts w:ascii="Arial" w:cs="Arial" w:eastAsia="Arial" w:hAnsi="Arial"/>
                <w:sz w:val="14"/>
                <w:szCs w:val="14"/>
                <w:color w:val="0000EE"/>
                <w:w w:val="91"/>
              </w:rPr>
            </w:pPr>
            <w:hyperlink w:anchor="page160">
              <w:r>
                <w:rPr>
                  <w:rFonts w:ascii="Arial" w:cs="Arial" w:eastAsia="Arial" w:hAnsi="Arial"/>
                  <w:sz w:val="14"/>
                  <w:szCs w:val="14"/>
                  <w:color w:val="0000EE"/>
                  <w:w w:val="91"/>
                </w:rPr>
                <w:t>Certain Relationships and Related Transactions, and Director Independence</w:t>
              </w:r>
            </w:hyperlink>
          </w:p>
        </w:tc>
        <w:tc>
          <w:tcPr>
            <w:tcW w:w="1460" w:type="dxa"/>
            <w:vAlign w:val="bottom"/>
            <w:tcBorders>
              <w:top w:val="single" w:sz="8" w:color="0000EE"/>
            </w:tcBorders>
            <w:gridSpan w:val="7"/>
          </w:tcPr>
          <w:p>
            <w:pPr>
              <w:spacing w:after="0"/>
              <w:rPr>
                <w:sz w:val="15"/>
                <w:szCs w:val="15"/>
                <w:color w:val="auto"/>
              </w:rPr>
            </w:pPr>
          </w:p>
        </w:tc>
        <w:tc>
          <w:tcPr>
            <w:tcW w:w="376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rPr>
                <w:rFonts w:ascii="Arial" w:cs="Arial" w:eastAsia="Arial" w:hAnsi="Arial"/>
                <w:sz w:val="14"/>
                <w:szCs w:val="14"/>
                <w:color w:val="0000EE"/>
                <w:w w:val="76"/>
              </w:rPr>
            </w:pPr>
            <w:hyperlink w:anchor="page160">
              <w:r>
                <w:rPr>
                  <w:rFonts w:ascii="Arial" w:cs="Arial" w:eastAsia="Arial" w:hAnsi="Arial"/>
                  <w:sz w:val="14"/>
                  <w:szCs w:val="14"/>
                  <w:color w:val="0000EE"/>
                  <w:w w:val="76"/>
                </w:rPr>
                <w:t>160</w:t>
              </w:r>
            </w:hyperlink>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14.</w:t>
            </w:r>
          </w:p>
        </w:tc>
        <w:tc>
          <w:tcPr>
            <w:tcW w:w="9580" w:type="dxa"/>
            <w:vAlign w:val="bottom"/>
            <w:gridSpan w:val="43"/>
          </w:tcPr>
          <w:p>
            <w:pPr>
              <w:spacing w:after="0"/>
              <w:rPr>
                <w:rFonts w:ascii="Arial" w:cs="Arial" w:eastAsia="Arial" w:hAnsi="Arial"/>
                <w:sz w:val="14"/>
                <w:szCs w:val="14"/>
                <w:color w:val="0000EE"/>
              </w:rPr>
            </w:pPr>
            <w:hyperlink w:anchor="page160">
              <w:r>
                <w:rPr>
                  <w:rFonts w:ascii="Arial" w:cs="Arial" w:eastAsia="Arial" w:hAnsi="Arial"/>
                  <w:sz w:val="14"/>
                  <w:szCs w:val="14"/>
                  <w:color w:val="0000EE"/>
                </w:rPr>
                <w:t>Principal Accountant Fees and Services</w:t>
              </w:r>
            </w:hyperlink>
          </w:p>
        </w:tc>
        <w:tc>
          <w:tcPr>
            <w:tcW w:w="200" w:type="dxa"/>
            <w:vAlign w:val="bottom"/>
            <w:gridSpan w:val="2"/>
          </w:tcPr>
          <w:p>
            <w:pPr>
              <w:spacing w:after="0"/>
              <w:rPr>
                <w:rFonts w:ascii="Arial" w:cs="Arial" w:eastAsia="Arial" w:hAnsi="Arial"/>
                <w:sz w:val="14"/>
                <w:szCs w:val="14"/>
                <w:color w:val="0000EE"/>
                <w:w w:val="76"/>
              </w:rPr>
            </w:pPr>
            <w:hyperlink w:anchor="page160">
              <w:r>
                <w:rPr>
                  <w:rFonts w:ascii="Arial" w:cs="Arial" w:eastAsia="Arial" w:hAnsi="Arial"/>
                  <w:sz w:val="14"/>
                  <w:szCs w:val="14"/>
                  <w:color w:val="0000EE"/>
                  <w:w w:val="76"/>
                </w:rPr>
                <w:t>160</w:t>
              </w:r>
            </w:hyperlink>
          </w:p>
        </w:tc>
      </w:tr>
      <w:tr>
        <w:trPr>
          <w:trHeight w:val="279"/>
        </w:trPr>
        <w:tc>
          <w:tcPr>
            <w:tcW w:w="10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20" w:type="dxa"/>
            <w:vAlign w:val="bottom"/>
            <w:gridSpan w:val="10"/>
          </w:tcPr>
          <w:p>
            <w:pPr>
              <w:jc w:val="center"/>
              <w:ind w:right="4440"/>
              <w:spacing w:after="0"/>
              <w:rPr>
                <w:sz w:val="20"/>
                <w:szCs w:val="20"/>
                <w:color w:val="auto"/>
              </w:rPr>
            </w:pPr>
            <w:r>
              <w:rPr>
                <w:rFonts w:ascii="Arial" w:cs="Arial" w:eastAsia="Arial" w:hAnsi="Arial"/>
                <w:sz w:val="14"/>
                <w:szCs w:val="14"/>
                <w:b w:val="1"/>
                <w:bCs w:val="1"/>
                <w:color w:val="auto"/>
              </w:rPr>
              <w:t>PART IV</w:t>
            </w: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174"/>
        </w:trPr>
        <w:tc>
          <w:tcPr>
            <w:tcW w:w="1040" w:type="dxa"/>
            <w:vAlign w:val="bottom"/>
          </w:tcPr>
          <w:p>
            <w:pPr>
              <w:spacing w:after="0"/>
              <w:rPr>
                <w:sz w:val="20"/>
                <w:szCs w:val="20"/>
                <w:color w:val="auto"/>
              </w:rPr>
            </w:pPr>
            <w:r>
              <w:rPr>
                <w:rFonts w:ascii="Arial" w:cs="Arial" w:eastAsia="Arial" w:hAnsi="Arial"/>
                <w:sz w:val="14"/>
                <w:szCs w:val="14"/>
                <w:color w:val="auto"/>
              </w:rPr>
              <w:t>Item 15.</w:t>
            </w:r>
          </w:p>
        </w:tc>
        <w:tc>
          <w:tcPr>
            <w:tcW w:w="500" w:type="dxa"/>
            <w:vAlign w:val="bottom"/>
            <w:tcBorders>
              <w:bottom w:val="single" w:sz="8" w:color="0000EE"/>
            </w:tcBorders>
            <w:gridSpan w:val="2"/>
          </w:tcPr>
          <w:p>
            <w:pPr>
              <w:spacing w:after="0"/>
              <w:rPr>
                <w:rFonts w:ascii="Arial" w:cs="Arial" w:eastAsia="Arial" w:hAnsi="Arial"/>
                <w:sz w:val="14"/>
                <w:szCs w:val="14"/>
                <w:color w:val="0000EE"/>
                <w:w w:val="93"/>
              </w:rPr>
            </w:pPr>
            <w:hyperlink w:anchor="page160">
              <w:r>
                <w:rPr>
                  <w:rFonts w:ascii="Arial" w:cs="Arial" w:eastAsia="Arial" w:hAnsi="Arial"/>
                  <w:sz w:val="14"/>
                  <w:szCs w:val="14"/>
                  <w:color w:val="0000EE"/>
                  <w:w w:val="93"/>
                </w:rPr>
                <w:t>Exhibits</w:t>
              </w:r>
            </w:hyperlink>
          </w:p>
        </w:tc>
        <w:tc>
          <w:tcPr>
            <w:tcW w:w="9080" w:type="dxa"/>
            <w:vAlign w:val="bottom"/>
            <w:gridSpan w:val="41"/>
          </w:tcPr>
          <w:p>
            <w:pPr>
              <w:spacing w:after="0"/>
              <w:rPr>
                <w:sz w:val="15"/>
                <w:szCs w:val="15"/>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60">
              <w:r>
                <w:rPr>
                  <w:rFonts w:ascii="Arial" w:cs="Arial" w:eastAsia="Arial" w:hAnsi="Arial"/>
                  <w:sz w:val="14"/>
                  <w:szCs w:val="14"/>
                  <w:color w:val="0000EE"/>
                  <w:w w:val="76"/>
                </w:rPr>
                <w:t>160</w:t>
              </w:r>
            </w:hyperlink>
          </w:p>
        </w:tc>
      </w:tr>
      <w:tr>
        <w:trPr>
          <w:trHeight w:val="183"/>
        </w:trPr>
        <w:tc>
          <w:tcPr>
            <w:tcW w:w="1040" w:type="dxa"/>
            <w:vAlign w:val="bottom"/>
          </w:tcPr>
          <w:p>
            <w:pPr>
              <w:spacing w:after="0"/>
              <w:rPr>
                <w:sz w:val="20"/>
                <w:szCs w:val="20"/>
                <w:color w:val="auto"/>
              </w:rPr>
            </w:pPr>
            <w:r>
              <w:rPr>
                <w:rFonts w:ascii="Arial" w:cs="Arial" w:eastAsia="Arial" w:hAnsi="Arial"/>
                <w:sz w:val="14"/>
                <w:szCs w:val="14"/>
                <w:color w:val="auto"/>
              </w:rPr>
              <w:t>Item 16.</w:t>
            </w:r>
          </w:p>
        </w:tc>
        <w:tc>
          <w:tcPr>
            <w:tcW w:w="1240" w:type="dxa"/>
            <w:vAlign w:val="bottom"/>
            <w:tcBorders>
              <w:bottom w:val="single" w:sz="8" w:color="0000EE"/>
            </w:tcBorders>
            <w:gridSpan w:val="7"/>
          </w:tcPr>
          <w:p>
            <w:pPr>
              <w:spacing w:after="0"/>
              <w:rPr>
                <w:rFonts w:ascii="Arial" w:cs="Arial" w:eastAsia="Arial" w:hAnsi="Arial"/>
                <w:sz w:val="14"/>
                <w:szCs w:val="14"/>
                <w:color w:val="0000EE"/>
                <w:w w:val="93"/>
              </w:rPr>
            </w:pPr>
            <w:hyperlink w:anchor="page160">
              <w:r>
                <w:rPr>
                  <w:rFonts w:ascii="Arial" w:cs="Arial" w:eastAsia="Arial" w:hAnsi="Arial"/>
                  <w:sz w:val="14"/>
                  <w:szCs w:val="14"/>
                  <w:color w:val="0000EE"/>
                  <w:w w:val="93"/>
                </w:rPr>
                <w:t>Form 10-K Summary</w:t>
              </w:r>
            </w:hyperlink>
          </w:p>
        </w:tc>
        <w:tc>
          <w:tcPr>
            <w:tcW w:w="8340" w:type="dxa"/>
            <w:vAlign w:val="bottom"/>
            <w:gridSpan w:val="36"/>
          </w:tcPr>
          <w:p>
            <w:pPr>
              <w:spacing w:after="0"/>
              <w:rPr>
                <w:sz w:val="15"/>
                <w:szCs w:val="15"/>
                <w:color w:val="auto"/>
              </w:rPr>
            </w:pPr>
          </w:p>
        </w:tc>
        <w:tc>
          <w:tcPr>
            <w:tcW w:w="200" w:type="dxa"/>
            <w:vAlign w:val="bottom"/>
            <w:tcBorders>
              <w:bottom w:val="single" w:sz="8" w:color="0000EE"/>
            </w:tcBorders>
            <w:gridSpan w:val="2"/>
          </w:tcPr>
          <w:p>
            <w:pPr>
              <w:spacing w:after="0"/>
              <w:rPr>
                <w:rFonts w:ascii="Arial" w:cs="Arial" w:eastAsia="Arial" w:hAnsi="Arial"/>
                <w:sz w:val="14"/>
                <w:szCs w:val="14"/>
                <w:color w:val="0000EE"/>
                <w:w w:val="76"/>
              </w:rPr>
            </w:pPr>
            <w:hyperlink w:anchor="page160">
              <w:r>
                <w:rPr>
                  <w:rFonts w:ascii="Arial" w:cs="Arial" w:eastAsia="Arial" w:hAnsi="Arial"/>
                  <w:sz w:val="14"/>
                  <w:szCs w:val="14"/>
                  <w:color w:val="0000EE"/>
                  <w:w w:val="76"/>
                </w:rPr>
                <w:t>160</w:t>
              </w:r>
            </w:hyperlink>
          </w:p>
        </w:tc>
      </w:tr>
    </w:tbl>
    <w:p>
      <w:pPr>
        <w:spacing w:after="0" w:line="200" w:lineRule="exact"/>
        <w:rPr>
          <w:sz w:val="20"/>
          <w:szCs w:val="20"/>
          <w:color w:val="auto"/>
        </w:rPr>
      </w:pPr>
    </w:p>
    <w:p>
      <w:pPr>
        <w:sectPr>
          <w:pgSz w:w="11900" w:h="16838" w:orient="portrait"/>
          <w:cols w:equalWidth="0" w:num="1">
            <w:col w:w="10820"/>
          </w:cols>
          <w:pgMar w:left="280" w:top="661" w:right="799" w:bottom="9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20"/>
          </w:cols>
          <w:pgMar w:left="280" w:top="661" w:right="799" w:bottom="921"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0"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economic conditions generally and specifically in our industry sectors, and other risks relating to the global economy;</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reductions in cash flows received from our assets, as well as contractual limitations on the use of our aviation assets to secure debt for borrowed money;</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take advantage of acquisition opportunities at favorable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lack of liquidity surrounding our assets, which could impede our ability to vary our portfolio in an appropriate manner;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relative spreads between the yield on the assets we acquire and the cost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defaults on their obligations;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existing contracts and win additional contracts with existing or potential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and cost of capital for future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concentration of a particular type of asset or in a particular sector;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within the aviation, energy, intermodal transport and rail sectors;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market for acquisition opportunities;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operating through joint ventures or partnerships or through consortium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obsolescence of our assets or our ability to sell, re-lease or re-charter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uninsurable losses and force majeure events;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infrastructure operations may require substantial capital expenditures;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legislative/regulatory environment and exposure to increased economic regulation;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the oil and gas industry’s volatile oil and gas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obtaining effective legal redress in jurisdictions in which we operate with less developed legal systems;</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under the Investment Company Act of 1940 and the fact that maintaining such exemption imposes limits on our operations;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utilize leverage in connection with our investments;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risk and risk management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effectiveness of our internal control over financial reporting;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environmental risks, including increasing environmental legislation and the broader impacts of climate change;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4" w:name="page5"/>
    <w:bookmarkEnd w:id="4"/>
    <w:p>
      <w:pPr>
        <w:ind w:left="820" w:right="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taken by national, state, or provincial governments, including nationalization, or the imposition of new taxes, could materially impact the financial performance or value of our assets;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40"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effects of the pending merger of Fortress Investment Group LLC with affiliates of SoftBank Group Corp.;</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in the market price of our common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pay dividends to our shareholders in the future;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described in the “Risk Factors” section of this report.</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20" w:firstLine="486"/>
        <w:spacing w:after="0" w:line="255" w:lineRule="auto"/>
        <w:rPr>
          <w:sz w:val="20"/>
          <w:szCs w:val="20"/>
          <w:color w:val="auto"/>
        </w:rPr>
      </w:pPr>
      <w:r>
        <w:rPr>
          <w:rFonts w:ascii="Arial" w:cs="Arial" w:eastAsia="Arial" w:hAnsi="Arial"/>
          <w:sz w:val="18"/>
          <w:szCs w:val="18"/>
          <w:color w:val="auto"/>
        </w:rPr>
        <w:t>Fortress Transportation and Infrastructure Investors LLC, a Delaware limited liability company (the “Company”), was formed on February 19, 2014. Except as otherwise specified, “FTAI”, “we”, “us”, “our”, and “the Company” refer to the Company and its consolidated subsidiaries, including Fortress Worldwide Transportation and Infrastructure General Partnership (“Holdco”). Our business has been, and will continue to be, conducted through Holdco for the purpose of acquiring, managing and disposing of transportation and transportation-related infrastructure and equipment assets. Fortress Worldwide Transportation and Infrastructure Master GP LLC (the “Master GP”), owns 0.05% of Holdco and is the general partner of Holdco, which was formed on May 9, 2011 and commenced operations on June 23, 2011.</w:t>
      </w:r>
    </w:p>
    <w:p>
      <w:pPr>
        <w:spacing w:after="0" w:line="8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Pursuant to a management agreement, we are externally managed and advised by FIG LLC (the “Manager”), an affiliate of Fortress Investment Group LLC (“Fortress”). Fortress is a leading global investment management firm with approximately $70 billion of assets under management as of December 31, 2016, which has a dedicated team of experienced professionals focused on the acquisition of transportation and infrastructure assets since 2002. On February 14, 2017, Fortress announced that it had entered into an Agreement and Plan of Merger (the “Merger Agreement”) with an affiliate of SoftBank Group Corp. (“SoftBank”), pursuant to which Fortress will become a wholly owned subsidiary of the SoftBank affiliate (the “Merger”). In connection with the Merger, Fortress will operate within SoftBank as an independent business headquartered in New York. Fortress’s senior investment professionals are expected to remain in place, including those individuals who perform services for us.</w:t>
      </w:r>
    </w:p>
    <w:p>
      <w:pPr>
        <w:spacing w:after="0" w:line="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 Our existing mix of assets provides significant cash flows as well as organic growth potential through identified projects. In addition, we believe that there are a large number of acquisition opportunities in our target sectors and that our Manager’s expertise and business and financing relationships, together with our access to capital, will allow us to take advantage of these opportunities. As of December 31, 2016, we had total consolidated assets of $1.5 billion and total equity of $1.2 billion.</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92" w:right="239" w:bottom="1440" w:gutter="0" w:footer="0" w:header="0"/>
        </w:sectPr>
      </w:pPr>
    </w:p>
    <w:bookmarkStart w:id="5" w:name="page6"/>
    <w:bookmarkEnd w:id="5"/>
    <w:p>
      <w:pPr>
        <w:ind w:left="500"/>
        <w:spacing w:after="0"/>
        <w:rPr>
          <w:sz w:val="20"/>
          <w:szCs w:val="20"/>
          <w:color w:val="auto"/>
        </w:rPr>
      </w:pPr>
      <w:r>
        <w:rPr>
          <w:rFonts w:ascii="Arial" w:cs="Arial" w:eastAsia="Arial" w:hAnsi="Arial"/>
          <w:sz w:val="16"/>
          <w:szCs w:val="16"/>
          <w:color w:val="auto"/>
        </w:rPr>
        <w:t>The charts below illustrate our existing assets, and our equity deployed in acquiring these assets separated by reporting segment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74295</wp:posOffset>
            </wp:positionV>
            <wp:extent cx="5866130" cy="660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66130" cy="6603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w:t>
      </w:r>
    </w:p>
    <w:p>
      <w:pPr>
        <w:spacing w:after="0" w:line="117" w:lineRule="exact"/>
        <w:rPr>
          <w:sz w:val="20"/>
          <w:szCs w:val="20"/>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segment includes deployed assets of $45.4 million and deployed equity of $39.1 million related to the purchase of Repauno Delaware Port (“Repauno”) and excludes total investable cash from the Corporate segment.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17" w:right="239" w:bottom="1440" w:gutter="0" w:footer="0" w:header="0"/>
        </w:sectPr>
      </w:pPr>
    </w:p>
    <w:bookmarkStart w:id="6" w:name="page7"/>
    <w:bookmarkEnd w:id="6"/>
    <w:p>
      <w:pPr>
        <w:ind w:left="660" w:right="6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Jefferson Terminal and Railroad are included in our Infrastructure Business; Aviation Leasing, Offshore Energy and Shipping Containers are included in our Equipment Leasing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invest across a number of major sectors within the transportation industry, including aviation, energy, intermodal transport and rail, and we may pursue acquisitions in other areas as and when they arise in the future. In general, we seek to own a diverse mix of high quality infrastructure and equipment within our target sectors that generate predictable cash flows, in markets that we believe provide the potential for strong long-term growth and attractive returns on deployed capital. We believe that by investing in a diverse mix of assets across sectors, we can select from among the best risk-adjusted investment opportunities, while avoiding overconcentration in any one segment, further adding to the stability of our business.</w:t>
      </w:r>
    </w:p>
    <w:p>
      <w:pPr>
        <w:spacing w:after="0" w:line="6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take a proactive investment approach by identifying key secular trends as they emerge within our target sectors and then pursuing what we believe are the most compelling opportunities within those sectors. We look for unique investments, including assets that are distressed or undervalued, or where we believe that we can add value through active management. We consider investments across the size spectrum, including smaller opportunities often overlooked by other investors, particularly where we believe we may be able to grow the investment over time. We believe one of our strengths is our ability to create attractive follow-on investment opportunities and deploy incremental capital within our existing portfolio.</w:t>
      </w:r>
    </w:p>
    <w:p>
      <w:pPr>
        <w:spacing w:after="0" w:line="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Within each sector, we consider investments in operating infrastructure as well as in equipment that we lease to operators. Within the rail sector, for example, we target rail lines and rail terminals (which we classify as infrastructure), as well as railcars (which on a stand-alone basis we classify as leasing equipment). We believe that as owners of both infrastructure and equipment assets, we have access to more opportunities and can be a more attractive counterparty to the users of our assets. Our Manager has significant prior experience in all of our target sectors, as well as a network of industry relationships, that we believe positions us well to make successful acquisitions and to actively manage and improve operations and cash flow of our existing and newly-acquired assets. These relationships include senior executives at lessors and operators, end users of transportation and infrastructure assets, as well as banks, lenders and other asset owners.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 Process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strategy is to acquire assets that are essential to the transportation of goods and people globally. We acquire assets that are used by major operators of transportation and infrastructure networks. We seek to acquire assets and businesses that we believe operate in sectors with long-term macroeconomic growth opportunities and that have significant cash flow and upside potential from earnings growth and asset appreciation.</w:t>
      </w:r>
    </w:p>
    <w:p>
      <w:pPr>
        <w:spacing w:after="0" w:line="5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approach markets and opportunities by first developing an asset acquisition strategy with our Manager and then pursuing optimal opportunities within that strategy. In addition to relying on our own experience, we source new opportunities through our Manager’s network of industry relationships in order to find, structure and execute attractive acquisitions. These relationships include senior executives at industry leading operators, end users of the assets as well as banks, lenders and other asset owners. We believe that sourcing assets both globally and through multiple channels will enable us to find the most attractive opportunities. We are selective in the assets we pursue and efficient in the manner in which we pursue them.</w:t>
      </w:r>
    </w:p>
    <w:p>
      <w:pPr>
        <w:spacing w:after="0" w:line="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Once attractive opportunities are identified, our Manager performs detailed due diligence on each of our potential acquisitions. Due diligence on each of our assets always includes a comprehensive review of the asset itself as well as the industry and market dynamics, competitive positioning, and financial and operational performance. Where appropriate, our Manager conducts physical inspections, a review of the credit quality of each of our counterparties, the regulatory environment, and a review of all material documentation. In some cases, third-party specialists are hired to physically inspect and/or value the target assets.</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and our Manager also spend a significant amount of time on structuring our acquisitions to minimize risks while also optimizing expected returns. We employ what we believe to be reasonable amounts of leverage in connection with our acquisitions. In determining the amount of leverage for each acquisition, we consider a number of characteristics, including, but not limited to, the existing cash flow, the length of the lease or contract term, and the specific counterparty. While leverage on any individual asset may vary, we target overall leverage for our assets on a consolidated basis of no greater than 50% of total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May 2015, in connection with the Company’s initial public offering (“IPO”), the Company entered into a new management agreement with the Manager (the “Management Agreement”), an affiliate of Fortress, pursuant to which 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Under the Management Agreement, the Manager is entitled to a management fee, incentive allocations (comprised of income incentive allocation and capital gains incentive allocation, defined below) and reimbursement of certain expenses. The management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jc w:val="both"/>
        <w:spacing w:after="0" w:line="308" w:lineRule="auto"/>
        <w:rPr>
          <w:sz w:val="20"/>
          <w:szCs w:val="20"/>
          <w:color w:val="auto"/>
        </w:rPr>
      </w:pPr>
      <w:r>
        <w:rPr>
          <w:rFonts w:ascii="Arial" w:cs="Arial" w:eastAsia="Arial" w:hAnsi="Arial"/>
          <w:sz w:val="17"/>
          <w:szCs w:val="17"/>
          <w:color w:val="auto"/>
        </w:rPr>
        <w:t>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w:t>
      </w:r>
    </w:p>
    <w:p>
      <w:pPr>
        <w:spacing w:after="0" w:line="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8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2.0% for such quarter (8.0% annualized); (2) 100% of pre-incentive allocation net income with respect to that portion of such pre-incentive allocation net income, if any, that is equal to or exceeds 2.00% but does not exceed 2.2223% for such quarter; and (3) 10.0% of the amount of pre-incentive allocation net income, if any, that exceeds 2.2223% for such quarter.</w:t>
      </w:r>
    </w:p>
    <w:p>
      <w:pPr>
        <w:spacing w:after="0" w:line="70"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"Capital Gains Incentive Allocation" is calculated and distributable in arrears as of the end of each calendar year and is equal to 10% of the Company’s pro rata share of cumulative realized gains from the date of the Company's initial public offering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w:t>
      </w:r>
    </w:p>
    <w:p>
      <w:pPr>
        <w:spacing w:after="0" w:line="6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pays all of its operating expenses, except those specifically required to be borne by the Manager under the Management Agreement. 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w:t>
      </w:r>
    </w:p>
    <w:p>
      <w:pPr>
        <w:spacing w:after="0" w:line="8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the Company terminates the Management Agreement, it will generally be required to pay the Manager a termination fee, as defined by the Management Agreement. Upon the successful completion of an offering of the Company’s common shares or other equity securities (including securities issued as consideration in an acquisition), the Company will grant the Manager options to purchase common shares, as defined by the Management Agreement.</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Note 14 of our consolidated financial statements included in Item 8 in this Annual Report on Form 10-K for further details regarding our Management Agreement.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w:t>
      </w:r>
    </w:p>
    <w:p>
      <w:pPr>
        <w:spacing w:after="0" w:line="12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own and acquire high quality infrastructure and equipment that is essential for the transportation of goods and people globally. We currently invest across four market sectors: aviation, energy, intermodal transport and rail. We target assets that, on a combined basis, generate strong and stable cash flows with the potential for earnings growth and asset appreciation.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Terminal</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August 2014, we and certain other Fortress affiliates purchased substantially all of the assets and assumed certain liabilities of Jefferson Terminal, a Texas-based group of companies developing crude oil and refined products logistics assets. As of December 31, 2016, our equity interest in Jefferson is approximately 60%, and other affiliates of Fortress own an additional approximately 20%.</w:t>
      </w:r>
    </w:p>
    <w:p>
      <w:pPr>
        <w:spacing w:after="0" w:line="7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Jefferson is currently developing a large multi-modal crude oil and refined products handling terminal at the Port of Beaumont, Texas (the “Port”) and also owns several other key assets involved in the transportation and processing of crude oil and related products. The majority of Jefferson’s revenue is expected to be derived from operations at Jefferson Terminal. Jefferson Terminal has a unique combination of direct rail service from three Class I railroads, barge docks and deep water ship loading capacity, capabilities to handle multiple types of crude oil including free-flowing crude as well as bitumen, and a prime location close to Port Arthur and Lake Charles, which are home to refineries with over 2.2 million barrels per day of capacity.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jc w:val="both"/>
        <w:ind w:firstLine="486"/>
        <w:spacing w:after="0" w:line="273" w:lineRule="auto"/>
        <w:rPr>
          <w:sz w:val="20"/>
          <w:szCs w:val="20"/>
          <w:color w:val="auto"/>
        </w:rPr>
      </w:pPr>
      <w:r>
        <w:rPr>
          <w:rFonts w:ascii="Arial" w:cs="Arial" w:eastAsia="Arial" w:hAnsi="Arial"/>
          <w:sz w:val="17"/>
          <w:szCs w:val="17"/>
          <w:color w:val="auto"/>
        </w:rPr>
        <w:t>The terminal’s prime location and excellent transportation connectivity make it ideally suited to provide logistics solutions to local refineries, including blending, storage and delivery of crude oil, ethanol, propane and refined products. Heavy and extra heavy crude from western Canada (extra heavy crude is predominantly known as ‘bitumen’) is in especially high demand in the Gulf Coast because refineries in the area are configured to handle heavier blends of crude (previously sourced almost exclusively from Mexico and Venezuela) than those in other parts of the U.S. Canadian bitumen offers Gulf Coast refineries an excellent feedstock, which is most cheaply and easily transported by rail rather than pipeline because of its high viscosity. Jefferson is one of only a few terminals in the Gulf that has the heated system capabilities to handle this type of heavy crude.</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Jefferson Terminal is located on approximately 250 acres of land at the Port. Today, Jefferson leases 196 acres from the Port under three separate leases. The three leases have 50 year terms that terminate in June 2062 (20 acres), August 2063 (31 acres), and January 2065 (145 acres). As part of the leases, Jefferson has been granted the concession to operate as the sole handler of liquid hydrocarbons at the Port. Jefferson does not own any land at Jefferson Terminal, but does own the equipment and leasehold improvements carried out as part of the Jefferson Terminal build-out.</w:t>
      </w:r>
    </w:p>
    <w:p>
      <w:pPr>
        <w:spacing w:after="0" w:line="6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Jefferson Terminal operates a light oil unloading track (the “Light System”), which has the capacity to handle up to two unit trains (240 cars) per day of light, free-flowing crude, and the heavy oil unloading track (the “Heavy System”), which has the capacity to unload up to one unit train (120 cars) per day of heavy crude or bitumen requiring heating. In addition, Jefferson Terminal has two truck unloading bays, capable of handling approximately 50 trucks, each carrying 170 barrels, per day. In aggregate, including rail and truck handling, Jefferson Terminal has a total unloading capacity of 230,000 barrels per day, and storage tanks with capacity to hold approximately 700,000 barrels. Today, crude oil is brought into the Terminal by rail or truck and then either held in storage, or loaded directly onto a barge for transportation to one of the local refineries or larger storage hubs. We also have the ability to unload or load directly from or to an ocean-going vessel (up to Aframax size), which allows our customers to export crude oil. We are currently developing direct pipeline connections to local refineries, which will provide them with a lower cost of transportation to and from the Terminal.</w:t>
      </w:r>
    </w:p>
    <w:p>
      <w:pPr>
        <w:spacing w:after="0" w:line="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addition to Jefferson Terminal, Jefferson owns several other energy and transportation-related assets, including 300 tank railcars; a gas processing and condensate stabilization plant; pipeline rights-of-way; and an additional private marine terminal property that can be developed to load refined petroleum products onto barges. These assets represent additional opportunities to generate stable, recurring cash flow and can be developed in the future to take advantage of the growing demand for crude oil transportation and processing assets. Over the next twelve months, we expect to invest equity capital to fund working capital needs and future construction as new contracts, which may require additional infrastructure, are executed.</w:t>
      </w:r>
    </w:p>
    <w:p>
      <w:pPr>
        <w:spacing w:after="0" w:line="6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Furthermore, in 2016, Jefferson Gulf Coast Energy Partners, a subsidiary of the Company, formed a joint venture to construct and operate an ethanol distribution hub at the Jefferson Terminal. The ethanol hub will have direct access to multiple transportation options including Aframax vessels for export, inland and coastwise barges, trucks, and unit trains with direct mainline service from the Union Pacific, BNSF and KCS railroads. Phase I development will leverage existing infrastructure at Jefferson Terminal, and is expected to include approximately 500,000 barrels of storage, with expansion potential for up to 1,000,000 barrels. Construction of Phase I is currently expected to be completed in the second half of 2017.</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CMQR</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the second quarter of 2014, we acquired via a bankruptcy proceeding certain assets and assumed certain liabilities of the Montreal, Maine &amp; Atlantic Railroad ("MM&amp;A"). Subsequent to the purchase, MM&amp;A was renamed the Central Maine &amp; Quebec Railroad ("CMQR").</w:t>
      </w:r>
    </w:p>
    <w:p>
      <w:pPr>
        <w:spacing w:after="0" w:line="6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CMQR is a 480-mile Class III railroad that runs from Montreal to the east coast of Maine, primarily transporting pulp and paper, construction products and chemicals. The CMQR offers the most direct route from ports in Montreal and on the east coast of the United States to manufacturers and other customers in Maine and Quebec. We believe that CMQR represents an investment in critical infrastructure with a captive customer base at an attractive valuation and significant growth potential. Following the acquisition close in June 2014, we put in place a new management team composed of a number of former RailAmerica, Inc. executives, including John Giles, the former CEO of RailAmerica, Inc.</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Leasing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Aviation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our Aviation Leasing segment, we own and manage 92 aviation assets, including 26 aircraft and 66 commercial jet engines.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December 31, 2016, 24 of our commercial aircraft and 46 of our jet engines were leased to operators or other third parties. Aviation assets currently off lease are either undergoing repair and/or maintenance, being prepared to go on lease or held in short term storage awaiting a future lease. Our aviation equipment was approximately 85% utilized as of December 31, 2016, based on the equity value of our on-hire leasing equipment as a percentage of the total equity value of our aviation leasing equipment. Our aircraft currently have a weighted average remaining lease term of 31 months, and our jet engines currently on-lease have an average remaining lease term of 12 months. The table below provides additional information on the assets in our Aviation Leasing segment: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00497F"/>
            </w:tcBorders>
            <w:shd w:val="clear" w:color="auto" w:fill="00497F"/>
          </w:tcPr>
          <w:p>
            <w:pPr>
              <w:spacing w:after="0"/>
              <w:rPr>
                <w:sz w:val="21"/>
                <w:szCs w:val="21"/>
                <w:color w:val="auto"/>
              </w:rPr>
            </w:pPr>
          </w:p>
        </w:tc>
        <w:tc>
          <w:tcPr>
            <w:tcW w:w="5780" w:type="dxa"/>
            <w:vAlign w:val="bottom"/>
            <w:tcBorders>
              <w:bottom w:val="single" w:sz="8" w:color="00497F"/>
            </w:tcBorders>
            <w:gridSpan w:val="3"/>
            <w:shd w:val="clear" w:color="auto" w:fill="00497F"/>
          </w:tcPr>
          <w:p>
            <w:pPr>
              <w:spacing w:after="0"/>
              <w:rPr>
                <w:sz w:val="20"/>
                <w:szCs w:val="20"/>
                <w:color w:val="auto"/>
              </w:rPr>
            </w:pPr>
            <w:r>
              <w:rPr>
                <w:rFonts w:ascii="Arial" w:cs="Arial" w:eastAsia="Arial" w:hAnsi="Arial"/>
                <w:sz w:val="18"/>
                <w:szCs w:val="18"/>
                <w:b w:val="1"/>
                <w:bCs w:val="1"/>
                <w:color w:val="FFFFFF"/>
                <w:shd w:val="clear" w:color="auto" w:fill="00497F"/>
              </w:rPr>
              <w:t>Aviation Assets</w:t>
            </w:r>
          </w:p>
        </w:tc>
        <w:tc>
          <w:tcPr>
            <w:tcW w:w="1360" w:type="dxa"/>
            <w:vAlign w:val="bottom"/>
            <w:tcBorders>
              <w:bottom w:val="single" w:sz="8" w:color="00497F"/>
            </w:tcBorders>
            <w:shd w:val="clear" w:color="auto" w:fill="00497F"/>
          </w:tcPr>
          <w:p>
            <w:pPr>
              <w:ind w:left="480"/>
              <w:spacing w:after="0"/>
              <w:rPr>
                <w:sz w:val="20"/>
                <w:szCs w:val="20"/>
                <w:color w:val="auto"/>
              </w:rPr>
            </w:pPr>
            <w:r>
              <w:rPr>
                <w:rFonts w:ascii="Arial" w:cs="Arial" w:eastAsia="Arial" w:hAnsi="Arial"/>
                <w:sz w:val="18"/>
                <w:szCs w:val="18"/>
                <w:b w:val="1"/>
                <w:bCs w:val="1"/>
                <w:color w:val="FFFFFF"/>
                <w:w w:val="99"/>
              </w:rPr>
              <w:t>Widebody</w:t>
            </w:r>
          </w:p>
        </w:tc>
        <w:tc>
          <w:tcPr>
            <w:tcW w:w="380" w:type="dxa"/>
            <w:vAlign w:val="bottom"/>
            <w:tcBorders>
              <w:bottom w:val="single" w:sz="8" w:color="00497F"/>
            </w:tcBorders>
            <w:shd w:val="clear" w:color="auto" w:fill="00497F"/>
          </w:tcPr>
          <w:p>
            <w:pPr>
              <w:spacing w:after="0"/>
              <w:rPr>
                <w:sz w:val="21"/>
                <w:szCs w:val="21"/>
                <w:color w:val="auto"/>
              </w:rPr>
            </w:pPr>
          </w:p>
        </w:tc>
        <w:tc>
          <w:tcPr>
            <w:tcW w:w="120" w:type="dxa"/>
            <w:vAlign w:val="bottom"/>
            <w:tcBorders>
              <w:bottom w:val="single" w:sz="8" w:color="00497F"/>
            </w:tcBorders>
            <w:shd w:val="clear" w:color="auto" w:fill="00497F"/>
          </w:tcPr>
          <w:p>
            <w:pPr>
              <w:spacing w:after="0"/>
              <w:rPr>
                <w:sz w:val="21"/>
                <w:szCs w:val="21"/>
                <w:color w:val="auto"/>
              </w:rPr>
            </w:pPr>
          </w:p>
        </w:tc>
        <w:tc>
          <w:tcPr>
            <w:tcW w:w="1460" w:type="dxa"/>
            <w:vAlign w:val="bottom"/>
            <w:tcBorders>
              <w:bottom w:val="single" w:sz="8" w:color="00497F"/>
            </w:tcBorders>
            <w:shd w:val="clear" w:color="auto" w:fill="00497F"/>
          </w:tcPr>
          <w:p>
            <w:pPr>
              <w:ind w:left="420"/>
              <w:spacing w:after="0"/>
              <w:rPr>
                <w:sz w:val="20"/>
                <w:szCs w:val="20"/>
                <w:color w:val="auto"/>
              </w:rPr>
            </w:pPr>
            <w:r>
              <w:rPr>
                <w:rFonts w:ascii="Arial" w:cs="Arial" w:eastAsia="Arial" w:hAnsi="Arial"/>
                <w:sz w:val="18"/>
                <w:szCs w:val="18"/>
                <w:b w:val="1"/>
                <w:bCs w:val="1"/>
                <w:color w:val="FFFFFF"/>
                <w:w w:val="97"/>
              </w:rPr>
              <w:t>Narrowbody</w:t>
            </w:r>
          </w:p>
        </w:tc>
        <w:tc>
          <w:tcPr>
            <w:tcW w:w="360" w:type="dxa"/>
            <w:vAlign w:val="bottom"/>
            <w:tcBorders>
              <w:bottom w:val="single" w:sz="8" w:color="00497F"/>
            </w:tcBorders>
            <w:shd w:val="clear" w:color="auto" w:fill="00497F"/>
          </w:tcPr>
          <w:p>
            <w:pPr>
              <w:spacing w:after="0"/>
              <w:rPr>
                <w:sz w:val="21"/>
                <w:szCs w:val="21"/>
                <w:color w:val="auto"/>
              </w:rPr>
            </w:pPr>
          </w:p>
        </w:tc>
        <w:tc>
          <w:tcPr>
            <w:tcW w:w="120" w:type="dxa"/>
            <w:vAlign w:val="bottom"/>
            <w:tcBorders>
              <w:bottom w:val="single" w:sz="8" w:color="00497F"/>
            </w:tcBorders>
            <w:shd w:val="clear" w:color="auto" w:fill="00497F"/>
          </w:tcPr>
          <w:p>
            <w:pPr>
              <w:spacing w:after="0"/>
              <w:rPr>
                <w:sz w:val="21"/>
                <w:szCs w:val="21"/>
                <w:color w:val="auto"/>
              </w:rPr>
            </w:pPr>
          </w:p>
        </w:tc>
        <w:tc>
          <w:tcPr>
            <w:tcW w:w="1800" w:type="dxa"/>
            <w:vAlign w:val="bottom"/>
            <w:tcBorders>
              <w:bottom w:val="single" w:sz="8" w:color="00497F"/>
            </w:tcBorders>
            <w:shd w:val="clear" w:color="auto" w:fill="00497F"/>
          </w:tcPr>
          <w:p>
            <w:pPr>
              <w:jc w:val="right"/>
              <w:ind w:right="61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780" w:type="dxa"/>
            <w:vAlign w:val="bottom"/>
            <w:gridSpan w:val="3"/>
          </w:tcPr>
          <w:p>
            <w:pPr>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136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4"/>
                <w:szCs w:val="24"/>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1360" w:type="dxa"/>
            <w:vAlign w:val="bottom"/>
          </w:tcPr>
          <w:p>
            <w:pPr>
              <w:spacing w:after="0"/>
              <w:rPr>
                <w:sz w:val="23"/>
                <w:szCs w:val="23"/>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1360" w:type="dxa"/>
            <w:vAlign w:val="bottom"/>
          </w:tcPr>
          <w:p>
            <w:pPr>
              <w:spacing w:after="0"/>
              <w:rPr>
                <w:sz w:val="23"/>
                <w:szCs w:val="23"/>
                <w:color w:val="auto"/>
              </w:rPr>
            </w:pPr>
          </w:p>
        </w:tc>
        <w:tc>
          <w:tcPr>
            <w:tcW w:w="1960" w:type="dxa"/>
            <w:vAlign w:val="bottom"/>
            <w:gridSpan w:val="3"/>
          </w:tcPr>
          <w:p>
            <w:pPr>
              <w:jc w:val="right"/>
              <w:ind w:right="16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Assets at December 31, 2016</w:t>
            </w:r>
          </w:p>
        </w:tc>
        <w:tc>
          <w:tcPr>
            <w:tcW w:w="136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85"/>
              </w:rPr>
              <w:t>Jet Engines</w:t>
            </w:r>
          </w:p>
        </w:tc>
        <w:tc>
          <w:tcPr>
            <w:tcW w:w="4900" w:type="dxa"/>
            <w:vAlign w:val="bottom"/>
            <w:vMerge w:val="restart"/>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40" w:type="dxa"/>
            <w:vAlign w:val="bottom"/>
          </w:tcPr>
          <w:p>
            <w:pPr>
              <w:spacing w:after="0"/>
              <w:rPr>
                <w:sz w:val="24"/>
                <w:szCs w:val="24"/>
                <w:color w:val="auto"/>
              </w:rPr>
            </w:pPr>
          </w:p>
        </w:tc>
        <w:tc>
          <w:tcPr>
            <w:tcW w:w="880" w:type="dxa"/>
            <w:vAlign w:val="bottom"/>
            <w:tcBorders>
              <w:bottom w:val="single" w:sz="8" w:color="auto"/>
            </w:tcBorders>
            <w:gridSpan w:val="2"/>
            <w:vMerge w:val="continue"/>
          </w:tcPr>
          <w:p>
            <w:pPr>
              <w:spacing w:after="0"/>
              <w:rPr>
                <w:sz w:val="24"/>
                <w:szCs w:val="24"/>
                <w:color w:val="auto"/>
              </w:rPr>
            </w:pPr>
          </w:p>
        </w:tc>
        <w:tc>
          <w:tcPr>
            <w:tcW w:w="49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1360" w:type="dxa"/>
            <w:vAlign w:val="bottom"/>
          </w:tcPr>
          <w:p>
            <w:pPr>
              <w:spacing w:after="0"/>
              <w:rPr>
                <w:sz w:val="24"/>
                <w:szCs w:val="24"/>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4"/>
                <w:szCs w:val="24"/>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1360" w:type="dxa"/>
            <w:vAlign w:val="bottom"/>
          </w:tcPr>
          <w:p>
            <w:pPr>
              <w:spacing w:after="0"/>
              <w:rPr>
                <w:sz w:val="23"/>
                <w:szCs w:val="23"/>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1360" w:type="dxa"/>
            <w:vAlign w:val="bottom"/>
          </w:tcPr>
          <w:p>
            <w:pPr>
              <w:spacing w:after="0"/>
              <w:rPr>
                <w:sz w:val="23"/>
                <w:szCs w:val="23"/>
                <w:color w:val="auto"/>
              </w:rPr>
            </w:pPr>
          </w:p>
        </w:tc>
        <w:tc>
          <w:tcPr>
            <w:tcW w:w="1960" w:type="dxa"/>
            <w:vAlign w:val="bottom"/>
            <w:gridSpan w:val="3"/>
          </w:tcPr>
          <w:p>
            <w:pPr>
              <w:jc w:val="right"/>
              <w:ind w:right="161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Assets at December 31, 2016</w:t>
            </w:r>
          </w:p>
        </w:tc>
        <w:tc>
          <w:tcPr>
            <w:tcW w:w="136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Offshore Energy</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own one Anchor Handling Towing Supply ("AHTS") vessel, one construction support vessel, and one Remote Operated Vehicle ("ROV") support vessel. We seek to lease our assets in our Offshore Energy segment on medium to long-term charters. Depending upon the charter, the charterer may assume the operating expense and utilization risk. The AHTS vessel is a 2010-built DP-1, 5,150 bhp vessel used in the offshore oil and gas industry. The AHTS vessel was built by Guangzhou Panyu Lingshan Shipyard Ltd. in China and is designed to provide support services to offshore platforms, rigs and larger construction vessels. The AHTS vessel has accommodation for 30 personnel and is equipped with an advanced firefighting system and rescue boat to provide standby / emergency rescue services and a winch with total bollard pull of 68.5 tons. The AHTS vessel is subject to a 10-year direct finance lease with a local Mexican operator. We own 100% of the AHTS vessel and our finance lease will expire in November 2023. The AHTS vessel is currently unlevered.</w:t>
      </w:r>
    </w:p>
    <w:p>
      <w:pPr>
        <w:spacing w:after="0" w:line="5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construction support vessel is a 2014-built subsea construction support vessel for the SURF (subsea, umbilicals, risers, and flowlines), IMR, and Pipelay markets. The construction support vessel was built at Davie Shipyard in Quebec, Canada and is designed to provide a range of services including flexible and small-diameter rigid pipelay, cable lay, saturation diving, ROV support, well intervention, top hole drilling and subsea installation. Our construction support vessel has advanced dynamic positioning (DP-3) systems, a 250-ton subsea crane, a moon pool, 2,000 square meters of open deck space and 100-person accommodation. The construction support vessel is approximately 40% levered as of December 31, 2016.</w:t>
      </w:r>
    </w:p>
    <w:p>
      <w:pPr>
        <w:spacing w:after="0" w:line="64" w:lineRule="exact"/>
        <w:rPr>
          <w:sz w:val="20"/>
          <w:szCs w:val="20"/>
          <w:color w:val="auto"/>
        </w:rPr>
      </w:pPr>
    </w:p>
    <w:p>
      <w:pPr>
        <w:jc w:val="both"/>
        <w:ind w:firstLine="532"/>
        <w:spacing w:after="0" w:line="297" w:lineRule="auto"/>
        <w:rPr>
          <w:sz w:val="20"/>
          <w:szCs w:val="20"/>
          <w:color w:val="auto"/>
        </w:rPr>
      </w:pPr>
      <w:r>
        <w:rPr>
          <w:rFonts w:ascii="Arial" w:cs="Arial" w:eastAsia="Arial" w:hAnsi="Arial"/>
          <w:sz w:val="16"/>
          <w:szCs w:val="16"/>
          <w:color w:val="auto"/>
        </w:rPr>
        <w:t>Our ROV support vessel is a 2011-built DP-2, 6,000 bhp ROV support vessel that is used in the offshore oil and gas industry. The ROV support vessel was built by Jaya Holdings at their yard in Batam, Indonesia and is designed to provide construction support services including ROV support, dive support, accommodation and subsea and platform lifts. The ROV support vessel has accommodation for 120 personnel, a moon pool, a 50-ton crane, and can carry up to three ROVs. The ROV support vessel was subject to a bareboat charter through October 2016 with a local Malaysian operator, who in turn leased the vessel to major oil companies in that region. We own 85% of the vessel. The ROV support vessel is currently unlevered.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The chart below describes the assets in our Offshore Energy segment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54875" cy="2135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4875" cy="2135505"/>
                    </a:xfrm>
                    <a:prstGeom prst="rect">
                      <a:avLst/>
                    </a:prstGeom>
                    <a:noFill/>
                  </pic:spPr>
                </pic:pic>
              </a:graphicData>
            </a:graphic>
          </wp:anchor>
        </w:drawing>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6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0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5"/>
              </w:rPr>
              <w:t>Year Built</w:t>
            </w:r>
          </w:p>
        </w:tc>
        <w:tc>
          <w:tcPr>
            <w:tcW w:w="3880" w:type="dxa"/>
            <w:vAlign w:val="bottom"/>
            <w:tcBorders>
              <w:top w:val="single" w:sz="8" w:color="auto"/>
              <w:bottom w:val="single" w:sz="8" w:color="D8D8D8"/>
              <w:right w:val="single" w:sz="8" w:color="auto"/>
            </w:tcBorders>
            <w:shd w:val="clear" w:color="auto" w:fill="D8D8D8"/>
          </w:tcPr>
          <w:p>
            <w:pPr>
              <w:ind w:left="1540"/>
              <w:spacing w:after="0"/>
              <w:rPr>
                <w:sz w:val="20"/>
                <w:szCs w:val="20"/>
                <w:color w:val="auto"/>
              </w:rPr>
            </w:pPr>
            <w:r>
              <w:rPr>
                <w:rFonts w:ascii="Arial" w:cs="Arial" w:eastAsia="Arial" w:hAnsi="Arial"/>
                <w:sz w:val="16"/>
                <w:szCs w:val="16"/>
                <w:color w:val="auto"/>
              </w:rPr>
              <w:t>Description</w:t>
            </w:r>
          </w:p>
        </w:tc>
        <w:tc>
          <w:tcPr>
            <w:tcW w:w="1920" w:type="dxa"/>
            <w:vAlign w:val="bottom"/>
            <w:tcBorders>
              <w:top w:val="single" w:sz="8" w:color="auto"/>
              <w:bottom w:val="single" w:sz="8" w:color="D8D8D8"/>
              <w:right w:val="single" w:sz="8" w:color="auto"/>
            </w:tcBorders>
            <w:shd w:val="clear" w:color="auto" w:fill="D8D8D8"/>
          </w:tcPr>
          <w:p>
            <w:pPr>
              <w:ind w:left="400"/>
              <w:spacing w:after="0"/>
              <w:rPr>
                <w:sz w:val="20"/>
                <w:szCs w:val="20"/>
                <w:color w:val="auto"/>
              </w:rPr>
            </w:pPr>
            <w:r>
              <w:rPr>
                <w:rFonts w:ascii="Arial" w:cs="Arial" w:eastAsia="Arial" w:hAnsi="Arial"/>
                <w:sz w:val="16"/>
                <w:szCs w:val="16"/>
                <w:color w:val="auto"/>
              </w:rPr>
              <w:t>Lease Expiration</w:t>
            </w:r>
          </w:p>
        </w:tc>
        <w:tc>
          <w:tcPr>
            <w:tcW w:w="1920" w:type="dxa"/>
            <w:vAlign w:val="bottom"/>
            <w:tcBorders>
              <w:top w:val="single" w:sz="8" w:color="auto"/>
              <w:bottom w:val="single" w:sz="8" w:color="D8D8D8"/>
            </w:tcBorders>
            <w:shd w:val="clear" w:color="auto" w:fill="D8D8D8"/>
          </w:tcPr>
          <w:p>
            <w:pPr>
              <w:ind w:left="22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6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AHTS Vessel</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8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Anchor handling</w:t>
            </w:r>
          </w:p>
        </w:tc>
        <w:tc>
          <w:tcPr>
            <w:tcW w:w="19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2023</w:t>
            </w: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Borders>
              <w:top w:val="single" w:sz="8" w:color="auto"/>
            </w:tcBorders>
          </w:tcPr>
          <w:p>
            <w:pPr>
              <w:spacing w:after="0"/>
              <w:rPr>
                <w:sz w:val="19"/>
                <w:szCs w:val="19"/>
                <w:color w:val="auto"/>
              </w:rPr>
            </w:pPr>
          </w:p>
        </w:tc>
      </w:tr>
      <w:tr>
        <w:trPr>
          <w:trHeight w:val="216"/>
        </w:trPr>
        <w:tc>
          <w:tcPr>
            <w:tcW w:w="26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tug supply vessel with</w:t>
            </w:r>
          </w:p>
        </w:tc>
        <w:tc>
          <w:tcPr>
            <w:tcW w:w="19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30 personnel</w:t>
            </w:r>
          </w:p>
        </w:tc>
        <w:tc>
          <w:tcPr>
            <w:tcW w:w="19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a total bollard pull of 68.5 tons</w:t>
            </w:r>
          </w:p>
        </w:tc>
        <w:tc>
          <w:tcPr>
            <w:tcW w:w="192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6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6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7"/>
              </w:rPr>
              <w:t>DP-3 construction support and well intervention</w:t>
            </w:r>
          </w:p>
        </w:tc>
        <w:tc>
          <w:tcPr>
            <w:tcW w:w="1920" w:type="dxa"/>
            <w:vAlign w:val="bottom"/>
            <w:tcBorders>
              <w:right w:val="single" w:sz="8" w:color="auto"/>
            </w:tcBorders>
          </w:tcPr>
          <w:p>
            <w:pPr>
              <w:ind w:left="160"/>
              <w:spacing w:after="0" w:line="222" w:lineRule="exact"/>
              <w:rPr>
                <w:sz w:val="20"/>
                <w:szCs w:val="20"/>
                <w:color w:val="auto"/>
              </w:rPr>
            </w:pPr>
            <w:r>
              <w:rPr>
                <w:rFonts w:ascii="Arial" w:cs="Arial" w:eastAsia="Arial" w:hAnsi="Arial"/>
                <w:sz w:val="18"/>
                <w:szCs w:val="18"/>
                <w:color w:val="auto"/>
              </w:rPr>
              <w:t>Off-lease</w:t>
            </w:r>
            <w:r>
              <w:rPr>
                <w:rFonts w:ascii="Arial" w:cs="Arial" w:eastAsia="Arial" w:hAnsi="Arial"/>
                <w:sz w:val="25"/>
                <w:szCs w:val="25"/>
                <w:color w:val="auto"/>
                <w:vertAlign w:val="superscript"/>
              </w:rPr>
              <w:t>(1)</w:t>
            </w:r>
          </w:p>
        </w:tc>
        <w:tc>
          <w:tcPr>
            <w:tcW w:w="19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6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vessel with</w:t>
            </w:r>
          </w:p>
        </w:tc>
        <w:tc>
          <w:tcPr>
            <w:tcW w:w="19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89"/>
              </w:rPr>
              <w:t>250-ton main crane, 2,000 square meter open deck</w:t>
            </w:r>
          </w:p>
        </w:tc>
        <w:tc>
          <w:tcPr>
            <w:tcW w:w="19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6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space, moon pool and accommodation for 100</w:t>
            </w:r>
          </w:p>
        </w:tc>
        <w:tc>
          <w:tcPr>
            <w:tcW w:w="19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personnel</w:t>
            </w:r>
          </w:p>
        </w:tc>
        <w:tc>
          <w:tcPr>
            <w:tcW w:w="192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6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6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DP-2 dive and ROV support vessel with 50-ton</w:t>
            </w:r>
          </w:p>
        </w:tc>
        <w:tc>
          <w:tcPr>
            <w:tcW w:w="1920" w:type="dxa"/>
            <w:vAlign w:val="bottom"/>
            <w:tcBorders>
              <w:right w:val="single" w:sz="8" w:color="auto"/>
            </w:tcBorders>
          </w:tcPr>
          <w:p>
            <w:pPr>
              <w:ind w:left="160"/>
              <w:spacing w:after="0" w:line="222" w:lineRule="exact"/>
              <w:rPr>
                <w:sz w:val="20"/>
                <w:szCs w:val="20"/>
                <w:color w:val="auto"/>
              </w:rPr>
            </w:pPr>
            <w:r>
              <w:rPr>
                <w:rFonts w:ascii="Arial" w:cs="Arial" w:eastAsia="Arial" w:hAnsi="Arial"/>
                <w:sz w:val="18"/>
                <w:szCs w:val="18"/>
                <w:color w:val="auto"/>
              </w:rPr>
              <w:t>Off-lease</w:t>
            </w:r>
            <w:r>
              <w:rPr>
                <w:rFonts w:ascii="Arial" w:cs="Arial" w:eastAsia="Arial" w:hAnsi="Arial"/>
                <w:sz w:val="25"/>
                <w:szCs w:val="25"/>
                <w:color w:val="auto"/>
                <w:vertAlign w:val="superscript"/>
              </w:rPr>
              <w:t>(2)</w:t>
            </w: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9"/>
                <w:szCs w:val="19"/>
                <w:color w:val="auto"/>
              </w:rPr>
            </w:pPr>
          </w:p>
        </w:tc>
      </w:tr>
      <w:tr>
        <w:trPr>
          <w:trHeight w:val="216"/>
        </w:trPr>
        <w:tc>
          <w:tcPr>
            <w:tcW w:w="266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crane, moon pool and accommodation for 120</w:t>
            </w:r>
          </w:p>
        </w:tc>
        <w:tc>
          <w:tcPr>
            <w:tcW w:w="192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60" w:type="dxa"/>
            <w:vAlign w:val="bottom"/>
            <w:tcBorders>
              <w:right w:val="single" w:sz="8" w:color="auto"/>
            </w:tcBorders>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38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personnel</w:t>
            </w:r>
          </w:p>
        </w:tc>
        <w:tc>
          <w:tcPr>
            <w:tcW w:w="1920" w:type="dxa"/>
            <w:vAlign w:val="bottom"/>
            <w:tcBorders>
              <w:right w:val="single" w:sz="8" w:color="auto"/>
            </w:tcBorders>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66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38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16"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On September 3, 2016, the vessel went off-lease, and we are actively pursuing a new charter.</w:t>
      </w:r>
    </w:p>
    <w:p>
      <w:pPr>
        <w:spacing w:after="0" w:line="36" w:lineRule="exact"/>
        <w:rPr>
          <w:rFonts w:ascii="Arial" w:cs="Arial" w:eastAsia="Arial" w:hAnsi="Arial"/>
          <w:sz w:val="16"/>
          <w:szCs w:val="16"/>
          <w:color w:val="auto"/>
          <w:vertAlign w:val="superscript"/>
        </w:rPr>
      </w:pPr>
    </w:p>
    <w:p>
      <w:pPr>
        <w:ind w:left="140" w:hanging="132"/>
        <w:spacing w:after="0" w:line="234" w:lineRule="auto"/>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On October 30, 2016, the vessel went off-lease, and we are actively pursuing a new charter.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Transport</w:t>
      </w:r>
    </w:p>
    <w:p>
      <w:pPr>
        <w:spacing w:after="0" w:line="117"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We own, through a joint venture, a 51% interest in a portfolio of approximately 76,000 maritime shipping containers, including both dry and refrigerated units. The containers in this portfolio are subject to operating leases with a large Asian shipping line and finance leases with four other container shipping lines. As of December 31, 2016, approximately 67,000 containers were on lease with the remaining average lease term of approximately one year.</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chart below describes the assets in our Shipping Containers segment as of December 31, 2016:</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660" w:type="dxa"/>
            <w:vAlign w:val="bottom"/>
            <w:tcBorders>
              <w:left w:val="single" w:sz="8" w:color="auto"/>
              <w:bottom w:val="single" w:sz="8" w:color="auto"/>
              <w:right w:val="single" w:sz="8" w:color="00497F"/>
            </w:tcBorders>
            <w:shd w:val="clear" w:color="auto" w:fill="00497F"/>
          </w:tcPr>
          <w:p>
            <w:pPr>
              <w:ind w:left="180"/>
              <w:spacing w:after="0"/>
              <w:rPr>
                <w:sz w:val="20"/>
                <w:szCs w:val="20"/>
                <w:color w:val="auto"/>
              </w:rPr>
            </w:pPr>
            <w:r>
              <w:rPr>
                <w:rFonts w:ascii="Arial" w:cs="Arial" w:eastAsia="Arial" w:hAnsi="Arial"/>
                <w:sz w:val="18"/>
                <w:szCs w:val="18"/>
                <w:b w:val="1"/>
                <w:bCs w:val="1"/>
                <w:color w:val="FFFFFF"/>
              </w:rPr>
              <w:t>Shipping Containers Assets</w:t>
            </w:r>
          </w:p>
        </w:tc>
        <w:tc>
          <w:tcPr>
            <w:tcW w:w="1600" w:type="dxa"/>
            <w:vAlign w:val="bottom"/>
            <w:tcBorders>
              <w:bottom w:val="single" w:sz="8" w:color="auto"/>
              <w:right w:val="single" w:sz="8" w:color="00497F"/>
            </w:tcBorders>
            <w:shd w:val="clear" w:color="auto" w:fill="00497F"/>
          </w:tcPr>
          <w:p>
            <w:pPr>
              <w:spacing w:after="0"/>
              <w:rPr>
                <w:sz w:val="22"/>
                <w:szCs w:val="22"/>
                <w:color w:val="auto"/>
              </w:rPr>
            </w:pPr>
          </w:p>
        </w:tc>
        <w:tc>
          <w:tcPr>
            <w:tcW w:w="1380" w:type="dxa"/>
            <w:vAlign w:val="bottom"/>
            <w:tcBorders>
              <w:bottom w:val="single" w:sz="8" w:color="auto"/>
              <w:right w:val="single" w:sz="8" w:color="00497F"/>
            </w:tcBorders>
            <w:shd w:val="clear" w:color="auto" w:fill="00497F"/>
          </w:tcPr>
          <w:p>
            <w:pPr>
              <w:spacing w:after="0"/>
              <w:rPr>
                <w:sz w:val="22"/>
                <w:szCs w:val="22"/>
                <w:color w:val="auto"/>
              </w:rPr>
            </w:pPr>
          </w:p>
        </w:tc>
        <w:tc>
          <w:tcPr>
            <w:tcW w:w="1940" w:type="dxa"/>
            <w:vAlign w:val="bottom"/>
            <w:tcBorders>
              <w:bottom w:val="single" w:sz="8" w:color="auto"/>
              <w:right w:val="single" w:sz="8" w:color="00497F"/>
            </w:tcBorders>
            <w:shd w:val="clear" w:color="auto" w:fill="00497F"/>
          </w:tcPr>
          <w:p>
            <w:pPr>
              <w:spacing w:after="0"/>
              <w:rPr>
                <w:sz w:val="22"/>
                <w:szCs w:val="22"/>
                <w:color w:val="auto"/>
              </w:rPr>
            </w:pPr>
          </w:p>
        </w:tc>
        <w:tc>
          <w:tcPr>
            <w:tcW w:w="1920" w:type="dxa"/>
            <w:vAlign w:val="bottom"/>
            <w:tcBorders>
              <w:bottom w:val="single" w:sz="8" w:color="auto"/>
              <w:right w:val="single" w:sz="8" w:color="00497F"/>
            </w:tcBorders>
            <w:shd w:val="clear" w:color="auto" w:fill="00497F"/>
          </w:tcPr>
          <w:p>
            <w:pPr>
              <w:spacing w:after="0"/>
              <w:rPr>
                <w:sz w:val="22"/>
                <w:szCs w:val="22"/>
                <w:color w:val="auto"/>
              </w:rPr>
            </w:pPr>
          </w:p>
        </w:tc>
        <w:tc>
          <w:tcPr>
            <w:tcW w:w="1940" w:type="dxa"/>
            <w:vAlign w:val="bottom"/>
            <w:tcBorders>
              <w:bottom w:val="single" w:sz="8" w:color="auto"/>
              <w:right w:val="single" w:sz="8" w:color="auto"/>
            </w:tcBorders>
            <w:shd w:val="clear" w:color="auto" w:fill="00497F"/>
          </w:tcPr>
          <w:p>
            <w:pPr>
              <w:spacing w:after="0"/>
              <w:rPr>
                <w:sz w:val="22"/>
                <w:szCs w:val="22"/>
                <w:color w:val="auto"/>
              </w:rPr>
            </w:pPr>
          </w:p>
        </w:tc>
      </w:tr>
      <w:tr>
        <w:trPr>
          <w:trHeight w:val="262"/>
        </w:trPr>
        <w:tc>
          <w:tcPr>
            <w:tcW w:w="2660" w:type="dxa"/>
            <w:vAlign w:val="bottom"/>
            <w:tcBorders>
              <w:left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 of Containers</w:t>
            </w:r>
          </w:p>
        </w:tc>
        <w:tc>
          <w:tcPr>
            <w:tcW w:w="1600" w:type="dxa"/>
            <w:vAlign w:val="bottom"/>
            <w:tcBorders>
              <w:bottom w:val="single" w:sz="8" w:color="D8D8D8"/>
              <w:right w:val="single" w:sz="8" w:color="auto"/>
            </w:tcBorders>
            <w:shd w:val="clear" w:color="auto" w:fill="D8D8D8"/>
          </w:tcPr>
          <w:p>
            <w:pPr>
              <w:ind w:left="640"/>
              <w:spacing w:after="0"/>
              <w:rPr>
                <w:sz w:val="20"/>
                <w:szCs w:val="20"/>
                <w:color w:val="auto"/>
              </w:rPr>
            </w:pPr>
            <w:r>
              <w:rPr>
                <w:rFonts w:ascii="Arial" w:cs="Arial" w:eastAsia="Arial" w:hAnsi="Arial"/>
                <w:sz w:val="16"/>
                <w:szCs w:val="16"/>
                <w:color w:val="auto"/>
              </w:rPr>
              <w:t>Type</w:t>
            </w:r>
          </w:p>
        </w:tc>
        <w:tc>
          <w:tcPr>
            <w:tcW w:w="1380" w:type="dxa"/>
            <w:vAlign w:val="bottom"/>
            <w:tcBorders>
              <w:bottom w:val="single" w:sz="8" w:color="D8D8D8"/>
              <w:right w:val="single" w:sz="8" w:color="auto"/>
            </w:tcBorders>
            <w:shd w:val="clear" w:color="auto" w:fill="D8D8D8"/>
          </w:tcPr>
          <w:p>
            <w:pPr>
              <w:ind w:left="260"/>
              <w:spacing w:after="0"/>
              <w:rPr>
                <w:sz w:val="20"/>
                <w:szCs w:val="20"/>
                <w:color w:val="auto"/>
              </w:rPr>
            </w:pPr>
            <w:r>
              <w:rPr>
                <w:rFonts w:ascii="Arial" w:cs="Arial" w:eastAsia="Arial" w:hAnsi="Arial"/>
                <w:sz w:val="16"/>
                <w:szCs w:val="16"/>
                <w:color w:val="auto"/>
              </w:rPr>
              <w:t>Average Age</w:t>
            </w:r>
          </w:p>
        </w:tc>
        <w:tc>
          <w:tcPr>
            <w:tcW w:w="1940" w:type="dxa"/>
            <w:vAlign w:val="bottom"/>
            <w:tcBorders>
              <w:bottom w:val="single" w:sz="8" w:color="D8D8D8"/>
              <w:right w:val="single" w:sz="8" w:color="auto"/>
            </w:tcBorders>
            <w:shd w:val="clear" w:color="auto" w:fill="D8D8D8"/>
          </w:tcPr>
          <w:p>
            <w:pPr>
              <w:ind w:left="580"/>
              <w:spacing w:after="0"/>
              <w:rPr>
                <w:sz w:val="20"/>
                <w:szCs w:val="20"/>
                <w:color w:val="auto"/>
              </w:rPr>
            </w:pPr>
            <w:r>
              <w:rPr>
                <w:rFonts w:ascii="Arial" w:cs="Arial" w:eastAsia="Arial" w:hAnsi="Arial"/>
                <w:sz w:val="16"/>
                <w:szCs w:val="16"/>
                <w:color w:val="auto"/>
              </w:rPr>
              <w:t>Lease Type</w:t>
            </w:r>
          </w:p>
        </w:tc>
        <w:tc>
          <w:tcPr>
            <w:tcW w:w="1920" w:type="dxa"/>
            <w:vAlign w:val="bottom"/>
            <w:tcBorders>
              <w:bottom w:val="single" w:sz="8" w:color="D8D8D8"/>
              <w:right w:val="single" w:sz="8" w:color="auto"/>
            </w:tcBorders>
            <w:shd w:val="clear" w:color="auto" w:fill="D8D8D8"/>
          </w:tcPr>
          <w:p>
            <w:pPr>
              <w:ind w:left="480"/>
              <w:spacing w:after="0"/>
              <w:rPr>
                <w:sz w:val="20"/>
                <w:szCs w:val="20"/>
                <w:color w:val="auto"/>
              </w:rPr>
            </w:pPr>
            <w:r>
              <w:rPr>
                <w:rFonts w:ascii="Arial" w:cs="Arial" w:eastAsia="Arial" w:hAnsi="Arial"/>
                <w:sz w:val="16"/>
                <w:szCs w:val="16"/>
                <w:color w:val="auto"/>
              </w:rPr>
              <w:t>Customer Mix</w:t>
            </w:r>
          </w:p>
        </w:tc>
        <w:tc>
          <w:tcPr>
            <w:tcW w:w="1940" w:type="dxa"/>
            <w:vAlign w:val="bottom"/>
            <w:tcBorders>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4"/>
              </w:rPr>
              <w:t>Economic Interest (%)</w:t>
            </w:r>
          </w:p>
        </w:tc>
      </w:tr>
      <w:tr>
        <w:trPr>
          <w:trHeight w:val="222"/>
        </w:trPr>
        <w:tc>
          <w:tcPr>
            <w:tcW w:w="266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76,000</w:t>
            </w:r>
          </w:p>
        </w:tc>
        <w:tc>
          <w:tcPr>
            <w:tcW w:w="16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3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 Years</w:t>
            </w:r>
          </w:p>
        </w:tc>
        <w:tc>
          <w:tcPr>
            <w:tcW w:w="19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Direct Finance</w:t>
            </w:r>
          </w:p>
        </w:tc>
        <w:tc>
          <w:tcPr>
            <w:tcW w:w="19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 Customers</w:t>
            </w:r>
          </w:p>
        </w:tc>
        <w:tc>
          <w:tcPr>
            <w:tcW w:w="1940" w:type="dxa"/>
            <w:vAlign w:val="bottom"/>
            <w:tcBorders>
              <w:top w:val="single" w:sz="8" w:color="auto"/>
              <w:right w:val="single" w:sz="8" w:color="auto"/>
            </w:tcBorders>
          </w:tcPr>
          <w:p>
            <w:pPr>
              <w:jc w:val="right"/>
              <w:ind w:right="734"/>
              <w:spacing w:after="0"/>
              <w:rPr>
                <w:sz w:val="20"/>
                <w:szCs w:val="20"/>
                <w:color w:val="auto"/>
              </w:rPr>
            </w:pPr>
            <w:r>
              <w:rPr>
                <w:rFonts w:ascii="Arial" w:cs="Arial" w:eastAsia="Arial" w:hAnsi="Arial"/>
                <w:sz w:val="18"/>
                <w:szCs w:val="18"/>
                <w:color w:val="auto"/>
              </w:rPr>
              <w:t>51%</w:t>
            </w: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Reefer</w:t>
            </w:r>
          </w:p>
        </w:tc>
        <w:tc>
          <w:tcPr>
            <w:tcW w:w="13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Lease/Operating Lease</w:t>
            </w: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3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3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16"/>
        </w:trPr>
        <w:tc>
          <w:tcPr>
            <w:tcW w:w="2660" w:type="dxa"/>
            <w:vAlign w:val="bottom"/>
            <w:tcBorders>
              <w:left w:val="single" w:sz="8" w:color="auto"/>
              <w:right w:val="single" w:sz="8" w:color="auto"/>
            </w:tcBorders>
          </w:tcPr>
          <w:p>
            <w:pPr>
              <w:spacing w:after="0"/>
              <w:rPr>
                <w:sz w:val="18"/>
                <w:szCs w:val="18"/>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Reefer</w:t>
            </w:r>
          </w:p>
        </w:tc>
        <w:tc>
          <w:tcPr>
            <w:tcW w:w="13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r>
      <w:tr>
        <w:trPr>
          <w:trHeight w:val="230"/>
        </w:trPr>
        <w:tc>
          <w:tcPr>
            <w:tcW w:w="2660" w:type="dxa"/>
            <w:vAlign w:val="bottom"/>
            <w:tcBorders>
              <w:left w:val="single" w:sz="8" w:color="auto"/>
              <w:right w:val="single" w:sz="8" w:color="auto"/>
            </w:tcBorders>
          </w:tcPr>
          <w:p>
            <w:pPr>
              <w:spacing w:after="0"/>
              <w:rPr>
                <w:sz w:val="20"/>
                <w:szCs w:val="20"/>
                <w:color w:val="auto"/>
              </w:rPr>
            </w:pPr>
          </w:p>
        </w:tc>
        <w:tc>
          <w:tcPr>
            <w:tcW w:w="16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38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r>
      <w:tr>
        <w:trPr>
          <w:trHeight w:val="27"/>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r>
        <w:trPr>
          <w:trHeight w:val="318"/>
        </w:trPr>
        <w:tc>
          <w:tcPr>
            <w:tcW w:w="2660" w:type="dxa"/>
            <w:vAlign w:val="bottom"/>
          </w:tcPr>
          <w:p>
            <w:pPr>
              <w:spacing w:after="0"/>
              <w:rPr>
                <w:sz w:val="20"/>
                <w:szCs w:val="20"/>
                <w:color w:val="auto"/>
              </w:rPr>
            </w:pPr>
            <w:r>
              <w:rPr>
                <w:rFonts w:ascii="Arial" w:cs="Arial" w:eastAsia="Arial" w:hAnsi="Arial"/>
                <w:sz w:val="18"/>
                <w:szCs w:val="18"/>
                <w:b w:val="1"/>
                <w:bCs w:val="1"/>
                <w:color w:val="auto"/>
              </w:rPr>
              <w:t>Asset Management</w:t>
            </w:r>
          </w:p>
        </w:tc>
        <w:tc>
          <w:tcPr>
            <w:tcW w:w="1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94" w:lineRule="exact"/>
        <w:rPr>
          <w:sz w:val="20"/>
          <w:szCs w:val="20"/>
          <w:color w:val="auto"/>
        </w:rPr>
      </w:pPr>
    </w:p>
    <w:p>
      <w:pPr>
        <w:jc w:val="both"/>
        <w:ind w:right="20" w:firstLine="486"/>
        <w:spacing w:after="0" w:line="276" w:lineRule="auto"/>
        <w:rPr>
          <w:sz w:val="20"/>
          <w:szCs w:val="20"/>
          <w:color w:val="auto"/>
        </w:rPr>
      </w:pPr>
      <w:r>
        <w:rPr>
          <w:rFonts w:ascii="Arial" w:cs="Arial" w:eastAsia="Arial" w:hAnsi="Arial"/>
          <w:sz w:val="17"/>
          <w:szCs w:val="17"/>
          <w:color w:val="auto"/>
        </w:rPr>
        <w:t>Our Manager actively manages and monitors our portfolios of assets on an ongoing basis, and in some cases engages third parties to assist with the management of those assets. Invoices from each of our customers are typically issued and collected on a monthly basis. Our Manager frequently reviews the status of all of our assets, and in the case that any are returning from lease or undergoing repair, outlines our options, which may include the re-lease or sale of that asset. In the case of operating infrastructure, our Manager plays a central role in developing and executing operational, finance and business development strategies. On a periodic basis, our Manager discusses the status of our acquired assets with our board of directors.</w:t>
      </w:r>
    </w:p>
    <w:p>
      <w:pPr>
        <w:spacing w:after="0" w:line="64"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In some situations, we may acquire assets through a joint venture entity or own a minority position in an investment entity. In such circumstances, we will seek to protect our interests through appropriate levels of board representation, minority protections and other structural enhancements.</w:t>
      </w:r>
    </w:p>
    <w:p>
      <w:pPr>
        <w:spacing w:after="0" w:line="38"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and our Manager maintain relationships with operators worldwide and, through these relationships, hold direct conversations as to leasing needs and opportunities. Where helpful, we reach out to third parties who assist in leasing our assets. As an example, we often partner with MRO facilities in the aviation sector to lease these engines and support airlines’ fleet management needs.</w:t>
      </w:r>
    </w:p>
    <w:p>
      <w:pPr>
        <w:spacing w:after="0" w:line="73"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While we expect to hold our assets for extended periods of time, we and our Manager continually review our assets to assess whether we should sell or otherwise monetize them. Aspects that will factor into this process include relevant market conditions, the asset’s age, lease profile, relative concentration or remaining expected useful life.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40"/>
          </w:cols>
          <w:pgMar w:left="240" w:top="692" w:right="2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Credit Process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and our Manager monitor the credit quality of our various lessees on an ongoing basis. This monitoring includes interacting with our customers regularly to monitor collections, review period financial statements and discuss their operating performance. Most of our lease agreements are written with conditions that require reporting on the part of our lessees, and we actively reach out to our lessees to maintain contact and monitor their liquidity positions. Furthermore, many of our leases and contractual arrangements include credit enhancement elements that provide us with additional collateral or credit support to strengthen our credit position.</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subject to concentrations of credit risk with respect to amounts due from customers on our direct finance leases and operating leases. We attempt to limit credit risk by performing ongoing credit evaluations. See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customers consist of global operators of transportation and infrastructure networks, including airlines, offshore energy service providers and major shipping lines. We maintain ongoing relationships and discussions with our customers and seek to have consistent dialogue. In addition to helping us monitor the needs and quality of our customers, we believe these relationships help source additional opportunities and gain insight into attractive opportunities in the transportation and infrastructure sector. Given our limited operating history, a substantial portion of our revenue has historically been derived from a small number of customers. For the years ended December 31, 2016 and 2015, we earned approximately 10% and 21%, respectively, of our revenue from our largest customers. We derive a significant percentage of our revenue within specific sectors from a limited number of customers. However, we do not think that we are dependent upon any particular customer, or that the loss of one or more of them would have a material adverse effect on our business or the relevant segment, because of our ability to release assets at similar terms following the loss of any such customer. See “Risk Factors-Contractual defaults may adversely affect our business, prospects, financial condition, results of operations and cash flows by decreasing revenues and increasing storage, positioning, collection, recovery and lost equipment expenses.”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business of acquiring, managing and marketing transportation and transportation-related infrastructure assets is highly competitive. Market competition for acquisition opportunities includes traditional transportation and infrastructure companies, commercial and investment banks, as well as a growing number of non-traditional participants, such as hedge funds, private equity funds, and other private investors.</w:t>
      </w:r>
    </w:p>
    <w:p>
      <w:pPr>
        <w:spacing w:after="0" w:line="73"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auto"/>
        </w:rPr>
        <w:t>Additionally, the markets for our products and services are competitive, and we face competition from a number of sources. These competitors include engine and aircraft parts manufacturers, aircraft and aircraft engine lessors, airline and aircraft services and repair companies, aircraft spare parts distributors, offshore services providers, maritime equipment lessors, shipping container lessors, container shipping lines, and other transportation and infrastructure equipment lessors.</w:t>
      </w:r>
    </w:p>
    <w:p>
      <w:pPr>
        <w:spacing w:after="0" w:line="7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compete with other market participants on the basis of industry knowledge, availability of capital, and deal structuring experience and flexibility, among other things. We believe our Manager’s experience in the transportation and the transportation-related infrastructure industry and our access to capital, in addition to our focus on diverse asset classes and customers, provides a competitive advantage versus competitors that maintain a single sector focus.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121"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Manager provides a management team and other professionals who are responsible for implementing our business strategy and performing certain services for us, subject to oversight by our board of directors, and as a result, we have no employees other than 30 individuals employed by Jefferson, 131 individuals employed by CMQR, of which 75 CMQR employees are covered under a collective bargaining agreement, one individual employed by the Offshore Energy segment and two individuals employed by Repauno. From time to time, certain of our officers may enter into written agreements with us that memorialize the provision of certain services; these agreements do not provide for the payment of any cash compensation to such officers from us. The employees of our Manager are not a party to any collective bargaining agreement. In addition, our Manager expects to utilize third party contractors to perform services and functions related to the operation and leasing of our assets such as aircraft, jet engines and shipping containers. These functions may include billing, collections, recovery and asset monitoring.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leases generally require that our customers carry physical damage and liability insurance providing primary insurance coverage for loss and damage to our assets as well as for related cargo and third parties while the assets are on lease. In addition, in certain cases, we maintain contingent liability coverage for any claims or losses on our assets while they are on hire or otherwise in the possession of a third-party. Finally, we procure insurance for our assets when they are not on hire or are otherwise under our control.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Although we have established certain policies and procedures designed to mitigate conflicts of interest, there can be no assurance that these policies and procedures will be effective in doing so. It is possible that actual, potential or perceived conflicts of interest could give rise to investor dissatisfaction, litigation or regulatory enforcement actions.</w:t>
      </w:r>
    </w:p>
    <w:p>
      <w:pPr>
        <w:spacing w:after="0" w:line="7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One or more of our officers and directors have responsibilities and commitments to entities other than us. In addition, we do not have a policy that expressly prohibits our directors, officers, security holders or affiliates from engaging in business activities of the types conducted by us for their own account. However, our code of business conduct and ethics prohibits, subject to the terms of our organizational documents, the directors, officers and employees of our Manager from engaging in any transaction that involves an actual conflict of interest with us. In other words, this means that our Manager and its members, managers, officers and employees may pursue acquisition opportunities in transportation and transportation-related infrastructure assets, and that we may acquire or dispose of transportation or transportation-related infrastructure assets in which such persons have a personal interest, subject to pre-approval by the independent members of our board of directors in certain circumstances. In the event of a violation of this code of business of conduct and ethics that does not constitute bad faith, willful misconduct, gross negligence or reckless disregard of our Manager’s duties, neither or Manager nor its members, managers, officers or employees will be liable to us. See “Risk Factors-Risks Related to Our Manager-There are conflicts of interest in our relationship with our Manager.”</w:t>
      </w:r>
    </w:p>
    <w:p>
      <w:pPr>
        <w:spacing w:after="0" w:line="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key agreements, including our Management Agreement, the Partnership Agreement, and our operating agreement were negotiated among related parties, and their respective terms, including fees and other amounts payable, may not be as favorable to us as terms negotiated on an arm’s-length basis with unaffiliated parties. Our independent directors may not vigorously enforce the provisions of our Management Agreement against our Manager. For example, our independent directors may refrain from terminating our Manager because doing so could result in the loss of key personnel.</w:t>
      </w:r>
    </w:p>
    <w:p>
      <w:pPr>
        <w:spacing w:after="0" w:line="6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compete with entities affiliated with our Manager or Fortress for certain target assets. From time to time, affiliates of Fortress may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the sectors in which we acquire assets, each with significant current or expected capital commitments. We may co-invest with these funds in certain target assets. Fortress funds generally have a fee structure similar to ours, but the fees actually paid will vary depending on the size, terms and performance of each fund.</w:t>
      </w:r>
    </w:p>
    <w:p>
      <w:pPr>
        <w:spacing w:after="0" w:line="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Manager may determine, in its discretion, to make a particular acquisition through an investment vehicle other than us. Investment allocation decisions will reflect a variety of factors, such as a particular vehicle’s availability of capital (including financing), investment objectives and concentration limits, legal, regulatory, tax and other similar considerations, the source of the opportunity and other factors that the Manager, in its discretion, deems appropriate. Our Manager does not have an obligation to offer us the opportunity to participate in any particular investment, even if it meets our asset acquisition objectives. In addition, employees of Fortress or certain of its affiliates-including personnel providing services to or on behalf of our Manager-may perform services for Fortress affiliates that may acquire or seek to acquire transportation and infrastructure-related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8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Please refer to Note 15 of our consolidated financial statements included in Item 8 in this Annual Report on Form 10-K for a report, by geographic area for each segment, of revenues from our external customers, for the years ended December 31, 2016 and 2015, as well as a report, by geographic area for each segment, of our total property, plant and equipment and equipment held for lease as of December 31, 2016 and 2015.</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Readers Can Find Additional Information</w:t>
      </w:r>
    </w:p>
    <w:p>
      <w:pPr>
        <w:spacing w:after="0" w:line="12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Fortress Transportation and Infrastructure Investors LLC is a Delaware limited liability company. Our principal executive offices are located at 1345 Avenue of the Americas, New York, New York 10105. Fortress Transportation and Infrastructure Investors LLC files annual, quarterly and current reports, proxy statements and other information required by the Exchange Act, with the SEC. Readers may read and copy any document that Fortress files at the SEC’s Public Reference Room located at 100 F Street, N.E., Washington, D.C. 20549, U.S.A. Please call the SEC at 1-800-SEC-0330 for further information on the Public Reference Room. Our SEC filings are also available to the public from the SEC’s internet site at http://www.sec.gov.</w:t>
      </w:r>
    </w:p>
    <w:p>
      <w:pPr>
        <w:spacing w:after="0" w:line="6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Internet site is http://www.ftandi.com. We will make available free of charge through our internet site our annual reports on Form 10-K, quarterly reports on Form 10-Q, current reports on Form 8-K, proxy statements and Forms 3, 4 and 5 filed on behalf of directors and executive officers and any amendments to those reports filed or furnished pursuant to the Exchange Act as soon as reasonably practicable after we electronically file such material with, or furnish it to, the SEC. Also posted on our website in the ‘‘Investor Center - Corporate Governance’’ section are charters for the company’s Audit Committee, Compensation Committee, Nominating Committee, as well as our Corporate Governance Guidelines, Code of Ethics for our officers, and our Code of Business Conduct and Ethics governing our directors, officers and employees. Information on, or accessible through, our website is not a part of, and is not incorporated into, this report.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10-K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3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2016 has resulted in lower offshore exploration and production budgets worldwide, with industry experts predicting that offshore exploration and production spending will decrease by approximately 8% in 2017, as compared to 2016.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Further, demand for our assets is related to passenger and cargo traffic growth, which in turn is dependent on general business and economic conditions. The recent global economic downturn could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88" w:right="239" w:bottom="1440" w:gutter="0" w:footer="0" w:header="0"/>
        </w:sectPr>
      </w:pPr>
    </w:p>
    <w:bookmarkStart w:id="14" w:name="page15"/>
    <w:bookmarkEnd w:id="14"/>
    <w:p>
      <w:pPr>
        <w:jc w:val="both"/>
        <w:ind w:firstLine="486"/>
        <w:spacing w:after="0" w:line="375" w:lineRule="auto"/>
        <w:rPr>
          <w:sz w:val="20"/>
          <w:szCs w:val="20"/>
          <w:color w:val="auto"/>
        </w:rPr>
      </w:pPr>
      <w:r>
        <w:rPr>
          <w:rFonts w:ascii="Arial" w:cs="Arial" w:eastAsia="Arial" w:hAnsi="Arial"/>
          <w:sz w:val="15"/>
          <w:szCs w:val="15"/>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57" w:lineRule="exact"/>
        <w:rPr>
          <w:sz w:val="20"/>
          <w:szCs w:val="20"/>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demand for the type of assets that we purchase;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macroeconomic conditions, including market prices for commodities that our assets may serve;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geopolitical events, including war, prolonged armed conflict and acts of terrorism;</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outbreaks of communicable diseases and natural disasters;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credit;</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restructurings and bankruptcies of companies in the industries in which we operate, including our customers;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manufacturer production levels and technological innovation;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manufacturers merging or exiting the industry or ceasing to produce certain asset types;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retirement and obsolescence of the assets that we own;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supply levels of assets in the market due to the sale or merging of operating lessors;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reintroduction of previously unused or dormant assets into the industries in which we operate.</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There can be no assurance that any target returns will be achieved.</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5" w:name="page16"/>
    <w:bookmarkEnd w:id="15"/>
    <w:p>
      <w:pPr>
        <w:jc w:val="both"/>
        <w:ind w:firstLine="486"/>
        <w:spacing w:after="0" w:line="29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5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5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6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5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b w:val="1"/>
          <w:bCs w:val="1"/>
          <w:i w:val="1"/>
          <w:iCs w:val="1"/>
          <w:color w:val="auto"/>
        </w:rPr>
        <w:t>We operate in highly competitive markets.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Certain liens may arise on our assets.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values of the assets that we purchase may fluctuate due to various factors.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76" w:right="239" w:bottom="1440" w:gutter="0" w:footer="0" w:header="0"/>
        </w:sectPr>
      </w:pPr>
    </w:p>
    <w:bookmarkStart w:id="17" w:name="page18"/>
    <w:bookmarkEnd w:id="17"/>
    <w:p>
      <w:pPr>
        <w:ind w:left="50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4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are subject to the risks and costs of obsolescence of our assets.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71"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 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18" w:name="page19"/>
    <w:bookmarkEnd w:id="18"/>
    <w:p>
      <w:pPr>
        <w:jc w:val="both"/>
        <w:ind w:firstLine="486"/>
        <w:spacing w:after="0" w:line="255" w:lineRule="auto"/>
        <w:rPr>
          <w:sz w:val="20"/>
          <w:szCs w:val="20"/>
          <w:color w:val="auto"/>
        </w:rPr>
      </w:pPr>
      <w:r>
        <w:rPr>
          <w:rFonts w:ascii="Arial" w:cs="Arial" w:eastAsia="Arial" w:hAnsi="Arial"/>
          <w:sz w:val="18"/>
          <w:szCs w:val="18"/>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8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7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5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64"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76" w:right="239" w:bottom="1440" w:gutter="0" w:footer="0" w:header="0"/>
        </w:sectPr>
      </w:pPr>
    </w:p>
    <w:bookmarkStart w:id="19" w:name="page20"/>
    <w:bookmarkEnd w:id="19"/>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assets generally require routine maintenance, and we may be exposed to unforeseen maintenance costs.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3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December 31, 2016 and we do not anticipate any expenditures relating to environmental clean-up (including impacts to the Chaudière River) as a result of the Incident.</w:t>
      </w:r>
    </w:p>
    <w:p>
      <w:pPr>
        <w:spacing w:after="0" w:line="8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granted purchase options to the charterers and lessees of certain of our assets. The market values of these assets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year)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6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Shipping Containers segment is affected by the lack of an international title registry for containers, which increases the risk of ownership disputes.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and our customers operate in various regions throughout the world. As a result, we may, directly or indirectly, be exposed to political and other uncertainties, including risks of:</w:t>
      </w:r>
    </w:p>
    <w:p>
      <w:pPr>
        <w:spacing w:after="0" w:line="62" w:lineRule="exact"/>
        <w:rPr>
          <w:sz w:val="20"/>
          <w:szCs w:val="20"/>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terrorist acts, armed hostilities, war and civil disturbances;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acts of piracy;</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governmental influence over many aspects of local economies;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seizure, nationalization or expropriation of property or equipment;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repudiation, nullification, modification or renegotiation of contracts;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insurance coverage, such as war risk coverage, in certain areas;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and U.S. monetary policy and foreign currency fluctuations and devaluations;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inability to repatriate income or capital;</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complications associated with repairing and replacing equipment in remote locations;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import-export quotas, wage and price controls, imposition of trade barriers;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and foreign sanctions or trade embargoes;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restrictions on the transfer of funds into or out of countries in which we operate;</w:t>
      </w:r>
    </w:p>
    <w:p>
      <w:pPr>
        <w:spacing w:after="0" w:line="117" w:lineRule="exact"/>
        <w:rPr>
          <w:rFonts w:ascii="Arial" w:cs="Arial" w:eastAsia="Arial" w:hAnsi="Arial"/>
          <w:sz w:val="18"/>
          <w:szCs w:val="18"/>
          <w:color w:val="auto"/>
        </w:rPr>
      </w:pPr>
    </w:p>
    <w:p>
      <w:pPr>
        <w:ind w:left="1300" w:hanging="887"/>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compliance with U.S. Treasury sanctions regulations restricting doing business with certain nations or specially designated nationals;</w:t>
      </w:r>
    </w:p>
    <w:p>
      <w:pPr>
        <w:spacing w:after="0" w:line="128" w:lineRule="exact"/>
        <w:rPr>
          <w:rFonts w:ascii="Arial" w:cs="Arial" w:eastAsia="Arial" w:hAnsi="Arial"/>
          <w:sz w:val="17"/>
          <w:szCs w:val="17"/>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regulatory or financial requirements to comply with foreign bureaucratic actions;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compliance with applicable anti-corruption laws and regulations;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changing taxation policies, including confiscatory taxation;</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other forms of government regulation and economic conditions that are beyond our control; and</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governmental corruption.</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Any of these or other risks could adversely impact our customers’ international operations which could materially adversely impact our operating results and growth opportunities.</w:t>
      </w:r>
    </w:p>
    <w:p>
      <w:pPr>
        <w:spacing w:after="0" w:line="6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3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76" w:right="239" w:bottom="1440" w:gutter="0" w:footer="0" w:header="0"/>
        </w:sectPr>
      </w:pPr>
    </w:p>
    <w:bookmarkStart w:id="22" w:name="page23"/>
    <w:bookmarkEnd w:id="22"/>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5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9" w:lineRule="exact"/>
        <w:rPr>
          <w:sz w:val="20"/>
          <w:szCs w:val="20"/>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from market participants;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and/or industry trends, including pricing for the products or services offered by our operating businesses;</w:t>
      </w:r>
    </w:p>
    <w:p>
      <w:pPr>
        <w:spacing w:after="0" w:line="117"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62"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or deficiencies in the design or construction of development projects;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engineering, environmental or geological problems;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potential increases in construction and operating costs due to changes in the cost and availability of fuel, power, materials and supplies;</w:t>
      </w:r>
    </w:p>
    <w:p>
      <w:pPr>
        <w:spacing w:after="0" w:line="128" w:lineRule="exact"/>
        <w:rPr>
          <w:rFonts w:ascii="Arial" w:cs="Arial" w:eastAsia="Arial" w:hAnsi="Arial"/>
          <w:sz w:val="17"/>
          <w:szCs w:val="17"/>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and cost of skilled labor and equipment;</w:t>
      </w:r>
    </w:p>
    <w:p>
      <w:pPr>
        <w:spacing w:after="0" w:line="117" w:lineRule="exact"/>
        <w:rPr>
          <w:rFonts w:ascii="Arial" w:cs="Arial" w:eastAsia="Arial" w:hAnsi="Arial"/>
          <w:sz w:val="18"/>
          <w:szCs w:val="18"/>
          <w:color w:val="auto"/>
        </w:rPr>
      </w:pPr>
    </w:p>
    <w:p>
      <w:pPr>
        <w:jc w:val="both"/>
        <w:ind w:left="880" w:hanging="359"/>
        <w:spacing w:after="0" w:line="264"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73"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liability for injury or casualty losses which are not covered by insurance;</w:t>
      </w:r>
    </w:p>
    <w:p>
      <w:pPr>
        <w:spacing w:after="0" w:line="117" w:lineRule="exact"/>
        <w:rPr>
          <w:rFonts w:ascii="Arial" w:cs="Arial" w:eastAsia="Arial" w:hAnsi="Arial"/>
          <w:sz w:val="18"/>
          <w:szCs w:val="18"/>
          <w:color w:val="auto"/>
        </w:rPr>
      </w:pPr>
    </w:p>
    <w:p>
      <w:pPr>
        <w:ind w:left="880" w:hanging="359"/>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opposition from non-governmental organizations, environmental groups, local or other groups which may delay or prevent development activities;</w:t>
      </w:r>
    </w:p>
    <w:p>
      <w:pPr>
        <w:spacing w:after="0" w:line="62"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and economic conditions;</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legal requirements; and</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force majeure events, including catastrophes and adverse weather conditions.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factors could materially affect our business, financial condition, liquidity and results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76" w:right="239" w:bottom="1440" w:gutter="0" w:footer="0" w:header="0"/>
        </w:sectPr>
      </w:pPr>
    </w:p>
    <w:bookmarkStart w:id="23" w:name="page24"/>
    <w:bookmarkEnd w:id="23"/>
    <w:p>
      <w:pPr>
        <w:ind w:left="500"/>
        <w:spacing w:after="0"/>
        <w:rPr>
          <w:sz w:val="20"/>
          <w:szCs w:val="20"/>
          <w:color w:val="auto"/>
        </w:rPr>
      </w:pPr>
      <w:r>
        <w:rPr>
          <w:rFonts w:ascii="Arial" w:cs="Arial" w:eastAsia="Arial" w:hAnsi="Arial"/>
          <w:sz w:val="17"/>
          <w:szCs w:val="17"/>
          <w:b w:val="1"/>
          <w:bCs w:val="1"/>
          <w:i w:val="1"/>
          <w:iCs w:val="1"/>
          <w:color w:val="auto"/>
        </w:rPr>
        <w:t>Terrorist attacks could negatively impact our operations and our profitability and may expose us to liability and reputational damage.</w:t>
      </w:r>
    </w:p>
    <w:p>
      <w:pPr>
        <w:spacing w:after="0" w:line="12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6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0"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3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inability to obtain sufficient capital would constrain our ability to grow our portfolio and to increase our revenues.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2" w:lineRule="exact"/>
        <w:rPr>
          <w:sz w:val="20"/>
          <w:szCs w:val="20"/>
          <w:color w:val="auto"/>
        </w:rPr>
      </w:pPr>
    </w:p>
    <w:p>
      <w:pPr>
        <w:ind w:left="1060" w:hanging="647"/>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 the terms and maturities of our existing and future debt facilities;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 new assets or refinance existing assets;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fund our working capital needs and maintain adequate liquidity;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finance other growth initiatives.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4" w:name="page25"/>
    <w:bookmarkEnd w:id="24"/>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Repauno site is subject to environmental laws and regulations that may expose us to significant costs and liabilities.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 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into a hub for industrial development in a timely manner, its future prospects could be materially and adversely affected, which may have a material adverse effect on our business, operating results and financial condition.</w:t>
      </w:r>
    </w:p>
    <w:p>
      <w:pPr>
        <w:spacing w:after="0" w:line="1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5" w:name="page26"/>
    <w:bookmarkEnd w:id="25"/>
    <w:p>
      <w:pPr>
        <w:ind w:left="540"/>
        <w:spacing w:after="0"/>
        <w:rPr>
          <w:sz w:val="20"/>
          <w:szCs w:val="20"/>
          <w:color w:val="auto"/>
        </w:rPr>
      </w:pPr>
      <w:r>
        <w:rPr>
          <w:rFonts w:ascii="Arial" w:cs="Arial" w:eastAsia="Arial" w:hAnsi="Arial"/>
          <w:sz w:val="18"/>
          <w:szCs w:val="18"/>
          <w:b w:val="1"/>
          <w:bCs w:val="1"/>
          <w:color w:val="auto"/>
        </w:rPr>
        <w:t>Risks Related to Our Manager</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18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16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On February 14, 2017, Fortress announced that it had entered into the Merger Agreement with SB Foundation Holdings LP, a Cayman Islands exempted limited partnership (“Parent”) and an affiliate of SoftBank, and Foundation Acquisition LLC, a Delaware limited liability company and wholly owned subsidiary of Parent (“Merger Sub”), pursuant to which Merger Sub will merge with and into Fortress, with Fortress surviving as a wholly owned subsidiary of Parent. While Fortress’s senior investment professionals are expected to remain in place, including those individuals who perform services for us, there can be no assurance that the Merger will not have an impact on us or our relationship with the Manager.</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w:t>
      </w:r>
    </w:p>
    <w:p>
      <w:pPr>
        <w:spacing w:after="0" w:line="8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2" w:right="239" w:bottom="1440" w:gutter="0" w:footer="0" w:header="0"/>
        </w:sectPr>
      </w:pPr>
    </w:p>
    <w:bookmarkStart w:id="26" w:name="page27"/>
    <w:bookmarkEnd w:id="26"/>
    <w:p>
      <w:pPr>
        <w:jc w:val="both"/>
        <w:spacing w:after="0" w:line="312" w:lineRule="auto"/>
        <w:rPr>
          <w:sz w:val="20"/>
          <w:szCs w:val="20"/>
          <w:color w:val="auto"/>
        </w:rPr>
      </w:pPr>
      <w:r>
        <w:rPr>
          <w:rFonts w:ascii="Arial" w:cs="Arial" w:eastAsia="Arial" w:hAnsi="Arial"/>
          <w:sz w:val="16"/>
          <w:szCs w:val="16"/>
          <w:color w:val="auto"/>
        </w:rPr>
        <w:t>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3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6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5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7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5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7" w:name="page28"/>
    <w:bookmarkEnd w:id="27"/>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6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6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Shareholders may be subject to U.S. federal income tax on their share of our taxable income, regardless of whether they receive any cash dividends from us.</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 gain or loss on a sale or other disposition of our common shares could be more or less than expected.</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76" w:right="239" w:bottom="1440" w:gutter="0" w:footer="0" w:header="0"/>
        </w:sectPr>
      </w:pPr>
    </w:p>
    <w:bookmarkStart w:id="28" w:name="page29"/>
    <w:bookmarkEnd w:id="28"/>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3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7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If we are treated as a corporation for U.S. federal income tax purposes, the value of the shares could be adversely affected.</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7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6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6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6" w:right="239" w:bottom="1440" w:gutter="0" w:footer="0" w:header="0"/>
        </w:sectPr>
      </w:pPr>
    </w:p>
    <w:bookmarkStart w:id="29" w:name="page30"/>
    <w:bookmarkEnd w:id="29"/>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Tax-exempt shareholders may face certain adverse U.S. tax consequences from owning our common shares.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hold or acquire certain investments through an entity classified as a PFIC or CFC for U.S. federal income tax purposes.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7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4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4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6" w:right="239" w:bottom="1440" w:gutter="0" w:footer="0" w:header="0"/>
        </w:sectPr>
      </w:pPr>
    </w:p>
    <w:bookmarkStart w:id="30" w:name="page31"/>
    <w:bookmarkEnd w:id="30"/>
    <w:p>
      <w:pPr>
        <w:jc w:val="both"/>
        <w:ind w:right="20" w:firstLine="486"/>
        <w:spacing w:after="0" w:line="34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84"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5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59" w:lineRule="exact"/>
        <w:rPr>
          <w:sz w:val="20"/>
          <w:szCs w:val="20"/>
          <w:color w:val="auto"/>
        </w:rPr>
      </w:pPr>
    </w:p>
    <w:p>
      <w:pPr>
        <w:jc w:val="both"/>
        <w:ind w:firstLine="486"/>
        <w:spacing w:after="0" w:line="375" w:lineRule="auto"/>
        <w:rPr>
          <w:sz w:val="20"/>
          <w:szCs w:val="20"/>
          <w:color w:val="auto"/>
        </w:rPr>
      </w:pPr>
      <w:r>
        <w:rPr>
          <w:rFonts w:ascii="Arial" w:cs="Arial" w:eastAsia="Arial" w:hAnsi="Arial"/>
          <w:sz w:val="15"/>
          <w:szCs w:val="15"/>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4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6" w:right="239" w:bottom="1440" w:gutter="0" w:footer="0" w:header="0"/>
        </w:sectPr>
      </w:pPr>
    </w:p>
    <w:bookmarkStart w:id="31" w:name="page32"/>
    <w:bookmarkEnd w:id="31"/>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common shares within a 12-month period will result in our termination for U.S. federal income tax purposes.</w:t>
      </w:r>
    </w:p>
    <w:p>
      <w:pPr>
        <w:spacing w:after="0" w:line="6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Recently enacted legislation regarding U.S. federal income tax liability arising from IRS audits could adversely affect our shareholders.</w:t>
      </w:r>
    </w:p>
    <w:p>
      <w:pPr>
        <w:spacing w:after="0" w:line="1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existing rules, which generally provide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shares may be volatile, which could result in rapid and substantial losses for our shareholders.</w:t>
      </w:r>
    </w:p>
    <w:p>
      <w:pPr>
        <w:spacing w:after="0" w:line="6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46" w:lineRule="exact"/>
        <w:rPr>
          <w:sz w:val="20"/>
          <w:szCs w:val="20"/>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shares;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76" w:right="239" w:bottom="1440" w:gutter="0" w:footer="0" w:header="0"/>
        </w:sectPr>
      </w:pPr>
    </w:p>
    <w:bookmarkStart w:id="32" w:name="page33"/>
    <w:bookmarkEnd w:id="32"/>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JOBS Act, and due to our taking advantage of certain exemptions from various reporting requirements applicable to emerging growth companies, our common shares could be less attractive to investors.</w:t>
      </w:r>
    </w:p>
    <w:p>
      <w:pPr>
        <w:spacing w:after="0" w:line="38"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w:t>
      </w:r>
    </w:p>
    <w:p>
      <w:pPr>
        <w:spacing w:after="0" w:line="1" w:lineRule="exact"/>
        <w:rPr>
          <w:sz w:val="20"/>
          <w:szCs w:val="20"/>
          <w:color w:val="auto"/>
        </w:rPr>
      </w:pPr>
    </w:p>
    <w:p>
      <w:pPr>
        <w:jc w:val="both"/>
        <w:ind w:right="20" w:firstLine="8"/>
        <w:spacing w:after="0" w:line="255" w:lineRule="auto"/>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Furthermore, if we discover a material weakness, our share price could decline and our ability to raise capital could be impaired.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Your percentage ownership in us may be diluted in the future.</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71" w:lineRule="exact"/>
        <w:rPr>
          <w:sz w:val="20"/>
          <w:szCs w:val="20"/>
          <w:color w:val="auto"/>
        </w:rPr>
      </w:pPr>
    </w:p>
    <w:p>
      <w:pPr>
        <w:jc w:val="both"/>
        <w:ind w:firstLine="537"/>
        <w:spacing w:after="0" w:line="269" w:lineRule="auto"/>
        <w:rPr>
          <w:sz w:val="20"/>
          <w:szCs w:val="20"/>
          <w:color w:val="auto"/>
        </w:rPr>
      </w:pPr>
      <w:r>
        <w:rPr>
          <w:rFonts w:ascii="Arial" w:cs="Arial" w:eastAsia="Arial" w:hAnsi="Arial"/>
          <w:sz w:val="17"/>
          <w:szCs w:val="17"/>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6" w:right="239" w:bottom="1440" w:gutter="0" w:footer="0" w:header="0"/>
        </w:sectPr>
      </w:pPr>
    </w:p>
    <w:bookmarkStart w:id="33" w:name="page34"/>
    <w:bookmarkEnd w:id="33"/>
    <w:p>
      <w:pPr>
        <w:ind w:left="500"/>
        <w:spacing w:after="0"/>
        <w:rPr>
          <w:sz w:val="20"/>
          <w:szCs w:val="20"/>
          <w:color w:val="auto"/>
        </w:rPr>
      </w:pPr>
      <w:r>
        <w:rPr>
          <w:rFonts w:ascii="Arial" w:cs="Arial" w:eastAsia="Arial" w:hAnsi="Arial"/>
          <w:sz w:val="18"/>
          <w:szCs w:val="18"/>
          <w:b w:val="1"/>
          <w:bCs w:val="1"/>
          <w:i w:val="1"/>
          <w:iCs w:val="1"/>
          <w:color w:val="auto"/>
        </w:rPr>
        <w:t>Sales or issuances of shares of our common shares could adversely affect the market price of our common shares.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7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5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62"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While we currently intend to pay regular quarterly dividends to our shareholders, we may change our dividend policy at any time.</w:t>
      </w:r>
    </w:p>
    <w:p>
      <w:pPr>
        <w:spacing w:after="0" w:line="12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Anti-takeover provisions in our operating agreement and Delaware law could delay or prevent a change in control.</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4" w:name="page35"/>
    <w:bookmarkEnd w:id="34"/>
    <w:p>
      <w:pPr>
        <w:jc w:val="both"/>
        <w:ind w:firstLine="486"/>
        <w:spacing w:after="0" w:line="308" w:lineRule="auto"/>
        <w:rPr>
          <w:sz w:val="20"/>
          <w:szCs w:val="20"/>
          <w:color w:val="auto"/>
        </w:rPr>
      </w:pPr>
      <w:r>
        <w:rPr>
          <w:rFonts w:ascii="Arial" w:cs="Arial" w:eastAsia="Arial" w:hAnsi="Arial"/>
          <w:sz w:val="17"/>
          <w:szCs w:val="17"/>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3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As a public company, we will incur additional costs and face increased demands on our management.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independent directors and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unresolved staff comments.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An affiliate of our Manager leases principal executive offices at 1345 Avenue of the Americas, New York, NY 10105. We also lease office space from an affiliate of our Manager in Florida, Ireland, and Dubai. Our Railroad operating segment owns approximately 480 miles of rail lines, related corridor, and railyards in Maine, Vermont, Quebec, Canada, as well as leases 56 miles of rail lines, approximately 8,500 square feet of office space and approximately 20 acres of railroad facilities in Maine. Our Jefferson Terminal operating segment leases approximately 200 acres of property for its terminal facilities and leases approximately 9,300 square feet of office space in Texas and 300 square feet in Canada. In 2016, we acquired Repauno, located in New Jersey, which includes over 1,600 acres of land, riparian rights, rail tracks and a 186,000 barrel underground storage cavern. We are redeveloping the asset to be a multi-purpose, multi-modal deepwater port. Our Offshore operating segment leases a small office in Singapore. We believe that our office facilities and properties are suitable and adequate for our business as it is contemplated to be conducted.</w:t>
      </w:r>
    </w:p>
    <w:p>
      <w:pPr>
        <w:spacing w:after="0" w:line="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5" w:name="page36"/>
    <w:bookmarkEnd w:id="35"/>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common shares began trading on the NYSE under the symbol “FTAI” on May 15, 2015, the date of the IPO. The following table sets forth, for the periods indicated during the year ended 2016, the high and low sale price per common share as reported by the NYSE and the dividends per share we declared with respect to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ind w:left="220"/>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High</w:t>
            </w:r>
          </w:p>
        </w:tc>
        <w:tc>
          <w:tcPr>
            <w:tcW w:w="320" w:type="dxa"/>
            <w:vAlign w:val="bottom"/>
          </w:tcPr>
          <w:p>
            <w:pPr>
              <w:spacing w:after="0"/>
              <w:rPr>
                <w:sz w:val="18"/>
                <w:szCs w:val="18"/>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Low</w:t>
            </w:r>
          </w:p>
        </w:tc>
        <w:tc>
          <w:tcPr>
            <w:tcW w:w="20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Dividends</w:t>
            </w:r>
          </w:p>
        </w:tc>
        <w:tc>
          <w:tcPr>
            <w:tcW w:w="320" w:type="dxa"/>
            <w:vAlign w:val="bottom"/>
          </w:tcPr>
          <w:p>
            <w:pPr>
              <w:spacing w:after="0"/>
              <w:rPr>
                <w:sz w:val="18"/>
                <w:szCs w:val="18"/>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High</w:t>
            </w:r>
          </w:p>
        </w:tc>
        <w:tc>
          <w:tcPr>
            <w:tcW w:w="320" w:type="dxa"/>
            <w:vAlign w:val="bottom"/>
          </w:tcPr>
          <w:p>
            <w:pPr>
              <w:spacing w:after="0"/>
              <w:rPr>
                <w:sz w:val="18"/>
                <w:szCs w:val="18"/>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Low</w:t>
            </w:r>
          </w:p>
        </w:tc>
        <w:tc>
          <w:tcPr>
            <w:tcW w:w="200" w:type="dxa"/>
            <w:vAlign w:val="bottom"/>
          </w:tcPr>
          <w:p>
            <w:pPr>
              <w:spacing w:after="0"/>
              <w:rPr>
                <w:sz w:val="18"/>
                <w:szCs w:val="18"/>
                <w:color w:val="auto"/>
              </w:rPr>
            </w:pPr>
          </w:p>
        </w:tc>
        <w:tc>
          <w:tcPr>
            <w:tcW w:w="1160" w:type="dxa"/>
            <w:vAlign w:val="bottom"/>
          </w:tcPr>
          <w:p>
            <w:pPr>
              <w:ind w:left="140"/>
              <w:spacing w:after="0"/>
              <w:rPr>
                <w:sz w:val="20"/>
                <w:szCs w:val="20"/>
                <w:color w:val="auto"/>
              </w:rPr>
            </w:pPr>
            <w:r>
              <w:rPr>
                <w:rFonts w:ascii="Arial" w:cs="Arial" w:eastAsia="Arial" w:hAnsi="Arial"/>
                <w:sz w:val="16"/>
                <w:szCs w:val="16"/>
                <w:b w:val="1"/>
                <w:bCs w:val="1"/>
                <w:color w:val="auto"/>
              </w:rPr>
              <w:t>Dividends</w:t>
            </w:r>
          </w:p>
        </w:tc>
        <w:tc>
          <w:tcPr>
            <w:tcW w:w="0" w:type="dxa"/>
            <w:vAlign w:val="bottom"/>
          </w:tcPr>
          <w:p>
            <w:pPr>
              <w:spacing w:after="0"/>
              <w:rPr>
                <w:sz w:val="1"/>
                <w:szCs w:val="1"/>
                <w:color w:val="auto"/>
              </w:rPr>
            </w:pPr>
          </w:p>
        </w:tc>
      </w:tr>
      <w:tr>
        <w:trPr>
          <w:trHeight w:val="102"/>
        </w:trPr>
        <w:tc>
          <w:tcPr>
            <w:tcW w:w="2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6"/>
              </w:rPr>
              <w:t xml:space="preserve">Declared </w:t>
            </w:r>
            <w:r>
              <w:rPr>
                <w:rFonts w:ascii="Arial" w:cs="Arial" w:eastAsia="Arial" w:hAnsi="Arial"/>
                <w:sz w:val="21"/>
                <w:szCs w:val="21"/>
                <w:b w:val="1"/>
                <w:bCs w:val="1"/>
                <w:color w:val="auto"/>
                <w:w w:val="96"/>
                <w:vertAlign w:val="superscript"/>
              </w:rPr>
              <w:t>(1)</w:t>
            </w:r>
          </w:p>
        </w:tc>
        <w:tc>
          <w:tcPr>
            <w:tcW w:w="22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xml:space="preserve">Declared </w:t>
            </w:r>
            <w:r>
              <w:rPr>
                <w:rFonts w:ascii="Arial" w:cs="Arial" w:eastAsia="Arial" w:hAnsi="Arial"/>
                <w:sz w:val="21"/>
                <w:szCs w:val="21"/>
                <w:b w:val="1"/>
                <w:bCs w:val="1"/>
                <w:color w:val="auto"/>
                <w:vertAlign w:val="superscript"/>
              </w:rPr>
              <w:t>(1)</w:t>
            </w:r>
          </w:p>
        </w:tc>
        <w:tc>
          <w:tcPr>
            <w:tcW w:w="0" w:type="dxa"/>
            <w:vAlign w:val="bottom"/>
          </w:tcPr>
          <w:p>
            <w:pPr>
              <w:spacing w:after="0"/>
              <w:rPr>
                <w:sz w:val="1"/>
                <w:szCs w:val="1"/>
                <w:color w:val="auto"/>
              </w:rPr>
            </w:pPr>
          </w:p>
        </w:tc>
      </w:tr>
      <w:tr>
        <w:trPr>
          <w:trHeight w:val="141"/>
        </w:trPr>
        <w:tc>
          <w:tcPr>
            <w:tcW w:w="25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2520" w:type="dxa"/>
            <w:vAlign w:val="bottom"/>
          </w:tcPr>
          <w:p>
            <w:pPr>
              <w:ind w:left="40"/>
              <w:spacing w:after="0"/>
              <w:rPr>
                <w:sz w:val="20"/>
                <w:szCs w:val="20"/>
                <w:color w:val="auto"/>
              </w:rPr>
            </w:pPr>
            <w:r>
              <w:rPr>
                <w:rFonts w:ascii="Arial" w:cs="Arial" w:eastAsia="Arial" w:hAnsi="Arial"/>
                <w:sz w:val="16"/>
                <w:szCs w:val="16"/>
                <w:color w:val="auto"/>
              </w:rPr>
              <w:t>First Quarter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11.54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8.65</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8"/>
                <w:szCs w:val="18"/>
                <w:color w:val="auto"/>
              </w:rPr>
            </w:pPr>
          </w:p>
        </w:tc>
        <w:tc>
          <w:tcPr>
            <w:tcW w:w="1140" w:type="dxa"/>
            <w:vAlign w:val="bottom"/>
            <w:gridSpan w:val="2"/>
          </w:tcPr>
          <w:p>
            <w:pPr>
              <w:ind w:left="64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8"/>
                <w:szCs w:val="18"/>
                <w:color w:val="auto"/>
              </w:rPr>
            </w:pPr>
          </w:p>
        </w:tc>
        <w:tc>
          <w:tcPr>
            <w:tcW w:w="1160" w:type="dxa"/>
            <w:vAlign w:val="bottom"/>
          </w:tcPr>
          <w:p>
            <w:pPr>
              <w:ind w:left="7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0.15</w:t>
            </w:r>
          </w:p>
        </w:tc>
        <w:tc>
          <w:tcPr>
            <w:tcW w:w="0" w:type="dxa"/>
            <w:vAlign w:val="bottom"/>
          </w:tcPr>
          <w:p>
            <w:pPr>
              <w:spacing w:after="0"/>
              <w:rPr>
                <w:sz w:val="1"/>
                <w:szCs w:val="1"/>
                <w:color w:val="auto"/>
              </w:rPr>
            </w:pPr>
          </w:p>
        </w:tc>
      </w:tr>
      <w:tr>
        <w:trPr>
          <w:trHeight w:val="237"/>
        </w:trPr>
        <w:tc>
          <w:tcPr>
            <w:tcW w:w="2520" w:type="dxa"/>
            <w:vAlign w:val="bottom"/>
          </w:tcPr>
          <w:p>
            <w:pPr>
              <w:ind w:left="40"/>
              <w:spacing w:after="0"/>
              <w:rPr>
                <w:sz w:val="20"/>
                <w:szCs w:val="20"/>
                <w:color w:val="auto"/>
              </w:rPr>
            </w:pPr>
            <w:r>
              <w:rPr>
                <w:rFonts w:ascii="Arial" w:cs="Arial" w:eastAsia="Arial" w:hAnsi="Arial"/>
                <w:sz w:val="16"/>
                <w:szCs w:val="16"/>
                <w:color w:val="auto"/>
              </w:rPr>
              <w:t>Third Quarter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8.95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2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ind w:left="760"/>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70"/>
        </w:trPr>
        <w:tc>
          <w:tcPr>
            <w:tcW w:w="252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13.95</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11.35</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0.33</w:t>
            </w:r>
          </w:p>
        </w:tc>
        <w:tc>
          <w:tcPr>
            <w:tcW w:w="22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ind w:left="760"/>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170" w:lineRule="exact"/>
        <w:rPr>
          <w:sz w:val="20"/>
          <w:szCs w:val="20"/>
          <w:color w:val="auto"/>
        </w:rPr>
      </w:pPr>
    </w:p>
    <w:p>
      <w:pPr>
        <w:ind w:left="260" w:right="440" w:hanging="252"/>
        <w:spacing w:after="0" w:line="273" w:lineRule="auto"/>
        <w:tabs>
          <w:tab w:leader="none" w:pos="144" w:val="left"/>
        </w:tabs>
        <w:numPr>
          <w:ilvl w:val="0"/>
          <w:numId w:val="15"/>
        </w:numPr>
        <w:rPr>
          <w:rFonts w:ascii="Arial" w:cs="Arial" w:eastAsia="Arial" w:hAnsi="Arial"/>
          <w:sz w:val="9"/>
          <w:szCs w:val="9"/>
          <w:color w:val="auto"/>
        </w:rPr>
      </w:pPr>
      <w:r>
        <w:rPr>
          <w:rFonts w:ascii="Arial" w:cs="Arial" w:eastAsia="Arial" w:hAnsi="Arial"/>
          <w:sz w:val="14"/>
          <w:szCs w:val="14"/>
          <w:color w:val="auto"/>
        </w:rPr>
        <w:t>Represents amounts our board of directors declared as dividends based on earnings and liquidity with respect to the specified periods. The actual declaration dates occurred in the following quarter.</w:t>
      </w:r>
    </w:p>
    <w:p>
      <w:pPr>
        <w:spacing w:after="0" w:line="7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Although we currently intend to continue to pay regular quarterly dividends to holders of our common shares, we may change our dividend policy at any time and no assurances can be given that any future dividends will be paid or, if paid, as to the amounts or timing.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w:t>
      </w:r>
    </w:p>
    <w:p>
      <w:pPr>
        <w:spacing w:after="0" w:line="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February 23, 2017, our Board of Directors declared a cash dividend on our common shares of $0.33 per share for the quarter ended December 31, 2016, payable on March 20, 2017 to the holders of record on March 10, 2017.</w:t>
      </w:r>
    </w:p>
    <w:p>
      <w:pPr>
        <w:spacing w:after="0" w:line="6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On December 31, 2016, the closing sale price for our common shares, as reported on the NYSE, was $13.30. As of February 23, 2017, there were approximately eight record holders of our common shares. This figure does not reflect the beneficial ownership of shares held in nominee name.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Stock Option and Incentive Award Plan</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2015, in connection with the IPO,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 As of December 31, 2016, the Incentive Plan provides for the issuance of up to 30,000,000 shares.</w:t>
      </w:r>
    </w:p>
    <w:p>
      <w:pPr>
        <w:spacing w:after="0" w:line="6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total number of outstanding securities in the Plan and the number of securities remaining for future issuance, as well as the weighted average strike price of all outstanding securities as of December 31,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4"/>
          </w:tcPr>
          <w:p>
            <w:pPr>
              <w:ind w:left="80"/>
              <w:spacing w:after="0"/>
              <w:rPr>
                <w:sz w:val="20"/>
                <w:szCs w:val="20"/>
                <w:color w:val="auto"/>
              </w:rPr>
            </w:pPr>
            <w:r>
              <w:rPr>
                <w:rFonts w:ascii="Arial" w:cs="Arial" w:eastAsia="Arial" w:hAnsi="Arial"/>
                <w:sz w:val="16"/>
                <w:szCs w:val="16"/>
                <w:b w:val="1"/>
                <w:bCs w:val="1"/>
                <w:color w:val="auto"/>
                <w:w w:val="93"/>
              </w:rPr>
              <w:t>Equity Compensation Plan Information</w:t>
            </w:r>
          </w:p>
        </w:tc>
        <w:tc>
          <w:tcPr>
            <w:tcW w:w="2920" w:type="dxa"/>
            <w:vAlign w:val="bottom"/>
          </w:tcPr>
          <w:p>
            <w:pPr>
              <w:spacing w:after="0"/>
              <w:rPr>
                <w:sz w:val="18"/>
                <w:szCs w:val="18"/>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3"/>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 securities to be issued upon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Weighted-average exercise price of</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 remaining available</w:t>
            </w:r>
          </w:p>
        </w:tc>
      </w:tr>
      <w:tr>
        <w:trPr>
          <w:trHeight w:val="203"/>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Arial" w:cs="Arial" w:eastAsia="Arial" w:hAnsi="Arial"/>
                <w:sz w:val="16"/>
                <w:szCs w:val="16"/>
                <w:b w:val="1"/>
                <w:bCs w:val="1"/>
                <w:color w:val="auto"/>
                <w:w w:val="87"/>
              </w:rPr>
              <w:t>exercise of outstanding options,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outstanding options, warrants, and</w:t>
            </w:r>
          </w:p>
        </w:tc>
        <w:tc>
          <w:tcPr>
            <w:tcW w:w="2920" w:type="dxa"/>
            <w:vAlign w:val="bottom"/>
          </w:tcPr>
          <w:p>
            <w:pPr>
              <w:jc w:val="center"/>
              <w:spacing w:after="0"/>
              <w:rPr>
                <w:sz w:val="20"/>
                <w:szCs w:val="20"/>
                <w:color w:val="auto"/>
              </w:rPr>
            </w:pPr>
            <w:r>
              <w:rPr>
                <w:rFonts w:ascii="Arial" w:cs="Arial" w:eastAsia="Arial" w:hAnsi="Arial"/>
                <w:sz w:val="16"/>
                <w:szCs w:val="16"/>
                <w:b w:val="1"/>
                <w:bCs w:val="1"/>
                <w:color w:val="auto"/>
                <w:w w:val="90"/>
              </w:rPr>
              <w:t>for future issuance under equity</w:t>
            </w:r>
          </w:p>
        </w:tc>
      </w:tr>
      <w:tr>
        <w:trPr>
          <w:trHeight w:val="243"/>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120" w:type="dxa"/>
            <w:vAlign w:val="bottom"/>
            <w:tcBorders>
              <w:bottom w:val="single" w:sz="8" w:color="CCEEFF"/>
            </w:tcBorders>
          </w:tcPr>
          <w:p>
            <w:pPr>
              <w:spacing w:after="0"/>
              <w:rPr>
                <w:sz w:val="21"/>
                <w:szCs w:val="21"/>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warrants, and rights</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rights</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 xml:space="preserve">compensation plans </w:t>
            </w:r>
            <w:r>
              <w:rPr>
                <w:rFonts w:ascii="Arial" w:cs="Arial" w:eastAsia="Arial" w:hAnsi="Arial"/>
                <w:sz w:val="21"/>
                <w:szCs w:val="21"/>
                <w:b w:val="1"/>
                <w:bCs w:val="1"/>
                <w:color w:val="auto"/>
                <w:w w:val="86"/>
                <w:vertAlign w:val="superscript"/>
              </w:rPr>
              <w:t>(1)</w:t>
            </w:r>
          </w:p>
        </w:tc>
      </w:tr>
      <w:tr>
        <w:trPr>
          <w:trHeight w:val="213"/>
        </w:trPr>
        <w:tc>
          <w:tcPr>
            <w:tcW w:w="2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w:t>
            </w:r>
          </w:p>
        </w:tc>
        <w:tc>
          <w:tcPr>
            <w:tcW w:w="2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r>
      <w:tr>
        <w:trPr>
          <w:trHeight w:val="219"/>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by security holders</w:t>
            </w:r>
          </w:p>
        </w:tc>
        <w:tc>
          <w:tcPr>
            <w:tcW w:w="2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29,985,000</w:t>
            </w:r>
          </w:p>
        </w:tc>
      </w:tr>
      <w:tr>
        <w:trPr>
          <w:trHeight w:val="220"/>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Equity compensation plans not</w:t>
            </w: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206"/>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approved by security holders</w:t>
            </w:r>
          </w:p>
        </w:tc>
        <w:tc>
          <w:tcPr>
            <w:tcW w:w="2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2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29,985,000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-93980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-93980</wp:posOffset>
            </wp:positionV>
            <wp:extent cx="17494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spacing w:after="0" w:line="150"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Excludes securities reflected in column “Number of securities to be issued upon exercise of outstanding options, warrants, and rights.”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graph compares the cumulative total return for our shares (stock price change plus reinvested dividends) with the comparable return of three indices: S&amp;P Mid Cap 400, Dow Jones US Transportation Services, and Alerian Index. The graph assumes an investment of $100 in the Company's shares on May 14, 2015 and in each of the indices on April 30, 2015, and that all dividends were reinvested. The past performance of our shares is not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59055</wp:posOffset>
            </wp:positionV>
            <wp:extent cx="4905375" cy="38760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537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ind w:left="40"/>
              <w:spacing w:after="0"/>
              <w:rPr>
                <w:sz w:val="20"/>
                <w:szCs w:val="20"/>
                <w:color w:val="auto"/>
              </w:rPr>
            </w:pPr>
            <w:r>
              <w:rPr>
                <w:rFonts w:ascii="Arial" w:cs="Arial" w:eastAsia="Arial" w:hAnsi="Arial"/>
                <w:sz w:val="16"/>
                <w:szCs w:val="16"/>
                <w:i w:val="1"/>
                <w:iCs w:val="1"/>
                <w:color w:val="auto"/>
              </w:rPr>
              <w:t>(in whole dollars)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 Ending</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b w:val="1"/>
                <w:bCs w:val="1"/>
                <w:color w:val="auto"/>
              </w:rPr>
              <w:t>Index</w:t>
            </w:r>
          </w:p>
        </w:tc>
        <w:tc>
          <w:tcPr>
            <w:tcW w:w="280" w:type="dxa"/>
            <w:vAlign w:val="bottom"/>
          </w:tcPr>
          <w:p>
            <w:pPr>
              <w:spacing w:after="0"/>
              <w:rPr>
                <w:sz w:val="18"/>
                <w:szCs w:val="18"/>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auto"/>
              </w:rPr>
              <w:t>5/15/15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12/31/15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12/31/16</w:t>
            </w:r>
          </w:p>
        </w:tc>
      </w:tr>
      <w:tr>
        <w:trPr>
          <w:trHeight w:val="47"/>
        </w:trPr>
        <w:tc>
          <w:tcPr>
            <w:tcW w:w="7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Fortress Transportation &amp; Infrastructure Investors LLC</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91.78</w:t>
            </w:r>
          </w:p>
        </w:tc>
      </w:tr>
      <w:tr>
        <w:trPr>
          <w:trHeight w:val="224"/>
        </w:trPr>
        <w:tc>
          <w:tcPr>
            <w:tcW w:w="7100" w:type="dxa"/>
            <w:vAlign w:val="bottom"/>
          </w:tcPr>
          <w:p>
            <w:pPr>
              <w:ind w:left="40"/>
              <w:spacing w:after="0"/>
              <w:rPr>
                <w:sz w:val="20"/>
                <w:szCs w:val="20"/>
                <w:color w:val="auto"/>
              </w:rPr>
            </w:pPr>
            <w:r>
              <w:rPr>
                <w:rFonts w:ascii="Arial" w:cs="Arial" w:eastAsia="Arial" w:hAnsi="Arial"/>
                <w:sz w:val="16"/>
                <w:szCs w:val="16"/>
                <w:color w:val="auto"/>
              </w:rPr>
              <w:t>S&amp;P Midcap 400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94.29</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113.85</w:t>
            </w:r>
          </w:p>
        </w:tc>
      </w:tr>
      <w:tr>
        <w:trPr>
          <w:trHeight w:val="47"/>
        </w:trPr>
        <w:tc>
          <w:tcPr>
            <w:tcW w:w="7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Dow Jones US Transportation Services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94.62</w:t>
            </w:r>
          </w:p>
        </w:tc>
      </w:tr>
      <w:tr>
        <w:trPr>
          <w:trHeight w:val="224"/>
        </w:trPr>
        <w:tc>
          <w:tcPr>
            <w:tcW w:w="7100" w:type="dxa"/>
            <w:vAlign w:val="bottom"/>
          </w:tcPr>
          <w:p>
            <w:pPr>
              <w:ind w:left="40"/>
              <w:spacing w:after="0"/>
              <w:rPr>
                <w:sz w:val="20"/>
                <w:szCs w:val="20"/>
                <w:color w:val="auto"/>
              </w:rPr>
            </w:pPr>
            <w:r>
              <w:rPr>
                <w:rFonts w:ascii="Arial" w:cs="Arial" w:eastAsia="Arial" w:hAnsi="Arial"/>
                <w:sz w:val="16"/>
                <w:szCs w:val="16"/>
                <w:color w:val="auto"/>
              </w:rPr>
              <w:t>Alerian Index</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69.93</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85.87</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selected historical financial information set forth below as of and for the years ended December 31, 2016, 2015, 2014, 2013 and 2012 has been derived from our audited historical consolidated financial statements.</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completed an IPO on May 20, 2015 in which Fortress Worldwide Transportation and Infrastructure Investors LP, Fortress Worldwide Transportation and Infrastructure Offshore LP, and Fortress Worldwide Transportation and Infrastructure Master GP LLP (collectively the "Initial Shareholders"), immediately prior to the consummation of the IPO, received shares in proportion to their respective ownership percentages. As a result, the Company has retrospectively presented the shares outstanding for all prior periods presented.</w:t>
      </w:r>
    </w:p>
    <w:p>
      <w:pPr>
        <w:spacing w:after="0" w:line="7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information below should be read in conjunction with “Management's Discussion and Analysis of Financial Condition and Results of Operations,” included in Item 7 and the consolidated financial statements and notes thereto included in Item 8 in this Annual Report on Form 10-K.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2"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3"/>
              </w:rPr>
              <w:t>Year Ended December 31,</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9"/>
        </w:trPr>
        <w:tc>
          <w:tcPr>
            <w:tcW w:w="4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8"/>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60" w:type="dxa"/>
            <w:vAlign w:val="bottom"/>
            <w:gridSpan w:val="7"/>
          </w:tcPr>
          <w:p>
            <w:pPr>
              <w:jc w:val="center"/>
              <w:ind w:left="428"/>
              <w:spacing w:after="0"/>
              <w:rPr>
                <w:sz w:val="20"/>
                <w:szCs w:val="20"/>
                <w:color w:val="auto"/>
              </w:rPr>
            </w:pPr>
            <w:r>
              <w:rPr>
                <w:rFonts w:ascii="Arial" w:cs="Arial" w:eastAsia="Arial" w:hAnsi="Arial"/>
                <w:sz w:val="14"/>
                <w:szCs w:val="14"/>
                <w:color w:val="auto"/>
                <w:w w:val="90"/>
              </w:rPr>
              <w:t>(in thousands except share and per share data)</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69,736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64,883</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27,681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Maintenance revenue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28,697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17,286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5,964</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2,255</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8,747</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1,827</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1,014</w:t>
            </w: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3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101,949</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92,743</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43,984</w:t>
            </w:r>
          </w:p>
        </w:tc>
        <w:tc>
          <w:tcPr>
            <w:tcW w:w="12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19,530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3,489</w:t>
            </w:r>
          </w:p>
        </w:tc>
      </w:tr>
      <w:tr>
        <w:trPr>
          <w:trHeight w:val="258"/>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Lease income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80"/>
              <w:spacing w:after="0"/>
              <w:rPr>
                <w:sz w:val="20"/>
                <w:szCs w:val="20"/>
                <w:color w:val="auto"/>
              </w:rPr>
            </w:pPr>
            <w:r>
              <w:rPr>
                <w:rFonts w:ascii="Arial" w:cs="Arial" w:eastAsia="Arial" w:hAnsi="Arial"/>
                <w:sz w:val="14"/>
                <w:szCs w:val="14"/>
                <w:color w:val="auto"/>
              </w:rPr>
              <w:t>Rail revenues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30,837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25,550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9,969</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Terminal services revenues</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15,902</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13,655</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2,652</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46,771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43,825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13,946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148,720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136,568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57,930</w:t>
            </w:r>
          </w:p>
        </w:tc>
        <w:tc>
          <w:tcPr>
            <w:tcW w:w="12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19,530</w:t>
            </w: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3,489</w:t>
            </w:r>
          </w:p>
        </w:tc>
      </w:tr>
      <w:tr>
        <w:trPr>
          <w:trHeight w:val="216"/>
        </w:trPr>
        <w:tc>
          <w:tcPr>
            <w:tcW w:w="4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66,169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68,793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27,223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2,451</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12,314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7,568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Acquisition and transaction expenses</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6,316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5,683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11,450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15,018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5,463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60,210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45,308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15,998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3,909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887</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18,957</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19,311</w:t>
            </w: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5,872</w:t>
            </w:r>
          </w:p>
        </w:tc>
        <w:tc>
          <w:tcPr>
            <w:tcW w:w="120" w:type="dxa"/>
            <w:vAlign w:val="bottom"/>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2,816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4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180,708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161,681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68,013</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13,158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4,457</w:t>
            </w:r>
          </w:p>
        </w:tc>
      </w:tr>
      <w:tr>
        <w:trPr>
          <w:trHeight w:val="216"/>
        </w:trPr>
        <w:tc>
          <w:tcPr>
            <w:tcW w:w="4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 earnings of unconsolidated entities</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6,093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3,162</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Gain on sale of equipment, net</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5,941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3,419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7,576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Asset impairment</w:t>
            </w:r>
          </w:p>
        </w:tc>
        <w:tc>
          <w:tcPr>
            <w:tcW w:w="34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unconsolidated entity</w:t>
            </w:r>
          </w:p>
        </w:tc>
        <w:tc>
          <w:tcPr>
            <w:tcW w:w="34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579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3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(8,342)</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(2,932)</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13,875</w:t>
            </w:r>
          </w:p>
        </w:tc>
        <w:tc>
          <w:tcPr>
            <w:tcW w:w="12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18,907</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3,162</w:t>
            </w: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(40,330)</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(28,045)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3,792</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25,279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r>
      <w:tr>
        <w:trPr>
          <w:trHeight w:val="250"/>
        </w:trPr>
        <w:tc>
          <w:tcPr>
            <w:tcW w:w="412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34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586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(40,598)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(28,631)</w:t>
            </w:r>
          </w:p>
        </w:tc>
        <w:tc>
          <w:tcPr>
            <w:tcW w:w="60" w:type="dxa"/>
            <w:vAlign w:val="bottom"/>
            <w:tcBorders>
              <w:top w:val="single" w:sz="8" w:color="auto"/>
              <w:bottom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2,918</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25,279</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r>
      <w:tr>
        <w:trPr>
          <w:trHeight w:val="137"/>
        </w:trPr>
        <w:tc>
          <w:tcPr>
            <w:tcW w:w="4120" w:type="dxa"/>
            <w:vAlign w:val="bottom"/>
          </w:tcPr>
          <w:p>
            <w:pPr>
              <w:ind w:left="40"/>
              <w:spacing w:after="0" w:line="137" w:lineRule="exact"/>
              <w:rPr>
                <w:sz w:val="20"/>
                <w:szCs w:val="20"/>
                <w:color w:val="auto"/>
              </w:rPr>
            </w:pPr>
            <w:r>
              <w:rPr>
                <w:rFonts w:ascii="Arial" w:cs="Arial" w:eastAsia="Arial" w:hAnsi="Arial"/>
                <w:sz w:val="14"/>
                <w:szCs w:val="14"/>
                <w:color w:val="auto"/>
              </w:rPr>
              <w:t>Less: Net (loss) income attributable to non-controlling interest in</w:t>
            </w: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88"/>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consolidated subsidiaries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(20,534)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(16,805)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(20,064)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7,780</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24,821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2,194</w:t>
            </w:r>
          </w:p>
        </w:tc>
      </w:tr>
      <w:tr>
        <w:trPr>
          <w:trHeight w:val="553"/>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Earnings per Share:</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Basic</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(0.18)</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22"/>
                <w:szCs w:val="22"/>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0.04</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Diluted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0.04</w:t>
            </w: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75,738,698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67,039,439</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53,502,873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53,502,873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53,502,873</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75,738,698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67,039,439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53,502,873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53,502,873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53,502,873</w:t>
            </w: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 of common stock</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0.48</w:t>
            </w: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328930</wp:posOffset>
            </wp:positionV>
            <wp:extent cx="46310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62"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9"/>
        </w:trPr>
        <w:tc>
          <w:tcPr>
            <w:tcW w:w="4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58"/>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w w:val="96"/>
              </w:rPr>
              <w:t>2013</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60" w:type="dxa"/>
            <w:vAlign w:val="bottom"/>
            <w:gridSpan w:val="4"/>
          </w:tcPr>
          <w:p>
            <w:pPr>
              <w:jc w:val="right"/>
              <w:spacing w:after="0"/>
              <w:rPr>
                <w:sz w:val="20"/>
                <w:szCs w:val="20"/>
                <w:color w:val="auto"/>
              </w:rPr>
            </w:pPr>
            <w:r>
              <w:rPr>
                <w:rFonts w:ascii="Arial" w:cs="Arial" w:eastAsia="Arial" w:hAnsi="Arial"/>
                <w:sz w:val="14"/>
                <w:szCs w:val="14"/>
                <w:color w:val="auto"/>
              </w:rPr>
              <w:t>(in thousands except share and per share data)</w:t>
            </w: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Total Assets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1,547,312</w:t>
            </w: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1,644,805</w:t>
            </w:r>
          </w:p>
        </w:tc>
        <w:tc>
          <w:tcPr>
            <w:tcW w:w="4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1,399,821</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278,031</w:t>
            </w: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170,016</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Debt, net</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259,512</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266,221</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587,948</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72,772</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55,433</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340" w:type="dxa"/>
            <w:vAlign w:val="bottom"/>
          </w:tcPr>
          <w:p>
            <w:pPr>
              <w:spacing w:after="0"/>
              <w:rPr>
                <w:sz w:val="22"/>
                <w:szCs w:val="22"/>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381,632</w:t>
            </w:r>
          </w:p>
        </w:tc>
        <w:tc>
          <w:tcPr>
            <w:tcW w:w="40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354,119</w:t>
            </w:r>
          </w:p>
        </w:tc>
        <w:tc>
          <w:tcPr>
            <w:tcW w:w="480" w:type="dxa"/>
            <w:vAlign w:val="bottom"/>
          </w:tcPr>
          <w:p>
            <w:pPr>
              <w:spacing w:after="0"/>
              <w:rPr>
                <w:sz w:val="22"/>
                <w:szCs w:val="22"/>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686,324</w:t>
            </w:r>
          </w:p>
        </w:tc>
        <w:tc>
          <w:tcPr>
            <w:tcW w:w="50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82,147</w:t>
            </w:r>
          </w:p>
        </w:tc>
        <w:tc>
          <w:tcPr>
            <w:tcW w:w="38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58,001</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1,165,680</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1,290,686</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713,497</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195,884</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112,015</w:t>
            </w:r>
          </w:p>
        </w:tc>
      </w:tr>
      <w:tr>
        <w:trPr>
          <w:trHeight w:val="324"/>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Net cash provided by (used in):</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30,903</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23,528</w:t>
            </w:r>
          </w:p>
        </w:tc>
        <w:tc>
          <w:tcPr>
            <w:tcW w:w="4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(31,551)</w:t>
            </w: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11,913</w:t>
            </w:r>
          </w:p>
        </w:tc>
        <w:tc>
          <w:tcPr>
            <w:tcW w:w="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r>
      <w:tr>
        <w:trPr>
          <w:trHeight w:val="264"/>
        </w:trPr>
        <w:tc>
          <w:tcPr>
            <w:tcW w:w="4120" w:type="dxa"/>
            <w:vAlign w:val="bottom"/>
          </w:tcPr>
          <w:p>
            <w:pPr>
              <w:ind w:left="500"/>
              <w:spacing w:after="0"/>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(213,098)</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(239,921)</w:t>
            </w:r>
          </w:p>
        </w:tc>
        <w:tc>
          <w:tcPr>
            <w:tcW w:w="480" w:type="dxa"/>
            <w:vAlign w:val="bottom"/>
          </w:tcPr>
          <w:p>
            <w:pPr>
              <w:spacing w:after="0"/>
              <w:rPr>
                <w:sz w:val="22"/>
                <w:szCs w:val="22"/>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(571,416)</w:t>
            </w:r>
          </w:p>
        </w:tc>
        <w:tc>
          <w:tcPr>
            <w:tcW w:w="5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(87,765)</w:t>
            </w:r>
          </w:p>
        </w:tc>
        <w:tc>
          <w:tcPr>
            <w:tcW w:w="3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(149,554)</w:t>
            </w:r>
          </w:p>
        </w:tc>
      </w:tr>
      <w:tr>
        <w:trPr>
          <w:trHeight w:val="276"/>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Financing activities</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(131,453)</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575,971</w:t>
            </w:r>
          </w:p>
        </w:tc>
        <w:tc>
          <w:tcPr>
            <w:tcW w:w="4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617,856</w:t>
            </w: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78,964</w:t>
            </w: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154,599</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2773045</wp:posOffset>
            </wp:positionH>
            <wp:positionV relativeFrom="page">
              <wp:posOffset>328930</wp:posOffset>
            </wp:positionV>
            <wp:extent cx="46310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consolidated financial statements and the accompanying notes, and with Part I, Item 1A, “Risk Factors” and “Forward-Looking Statements” included elsewhere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December 31, 2016, we had total consolidated assets of $1.5 billion and total equity of $1.2 billion.</w:t>
      </w:r>
    </w:p>
    <w:p>
      <w:pPr>
        <w:spacing w:after="0" w:line="1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the Company. In November 2015, the Onshore Fund and the Offshore Fund each distributed to their respective limited partners the common shares allocated to their limited partners in accordance with their respective limited partnership agreements.</w:t>
      </w:r>
    </w:p>
    <w:p>
      <w:pPr>
        <w:spacing w:after="0" w:line="3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7"/>
          <w:szCs w:val="17"/>
          <w:color w:val="auto"/>
        </w:rPr>
        <w:t>On May 20, 2015, we completed an IPO of 20 million common shares at a price to the public of $17.00 per share. On June 15, 2015, the underwriters exercised their overallotment option, pursuant to which we issued an additional 2.2 million shares to such underwriters at the IPO price.</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used and intends to use the net proceeds from the IPO, together with other sources of capital and liquidity, for the acquisition of new assets in the sectors the Company currently invests in, as well as to opportunistically acquire assets across the entire transportation and transportation-related infrastructure and equipment market. In addition, the Company may use such net proceeds for follow-on investments in existing assets, working capital and other general purposes.</w:t>
      </w:r>
    </w:p>
    <w:p>
      <w:pPr>
        <w:spacing w:after="0" w:line="25"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7"/>
          <w:szCs w:val="17"/>
          <w:color w:val="auto"/>
        </w:rPr>
        <w:t>While our strategy permits us to acquire a broad array of transportation-related assets, we are currently active in four sectors where we believe there are meaningful opportunities to deploy capital to achieve attractive risk adjusted returns: aviation, energy, intermodal transport and rail.</w:t>
      </w:r>
    </w:p>
    <w:p>
      <w:pPr>
        <w:spacing w:after="0" w:line="1"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air travel and air freight activity have historically been long-term growth sectors and are tied to the underlying demand for passenger and freight movement. We continue to see strong demand for aviation related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62" w:right="239" w:bottom="1440" w:gutter="0" w:footer="0" w:header="0"/>
        </w:sectPr>
      </w:pPr>
    </w:p>
    <w:bookmarkStart w:id="39" w:name="page40"/>
    <w:bookmarkEnd w:id="39"/>
    <w:p>
      <w:pPr>
        <w:jc w:val="both"/>
        <w:ind w:left="980" w:hanging="324"/>
        <w:spacing w:after="0" w:line="272"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Within the energy infrastructure and transportation equipment market, we are focused on two sub-sectors: land-based infrastructure and offshore energy service equipment. Land-based infrastructure refers to facilities that enable the storage, unloading, loading and movement of crude oil and refined products from producers to end users, such as refineries. Customers of land-based infrastructure typically purchase capacity on a take-or-pay basis, and the economics of these assets directly relate to the volume of throughput. Offshore energy service equipment refers to vessels supporting the extraction, processing and transportation of oil and natural gas from deposits located beneath the sea floor. The recent oil price decline has led to oil and gas companies reducing and deferring spending decisions, creating an oversupply of offshore energy assets, and in turn, lower day-rates, utilization and earnings for offshore service companies.</w:t>
      </w:r>
    </w:p>
    <w:p>
      <w:pPr>
        <w:spacing w:after="0" w:line="15"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intermodal transport market includes the efficient movement of goods throughout multiple modes of transportation, making it possible to move cargo from a point of origin to a final destination without repeated unpacking and repacking. Over the last year, the significant drop in commodity prices has led to a decline in new container prices which has led to lower lease rates and residual values.</w:t>
      </w:r>
    </w:p>
    <w:p>
      <w:pPr>
        <w:spacing w:after="0" w:line="3" w:lineRule="exact"/>
        <w:rPr>
          <w:rFonts w:ascii="Arial" w:cs="Arial" w:eastAsia="Arial" w:hAnsi="Arial"/>
          <w:sz w:val="17"/>
          <w:szCs w:val="17"/>
          <w:color w:val="auto"/>
        </w:rPr>
      </w:pPr>
    </w:p>
    <w:p>
      <w:pPr>
        <w:jc w:val="both"/>
        <w:ind w:left="980" w:hanging="324"/>
        <w:spacing w:after="0" w:line="312" w:lineRule="auto"/>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Rail refers to the railroad industry, which has increased its share of freight ton-miles compared to other forms of freight transportation over the past quarter century. This infrastructure, most of which was originally established over 100 years ago, represents a limited supply of assets and a difficult-to-replicate network. We continue to see increased volumes and efficiencies on our network since our investment in CMQR in 2014.</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8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Corporate operating segment primarily consists of unallocated corporate general and administrative expenses, management fees and the recent purchase of the Repauno for a cash purchase price of $24 million, which consisted primarily of land, a storage cavern, and riparian rights.</w:t>
      </w:r>
    </w:p>
    <w:p>
      <w:pPr>
        <w:spacing w:after="0" w:line="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3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Chief Operating Decision Maker (“CODM”) utilizes Adjusted Net Income as the key performance measure. This performance measure provides the CODM with the information necessary to assess operational performance, as well as make resource and allocation decisions.</w:t>
      </w:r>
    </w:p>
    <w:p>
      <w:pPr>
        <w:spacing w:after="0" w:line="62"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jc w:val="both"/>
        <w:ind w:firstLine="8"/>
        <w:spacing w:after="0" w:line="254" w:lineRule="auto"/>
        <w:tabs>
          <w:tab w:leader="none" w:pos="25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include the impact of cash income tax payments, and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(Non-GAAP)</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8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ind w:right="20" w:firstLine="8"/>
        <w:spacing w:after="0" w:line="261" w:lineRule="auto"/>
        <w:tabs>
          <w:tab w:leader="none" w:pos="2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include the impact of our pro-rata share of Adjusted EBITDA from unconsolidated entities, and (c) to exclude the impact of equity in earnings of unconsolidated entities and the non-controlling share of Adjusted EBITDA.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2016 to the year ended December 31, 2015</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loss attributable to shareholders to Adjusted Net Income (Loss) for the year ended December 31, 2016 and December 31, 2015: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69,736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28,697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17,286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11,411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101,949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92,743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9,206</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(4,588)</w:t>
            </w:r>
          </w:p>
        </w:tc>
      </w:tr>
      <w:tr>
        <w:trPr>
          <w:trHeight w:val="237"/>
        </w:trPr>
        <w:tc>
          <w:tcPr>
            <w:tcW w:w="640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30,837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5,287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46,771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43,825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2,946</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148,720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136,568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12,152</w:t>
            </w:r>
          </w:p>
        </w:tc>
      </w:tr>
      <w:tr>
        <w:trPr>
          <w:trHeight w:val="20"/>
        </w:trPr>
        <w:tc>
          <w:tcPr>
            <w:tcW w:w="6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88"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66,169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68,793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4,746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6,316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16,742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60,210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45,308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14,902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18,957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19,311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180,708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161,681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19,027</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expense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Gain on sale of equipment and finance leases, net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5,941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2,522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Asset impairment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(5,410)</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(40,330)</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(28,045)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(12,285)</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(40,598)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(28,631)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(11,967)</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(3,729)</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(20,064)</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(11,826)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(8,238)</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Equity-based compensation expense (income)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(3,672)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(8,334)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6,316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1,579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Net Income (Loss) from unconsolidated entities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(6,457)</w:t>
            </w:r>
          </w:p>
        </w:tc>
        <w:tc>
          <w:tcPr>
            <w:tcW w:w="0" w:type="dxa"/>
            <w:vAlign w:val="bottom"/>
          </w:tcPr>
          <w:p>
            <w:pPr>
              <w:spacing w:after="0"/>
              <w:rPr>
                <w:sz w:val="1"/>
                <w:szCs w:val="1"/>
                <w:color w:val="auto"/>
              </w:rPr>
            </w:pPr>
          </w:p>
        </w:tc>
      </w:tr>
      <w:tr>
        <w:trPr>
          <w:trHeight w:val="61"/>
        </w:trPr>
        <w:tc>
          <w:tcPr>
            <w:tcW w:w="64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10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26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losses of unconsolidated entities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5,992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(964)</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(Loss) </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(8,632)</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7,787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(16,419)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4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00" w:right="20" w:hanging="492"/>
        <w:spacing w:after="0" w:line="256" w:lineRule="auto"/>
        <w:tabs>
          <w:tab w:leader="none" w:pos="141" w:val="left"/>
        </w:tabs>
        <w:numPr>
          <w:ilvl w:val="0"/>
          <w:numId w:val="21"/>
        </w:numPr>
        <w:rPr>
          <w:rFonts w:ascii="Arial" w:cs="Arial" w:eastAsia="Arial" w:hAnsi="Arial"/>
          <w:sz w:val="9"/>
          <w:szCs w:val="9"/>
          <w:color w:val="auto"/>
        </w:rPr>
      </w:pPr>
      <w:r>
        <w:rPr>
          <w:rFonts w:ascii="Arial" w:cs="Arial" w:eastAsia="Arial" w:hAnsi="Arial"/>
          <w:sz w:val="14"/>
          <w:szCs w:val="14"/>
          <w:color w:val="auto"/>
        </w:rPr>
        <w:t>Pro-rata share of Adjusted Net Income (Loss) from unconsolidated entities for the years ended December 31, 2016 and 2015 includes the Company’s proportionate share of the unconsolidated entities’ asset impairment charges of $3,068 and $10,508, respectively.</w:t>
      </w:r>
    </w:p>
    <w:p>
      <w:pPr>
        <w:spacing w:after="0" w:line="21" w:lineRule="exact"/>
        <w:rPr>
          <w:rFonts w:ascii="Arial" w:cs="Arial" w:eastAsia="Arial" w:hAnsi="Arial"/>
          <w:sz w:val="9"/>
          <w:szCs w:val="9"/>
          <w:color w:val="auto"/>
        </w:rPr>
      </w:pPr>
    </w:p>
    <w:p>
      <w:pPr>
        <w:ind w:left="500" w:hanging="492"/>
        <w:spacing w:after="0" w:line="305" w:lineRule="auto"/>
        <w:tabs>
          <w:tab w:leader="none" w:pos="154" w:val="left"/>
        </w:tabs>
        <w:numPr>
          <w:ilvl w:val="0"/>
          <w:numId w:val="21"/>
        </w:numPr>
        <w:rPr>
          <w:rFonts w:ascii="Arial" w:cs="Arial" w:eastAsia="Arial" w:hAnsi="Arial"/>
          <w:sz w:val="17"/>
          <w:szCs w:val="17"/>
          <w:color w:val="auto"/>
          <w:vertAlign w:val="superscript"/>
        </w:rPr>
      </w:pPr>
      <w:r>
        <w:rPr>
          <w:rFonts w:ascii="Arial" w:cs="Arial" w:eastAsia="Arial" w:hAnsi="Arial"/>
          <w:sz w:val="14"/>
          <w:szCs w:val="14"/>
          <w:color w:val="auto"/>
        </w:rPr>
        <w:t>Non-controlling share of Adjusted Net Income (Loss) is comprised of the following for the years ended December 31, 2016 and 2015: (i) equity-based compensation of $(1,561) and $1,387, (ii) provision for income tax of $29 and $16, (iii) loss on extinguishment of debt of $616 and $0, (iv) asset impairment charges of $3,725 and $0, (v) transaction and acquisition expense of $156 and $0 less (vi) cash tax payments of $20 and $70,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39"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year ended December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(8,238)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6,316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(3)</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65,656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52,324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13,332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18,957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19,311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(4)</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losses of unconsolidated entities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5,992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(964)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(5)</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69,028</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72,622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(3,594)</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500" w:hanging="492"/>
        <w:spacing w:after="0" w:line="255" w:lineRule="auto"/>
        <w:tabs>
          <w:tab w:leader="none" w:pos="155" w:val="left"/>
        </w:tabs>
        <w:numPr>
          <w:ilvl w:val="0"/>
          <w:numId w:val="22"/>
        </w:numPr>
        <w:rPr>
          <w:rFonts w:ascii="Arial" w:cs="Arial" w:eastAsia="Arial" w:hAnsi="Arial"/>
          <w:sz w:val="9"/>
          <w:szCs w:val="9"/>
          <w:color w:val="auto"/>
        </w:rPr>
      </w:pPr>
      <w:r>
        <w:rPr>
          <w:rFonts w:ascii="Arial" w:cs="Arial" w:eastAsia="Arial" w:hAnsi="Arial"/>
          <w:sz w:val="14"/>
          <w:szCs w:val="14"/>
          <w:color w:val="auto"/>
        </w:rPr>
        <w:t>Depreciation and amortization expense includes $60,210 and $45,308 of depreciation and amortization expense, $4,979 and $6,774 of lease intangible amortization, and $467 and $242 of amortization for lease incentives in the year ended December 31, 2016 and 2015, respectively.</w:t>
      </w:r>
    </w:p>
    <w:p>
      <w:pPr>
        <w:spacing w:after="0" w:line="132" w:lineRule="exact"/>
        <w:rPr>
          <w:rFonts w:ascii="Arial" w:cs="Arial" w:eastAsia="Arial" w:hAnsi="Arial"/>
          <w:sz w:val="9"/>
          <w:szCs w:val="9"/>
          <w:color w:val="auto"/>
        </w:rPr>
      </w:pPr>
    </w:p>
    <w:p>
      <w:pPr>
        <w:ind w:left="500" w:hanging="492"/>
        <w:spacing w:after="0" w:line="312" w:lineRule="auto"/>
        <w:tabs>
          <w:tab w:leader="none" w:pos="164" w:val="left"/>
        </w:tabs>
        <w:numPr>
          <w:ilvl w:val="0"/>
          <w:numId w:val="22"/>
        </w:numPr>
        <w:rPr>
          <w:rFonts w:ascii="Arial" w:cs="Arial" w:eastAsia="Arial" w:hAnsi="Arial"/>
          <w:sz w:val="8"/>
          <w:szCs w:val="8"/>
          <w:color w:val="auto"/>
        </w:rPr>
      </w:pPr>
      <w:r>
        <w:rPr>
          <w:rFonts w:ascii="Arial" w:cs="Arial" w:eastAsia="Arial" w:hAnsi="Arial"/>
          <w:sz w:val="13"/>
          <w:szCs w:val="13"/>
          <w:color w:val="auto"/>
        </w:rPr>
        <w:t>Pro-rata share of Adjusted EBITDA from unconsolidated entities includes the following items for the year ended December 31, 2016 and 2015: (i) net income (loss) of $(6,161) and $(7,165), (ii) interest expense of $1,323 and $1,778, (iii) depreciation and amortization expense of $2,966 and $1,866, and (iv) asset impairment charges of $3,068 and $10,508, respectively.</w:t>
      </w:r>
    </w:p>
    <w:p>
      <w:pPr>
        <w:spacing w:after="0" w:line="97" w:lineRule="exact"/>
        <w:rPr>
          <w:rFonts w:ascii="Arial" w:cs="Arial" w:eastAsia="Arial" w:hAnsi="Arial"/>
          <w:sz w:val="8"/>
          <w:szCs w:val="8"/>
          <w:color w:val="auto"/>
        </w:rPr>
      </w:pPr>
    </w:p>
    <w:p>
      <w:pPr>
        <w:ind w:left="500" w:hanging="492"/>
        <w:spacing w:after="0" w:line="257" w:lineRule="auto"/>
        <w:tabs>
          <w:tab w:leader="none" w:pos="168" w:val="left"/>
        </w:tabs>
        <w:numPr>
          <w:ilvl w:val="0"/>
          <w:numId w:val="22"/>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 ended December 31, 2016 and 2015: (i) equity based compensation of $(1,561) and $1,387, (ii) provision for income taxes of $29 and $16, (iii) interest expense of $5,124 and $4,926, (iv) depreciation and amortization expense of $6,564 and $5,746, (v) loss on extinguishment of debt of $616 and $0, (vi) asset impairment charge of $3,725 and $0, and (vii) transaction and acquisition expense of $156 and $0,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For the year ended December 31, 2016 total revenues increased by $12,152 compared to the year ended December 31, 2015 driven mainly by higher revenues in the Aviation and Railroad segments offset by lower revenues in the Offshore Energy, Shipping Containers and Jefferson Terminal segments.</w:t>
      </w:r>
    </w:p>
    <w:p>
      <w:pPr>
        <w:spacing w:after="0" w:line="16"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In Equipment Leasing, lease income increased by $4,853 in the year ended December 31, 2016 as compared to the year ended December 31, 2015 driven by an increase in assets on lease in the Aviation Leasing segment. The Offshore Energy segment offset the increase in the lease income as certain vessels were off hire, subject to short term lease arrangements and due to lower lease rates as a result of unfavorable market conditions. Maintenance revenue increased by $11,411 in the year ended December 31, 2016 as compared to the year ended December 31, 2015 as we increased the number of aircraft and engines subject to leases with maintenance arrangements. Our increase in lease income and maintenance revenues were offset by a $6,024 decrease in finance income for the year ended December 31, 2016 as compared to the year ended December 31, 2015 primarily driven by the sale of 42,000 shipping containers during the first quarter of 2016 and lower finance lease income as a result of the amortization of the underlying principal balances. Additionally, other revenues decreased by $1,034 mainly as a result of declining market conditions in the Offshore Energy segment as we continue to seek favorable leases.</w:t>
      </w:r>
    </w:p>
    <w:p>
      <w:pPr>
        <w:spacing w:after="0" w:line="58"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In Infrastructure, rail revenues increased by $5,287 in the year ended December 31, 2016 as compared to the year ended December 31, 2015 due to an increase in traffic and expanded service offerings by our Railroad segment. The Jefferson Terminal segment had an increase in terminal service revenue of $2,247 in the year ended December 31, 2016 as compared to the year ended December 31, 2015 primarily due to a higher tank lease revenue as a result of new lease contracts. The aforementioned increases were offset by a decrease in lease income of $4,588 in the year ended December 31, 2016 as compared to the year ended December 31, 2015 due to the expiration of the railcar lease arrangement in the second half of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For the year ended December 31, 2016, total expenses increased by $19,027 compared to the year ended December 31, 2015 mainly due to increases in general and administrative expenses and depreciation and amortization, which were offset by a decrease in operating expenses and interest expense.</w:t>
      </w:r>
    </w:p>
    <w:p>
      <w:pPr>
        <w:spacing w:after="0" w:line="1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General and administrative expenses increased by $4,746 in the year ended December 31, 2016 as compared to the year ended December 31, 2015 attributable to the higher reimbursements to our Manager, pursuant to new agreements put in place subsequent to our IPO in May of 2015.</w:t>
      </w:r>
    </w:p>
    <w:p>
      <w:pPr>
        <w:spacing w:after="0" w:line="3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Depreciation and amortization increased by $14,902 in the year ended December 31, 2016 as compared to the year ended December 31, 2015 primarily due to additional assets acquired in the Aviation Leasing segment and assets placed into service in the Jefferson Terminal segment.</w:t>
      </w:r>
    </w:p>
    <w:p>
      <w:pPr>
        <w:spacing w:after="0" w:line="3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Operating expenses decreased by $2,624 in the year ended December 31, 2016 as compared to the year ended December 31, 2015 primarily due to a decrease in (i) stock compensation of $8,311 and (ii) facility operations of $5,211 primarily in the Jefferson Terminal segment due to lower volumes. Offsetting the decrease were higher (i) operating taxes of $1,776 primarily due to additional property, plant and equipment placed into service in the Jefferson Terminal segment, (ii) higher operating expenses of $7,065 primarily in to the Offshore Energy segment since, due to the short term nature of the lease arrangements operating expenses are borne by us, (iii) environmental cleanup costs of $578 in the Jefferson Terminal segment net of insurance reimbursements (iv) professional fees of $673 primarily in Offshore Energy and Aviation, (v) compensation and benefits of $796, and (vi) incurred expenses from our growing business units, including Repauno.</w:t>
      </w:r>
    </w:p>
    <w:p>
      <w:pPr>
        <w:spacing w:after="0" w:line="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Interest expense decreased by $354 in the year ended December 31, 2016 as compared to the year ended December 31, 2015 primarily driven by Shipping Containers due to lower principal balances on the term loans, along with the termination of the term loan in conjunction with the sale of the shipping containers during the first quarter of 2016. The decrease was offset by the Dock and Wharf Facility Revenue Bonds, Series 2016 (the “Series 2016 Bonds”) issued in March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Total other expenses increased by $5,410 in the year ended December 31, 2016 as compared to the year ended December 31, 2015 primarily due to an asset impairment charge of $7,450 as we determined not to proceed with the purchase of the MT6015 Vessel (Note 2 of our consolidated financial statements). Additionally, we recognized a $1,579 loss on extinguishment of debt due to an early repayment of debt in the Jefferson Terminal segment. The aforementioned increases in other expenses were offset by a $964 decrease in losses of unconsolidated entities primarily related to a shipping container joint venture in the year ended December 31, 2016 as compared to the year ended December 31, 2015 primarily due to a higher asset impairment charge recorded by the shipping container joint venture during 2015. The increases in other expenses were additionally offset by higher gains on sale of aviation equipment and finance leases of $2,522 in the year ended December 31, 2016 as compared to the year ended December 31,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Net loss attributable to shareholders increased by $8,238 in the year ended December 31, 2016 as compared to the year ended December 31, 2015 driven primarily by the changes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 Income</w:t>
      </w:r>
    </w:p>
    <w:p>
      <w:pPr>
        <w:spacing w:after="0" w:line="117" w:lineRule="exact"/>
        <w:rPr>
          <w:sz w:val="20"/>
          <w:szCs w:val="20"/>
          <w:color w:val="auto"/>
        </w:rPr>
      </w:pPr>
    </w:p>
    <w:p>
      <w:pPr>
        <w:jc w:val="both"/>
        <w:ind w:firstLine="486"/>
        <w:spacing w:after="0" w:line="310" w:lineRule="auto"/>
        <w:rPr>
          <w:sz w:val="20"/>
          <w:szCs w:val="20"/>
          <w:color w:val="auto"/>
        </w:rPr>
      </w:pPr>
      <w:r>
        <w:rPr>
          <w:rFonts w:ascii="Arial" w:cs="Arial" w:eastAsia="Arial" w:hAnsi="Arial"/>
          <w:sz w:val="15"/>
          <w:szCs w:val="15"/>
          <w:color w:val="auto"/>
        </w:rPr>
        <w:t>Adjusted net income decreased by $16,419 in the year ended December 31, 2016 as compared to the year ended December 31, 2015, in addition to the changes in revenue, expenses and other expenses noted above, the decrease in the period was driven by a decrease in (i) equity based compensation of $8,334,</w:t>
      </w:r>
    </w:p>
    <w:p>
      <w:pPr>
        <w:spacing w:after="0" w:line="1" w:lineRule="exact"/>
        <w:rPr>
          <w:sz w:val="20"/>
          <w:szCs w:val="20"/>
          <w:color w:val="auto"/>
        </w:rPr>
      </w:pPr>
    </w:p>
    <w:p>
      <w:pPr>
        <w:ind w:firstLine="8"/>
        <w:spacing w:after="0" w:line="323" w:lineRule="auto"/>
        <w:tabs>
          <w:tab w:leader="none" w:pos="268"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pro-rata share of Adjusted Net Income of $6,457, (iii) losses of unconsolidated entities of $964, and (iv) non-controlling share of Adjusted Net income of $1,612. The decrease was offset by an increase in in asset impairment charges of $7,450 and losses from the extinguishment of debt of $1,579.</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EBITDA was $69,028 for the year ended December 31, 2016 decreasing by $3,594 as compared to the year ended December 31, 2015. In addition to the changes in revenue, expenses and other losses noted above, which resulted in a net loss attributable to shareholders, the change was primarily due to (i) the pro-rata share of Adjusted EBITDA from unconsolidated entities, (ii) lower equity-based compensation and (iii) lower non-controlling share of Adjusted EBITDA, and (iv) equity in earnings of unconsolidated entities.</w:t>
      </w:r>
    </w:p>
    <w:p>
      <w:pPr>
        <w:spacing w:after="0" w:line="7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change was offset by depreciation and amortization expense from additional assets acquired and placed into service, and interest expense on borrowings executed in the first quarter of 2016. Additionally, for the year ended December 31, 2016, there was an increase in the asset impairment changes and losses from the extinguishment of debt.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2016, in our Aviation Leasing segment, we own and manage 92 aviation assets, including 26 aircraft and 66 commercial jet engines.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December 31, 2016, 24 of our commercial aircraft and 46 of our jet engines were leased to operators or other third parties. Aviation assets currently off lease are either undergoing repair and/or maintenance, being prepared to go on lease or held in short term storage awaiting a future lease. Our aviation equipment was approximately 85% utilized as of December 31, 2016, based on the equity value of our on-hire leasing equipment as a percentage of the total equity value of our aviation leasing equipment. Our aircraft currently have a weighted average remaining lease term of 31 months, and our jet engines currently on-lease have an average remaining lease term of 12 months. The table below provides additional information on the assets in our Aviation Leasing segment: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8"/>
                <w:szCs w:val="18"/>
                <w:b w:val="1"/>
                <w:bCs w:val="1"/>
                <w:color w:val="FFFFFF"/>
              </w:rPr>
              <w:t>Aviation Assets</w:t>
            </w:r>
          </w:p>
        </w:tc>
        <w:tc>
          <w:tcPr>
            <w:tcW w:w="2300" w:type="dxa"/>
            <w:vAlign w:val="bottom"/>
            <w:gridSpan w:val="2"/>
            <w:shd w:val="clear" w:color="auto" w:fill="00497F"/>
          </w:tcPr>
          <w:p>
            <w:pPr>
              <w:ind w:left="700"/>
              <w:spacing w:after="0"/>
              <w:rPr>
                <w:sz w:val="20"/>
                <w:szCs w:val="20"/>
                <w:color w:val="auto"/>
              </w:rPr>
            </w:pPr>
            <w:r>
              <w:rPr>
                <w:rFonts w:ascii="Arial" w:cs="Arial" w:eastAsia="Arial" w:hAnsi="Arial"/>
                <w:sz w:val="18"/>
                <w:szCs w:val="18"/>
                <w:b w:val="1"/>
                <w:bCs w:val="1"/>
                <w:color w:val="FFFFFF"/>
              </w:rPr>
              <w:t>Widebody</w:t>
            </w:r>
          </w:p>
        </w:tc>
        <w:tc>
          <w:tcPr>
            <w:tcW w:w="2260" w:type="dxa"/>
            <w:vAlign w:val="bottom"/>
            <w:gridSpan w:val="2"/>
            <w:shd w:val="clear" w:color="auto" w:fill="00497F"/>
          </w:tcPr>
          <w:p>
            <w:pPr>
              <w:ind w:left="580"/>
              <w:spacing w:after="0"/>
              <w:rPr>
                <w:sz w:val="20"/>
                <w:szCs w:val="20"/>
                <w:color w:val="auto"/>
              </w:rPr>
            </w:pPr>
            <w:r>
              <w:rPr>
                <w:rFonts w:ascii="Arial" w:cs="Arial" w:eastAsia="Arial" w:hAnsi="Arial"/>
                <w:sz w:val="18"/>
                <w:szCs w:val="18"/>
                <w:b w:val="1"/>
                <w:bCs w:val="1"/>
                <w:color w:val="FFFFFF"/>
              </w:rPr>
              <w:t>Narrowbody</w:t>
            </w:r>
          </w:p>
        </w:tc>
        <w:tc>
          <w:tcPr>
            <w:tcW w:w="2160" w:type="dxa"/>
            <w:vAlign w:val="bottom"/>
            <w:shd w:val="clear" w:color="auto" w:fill="00497F"/>
          </w:tcPr>
          <w:p>
            <w:pPr>
              <w:jc w:val="right"/>
              <w:ind w:right="79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60" w:type="dxa"/>
            <w:vAlign w:val="bottom"/>
            <w:gridSpan w:val="3"/>
          </w:tcPr>
          <w:p>
            <w:pPr>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December 31,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85"/>
              </w:rPr>
              <w:t>Jet Engines</w:t>
            </w:r>
          </w:p>
        </w:tc>
        <w:tc>
          <w:tcPr>
            <w:tcW w:w="3780" w:type="dxa"/>
            <w:vAlign w:val="bottom"/>
            <w:vMerge w:val="restart"/>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40" w:type="dxa"/>
            <w:vAlign w:val="bottom"/>
          </w:tcPr>
          <w:p>
            <w:pPr>
              <w:spacing w:after="0"/>
              <w:rPr>
                <w:sz w:val="24"/>
                <w:szCs w:val="24"/>
                <w:color w:val="auto"/>
              </w:rPr>
            </w:pPr>
          </w:p>
        </w:tc>
        <w:tc>
          <w:tcPr>
            <w:tcW w:w="880" w:type="dxa"/>
            <w:vAlign w:val="bottom"/>
            <w:tcBorders>
              <w:bottom w:val="single" w:sz="8" w:color="auto"/>
            </w:tcBorders>
            <w:gridSpan w:val="2"/>
            <w:vMerge w:val="continue"/>
          </w:tcPr>
          <w:p>
            <w:pPr>
              <w:spacing w:after="0"/>
              <w:rPr>
                <w:sz w:val="24"/>
                <w:szCs w:val="24"/>
                <w:color w:val="auto"/>
              </w:rPr>
            </w:pPr>
          </w:p>
        </w:tc>
        <w:tc>
          <w:tcPr>
            <w:tcW w:w="3780" w:type="dxa"/>
            <w:vAlign w:val="bottom"/>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January 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4"/>
                <w:szCs w:val="24"/>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21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2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Assets at December 31, 2016</w:t>
            </w:r>
          </w:p>
        </w:tc>
        <w:tc>
          <w:tcPr>
            <w:tcW w:w="218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0"/>
                <w:szCs w:val="20"/>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80" w:type="dxa"/>
            <w:vAlign w:val="bottom"/>
          </w:tcPr>
          <w:p>
            <w:pPr>
              <w:jc w:val="right"/>
              <w:ind w:right="9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45" w:name="page46"/>
    <w:bookmarkEnd w:id="45"/>
    <w:p>
      <w:pPr>
        <w:ind w:left="500"/>
        <w:spacing w:after="0"/>
        <w:rPr>
          <w:sz w:val="20"/>
          <w:szCs w:val="20"/>
          <w:color w:val="auto"/>
        </w:rPr>
      </w:pPr>
      <w:r>
        <w:rPr>
          <w:rFonts w:ascii="Arial" w:cs="Arial" w:eastAsia="Arial" w:hAnsi="Arial"/>
          <w:sz w:val="17"/>
          <w:szCs w:val="17"/>
          <w:color w:val="auto"/>
        </w:rPr>
        <w:t>The following table presents our results of operations and reconciliation of net income attributable to shareholders to Adjusted Net Income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Aviation Leasing segment for the years ended December 31, 2016 and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66,024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23,100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28,697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17,286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11,411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95,408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61,330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34,078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36,369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12,820</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41,058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26,369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14,689</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59,706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38,025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21,681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59,439</w:t>
            </w: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37,357</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22,082</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 in consolidated subsidiaries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59,004</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37,336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21,668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58,768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37,777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20,991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68" w:right="239" w:bottom="1440" w:gutter="0" w:footer="0" w:header="0"/>
        </w:sectPr>
      </w:pPr>
    </w:p>
    <w:bookmarkStart w:id="46" w:name="page47"/>
    <w:bookmarkEnd w:id="46"/>
    <w:p>
      <w:pPr>
        <w:ind w:right="20" w:firstLine="486"/>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Aviation Leasing segment for the year ended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center"/>
              <w:ind w:right="43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59,004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21,668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41,816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11,251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20"/>
                <w:szCs w:val="20"/>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101,003</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68,548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32,455</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4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500" w:hanging="492"/>
        <w:spacing w:after="0" w:line="250" w:lineRule="auto"/>
        <w:tabs>
          <w:tab w:leader="none" w:pos="141" w:val="left"/>
        </w:tabs>
        <w:numPr>
          <w:ilvl w:val="0"/>
          <w:numId w:val="24"/>
        </w:numPr>
        <w:rPr>
          <w:rFonts w:ascii="Arial" w:cs="Arial" w:eastAsia="Arial" w:hAnsi="Arial"/>
          <w:sz w:val="9"/>
          <w:szCs w:val="9"/>
          <w:color w:val="auto"/>
        </w:rPr>
      </w:pPr>
      <w:r>
        <w:rPr>
          <w:rFonts w:ascii="Arial" w:cs="Arial" w:eastAsia="Arial" w:hAnsi="Arial"/>
          <w:sz w:val="14"/>
          <w:szCs w:val="14"/>
          <w:color w:val="auto"/>
        </w:rPr>
        <w:t>Depreciation and amortization expense includes $36,369 and $23,549 of depreciation expense, $4,979 and $6,774 of lease intangible amortization, and $468 and $242 of amortization for lease incentives in the year ended December 31, 2016 and 2015, respectively.</w:t>
      </w:r>
    </w:p>
    <w:p>
      <w:pPr>
        <w:ind w:left="140" w:hanging="132"/>
        <w:spacing w:after="0"/>
        <w:tabs>
          <w:tab w:leader="none" w:pos="140" w:val="left"/>
        </w:tabs>
        <w:numPr>
          <w:ilvl w:val="0"/>
          <w:numId w:val="24"/>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depreciation expense of $164 and $21 for the year ended December 31, 2016 and 2015,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Total revenues in the Aviation Leasing segment increased by $34,078 in the year ended December 31, 2016 as compared to the year ended December 31, 2015, driven by higher lease income and maintenance revenue offset by a decrease in other revenue. Lease income increased by $23,100 in the year ended December 31, 2016 as compared to the year ended December 31, 2015 mainly due to an increase in (i) aircraft lease income of $18,081 primarily driven by the addition of nine aircraft on lease and (ii) engine lease income of $5,019 primarily driven by an increase in the number of engines which have generated revenue from 32 in the year ended December 31, 2015 to 50 in the year ended December 31, 2016. Maintenance revenue increased by $11,411 in the year ended December 31, 2016 as compared to the year ended December 31, 2015 due to an increase in the number of aircraft and engines on lease. Other revenue decreased by $433 primarily due to greater security deposits included in earnings in the year ended December 31, 2015, as compared to the year ended December 31, 2016.</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Total expenses in the Aviation Leasing segment increased by $14,689 in the year ended December 31, 2016 as compared to the year ended December 31, 2015, primarily due to an increase in depreciation and amortization expense and an increase in operating expenses. Depreciation and amortization expense increased by $12,820 driven by additional aircraft and engines owned and on lease in the year ended December 31, 2016 as compared to the year ended December 31, 2015. Operating expenses increased by $1,789 in the year ended December 31, 2016 as compared to the year ended December 31, 2015, primarily the result of increases in professional fee expenses of $812, servicer expense of $376, and shipping and storage fees of $320, due to growth and expansion of the Aviation Leasing segment.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Total other income in the Aviation Leasing segment increased by $2,292 in the year ended December 31, 2016 as compared to the year ended December 31, 2015, driven by the gain on sale of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Adjusted Net Income in the Aviation Leasing segment was $58,768 in the year ended December 31, 2016 increasing by $20,991 as compared to the year ended December 31, 2015 primarily driven by the changes to net income attributable to shareholders noted above, adjusted for the provision for income taxes and cash payments for income taxes.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Adjusted EBITDA in the Aviation Leasing segment was $101,003 for the year ended December 31, 2016 increasing by $32,455 as compared to the year ended December 31, 2015. In addition to the changes in net income attributable to shareholders noted above, this movement was primarily due to higher depreciation and amortization expense for the additional aircraft and engines owned and on lease in the year ended December 31, 2016, offset by a decrease in the provision for income tax and an increase in the non-controlling interest share of Adjusted EBITDA.</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our Offshore Energy segment, we own one remotely operated vehicle (“ROV”) support vessel, one construction support vessel and one anchor handling tug supply (“AHTS”) vessel. The chart below describes the assets in our Offshore Energy segment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54875" cy="213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135505"/>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5"/>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Lease Expiration</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900" w:type="dxa"/>
            <w:vAlign w:val="bottom"/>
            <w:tcBorders>
              <w:top w:val="single" w:sz="8" w:color="auto"/>
              <w:right w:val="single" w:sz="8" w:color="auto"/>
            </w:tcBorders>
          </w:tcPr>
          <w:p>
            <w:pPr>
              <w:spacing w:after="0"/>
              <w:rPr>
                <w:sz w:val="19"/>
                <w:szCs w:val="19"/>
                <w:color w:val="auto"/>
              </w:rPr>
            </w:pPr>
          </w:p>
        </w:tc>
        <w:tc>
          <w:tcPr>
            <w:tcW w:w="1140" w:type="dxa"/>
            <w:vAlign w:val="bottom"/>
            <w:tcBorders>
              <w:top w:val="single" w:sz="8" w:color="auto"/>
              <w:right w:val="single" w:sz="8" w:color="auto"/>
            </w:tcBorders>
          </w:tcPr>
          <w:p>
            <w:pPr>
              <w:spacing w:after="0"/>
              <w:rPr>
                <w:sz w:val="19"/>
                <w:szCs w:val="19"/>
                <w:color w:val="auto"/>
              </w:rPr>
            </w:pP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Anchor handling</w:t>
            </w:r>
          </w:p>
        </w:tc>
        <w:tc>
          <w:tcPr>
            <w:tcW w:w="1820" w:type="dxa"/>
            <w:vAlign w:val="bottom"/>
            <w:tcBorders>
              <w:top w:val="single" w:sz="8" w:color="auto"/>
              <w:right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2010</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tug supply vessel with</w:t>
            </w:r>
          </w:p>
        </w:tc>
        <w:tc>
          <w:tcPr>
            <w:tcW w:w="18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November 2023</w:t>
            </w:r>
          </w:p>
        </w:tc>
        <w:tc>
          <w:tcPr>
            <w:tcW w:w="204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90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3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35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DP-3 construction support and well</w:t>
            </w:r>
          </w:p>
        </w:tc>
        <w:tc>
          <w:tcPr>
            <w:tcW w:w="1820" w:type="dxa"/>
            <w:vAlign w:val="bottom"/>
            <w:tcBorders>
              <w:right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intervention vessel with</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0"/>
              </w:rPr>
              <w:t>250-ton main crane, 2,000 square meter open</w:t>
            </w:r>
          </w:p>
        </w:tc>
        <w:tc>
          <w:tcPr>
            <w:tcW w:w="182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18"/>
                <w:szCs w:val="18"/>
                <w:color w:val="auto"/>
              </w:rPr>
              <w:t>Off-lease</w:t>
            </w:r>
            <w:r>
              <w:rPr>
                <w:rFonts w:ascii="Arial" w:cs="Arial" w:eastAsia="Arial" w:hAnsi="Arial"/>
                <w:sz w:val="25"/>
                <w:szCs w:val="25"/>
                <w:color w:val="auto"/>
                <w:vertAlign w:val="superscript"/>
              </w:rPr>
              <w:t>(1)</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deck space, moon pool and accommodation</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for 100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DP-2 dive and ROV support vessel with 50-</w:t>
            </w:r>
          </w:p>
        </w:tc>
        <w:tc>
          <w:tcPr>
            <w:tcW w:w="1820" w:type="dxa"/>
            <w:vAlign w:val="bottom"/>
            <w:tcBorders>
              <w:right w:val="single" w:sz="8" w:color="auto"/>
            </w:tcBorders>
          </w:tcPr>
          <w:p>
            <w:pPr>
              <w:spacing w:after="0"/>
              <w:rPr>
                <w:sz w:val="19"/>
                <w:szCs w:val="19"/>
                <w:color w:val="auto"/>
              </w:rPr>
            </w:pPr>
          </w:p>
        </w:tc>
        <w:tc>
          <w:tcPr>
            <w:tcW w:w="2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1"/>
              </w:rPr>
              <w:t>ton crane, moon pool and accommodation for</w:t>
            </w:r>
          </w:p>
        </w:tc>
        <w:tc>
          <w:tcPr>
            <w:tcW w:w="1820" w:type="dxa"/>
            <w:vAlign w:val="bottom"/>
            <w:tcBorders>
              <w:right w:val="single" w:sz="8" w:color="auto"/>
            </w:tcBorders>
          </w:tcPr>
          <w:p>
            <w:pPr>
              <w:ind w:left="160"/>
              <w:spacing w:after="0" w:line="216" w:lineRule="exact"/>
              <w:rPr>
                <w:sz w:val="20"/>
                <w:szCs w:val="20"/>
                <w:color w:val="auto"/>
              </w:rPr>
            </w:pPr>
            <w:r>
              <w:rPr>
                <w:rFonts w:ascii="Arial" w:cs="Arial" w:eastAsia="Arial" w:hAnsi="Arial"/>
                <w:sz w:val="18"/>
                <w:szCs w:val="18"/>
                <w:color w:val="auto"/>
              </w:rPr>
              <w:t>Off-lease</w:t>
            </w:r>
            <w:r>
              <w:rPr>
                <w:rFonts w:ascii="Arial" w:cs="Arial" w:eastAsia="Arial" w:hAnsi="Arial"/>
                <w:sz w:val="25"/>
                <w:szCs w:val="25"/>
                <w:color w:val="auto"/>
                <w:vertAlign w:val="superscript"/>
              </w:rPr>
              <w:t>(2)</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120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16" w:lineRule="exact"/>
        <w:rPr>
          <w:sz w:val="20"/>
          <w:szCs w:val="20"/>
          <w:color w:val="auto"/>
        </w:rPr>
      </w:pPr>
    </w:p>
    <w:p>
      <w:pPr>
        <w:ind w:left="140" w:hanging="132"/>
        <w:spacing w:after="0"/>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On September 3, 2016, the vessel went off-lease, and we are actively pursuing a new charter.</w:t>
      </w:r>
    </w:p>
    <w:p>
      <w:pPr>
        <w:spacing w:after="0" w:line="36" w:lineRule="exact"/>
        <w:rPr>
          <w:rFonts w:ascii="Arial" w:cs="Arial" w:eastAsia="Arial" w:hAnsi="Arial"/>
          <w:sz w:val="16"/>
          <w:szCs w:val="16"/>
          <w:color w:val="auto"/>
          <w:vertAlign w:val="superscript"/>
        </w:rPr>
      </w:pPr>
    </w:p>
    <w:p>
      <w:pPr>
        <w:ind w:left="140" w:hanging="132"/>
        <w:spacing w:after="0" w:line="234" w:lineRule="auto"/>
        <w:tabs>
          <w:tab w:leader="none" w:pos="140" w:val="left"/>
        </w:tabs>
        <w:numPr>
          <w:ilvl w:val="0"/>
          <w:numId w:val="25"/>
        </w:numPr>
        <w:rPr>
          <w:rFonts w:ascii="Arial" w:cs="Arial" w:eastAsia="Arial" w:hAnsi="Arial"/>
          <w:sz w:val="16"/>
          <w:szCs w:val="16"/>
          <w:color w:val="auto"/>
          <w:vertAlign w:val="superscript"/>
        </w:rPr>
      </w:pPr>
      <w:r>
        <w:rPr>
          <w:rFonts w:ascii="Arial" w:cs="Arial" w:eastAsia="Arial" w:hAnsi="Arial"/>
          <w:sz w:val="13"/>
          <w:szCs w:val="13"/>
          <w:color w:val="auto"/>
        </w:rPr>
        <w:t>On October 30, 2016, the vessel went off-lease, and we are actively pursuing a new charter.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40"/>
          </w:cols>
          <w:pgMar w:left="240" w:top="476" w:right="219" w:bottom="1440" w:gutter="0" w:footer="0" w:header="0"/>
        </w:sectPr>
      </w:pPr>
    </w:p>
    <w:bookmarkStart w:id="48" w:name="page49"/>
    <w:bookmarkEnd w:id="48"/>
    <w:p>
      <w:pPr>
        <w:ind w:left="660"/>
        <w:spacing w:after="0"/>
        <w:rPr>
          <w:sz w:val="20"/>
          <w:szCs w:val="20"/>
          <w:color w:val="auto"/>
        </w:rPr>
      </w:pPr>
      <w:r>
        <w:rPr>
          <w:rFonts w:ascii="Arial" w:cs="Arial" w:eastAsia="Arial" w:hAnsi="Arial"/>
          <w:sz w:val="17"/>
          <w:szCs w:val="17"/>
          <w:color w:val="auto"/>
        </w:rPr>
        <w:t>The following table presents our results of operations and reconciliation of net (loss) income attributable to shareholders to Adjusted Net (Loss)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Income for the Offshore Energy segment for the year ended December 31, 2016 and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(18,247)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5,328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24,231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(18,903)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6,411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3,747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21,172</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14,411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6,761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(expense)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(7,920)</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(23,281)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10,303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(33,584)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(23,281)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10,303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(33,584)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Less: Net (loss) income attributable to non-controlling interest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(5,044)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(18,913)</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9,627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(28,540)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7,450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7,450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(15,188)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9,627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(24,815)</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140" w:hanging="132"/>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14"/>
          <w:szCs w:val="14"/>
          <w:color w:val="auto"/>
        </w:rPr>
        <w:t>Non-controlling share of Adjusted Net Income (Loss) is comprised of asset impairment charges of $3,725 and $0 for the years ended December 31, 2016 and 2015, respectively.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68" w:right="239" w:bottom="1440" w:gutter="0" w:footer="0" w:header="0"/>
        </w:sectPr>
      </w:pPr>
    </w:p>
    <w:bookmarkStart w:id="49" w:name="page50"/>
    <w:bookmarkEnd w:id="49"/>
    <w:p>
      <w:pPr>
        <w:ind w:right="160" w:firstLine="486"/>
        <w:spacing w:after="0" w:line="277" w:lineRule="auto"/>
        <w:rPr>
          <w:sz w:val="20"/>
          <w:szCs w:val="20"/>
          <w:color w:val="auto"/>
        </w:rPr>
      </w:pPr>
      <w:r>
        <w:rPr>
          <w:rFonts w:ascii="Arial" w:cs="Arial" w:eastAsia="Arial" w:hAnsi="Arial"/>
          <w:sz w:val="18"/>
          <w:szCs w:val="18"/>
          <w:color w:val="auto"/>
        </w:rPr>
        <w:t>The following table sets forth a reconciliation of net (loss) income attributable to shareholders to Adjusted EBITDA for the Offshore Energy segment for the three and year ended December 31, 2016 and December 31,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ind w:left="90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w w:val="97"/>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center"/>
              <w:ind w:right="43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(28,540)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20"/>
                <w:szCs w:val="20"/>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20"/>
                <w:szCs w:val="20"/>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20"/>
                <w:szCs w:val="20"/>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6"/>
                <w:szCs w:val="16"/>
                <w:color w:val="auto"/>
                <w:w w:val="99"/>
              </w:rPr>
              <w:t>—</w:t>
            </w:r>
          </w:p>
        </w:tc>
        <w:tc>
          <w:tcPr>
            <w:tcW w:w="320" w:type="dxa"/>
            <w:vAlign w:val="bottom"/>
          </w:tcPr>
          <w:p>
            <w:pPr>
              <w:spacing w:after="0"/>
              <w:rPr>
                <w:sz w:val="20"/>
                <w:szCs w:val="20"/>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(3,739)</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(5,389)</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19,043</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(24,432)</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55" w:lineRule="auto"/>
        <w:tabs>
          <w:tab w:leader="none" w:pos="141" w:val="left"/>
        </w:tabs>
        <w:numPr>
          <w:ilvl w:val="0"/>
          <w:numId w:val="27"/>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2016 and 2015: (i) depreciation expense of $245 and $225, (ii) interest expense of $114 and $120, and (iii) asset impairment charges of $3,725 and $0,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Total revenues in the Offshore Energy segment decreased by $18,903 in the year ended December 31, 2016 as compared to the year ended December 31, 2015, primarily driven by lower lease income. In 2016, the offshore construction support vessel was subject to short term lease arrangements, as compared to 2015 when the vessel was on hire under a long term arrangement that terminated in the second half of 2015. In February 2016, the long term lease arrangement for the ROV support vessel was terminated resulting in lower lease income from short term lease arrangements for the year ended December 31, 2016 as compared to the year ended December 31,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Total expenses in the Offshore Energy segment increased by $6,761 in the year ended December 31, 2016 as compared to the year ended December 31, 2015, respectively. Total expenses for the offshore construction support vessel included interest expense on term loan financing, depreciation and amortization expense, and operating expenses.</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year ended December 31, 2016, there was $4,776 and $1,635 of depreciation expense related to the construction support vessel and ROV support vessel, respectively. During the year ended December 31, 2015, there was $4,468 and $1,499 of depreciation expense related to the construction support vessel and ROV support vessel, respectively.</w:t>
      </w:r>
    </w:p>
    <w:p>
      <w:pPr>
        <w:spacing w:after="0" w:line="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year ended December 31, 2016, there was $3,634 and $113 of interest expense primarily related to financing for the construction support vessel and ROV support vessel, respectively. During the year ended December 31, 2015, there was $3,674 and $120 of interest expense related to financing for the construction support vessel and ROV support vessel, respectively.</w:t>
      </w:r>
    </w:p>
    <w:p>
      <w:pPr>
        <w:spacing w:after="0" w:line="7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 the year ended December 31, 2016, operating expenses increased $6,364 as compared to the year ended December 31, 2015. Historically, operating expenses were incurred by the bareboat charterers when the ROV support vessel and the offshore construction support vessel were on lease. In 2016, due to the short term nature of the lease arrangements, operating expenses were borne by us. The increase in operating expenses was the result of increased (i) crew costs of $2,308, (ii) legal fees of $1,863, (iii) mobilization and costs for spare parts of $1,216, (iv) management fees of $237 and (v) other operating expenses of $740 in the year ended December 31, 2016 as compared to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Other (Expense) Income</w:t>
      </w:r>
    </w:p>
    <w:p>
      <w:pPr>
        <w:spacing w:after="0" w:line="11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Total other income in the Offshore Energy segment decreased by $7,920 in the year ended December 31, 2016 as compared to the year ended December 31, 2015 due to an asset impairment charge of $7,450. In July 2016, the shipbuilder delivered a notice of termination of the ship building contract for MT6015 resulting in the impairment of the investment in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 Income</w:t>
      </w:r>
    </w:p>
    <w:p>
      <w:pPr>
        <w:spacing w:after="0" w:line="22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Adjusted Net Loss was $15,188 in the year ended December 31, 2016, a decrease of $24,815 as compared to the year ended December 31, 2015. This loss was due to the changes described above offset by the asset impairment charge of $7,450, which is added back in the determination of Adjusted Net Loss, less the portion shared with our non-controlling interest holder, in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right="20" w:firstLine="486"/>
        <w:spacing w:after="0" w:line="279" w:lineRule="auto"/>
        <w:rPr>
          <w:sz w:val="20"/>
          <w:szCs w:val="20"/>
          <w:color w:val="auto"/>
        </w:rPr>
      </w:pPr>
      <w:r>
        <w:rPr>
          <w:rFonts w:ascii="Arial" w:cs="Arial" w:eastAsia="Arial" w:hAnsi="Arial"/>
          <w:sz w:val="17"/>
          <w:szCs w:val="17"/>
          <w:color w:val="auto"/>
        </w:rPr>
        <w:t>Adjusted EBITDA decreased by $24,432 in the year ended December 31, 2016 as compared to the year ended December 31, 2015, due to a decrease in net income attributable to shareholders of $28,540 as noted above. This was offset by the asset impairment charge of $7,450, which was shared with the non-controlling interest holder in the year ended December 31, 2016, and an increase in depreciation and amortization expense of $444 related to the offshore construction vessel in the year ended December 31, 2016 as compared to the year ended December 31,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In our Shipping Containers segment, we own, through a joint venture, interests in approximately 76,000 maritime shipping containers and related equipment through one portfolio. The chart below describes the assets in our Shipping Containers segment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54875" cy="1217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217930"/>
                    </a:xfrm>
                    <a:prstGeom prst="rect">
                      <a:avLst/>
                    </a:prstGeom>
                    <a:noFill/>
                  </pic:spPr>
                </pic:pic>
              </a:graphicData>
            </a:graphic>
          </wp:anchor>
        </w:drawing>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FFFFFF"/>
        </w:rPr>
        <w:t>Shipping Containers Assets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20" w:type="dxa"/>
            <w:vAlign w:val="bottom"/>
            <w:tcBorders>
              <w:top w:val="single" w:sz="8" w:color="auto"/>
              <w:bottom w:val="single" w:sz="8" w:color="D8D8D8"/>
              <w:right w:val="single" w:sz="8" w:color="auto"/>
            </w:tcBorders>
            <w:shd w:val="clear" w:color="auto" w:fill="D8D8D8"/>
          </w:tcPr>
          <w:p>
            <w:pPr>
              <w:jc w:val="right"/>
              <w:ind w:right="594"/>
              <w:spacing w:after="0"/>
              <w:rPr>
                <w:sz w:val="20"/>
                <w:szCs w:val="20"/>
                <w:color w:val="auto"/>
              </w:rPr>
            </w:pPr>
            <w:r>
              <w:rPr>
                <w:rFonts w:ascii="Arial" w:cs="Arial" w:eastAsia="Arial" w:hAnsi="Arial"/>
                <w:sz w:val="16"/>
                <w:szCs w:val="16"/>
                <w:color w:val="auto"/>
              </w:rPr>
              <w:t>Number of Containers</w:t>
            </w:r>
          </w:p>
        </w:tc>
        <w:tc>
          <w:tcPr>
            <w:tcW w:w="172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Arial" w:cs="Arial" w:eastAsia="Arial" w:hAnsi="Arial"/>
                <w:sz w:val="16"/>
                <w:szCs w:val="16"/>
                <w:color w:val="auto"/>
              </w:rPr>
              <w:t>Type</w:t>
            </w:r>
          </w:p>
        </w:tc>
        <w:tc>
          <w:tcPr>
            <w:tcW w:w="1420" w:type="dxa"/>
            <w:vAlign w:val="bottom"/>
            <w:tcBorders>
              <w:top w:val="single" w:sz="8" w:color="auto"/>
              <w:bottom w:val="single" w:sz="8" w:color="D8D8D8"/>
            </w:tcBorders>
            <w:shd w:val="clear" w:color="auto" w:fill="D8D8D8"/>
          </w:tcPr>
          <w:p>
            <w:pPr>
              <w:jc w:val="center"/>
              <w:ind w:left="174"/>
              <w:spacing w:after="0"/>
              <w:rPr>
                <w:sz w:val="20"/>
                <w:szCs w:val="20"/>
                <w:color w:val="auto"/>
              </w:rPr>
            </w:pPr>
            <w:r>
              <w:rPr>
                <w:rFonts w:ascii="Arial" w:cs="Arial" w:eastAsia="Arial" w:hAnsi="Arial"/>
                <w:sz w:val="16"/>
                <w:szCs w:val="16"/>
                <w:color w:val="auto"/>
                <w:w w:val="90"/>
              </w:rPr>
              <w:t>Average Age</w:t>
            </w:r>
          </w:p>
        </w:tc>
        <w:tc>
          <w:tcPr>
            <w:tcW w:w="300" w:type="dxa"/>
            <w:vAlign w:val="bottom"/>
            <w:tcBorders>
              <w:top w:val="single" w:sz="8" w:color="auto"/>
              <w:bottom w:val="single" w:sz="8" w:color="D8D8D8"/>
              <w:right w:val="single" w:sz="8" w:color="auto"/>
            </w:tcBorders>
            <w:shd w:val="clear" w:color="auto" w:fill="D8D8D8"/>
          </w:tcPr>
          <w:p>
            <w:pPr>
              <w:spacing w:after="0"/>
              <w:rPr>
                <w:sz w:val="23"/>
                <w:szCs w:val="23"/>
                <w:color w:val="auto"/>
              </w:rPr>
            </w:pPr>
          </w:p>
        </w:tc>
        <w:tc>
          <w:tcPr>
            <w:tcW w:w="17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88"/>
              </w:rPr>
              <w:t>Lease Type</w:t>
            </w:r>
          </w:p>
        </w:tc>
        <w:tc>
          <w:tcPr>
            <w:tcW w:w="170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jc w:val="center"/>
              <w:spacing w:after="0"/>
              <w:rPr>
                <w:sz w:val="20"/>
                <w:szCs w:val="20"/>
                <w:color w:val="auto"/>
              </w:rPr>
            </w:pPr>
            <w:r>
              <w:rPr>
                <w:rFonts w:ascii="Arial" w:cs="Arial" w:eastAsia="Arial" w:hAnsi="Arial"/>
                <w:sz w:val="16"/>
                <w:szCs w:val="16"/>
                <w:color w:val="auto"/>
                <w:w w:val="92"/>
              </w:rPr>
              <w:t>Economic Interest (%)</w:t>
            </w:r>
          </w:p>
        </w:tc>
        <w:tc>
          <w:tcPr>
            <w:tcW w:w="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320" w:type="dxa"/>
            <w:vAlign w:val="bottom"/>
            <w:tcBorders>
              <w:top w:val="single" w:sz="8" w:color="auto"/>
              <w:right w:val="single" w:sz="8" w:color="auto"/>
            </w:tcBorders>
          </w:tcPr>
          <w:p>
            <w:pPr>
              <w:spacing w:after="0"/>
              <w:rPr>
                <w:sz w:val="19"/>
                <w:szCs w:val="19"/>
                <w:color w:val="auto"/>
              </w:rPr>
            </w:pPr>
          </w:p>
        </w:tc>
        <w:tc>
          <w:tcPr>
            <w:tcW w:w="1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 Dry</w:t>
            </w:r>
          </w:p>
        </w:tc>
        <w:tc>
          <w:tcPr>
            <w:tcW w:w="1420" w:type="dxa"/>
            <w:vAlign w:val="bottom"/>
            <w:tcBorders>
              <w:top w:val="single" w:sz="8" w:color="auto"/>
            </w:tcBorders>
          </w:tcPr>
          <w:p>
            <w:pPr>
              <w:spacing w:after="0"/>
              <w:rPr>
                <w:sz w:val="19"/>
                <w:szCs w:val="19"/>
                <w:color w:val="auto"/>
              </w:rPr>
            </w:pPr>
          </w:p>
        </w:tc>
        <w:tc>
          <w:tcPr>
            <w:tcW w:w="30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1700" w:type="dxa"/>
            <w:vAlign w:val="bottom"/>
            <w:tcBorders>
              <w:top w:val="single" w:sz="8" w:color="auto"/>
              <w:right w:val="single" w:sz="8" w:color="auto"/>
            </w:tcBorders>
          </w:tcPr>
          <w:p>
            <w:pPr>
              <w:spacing w:after="0"/>
              <w:rPr>
                <w:sz w:val="19"/>
                <w:szCs w:val="19"/>
                <w:color w:val="auto"/>
              </w:rPr>
            </w:pPr>
          </w:p>
        </w:tc>
        <w:tc>
          <w:tcPr>
            <w:tcW w:w="2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 Reefer</w:t>
            </w:r>
          </w:p>
        </w:tc>
        <w:tc>
          <w:tcPr>
            <w:tcW w:w="14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Direct Finance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Dry</w:t>
            </w:r>
          </w:p>
        </w:tc>
        <w:tc>
          <w:tcPr>
            <w:tcW w:w="1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restart"/>
          </w:tcPr>
          <w:p>
            <w:pPr>
              <w:jc w:val="right"/>
              <w:ind w:right="1694"/>
              <w:spacing w:after="0"/>
              <w:rPr>
                <w:sz w:val="20"/>
                <w:szCs w:val="20"/>
                <w:color w:val="auto"/>
              </w:rPr>
            </w:pPr>
            <w:r>
              <w:rPr>
                <w:rFonts w:ascii="Arial" w:cs="Arial" w:eastAsia="Arial" w:hAnsi="Arial"/>
                <w:sz w:val="18"/>
                <w:szCs w:val="18"/>
                <w:color w:val="auto"/>
                <w:w w:val="94"/>
              </w:rPr>
              <w:t>76,000</w:t>
            </w:r>
          </w:p>
        </w:tc>
        <w:tc>
          <w:tcPr>
            <w:tcW w:w="1720" w:type="dxa"/>
            <w:vAlign w:val="bottom"/>
            <w:tcBorders>
              <w:right w:val="single" w:sz="8" w:color="auto"/>
            </w:tcBorders>
            <w:vMerge w:val="continue"/>
          </w:tcPr>
          <w:p>
            <w:pPr>
              <w:spacing w:after="0"/>
              <w:rPr>
                <w:sz w:val="9"/>
                <w:szCs w:val="9"/>
                <w:color w:val="auto"/>
              </w:rPr>
            </w:pPr>
          </w:p>
        </w:tc>
        <w:tc>
          <w:tcPr>
            <w:tcW w:w="1420" w:type="dxa"/>
            <w:vAlign w:val="bottom"/>
            <w:vMerge w:val="restart"/>
          </w:tcPr>
          <w:p>
            <w:pPr>
              <w:jc w:val="center"/>
              <w:ind w:left="174"/>
              <w:spacing w:after="0"/>
              <w:rPr>
                <w:sz w:val="20"/>
                <w:szCs w:val="20"/>
                <w:color w:val="auto"/>
              </w:rPr>
            </w:pPr>
            <w:r>
              <w:rPr>
                <w:rFonts w:ascii="Arial" w:cs="Arial" w:eastAsia="Arial" w:hAnsi="Arial"/>
                <w:sz w:val="18"/>
                <w:szCs w:val="18"/>
                <w:color w:val="auto"/>
                <w:w w:val="88"/>
              </w:rPr>
              <w:t>~9 Years</w:t>
            </w: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Lease/Operating</w:t>
            </w:r>
          </w:p>
        </w:tc>
        <w:tc>
          <w:tcPr>
            <w:tcW w:w="17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5 Customers</w:t>
            </w:r>
          </w:p>
        </w:tc>
        <w:tc>
          <w:tcPr>
            <w:tcW w:w="2260" w:type="dxa"/>
            <w:vAlign w:val="bottom"/>
            <w:vMerge w:val="restart"/>
          </w:tcPr>
          <w:p>
            <w:pPr>
              <w:jc w:val="right"/>
              <w:ind w:right="874"/>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HC Dry</w:t>
            </w:r>
          </w:p>
        </w:tc>
        <w:tc>
          <w:tcPr>
            <w:tcW w:w="1420" w:type="dxa"/>
            <w:vAlign w:val="bottom"/>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right w:val="single" w:sz="8" w:color="auto"/>
            </w:tcBorders>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142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Lease</w:t>
            </w:r>
          </w:p>
        </w:tc>
        <w:tc>
          <w:tcPr>
            <w:tcW w:w="1700" w:type="dxa"/>
            <w:vAlign w:val="bottom"/>
            <w:tcBorders>
              <w:right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3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40’ HC Reefer</w:t>
            </w:r>
          </w:p>
        </w:tc>
        <w:tc>
          <w:tcPr>
            <w:tcW w:w="14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32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vMerge w:val="continue"/>
          </w:tcPr>
          <w:p>
            <w:pPr>
              <w:spacing w:after="0"/>
              <w:rPr>
                <w:sz w:val="8"/>
                <w:szCs w:val="8"/>
                <w:color w:val="auto"/>
              </w:rPr>
            </w:pPr>
          </w:p>
        </w:tc>
        <w:tc>
          <w:tcPr>
            <w:tcW w:w="142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 Dry</w:t>
            </w:r>
          </w:p>
        </w:tc>
        <w:tc>
          <w:tcPr>
            <w:tcW w:w="14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0" w:type="dxa"/>
            <w:vAlign w:val="bottom"/>
            <w:gridSpan w:val="2"/>
          </w:tcPr>
          <w:p>
            <w:pPr>
              <w:jc w:val="right"/>
              <w:ind w:right="1572"/>
              <w:spacing w:after="0"/>
              <w:rPr>
                <w:sz w:val="20"/>
                <w:szCs w:val="20"/>
                <w:color w:val="auto"/>
              </w:rPr>
            </w:pPr>
            <w:r>
              <w:rPr>
                <w:rFonts w:ascii="Arial" w:cs="Arial" w:eastAsia="Arial" w:hAnsi="Arial"/>
                <w:sz w:val="18"/>
                <w:szCs w:val="18"/>
                <w:color w:val="auto"/>
              </w:rPr>
              <w:t>51</w:t>
            </w:r>
          </w:p>
        </w:tc>
        <w:tc>
          <w:tcPr>
            <w:tcW w:w="17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76" w:right="219" w:bottom="1440" w:gutter="0" w:footer="0" w:header="0"/>
        </w:sectPr>
      </w:pPr>
    </w:p>
    <w:bookmarkStart w:id="51" w:name="page52"/>
    <w:bookmarkEnd w:id="51"/>
    <w:p>
      <w:pPr>
        <w:ind w:right="160" w:firstLine="48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Income for the Shipping Containers segment for the year ended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(5,969)</w:t>
            </w:r>
          </w:p>
        </w:tc>
      </w:tr>
      <w:tr>
        <w:trPr>
          <w:trHeight w:val="291"/>
        </w:trPr>
        <w:tc>
          <w:tcPr>
            <w:tcW w:w="6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453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2,743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expense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Gain on sale of finance leases, net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304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other expense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(5,670)</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(2,420)</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Add: Pro-rata share of Adjusted Net (Loss) Income from unconsolidated entities </w:t>
            </w:r>
            <w:r>
              <w:rPr>
                <w:rFonts w:ascii="Arial" w:cs="Arial" w:eastAsia="Arial" w:hAnsi="Arial"/>
                <w:sz w:val="21"/>
                <w:szCs w:val="21"/>
                <w:color w:val="auto"/>
                <w:vertAlign w:val="superscript"/>
              </w:rPr>
              <w:t>(1)</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(6,457)</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(9,829)</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500" w:hanging="492"/>
        <w:spacing w:after="0" w:line="257" w:lineRule="auto"/>
        <w:tabs>
          <w:tab w:leader="none" w:pos="141" w:val="left"/>
        </w:tabs>
        <w:numPr>
          <w:ilvl w:val="0"/>
          <w:numId w:val="28"/>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is comprised of the following for the year ended December 31, 2016 and 2015: (i) the Company’s proportionate share of the unconsolidated entities’ net income (loss) of $(6,161) and $(7,112) and (ii) interest expense of $188 and $156, adjusted for (iii) $3,068 and $10,508 of asset impairment charges,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2" w:name="page53"/>
    <w:bookmarkEnd w:id="52"/>
    <w:p>
      <w:pPr>
        <w:ind w:right="180"/>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Shipping Containers segment for the year ended December 31, 2016 and December 31,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5,974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2,673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13,819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(11,146)</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hanging="492"/>
        <w:spacing w:after="0" w:line="257" w:lineRule="auto"/>
        <w:tabs>
          <w:tab w:leader="none" w:pos="160" w:val="left"/>
        </w:tabs>
        <w:numPr>
          <w:ilvl w:val="0"/>
          <w:numId w:val="29"/>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the following items for the year ended December 31, 2016 and 2015: (i) net income (loss) of $(6,161) and $(7,165), (ii) interest expense of $1,323 and $1,778, (iii) depreciation and amortization expense of $2,966 and $1,866, and (iv) asset impairment charges of $3,068 and $10,508,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Total revenues in the Shipping Containers segment decreased by $5,969 in the year ended December 31, 2016 as compared to the year ended December 31, 2015. The decrease is primarily driven by the sale of 42,000 shipping containers that were subject to direct finance leases during the first quarter of 2016 and lower finance lease income as a result of the amortization of the underlying principal balances.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Total expenses in the Shipping Containers segment decreased by $2,290 in the year ended December 31, 2016 as compared to the year ended December 31, 2015. This was driven by a decrease in interest expense of $1,983 in the year ended December 31, 2016, as compared to the year ended December 31, 2015, due to lower principal balances on the term loans, along with the termination of the term loan in conjunction with the sale of the shipping containers. Additionally, the sale of the 42,000 shipping containers resulted in a decrease in operating expense of $307 in the year ended December 31,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Total other expense in the Shipping Containers segment decreased $1,300 in the year ended December 31, 2016 as compared to the year ended December 31, 2015. This was primarily due to a decrease in losses of unconsolidated entities from our shipping container joint venture of $982 in the year ended December 31, 2016, as compared to the year ended December 31, 2015, due to a larger impairment recognized by the shipping container joint venture in September 2015 as compared to the impairment charge recognized in December 2016. The change in other expenses was also impacted by a gain on sale of direct finance leases of $304 from the sale of 42,000 shipping containers during the first quarter of 2016.</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 Income</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Net Income decreased by $9,829 in the year ended December 31, 2016 as compared to the year ended December 31, 2015, primarily due to decrease in finance lease income driven by the sale of 42,000 shipping containers during the first quarter of 2016 and lower pro-rata share of Adjusted Net Loss from unconsolidated entities due to the impairment recognized by the shipping container joint venture in September 2015 as compared to December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7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EBITDA was $2,673 in the year ended December 31, 2016, decreasing by $11,146 in the year ended December 31, 2016 as compared to the year ended December 31, 2015, due to the decrease in finance lease income driven by the sale of 42,000 shipping containers during the first quarter of 2016 and lower pro-rata share of Adjusted EBITDA from unconsolidated entities due to the impairment recognized by the shipping container joint venture in September 2015 as compared to December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7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the Jefferson Terminal segment for the years ended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(4,620)</w:t>
            </w:r>
          </w:p>
        </w:tc>
      </w:tr>
      <w:tr>
        <w:trPr>
          <w:trHeight w:val="237"/>
        </w:trPr>
        <w:tc>
          <w:tcPr>
            <w:tcW w:w="640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15,902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13,655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2,247</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15,902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(2,373)</w:t>
            </w:r>
          </w:p>
        </w:tc>
      </w:tr>
      <w:tr>
        <w:trPr>
          <w:trHeight w:val="291"/>
        </w:trPr>
        <w:tc>
          <w:tcPr>
            <w:tcW w:w="6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21,886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33,154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(11,268)</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15,500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13,897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1,603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13,501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51,287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59,597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(8,310)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(expense) income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Loss on sale of equipment, net</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(expense) income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other expense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(36,399)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4,997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(36,473)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4,964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(16,456)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(17,376)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920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4,044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228</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losses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Non-controlling share of Adjusted Net Loss</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(21,249)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904</w:t>
            </w:r>
          </w:p>
        </w:tc>
      </w:tr>
      <w:tr>
        <w:trPr>
          <w:trHeight w:val="203"/>
        </w:trPr>
        <w:tc>
          <w:tcPr>
            <w:tcW w:w="6400" w:type="dxa"/>
            <w:vAlign w:val="bottom"/>
          </w:tcPr>
          <w:p>
            <w:pPr>
              <w:spacing w:after="0" w:line="203" w:lineRule="exact"/>
              <w:rPr>
                <w:sz w:val="20"/>
                <w:szCs w:val="20"/>
                <w:color w:val="auto"/>
              </w:rPr>
            </w:pPr>
            <w:r>
              <w:rPr>
                <w:rFonts w:ascii="Arial" w:cs="Arial" w:eastAsia="Arial" w:hAnsi="Arial"/>
                <w:sz w:val="18"/>
                <w:szCs w:val="18"/>
                <w:color w:val="auto"/>
              </w:rPr>
              <w:t>______________________________________________________</w:t>
            </w: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bl>
    <w:p>
      <w:pPr>
        <w:ind w:left="500" w:hanging="492"/>
        <w:spacing w:after="0" w:line="248" w:lineRule="auto"/>
        <w:tabs>
          <w:tab w:leader="none" w:pos="141" w:val="left"/>
        </w:tabs>
        <w:numPr>
          <w:ilvl w:val="0"/>
          <w:numId w:val="30"/>
        </w:numPr>
        <w:rPr>
          <w:rFonts w:ascii="Arial" w:cs="Arial" w:eastAsia="Arial" w:hAnsi="Arial"/>
          <w:sz w:val="9"/>
          <w:szCs w:val="9"/>
          <w:color w:val="auto"/>
        </w:rPr>
      </w:pPr>
      <w:r>
        <w:rPr>
          <w:rFonts w:ascii="Arial" w:cs="Arial" w:eastAsia="Arial" w:hAnsi="Arial"/>
          <w:sz w:val="14"/>
          <w:szCs w:val="14"/>
          <w:color w:val="auto"/>
        </w:rPr>
        <w:t>Non-controlling share of Adjusted Net Loss is comprised of the following for the year ended December 31, 2016 and 2015: (i) equity-based compensation of $(1,581) and $1,339, (ii) provision for income tax of $29 and $16, (iii) acquisition and transaction expenses of $156 and $0, and (iv) loss on extinguishment of debt of $616 and $0 less (v) cash tax payments of $20 and $70, respectively.</w:t>
      </w:r>
    </w:p>
    <w:p>
      <w:pPr>
        <w:sectPr>
          <w:pgSz w:w="11900" w:h="16838" w:orient="portrait"/>
          <w:cols w:equalWidth="0" w:num="1">
            <w:col w:w="11420"/>
          </w:cols>
          <w:pgMar w:left="240" w:top="688"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688" w:right="239" w:bottom="1440" w:gutter="0" w:footer="0" w:header="0"/>
          <w:type w:val="continuous"/>
        </w:sectPr>
      </w:pPr>
    </w:p>
    <w:bookmarkStart w:id="55" w:name="page56"/>
    <w:bookmarkEnd w:id="55"/>
    <w:p>
      <w:pPr>
        <w:ind w:firstLine="48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Jefferson Terminal segment for the years ended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(20,017)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15,500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13,501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(10,184)</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1,378</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(3,180)</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(5,707)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2,527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48" w:lineRule="auto"/>
        <w:tabs>
          <w:tab w:leader="none" w:pos="169" w:val="left"/>
        </w:tabs>
        <w:numPr>
          <w:ilvl w:val="0"/>
          <w:numId w:val="31"/>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 ended December 31, 2016 and 2015: (i) equity-based compensation of $(1,581) and $1,339, (ii) provision for income taxes of $29 and $16, (iii) interest expense of $4,914 and $4,783, (iv) loss on extinguishment of debt of $616 and $0, (v) acquisition and transaction expenses of $156 and $0, and (vi) depreciation and amortization expense of $6,050 and $5,424,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revenues in the Jefferson Terminal segment decreased by $2,373 in the year ended December 31, 2016 as compared to the year ended December 31, 2015. The decrease was primarily due to a decrease in lease income of $4,620 as rail cars were off-lease during the year ended December 31, 2016. Terminal services revenue increased by $2,247 in the year ended December 31, 2016, due to higher tank lease revenue of $2,709 as a result of new lease contracts, offset by decreases in unloading revenues due to lower volumes.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Total expenses in the Jefferson Terminal segment decreased by $8,310 in the year ended December 31, 2016 as compared to the year ended December 31, 2015. The decrease consists of lower operating expenses of $11,268, including lower equity-based compensation expense of $7,483, a decrease of $4,349 in facility operations expense primarily due to lower volume, $1,242 in professional fees and $163 in lease expense. The above decreases were offset by an increase in property tax expense of $1,205 due to additional property, plant and equipment placed into service during the year and maintenance expense of $1,165 due to repair on certain assets. The decrease in operating expenses was offset by an increase of $400 in acquisition and transaction costs, $1,603 of depreciation expense due to property, plant and equipment placed into service and $955 of interest expense driven by the 2016 bonds issued in March 2016.</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Adjusted Net Loss was $21,249 in the year ended December 31, 2016, decreased by $904 as compared to the year ended December 31, 2015. In addition to the changes in net loss attributable to shareholders noted above, the change was driven by the decrease in equity-based compensation of $7,483 in the year ended December 31, 2016 as compared to the year ended December 31, 2015, offset by acquisition and transaction expenses incurred related to the creation of a joint venture during 2016, and a loss on extinguishment of debt.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Adjusted EBITDA was $(3,180) in the year ended December 31, 2016, increasing $2,527 as compared to the year ended December 31, 2015. In addition to the changes in net loss attributable to shareholders noted above, Adjusted EBITDA was impacted by a decrease in equity-based compensation of $7,483, offset by the increase in a loss on extinguishment of debt, depreciation and amortization, and interest expense for the year ended December 31, 2016 as compared to the year ended December 31,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(loss) attributable to shareholders to Adjusted Net Income (Loss) for the Railroad segment for the year ended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30,837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5,287</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30,837</w:t>
            </w: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25,550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5,287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27,975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30,655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30,292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Income (loss)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605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4,782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4,782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w w:val="99"/>
              </w:rPr>
              <w:t>Less: Net income (loss) attributable to non-controlling interest in consolidated subsidiaries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4,638</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3,839</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7"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8"/>
          <w:szCs w:val="8"/>
          <w:color w:val="auto"/>
        </w:rPr>
      </w:pPr>
      <w:r>
        <w:rPr>
          <w:rFonts w:ascii="Arial" w:cs="Arial" w:eastAsia="Arial" w:hAnsi="Arial"/>
          <w:sz w:val="13"/>
          <w:szCs w:val="13"/>
          <w:color w:val="auto"/>
        </w:rPr>
        <w:t>Non-controlling share of Adjusted Net Income (Loss) is comprised of equity-based compensation of $20 and $48 for the year ended December 31, 2016 and December 31, 2015, respectively.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57" w:name="page58"/>
    <w:bookmarkEnd w:id="57"/>
    <w:p>
      <w:pPr>
        <w:ind w:right="260" w:firstLine="446"/>
        <w:spacing w:after="0" w:line="277" w:lineRule="auto"/>
        <w:rPr>
          <w:sz w:val="20"/>
          <w:szCs w:val="20"/>
          <w:color w:val="auto"/>
        </w:rPr>
      </w:pPr>
      <w:r>
        <w:rPr>
          <w:rFonts w:ascii="Arial" w:cs="Arial" w:eastAsia="Arial" w:hAnsi="Arial"/>
          <w:sz w:val="18"/>
          <w:szCs w:val="18"/>
          <w:color w:val="auto"/>
        </w:rPr>
        <w:t>The following table sets forth a reconciliation of net income (loss) attributable to shareholders to Adjusted EBITDA for the Railroad segment for the year ended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 (non-GAAP)</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3,474</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3,998</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500" w:hanging="492"/>
        <w:spacing w:after="0" w:line="255" w:lineRule="auto"/>
        <w:tabs>
          <w:tab w:leader="none" w:pos="168" w:val="left"/>
        </w:tabs>
        <w:numPr>
          <w:ilvl w:val="0"/>
          <w:numId w:val="33"/>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 ended December 31, 2016 and 2015: (i) equity-based compensation of $20 and $48, (ii) interest expense of $41 and $23, and (iii) depreciation and amortization expense of $105 and $76,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Total revenues in the Railroad segment increased by $5,287, in the year ended December 31, 2016 due to higher traffic and expanded service offerings to customers. The increase primarily consists of (i) $3,872 in freight transportation revenue and (ii) $837 in car hire income in the year ended December 31, 2016, as compared to the year ended December 31, 2015. Additionally, switching and other rail service revenue increased by $578 in the year ended December 31, 2016 as compared to the year ended December 31,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expenses in the Railroad segment increased by $363 in the year ended December 31, 2016, as compared to the year ended December 31, 2015.</w:t>
      </w:r>
    </w:p>
    <w:p>
      <w:pPr>
        <w:spacing w:after="0" w:line="140"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The increase of $363 primarily consists of $156 in operating expense, $31 in depreciation expense related to property, plant and equipment, and interest expense of $176 related to borrowings under the CMQR Credit Agreement used to finance construction and improvements to the railroad. The increase in operating expenses was driven by an increase in compensation and benefits of $615, and other operating expenses of $593, which was offset by a decrease in</w:t>
      </w:r>
    </w:p>
    <w:p>
      <w:pPr>
        <w:ind w:firstLine="8"/>
        <w:spacing w:after="0" w:line="261" w:lineRule="auto"/>
        <w:tabs>
          <w:tab w:leader="none" w:pos="2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professional fees of $692, (ii) bad debt expenses of $143, and (iii) insurance expense of $217 offset by an increase in in the year ended December 31, 2016 as compared to the year ended December 31, 2015.</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(Loss)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Adjusted Net Income increased by $3,839 in the year ended December 31, 2016, as compared to the year ended December 31, 2015. In addition to the changes in net income (loss) attributable to shareholders noted above, Adjusted Net Income was impacted by lower equity-based compensation expense of $827 in the year ended December 31, 2016 as compared to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EBITDA was $3,474 in the year ended December 31, 2016, increasing by $3,998 as compared to the year ended December 31, 2015. In addition to the changes in net income (loss) attributable to shareholders noted above, Adjusted EBITDA was also impacted primarily by lower equity-based compensation expense of $827 and an increase in interest expense of $176, in the year ended December 31, 2016 as compared to the year ended December 31,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Corporate for the year ended December 31, 2016 and December 31, 2015: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12,314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4,746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16,742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1,724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7,814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(36,051)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(28,269)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(7,782)</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(36,064)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(28,273)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(7,791)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income attributable to non-controlling interest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(35,896)</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(28,268)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(7,628)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(30,066)</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(22,557)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(7,509)</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2" w:right="239" w:bottom="1440" w:gutter="0" w:footer="0" w:header="0"/>
        </w:sectPr>
      </w:pPr>
    </w:p>
    <w:bookmarkStart w:id="59" w:name="page60"/>
    <w:bookmarkEnd w:id="59"/>
    <w:p>
      <w:pPr>
        <w:ind w:right="320"/>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Corporate for the year ended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(35,896)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(7,628)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5,836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545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(29,553)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(22,557)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(6,996)</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year ended December 31, 2016 and December 31, 2015: (i) interest expense of $55 and $0,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the year ended December 31, 2016, we had $32 of lease income as a result of an in-place lease agreement acquired with the purchase of Repauno.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Total expenses increased by $7,814 in the year ended December 31, 2016 as compared to the year ended December 31, 2015, respectively.</w:t>
      </w:r>
    </w:p>
    <w:p>
      <w:pPr>
        <w:spacing w:after="0" w:line="129"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For the year ended December 31, 2016, the increase primarily consists of higher (i) higher general and administrative expenses of $4,746, including $3,182 of reimbursement expenses to our manager, $835 of general corporate costs required for a stand-alone public company including insurance and director fees, $585 of professional fees, $151 of director fees, (ii) management fees of $1,724 attributable to new agreements put in place subsequent to our IPO, (iii) operating expenses of $642 due to compensation and benefits, and property taxes incurred in connection with the purchase of Repauno, and (iv) interest expense of $545 related to the payment obligation to the non-controlling interest as part of the Repauno purchase.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Adjusted Net Loss was $30,066 in the year ended December 31, 2016, increasing by $7,509, as compared to the year ended December 31, 2015. In addition to the changes in net loss attributable to shareholders noted above, Adjusted Net Loss was adjusted by acquisition and transaction expenses, incurred for potential acquisition opportunities, which were higher for the year ended December 31, 2016, as compared to the year ended December 31, 2015.</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(non-GAAP)</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Adjusted EBITDA was $(29,553) in the year ended December 31, 2016, decreasing by $(6,996) as compared to the year ended December 31, 2015. In addition to the changes in net loss attributable to shareholders noted above, Adjusted EBITDA was affected by acquisition and transaction expenses, incurred for potential acquisition opportunities, which were higher for the year ended December 31, 2016, as compared to year ended December 31, 2015. Additionally, we incurred interest expense of $545 in the year ended December 31, 2016, as compared to the year ended December 31, 2015, as a result of interest expense related to the obligation payable to the non-controlling interest as part of the Repauno purchase.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Comparison of the year ended December 31, 2015 to the year ended December 31, 2014</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(loss) income attributable to shareholders to Adjusted Net Income in the year ended December 31, 2015 as compared to the year ended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64,883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37,202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17,286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11,322</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1,827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1,501</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92,743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48,759</w:t>
            </w:r>
          </w:p>
        </w:tc>
        <w:tc>
          <w:tcPr>
            <w:tcW w:w="0" w:type="dxa"/>
            <w:vAlign w:val="bottom"/>
          </w:tcPr>
          <w:p>
            <w:pPr>
              <w:spacing w:after="0"/>
              <w:rPr>
                <w:sz w:val="1"/>
                <w:szCs w:val="1"/>
                <w:color w:val="auto"/>
              </w:rPr>
            </w:pP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237"/>
        </w:trPr>
        <w:tc>
          <w:tcPr>
            <w:tcW w:w="640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25,550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15,581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13,655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11,003</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43,825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29,879</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136,568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57,930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78,638</w:t>
            </w:r>
          </w:p>
        </w:tc>
        <w:tc>
          <w:tcPr>
            <w:tcW w:w="0" w:type="dxa"/>
            <w:vAlign w:val="bottom"/>
          </w:tcPr>
          <w:p>
            <w:pPr>
              <w:spacing w:after="0"/>
              <w:rPr>
                <w:sz w:val="1"/>
                <w:szCs w:val="1"/>
                <w:color w:val="auto"/>
              </w:rPr>
            </w:pPr>
          </w:p>
        </w:tc>
      </w:tr>
      <w:tr>
        <w:trPr>
          <w:trHeight w:val="297"/>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68,793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27,223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41,570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5,683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11,450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(5,767)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15,018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45,308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15,998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29,310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19,311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13,439</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161,681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68,013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93,668</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3,419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(4,157)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(expense)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(16,807)</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(28,045)</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3,792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(31,837)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(28,631)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2,918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(31,549)</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(11,943)</w:t>
            </w:r>
          </w:p>
        </w:tc>
        <w:tc>
          <w:tcPr>
            <w:tcW w:w="0" w:type="dxa"/>
            <w:vAlign w:val="bottom"/>
          </w:tcPr>
          <w:p>
            <w:pPr>
              <w:spacing w:after="0"/>
              <w:rPr>
                <w:sz w:val="1"/>
                <w:szCs w:val="1"/>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(11,826)</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7,780</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(19,606)</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4,662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3,397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Net Income from unconsolidated entities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3,552</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6,155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(2,603)</w:t>
            </w:r>
          </w:p>
        </w:tc>
        <w:tc>
          <w:tcPr>
            <w:tcW w:w="0" w:type="dxa"/>
            <w:vAlign w:val="bottom"/>
          </w:tcPr>
          <w:p>
            <w:pPr>
              <w:spacing w:after="0"/>
              <w:rPr>
                <w:sz w:val="1"/>
                <w:szCs w:val="1"/>
                <w:color w:val="auto"/>
              </w:rPr>
            </w:pPr>
          </w:p>
        </w:tc>
      </w:tr>
      <w:tr>
        <w:trPr>
          <w:trHeight w:val="48"/>
        </w:trPr>
        <w:tc>
          <w:tcPr>
            <w:tcW w:w="640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6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476" w:right="23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losses (earnings) of unconsolidated entities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13,049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7,787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20,657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(12,870)</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170" w:lineRule="exact"/>
        <w:rPr>
          <w:sz w:val="20"/>
          <w:szCs w:val="20"/>
          <w:color w:val="auto"/>
        </w:rPr>
      </w:pPr>
    </w:p>
    <w:p>
      <w:pPr>
        <w:ind w:left="440" w:hanging="432"/>
        <w:spacing w:after="0" w:line="257" w:lineRule="auto"/>
        <w:tabs>
          <w:tab w:leader="none" w:pos="148" w:val="left"/>
        </w:tabs>
        <w:numPr>
          <w:ilvl w:val="0"/>
          <w:numId w:val="36"/>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asset impairment charges of $10,508 for the year ended December 31, 2015. Pro-rata share of Adjusted Net Income from unconsolidated entities includes the Company’s proportionate share of the unconsolidated entities’ net income adjusted for loss on extinguishment of debt of $62 for the year ended December 31, 2014.</w:t>
      </w:r>
    </w:p>
    <w:p>
      <w:pPr>
        <w:spacing w:after="0" w:line="77" w:lineRule="exact"/>
        <w:rPr>
          <w:rFonts w:ascii="Arial" w:cs="Arial" w:eastAsia="Arial" w:hAnsi="Arial"/>
          <w:sz w:val="9"/>
          <w:szCs w:val="9"/>
          <w:color w:val="auto"/>
        </w:rPr>
      </w:pPr>
    </w:p>
    <w:p>
      <w:pPr>
        <w:ind w:left="140" w:hanging="132"/>
        <w:spacing w:after="0"/>
        <w:tabs>
          <w:tab w:leader="none" w:pos="140" w:val="left"/>
        </w:tabs>
        <w:numPr>
          <w:ilvl w:val="0"/>
          <w:numId w:val="36"/>
        </w:numPr>
        <w:rPr>
          <w:rFonts w:ascii="Arial" w:cs="Arial" w:eastAsia="Arial" w:hAnsi="Arial"/>
          <w:sz w:val="8"/>
          <w:szCs w:val="8"/>
          <w:color w:val="auto"/>
        </w:rPr>
      </w:pPr>
      <w:r>
        <w:rPr>
          <w:rFonts w:ascii="Arial" w:cs="Arial" w:eastAsia="Arial" w:hAnsi="Arial"/>
          <w:sz w:val="13"/>
          <w:szCs w:val="13"/>
          <w:color w:val="auto"/>
        </w:rPr>
        <w:t>Non-controlling share of Adjusted Net Income is comprised of the following for the years ended December 31, 2015 and 2014, respectively: (i) equity-based compensation of $1,387 and $454,</w:t>
      </w:r>
    </w:p>
    <w:p>
      <w:pPr>
        <w:spacing w:after="0" w:line="24" w:lineRule="exact"/>
        <w:rPr>
          <w:rFonts w:ascii="Arial" w:cs="Arial" w:eastAsia="Arial" w:hAnsi="Arial"/>
          <w:sz w:val="8"/>
          <w:szCs w:val="8"/>
          <w:color w:val="auto"/>
        </w:rPr>
      </w:pPr>
    </w:p>
    <w:p>
      <w:pPr>
        <w:ind w:left="660" w:hanging="220"/>
        <w:spacing w:after="0"/>
        <w:tabs>
          <w:tab w:leader="none" w:pos="660" w:val="left"/>
        </w:tabs>
        <w:numPr>
          <w:ilvl w:val="1"/>
          <w:numId w:val="36"/>
        </w:numPr>
        <w:rPr>
          <w:rFonts w:ascii="Arial" w:cs="Arial" w:eastAsia="Arial" w:hAnsi="Arial"/>
          <w:sz w:val="14"/>
          <w:szCs w:val="14"/>
          <w:color w:val="auto"/>
        </w:rPr>
      </w:pPr>
      <w:r>
        <w:rPr>
          <w:rFonts w:ascii="Arial" w:cs="Arial" w:eastAsia="Arial" w:hAnsi="Arial"/>
          <w:sz w:val="14"/>
          <w:szCs w:val="14"/>
          <w:color w:val="auto"/>
        </w:rPr>
        <w:t>provision for income tax of $16 and $71, and (iii) cash tax payments of $(70) and $0.</w:t>
      </w:r>
    </w:p>
    <w:p>
      <w:pPr>
        <w:spacing w:after="0" w:line="10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Year Ended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60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47"/>
        </w:trPr>
        <w:tc>
          <w:tcPr>
            <w:tcW w:w="60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17"/>
        </w:trPr>
        <w:tc>
          <w:tcPr>
            <w:tcW w:w="6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24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(19,606)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33"/>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5,683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11,450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(5,767)</w:t>
            </w:r>
          </w:p>
        </w:tc>
      </w:tr>
      <w:tr>
        <w:trPr>
          <w:trHeight w:val="33"/>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Add: Losses on the modification or extinguishment of debt and 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52,324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33,632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19,311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5,872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13,439</w:t>
            </w:r>
          </w:p>
        </w:tc>
      </w:tr>
      <w:tr>
        <w:trPr>
          <w:trHeight w:val="33"/>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(4)</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6,987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Less: Equity in losses (earnings) of unconsolidated entities</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(6,093)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13,049</w:t>
            </w:r>
          </w:p>
        </w:tc>
      </w:tr>
      <w:tr>
        <w:trPr>
          <w:trHeight w:val="33"/>
        </w:trPr>
        <w:tc>
          <w:tcPr>
            <w:tcW w:w="6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(5)</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(9,578)</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72,622</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47,037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25,585</w:t>
            </w:r>
          </w:p>
        </w:tc>
      </w:tr>
      <w:tr>
        <w:trPr>
          <w:trHeight w:val="20"/>
        </w:trPr>
        <w:tc>
          <w:tcPr>
            <w:tcW w:w="6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13" w:lineRule="exact"/>
        <w:rPr>
          <w:sz w:val="20"/>
          <w:szCs w:val="20"/>
          <w:color w:val="auto"/>
        </w:rPr>
      </w:pPr>
    </w:p>
    <w:p>
      <w:pPr>
        <w:ind w:left="440" w:hanging="432"/>
        <w:spacing w:after="0" w:line="273" w:lineRule="auto"/>
        <w:tabs>
          <w:tab w:leader="none" w:pos="162" w:val="left"/>
        </w:tabs>
        <w:numPr>
          <w:ilvl w:val="0"/>
          <w:numId w:val="37"/>
        </w:numPr>
        <w:rPr>
          <w:rFonts w:ascii="Arial" w:cs="Arial" w:eastAsia="Arial" w:hAnsi="Arial"/>
          <w:sz w:val="9"/>
          <w:szCs w:val="9"/>
          <w:color w:val="auto"/>
        </w:rPr>
      </w:pPr>
      <w:r>
        <w:rPr>
          <w:rFonts w:ascii="Arial" w:cs="Arial" w:eastAsia="Arial" w:hAnsi="Arial"/>
          <w:sz w:val="14"/>
          <w:szCs w:val="14"/>
          <w:color w:val="auto"/>
        </w:rPr>
        <w:t>Depreciation and amortization expense includes $45,308 and $15,998 of depreciation and amortization expense, $6,774 and $2,694 of lease intangible amortization, and $242 and $0 of amortization for lease incentives for the years ended December 31, 2015 and 2014, respectively.</w:t>
      </w:r>
    </w:p>
    <w:p>
      <w:pPr>
        <w:spacing w:after="0" w:line="65" w:lineRule="exact"/>
        <w:rPr>
          <w:rFonts w:ascii="Arial" w:cs="Arial" w:eastAsia="Arial" w:hAnsi="Arial"/>
          <w:sz w:val="9"/>
          <w:szCs w:val="9"/>
          <w:color w:val="auto"/>
        </w:rPr>
      </w:pPr>
    </w:p>
    <w:p>
      <w:pPr>
        <w:ind w:left="440" w:hanging="432"/>
        <w:spacing w:after="0" w:line="257" w:lineRule="auto"/>
        <w:tabs>
          <w:tab w:leader="none" w:pos="148" w:val="left"/>
        </w:tabs>
        <w:numPr>
          <w:ilvl w:val="0"/>
          <w:numId w:val="37"/>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adjustments for the following items for the years ended December 31, 2015 and 2014: (i) net income (loss) of $(7,165) and $5,876, (ii) interest expense of $1,778 and $2,561, (iii) depreciation and amortization expense of $1,866 and $1,232, and (iv) asset impairment charges of $10,508 and $0, respectively.</w:t>
      </w:r>
    </w:p>
    <w:p>
      <w:pPr>
        <w:spacing w:after="0" w:line="77" w:lineRule="exact"/>
        <w:rPr>
          <w:rFonts w:ascii="Arial" w:cs="Arial" w:eastAsia="Arial" w:hAnsi="Arial"/>
          <w:sz w:val="9"/>
          <w:szCs w:val="9"/>
          <w:color w:val="auto"/>
        </w:rPr>
      </w:pPr>
    </w:p>
    <w:p>
      <w:pPr>
        <w:ind w:left="440" w:hanging="432"/>
        <w:spacing w:after="0" w:line="273" w:lineRule="auto"/>
        <w:tabs>
          <w:tab w:leader="none" w:pos="162" w:val="left"/>
        </w:tabs>
        <w:numPr>
          <w:ilvl w:val="0"/>
          <w:numId w:val="37"/>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2015 and 2014: (i) equity based compensation of $1,387 and $454, (ii) provision for income taxes of $16 and $71, (iii) interest expense of $4,926 and $642, and (iv) depreciation and amortization expense of $5,746 and $1,330,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Total revenue increased by $78,638 in the year ended December 31, 2015 as compared to the year ended December 31, 2014, primarily from acquisitions of leasing equipment in 2015 and the full impact of acquisitions completed in the second half of 2014 for lease income, maintenance revenue, rail revenues, and terminal services revenues.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39" w:right="239" w:bottom="1440" w:gutter="0" w:footer="0" w:header="0"/>
        </w:sectPr>
      </w:pPr>
    </w:p>
    <w:bookmarkStart w:id="62" w:name="page63"/>
    <w:bookmarkEnd w:id="62"/>
    <w:p>
      <w:pPr>
        <w:jc w:val="both"/>
        <w:ind w:firstLine="486"/>
        <w:spacing w:after="0" w:line="259" w:lineRule="auto"/>
        <w:rPr>
          <w:sz w:val="20"/>
          <w:szCs w:val="20"/>
          <w:color w:val="auto"/>
        </w:rPr>
      </w:pPr>
      <w:r>
        <w:rPr>
          <w:rFonts w:ascii="Arial" w:cs="Arial" w:eastAsia="Arial" w:hAnsi="Arial"/>
          <w:sz w:val="18"/>
          <w:szCs w:val="18"/>
          <w:color w:val="auto"/>
        </w:rPr>
        <w:t>In Equipment Leasing, lease income increased by $37,202 in the year ended December 31, 2015, as compared to the year ended December 31, 2014, driven by the acquisitions of assets on-lease within the Aviation Leasing and Offshore Energy segments. Maintenance revenue increased by $11,322 in the year ended December 31, 2015 as compared to the year ended December 31, 2014, as the number of assets subject to leases with maintenance arrangements increased in the comparable periods.</w:t>
      </w:r>
    </w:p>
    <w:p>
      <w:pPr>
        <w:spacing w:after="0" w:line="7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Infrastructure, the Railroad segment acquisition in the second quarter of 2014 contributed to higher rail revenues of $15,581 in the year ended December 31, 2015 as compared to the year ended December 31, 2014. The Jefferson Terminal acquisition in the third quarter of 2014 contributed higher terminal services revenues and lease income of $14,298 in the year ended December 31, 2015 as compared to the year ended December 31, 2014.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Total expenses increased by $93,668 in the year ended December 31, 2015 as compared to the year ended December 31, 2014 due to increases in operating expenses, management fees, depreciation and amortization, and interest expense offset by a reduction of acquisition and transaction costs.</w:t>
      </w:r>
    </w:p>
    <w:p>
      <w:pPr>
        <w:spacing w:after="0" w:line="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Operating expenses increased $41,570 primarily due to the full year impact of facility operations for Jefferson and CMQR, both acquired in 2014.</w:t>
      </w:r>
    </w:p>
    <w:p>
      <w:pPr>
        <w:spacing w:after="0" w:line="1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Management fees and incentive allocation to affiliate increased by $9,555 in the year ended December 31, 2015 as compared to the year ended December 31, 2014, due to both the increase in the weighted average contributed capital and capital raised during the Company’s IPO.</w:t>
      </w:r>
    </w:p>
    <w:p>
      <w:pPr>
        <w:spacing w:after="0" w:line="6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and amortization increased by $29,310 due to the full year impact of Aviation and Offshore assets acquired in 2014 and new purchases of Aviation assets in 2015. Additionally, the full year impact of the CMQR and Jefferson acquisitions and a significant portion of Jefferson assets placed into service during 2015 caused an increase in depreciation expense during 2015.</w:t>
      </w:r>
    </w:p>
    <w:p>
      <w:pPr>
        <w:spacing w:after="0" w:line="7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expense increased by $13,439 in the year ended December 31, 2015 as compared to the year ended December 31, 2014, due to borrowings in connection with the CMQR and Jefferson Terminal acquisitions, as well as an Offshore Energy segment asset purchase.</w:t>
      </w:r>
    </w:p>
    <w:p>
      <w:pPr>
        <w:spacing w:after="0" w:line="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Acquisition and transaction expenses decreased by $5,767 in the year ended December 31, 2015 as compared to the year ended December 31, 2014, as 2014 included costs related to the acquisitions of Jefferson Terminal and CMQR.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Total other income decreased by $16,807 in the year ended December 31, 2015 as compared to the year ended December 31, 2014 due to lower equity in earnings of unconsolidated entities. Equity in earnings of unconsolidated entities decreased primarily from an impairment charge recorded by our shipping container joint venture in the third quarter of 2015. Additionally, other income was further impacted by lower gains on sale of aviation equipment of $4,523.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117"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Net income attributable to shareholders decreased by $19,606 in the year ended December 31, 2015 as compared to the year ended December 31, 2014, driven primarily by the changes discussed above, but offset by increases in net loss attributable to non-controlling interest in consolidated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Adjusted Net Income decreased $12,870 in the year ended December 31, 2015 as compared to the year ended December 31, 2014 due to changes in Net (loss) Income attributable to shareholders noted above of $19,606 and lower acquisition and transaction costs, offset by higher equity-based compensation expense and equity in losses of unconsolidated entities.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Adjusted EBITDA increased $25,585 in the year ended December 31, 2015 as compared to the year ended December 31, 2014. In addition to the changes in Net (loss) income attributable to shareholders noted above of $19,606, the increase was primarily due to increases in (i) equity in losses of unconsolidated entities, (ii) depreciation and amortization expense from additional assets acquired or placed into service across all segments, (iii) interest expense on borrowings executed in the second half of 2014 and (iv) equity-based compensation expense. The increase in the year ended December 31, 2015 was offset by (i) a decrease in our pro-rata share of Adjusted EBITDA from unconsolidated entities and (ii) higher non-controlling share of Adjusted EBITDA, mainly due to Jefferson Terminal. The increase in the year ended December 31, 2015 was also offset by lower acquisition and transaction expenses, mainly due to costs to acquire Jefferson Terminal and CMQR, incurred during the year ended December 31,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6"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of December 31, 2015, 17 of our commercial aircraft and 23 of our jet engines were leased to operators or other third parties. Aviation assets currently off lease are either undergoing repair and/or maintenance, or are currently held in short term storage awaiting a future lease. Our aviation equipment was approximately 86% utilized as of December 31, 2015, based on the equity value of our on-hire leasing equipment as a percentage of the total equity value of our leasing equipment. Our aircraft assets currently have a weighted average remaining lease term of 33 months, and our engine assets currently on-lease have an average remaining lease term of 13 months. The chart below describes the assets in our Aviation Leasing segment:</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4680" w:type="dxa"/>
            <w:vAlign w:val="bottom"/>
            <w:gridSpan w:val="4"/>
            <w:shd w:val="clear" w:color="auto" w:fill="00497F"/>
          </w:tcPr>
          <w:p>
            <w:pPr>
              <w:ind w:left="20"/>
              <w:spacing w:after="0"/>
              <w:rPr>
                <w:sz w:val="20"/>
                <w:szCs w:val="20"/>
                <w:color w:val="auto"/>
              </w:rPr>
            </w:pPr>
            <w:r>
              <w:rPr>
                <w:rFonts w:ascii="Arial" w:cs="Arial" w:eastAsia="Arial" w:hAnsi="Arial"/>
                <w:sz w:val="18"/>
                <w:szCs w:val="18"/>
                <w:b w:val="1"/>
                <w:bCs w:val="1"/>
                <w:color w:val="FFFFFF"/>
              </w:rPr>
              <w:t>Aviation Assets</w:t>
            </w:r>
          </w:p>
        </w:tc>
        <w:tc>
          <w:tcPr>
            <w:tcW w:w="1680" w:type="dxa"/>
            <w:vAlign w:val="bottom"/>
            <w:shd w:val="clear" w:color="auto" w:fill="00497F"/>
          </w:tcPr>
          <w:p>
            <w:pPr>
              <w:ind w:left="700"/>
              <w:spacing w:after="0"/>
              <w:rPr>
                <w:sz w:val="20"/>
                <w:szCs w:val="20"/>
                <w:color w:val="auto"/>
              </w:rPr>
            </w:pPr>
            <w:r>
              <w:rPr>
                <w:rFonts w:ascii="Arial" w:cs="Arial" w:eastAsia="Arial" w:hAnsi="Arial"/>
                <w:sz w:val="18"/>
                <w:szCs w:val="18"/>
                <w:b w:val="1"/>
                <w:bCs w:val="1"/>
                <w:color w:val="FFFFFF"/>
              </w:rPr>
              <w:t>Widebody</w:t>
            </w:r>
          </w:p>
        </w:tc>
        <w:tc>
          <w:tcPr>
            <w:tcW w:w="50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720" w:type="dxa"/>
            <w:vAlign w:val="bottom"/>
            <w:shd w:val="clear" w:color="auto" w:fill="00497F"/>
          </w:tcPr>
          <w:p>
            <w:pPr>
              <w:ind w:left="580"/>
              <w:spacing w:after="0"/>
              <w:rPr>
                <w:sz w:val="20"/>
                <w:szCs w:val="20"/>
                <w:color w:val="auto"/>
              </w:rPr>
            </w:pPr>
            <w:r>
              <w:rPr>
                <w:rFonts w:ascii="Arial" w:cs="Arial" w:eastAsia="Arial" w:hAnsi="Arial"/>
                <w:sz w:val="18"/>
                <w:szCs w:val="18"/>
                <w:b w:val="1"/>
                <w:bCs w:val="1"/>
                <w:color w:val="FFFFFF"/>
              </w:rPr>
              <w:t>Narrowbody</w:t>
            </w:r>
          </w:p>
        </w:tc>
        <w:tc>
          <w:tcPr>
            <w:tcW w:w="44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2140" w:type="dxa"/>
            <w:vAlign w:val="bottom"/>
            <w:shd w:val="clear" w:color="auto" w:fill="00497F"/>
          </w:tcPr>
          <w:p>
            <w:pPr>
              <w:jc w:val="right"/>
              <w:ind w:right="790"/>
              <w:spacing w:after="0"/>
              <w:rPr>
                <w:sz w:val="20"/>
                <w:szCs w:val="20"/>
                <w:color w:val="auto"/>
              </w:rPr>
            </w:pPr>
            <w:r>
              <w:rPr>
                <w:rFonts w:ascii="Arial" w:cs="Arial" w:eastAsia="Arial" w:hAnsi="Arial"/>
                <w:sz w:val="18"/>
                <w:szCs w:val="18"/>
                <w:b w:val="1"/>
                <w:bCs w:val="1"/>
                <w:color w:val="FFFFFF"/>
              </w:rPr>
              <w:t>Total</w:t>
            </w:r>
          </w:p>
        </w:tc>
        <w:tc>
          <w:tcPr>
            <w:tcW w:w="0" w:type="dxa"/>
            <w:vAlign w:val="bottom"/>
          </w:tcPr>
          <w:p>
            <w:pPr>
              <w:spacing w:after="0"/>
              <w:rPr>
                <w:sz w:val="1"/>
                <w:szCs w:val="1"/>
                <w:color w:val="auto"/>
              </w:rPr>
            </w:pPr>
          </w:p>
        </w:tc>
      </w:tr>
      <w:tr>
        <w:trPr>
          <w:trHeight w:val="203"/>
        </w:trPr>
        <w:tc>
          <w:tcPr>
            <w:tcW w:w="4680" w:type="dxa"/>
            <w:vAlign w:val="bottom"/>
            <w:gridSpan w:val="4"/>
          </w:tcPr>
          <w:p>
            <w:pPr>
              <w:ind w:left="20"/>
              <w:spacing w:after="0" w:line="202" w:lineRule="exact"/>
              <w:rPr>
                <w:sz w:val="20"/>
                <w:szCs w:val="20"/>
                <w:color w:val="auto"/>
              </w:rPr>
            </w:pPr>
            <w:r>
              <w:rPr>
                <w:rFonts w:ascii="Arial" w:cs="Arial" w:eastAsia="Arial" w:hAnsi="Arial"/>
                <w:sz w:val="18"/>
                <w:szCs w:val="18"/>
                <w:b w:val="1"/>
                <w:bCs w:val="1"/>
                <w:i w:val="1"/>
                <w:iCs w:val="1"/>
                <w:color w:val="auto"/>
              </w:rPr>
              <w:t>Aircraft</w:t>
            </w:r>
          </w:p>
        </w:tc>
        <w:tc>
          <w:tcPr>
            <w:tcW w:w="1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80" w:type="dxa"/>
            <w:vAlign w:val="bottom"/>
            <w:gridSpan w:val="4"/>
          </w:tcPr>
          <w:p>
            <w:pPr>
              <w:ind w:left="20"/>
              <w:spacing w:after="0"/>
              <w:rPr>
                <w:sz w:val="20"/>
                <w:szCs w:val="20"/>
                <w:color w:val="auto"/>
              </w:rPr>
            </w:pPr>
            <w:r>
              <w:rPr>
                <w:rFonts w:ascii="Arial" w:cs="Arial" w:eastAsia="Arial" w:hAnsi="Arial"/>
                <w:sz w:val="18"/>
                <w:szCs w:val="18"/>
                <w:b w:val="1"/>
                <w:bCs w:val="1"/>
                <w:color w:val="auto"/>
              </w:rPr>
              <w:t>Assets at January 1, 2015</w:t>
            </w:r>
          </w:p>
        </w:tc>
        <w:tc>
          <w:tcPr>
            <w:tcW w:w="16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16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1680" w:type="dxa"/>
            <w:vAlign w:val="bottom"/>
          </w:tcPr>
          <w:p>
            <w:pPr>
              <w:spacing w:after="0"/>
              <w:rPr>
                <w:sz w:val="23"/>
                <w:szCs w:val="23"/>
                <w:color w:val="auto"/>
              </w:rPr>
            </w:pPr>
          </w:p>
        </w:tc>
        <w:tc>
          <w:tcPr>
            <w:tcW w:w="2340" w:type="dxa"/>
            <w:vAlign w:val="bottom"/>
            <w:gridSpan w:val="3"/>
          </w:tcPr>
          <w:p>
            <w:pPr>
              <w:jc w:val="right"/>
              <w:ind w:right="187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gridSpan w:val="4"/>
          </w:tcPr>
          <w:p>
            <w:pPr>
              <w:ind w:left="20"/>
              <w:spacing w:after="0"/>
              <w:rPr>
                <w:sz w:val="20"/>
                <w:szCs w:val="20"/>
                <w:color w:val="auto"/>
              </w:rPr>
            </w:pPr>
            <w:r>
              <w:rPr>
                <w:rFonts w:ascii="Arial" w:cs="Arial" w:eastAsia="Arial" w:hAnsi="Arial"/>
                <w:sz w:val="18"/>
                <w:szCs w:val="18"/>
                <w:b w:val="1"/>
                <w:bCs w:val="1"/>
                <w:color w:val="auto"/>
              </w:rPr>
              <w:t>Assets at December 31, 2015</w:t>
            </w:r>
          </w:p>
        </w:tc>
        <w:tc>
          <w:tcPr>
            <w:tcW w:w="16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7"/>
        </w:trPr>
        <w:tc>
          <w:tcPr>
            <w:tcW w:w="4680" w:type="dxa"/>
            <w:vAlign w:val="bottom"/>
            <w:gridSpan w:val="4"/>
            <w:vMerge w:val="restart"/>
          </w:tcPr>
          <w:p>
            <w:pPr>
              <w:ind w:left="20"/>
              <w:spacing w:after="0"/>
              <w:rPr>
                <w:sz w:val="20"/>
                <w:szCs w:val="20"/>
                <w:color w:val="auto"/>
              </w:rPr>
            </w:pPr>
            <w:r>
              <w:rPr>
                <w:rFonts w:ascii="Arial" w:cs="Arial" w:eastAsia="Arial" w:hAnsi="Arial"/>
                <w:sz w:val="18"/>
                <w:szCs w:val="18"/>
                <w:b w:val="1"/>
                <w:bCs w:val="1"/>
                <w:i w:val="1"/>
                <w:iCs w:val="1"/>
                <w:color w:val="auto"/>
              </w:rPr>
              <w:t>Jet Engines</w:t>
            </w: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0"/>
        </w:trPr>
        <w:tc>
          <w:tcPr>
            <w:tcW w:w="4680" w:type="dxa"/>
            <w:vAlign w:val="bottom"/>
            <w:gridSpan w:val="4"/>
            <w:vMerge w:val="continue"/>
          </w:tcPr>
          <w:p>
            <w:pPr>
              <w:spacing w:after="0"/>
              <w:rPr>
                <w:sz w:val="24"/>
                <w:szCs w:val="24"/>
                <w:color w:val="auto"/>
              </w:rPr>
            </w:pPr>
          </w:p>
        </w:tc>
        <w:tc>
          <w:tcPr>
            <w:tcW w:w="1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780" w:type="dxa"/>
            <w:vAlign w:val="bottom"/>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680" w:type="dxa"/>
            <w:vAlign w:val="bottom"/>
            <w:gridSpan w:val="4"/>
          </w:tcPr>
          <w:p>
            <w:pPr>
              <w:ind w:left="20"/>
              <w:spacing w:after="0"/>
              <w:rPr>
                <w:sz w:val="20"/>
                <w:szCs w:val="20"/>
                <w:color w:val="auto"/>
              </w:rPr>
            </w:pPr>
            <w:r>
              <w:rPr>
                <w:rFonts w:ascii="Arial" w:cs="Arial" w:eastAsia="Arial" w:hAnsi="Arial"/>
                <w:sz w:val="18"/>
                <w:szCs w:val="18"/>
                <w:b w:val="1"/>
                <w:bCs w:val="1"/>
                <w:color w:val="auto"/>
              </w:rPr>
              <w:t>Assets at January 1, 2015</w:t>
            </w:r>
          </w:p>
        </w:tc>
        <w:tc>
          <w:tcPr>
            <w:tcW w:w="16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Purchases</w:t>
            </w:r>
          </w:p>
        </w:tc>
        <w:tc>
          <w:tcPr>
            <w:tcW w:w="16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8"/>
                <w:szCs w:val="18"/>
                <w:color w:val="auto"/>
              </w:rPr>
              <w:t>Sales</w:t>
            </w:r>
          </w:p>
        </w:tc>
        <w:tc>
          <w:tcPr>
            <w:tcW w:w="16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80" w:type="dxa"/>
            <w:vAlign w:val="bottom"/>
            <w:gridSpan w:val="4"/>
          </w:tcPr>
          <w:p>
            <w:pPr>
              <w:ind w:left="20"/>
              <w:spacing w:after="0"/>
              <w:rPr>
                <w:sz w:val="20"/>
                <w:szCs w:val="20"/>
                <w:color w:val="auto"/>
              </w:rPr>
            </w:pPr>
            <w:r>
              <w:rPr>
                <w:rFonts w:ascii="Arial" w:cs="Arial" w:eastAsia="Arial" w:hAnsi="Arial"/>
                <w:sz w:val="18"/>
                <w:szCs w:val="18"/>
                <w:b w:val="1"/>
                <w:bCs w:val="1"/>
                <w:color w:val="auto"/>
              </w:rPr>
              <w:t>Assets at December 31, 2015</w:t>
            </w:r>
          </w:p>
        </w:tc>
        <w:tc>
          <w:tcPr>
            <w:tcW w:w="1680" w:type="dxa"/>
            <w:vAlign w:val="bottom"/>
          </w:tcPr>
          <w:p>
            <w:pPr>
              <w:spacing w:after="0"/>
              <w:rPr>
                <w:sz w:val="20"/>
                <w:szCs w:val="20"/>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140" w:type="dxa"/>
            <w:vAlign w:val="bottom"/>
          </w:tcPr>
          <w:p>
            <w:pPr>
              <w:jc w:val="right"/>
              <w:ind w:right="3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2015 as compared to the year ended December 31, 2014 for the Aviation Leasing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42,924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17,286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11,322</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61,330</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20,958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40,372</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23,549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9,445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14,104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26,369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15,211</w:t>
            </w:r>
          </w:p>
        </w:tc>
      </w:tr>
      <w:tr>
        <w:trPr>
          <w:trHeight w:val="291"/>
        </w:trPr>
        <w:tc>
          <w:tcPr>
            <w:tcW w:w="6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3,053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7,576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(4,523)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38,025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17,402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20,623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37,357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20,445</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 in consolidated subsidiaries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w:t>
            </w: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37,336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20,424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bl>
    <w:p>
      <w:pPr>
        <w:spacing w:after="0" w:line="200" w:lineRule="exact"/>
        <w:rPr>
          <w:sz w:val="20"/>
          <w:szCs w:val="20"/>
          <w:color w:val="auto"/>
        </w:rPr>
      </w:pPr>
    </w:p>
    <w:p>
      <w:pPr>
        <w:sectPr>
          <w:pgSz w:w="11900" w:h="16838" w:orient="portrait"/>
          <w:cols w:equalWidth="0" w:num="1">
            <w:col w:w="11420"/>
          </w:cols>
          <w:pgMar w:left="240" w:top="472"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472" w:right="2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37,777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20,641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 for the Aviation Leasing segment: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37,336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30,565</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18,426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68,548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29,541</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39,007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170" w:lineRule="exact"/>
        <w:rPr>
          <w:sz w:val="20"/>
          <w:szCs w:val="20"/>
          <w:color w:val="auto"/>
        </w:rPr>
      </w:pPr>
    </w:p>
    <w:p>
      <w:pPr>
        <w:ind w:left="500" w:hanging="492"/>
        <w:spacing w:after="0" w:line="273" w:lineRule="auto"/>
        <w:tabs>
          <w:tab w:leader="none" w:pos="168" w:val="left"/>
        </w:tabs>
        <w:numPr>
          <w:ilvl w:val="0"/>
          <w:numId w:val="38"/>
        </w:numPr>
        <w:rPr>
          <w:rFonts w:ascii="Arial" w:cs="Arial" w:eastAsia="Arial" w:hAnsi="Arial"/>
          <w:sz w:val="9"/>
          <w:szCs w:val="9"/>
          <w:color w:val="auto"/>
        </w:rPr>
      </w:pPr>
      <w:r>
        <w:rPr>
          <w:rFonts w:ascii="Arial" w:cs="Arial" w:eastAsia="Arial" w:hAnsi="Arial"/>
          <w:sz w:val="14"/>
          <w:szCs w:val="14"/>
          <w:color w:val="auto"/>
        </w:rPr>
        <w:t>Depreciation and amortization expense includes $23,549 and $9,445 of depreciation expense, $6,774 and $2,694 of lease intangible amortization, and $242 and $0 of amortization for lease incentives for the years ended December 31, 2015 and 2014, respectively.</w:t>
      </w:r>
    </w:p>
    <w:p>
      <w:pPr>
        <w:spacing w:after="0" w:line="65" w:lineRule="exact"/>
        <w:rPr>
          <w:rFonts w:ascii="Arial" w:cs="Arial" w:eastAsia="Arial" w:hAnsi="Arial"/>
          <w:sz w:val="9"/>
          <w:szCs w:val="9"/>
          <w:color w:val="auto"/>
        </w:rPr>
      </w:pPr>
    </w:p>
    <w:p>
      <w:pPr>
        <w:ind w:left="140" w:hanging="132"/>
        <w:spacing w:after="0"/>
        <w:tabs>
          <w:tab w:leader="none" w:pos="140" w:val="left"/>
        </w:tabs>
        <w:numPr>
          <w:ilvl w:val="0"/>
          <w:numId w:val="38"/>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depreciation expense of $21 and $0 for the years ended December 31, 2015 and 2014,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Total revenues in the Aviation Leasing segment increased by $40,372 in the year ended December 31, 2015 as compared to the year ended December 31, 2014, driven by higher lease income, maintenance revenue, and other revenue. Lease income increased by $27,933 primarily due to (i) higher aircraft lease income of $27,583 primarily driven by a full year of lease income for ten aircraft purchased throughout 2014 and the acquisition of three aircraft with in-place leases in 2015, (ii) higher engine lease income of $4,648 primarily driven by an increase in the number of engines generating revenue, from twenty two in 2014 to thirty two in 2015, offset by (iii) by an increase in net favorable intangible lease amortization of $4,321 related to the acquisition of aircraft and engines with in-place leases. Maintenance revenue increased by $11,322 in the year ended December 31, 2015 as compared to the year ended December 31, 2014 due to a full year of utilization for the ten aircraft purchased in 2014 and increase</w:t>
      </w:r>
    </w:p>
    <w:p>
      <w:pPr>
        <w:sectPr>
          <w:pgSz w:w="11900" w:h="16838" w:orient="portrait"/>
          <w:cols w:equalWidth="0" w:num="1">
            <w:col w:w="11420"/>
          </w:cols>
          <w:pgMar w:left="240" w:top="639"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639" w:right="239" w:bottom="1440" w:gutter="0" w:footer="0" w:header="0"/>
          <w:type w:val="continuous"/>
        </w:sectPr>
      </w:pPr>
    </w:p>
    <w:bookmarkStart w:id="65" w:name="page66"/>
    <w:bookmarkEnd w:id="65"/>
    <w:p>
      <w:pPr>
        <w:jc w:val="both"/>
        <w:ind w:right="20"/>
        <w:spacing w:after="0" w:line="277" w:lineRule="auto"/>
        <w:rPr>
          <w:sz w:val="20"/>
          <w:szCs w:val="20"/>
          <w:color w:val="auto"/>
        </w:rPr>
      </w:pPr>
      <w:r>
        <w:rPr>
          <w:rFonts w:ascii="Arial" w:cs="Arial" w:eastAsia="Arial" w:hAnsi="Arial"/>
          <w:sz w:val="18"/>
          <w:szCs w:val="18"/>
          <w:color w:val="auto"/>
        </w:rPr>
        <w:t>in number of engines and aircraft on lease in the year ended December 31, 2015. Other revenue increased by $1,117 primarily due to income recognized from the forfeiture of two security deposits in the year ended December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7"/>
          <w:szCs w:val="17"/>
          <w:color w:val="auto"/>
        </w:rPr>
        <w:t>Total expenses in the Aviation Leasing segment increased by $15,211 in the year ended December 31, 2015 as compared to the year ended December 31, 2014 primarily due to increased depreciation and amortization and increased operating expenses. Depreciation and amortization increased in the year ended December 31, 2015 by $14,104 primarily due a full year impact of depreciation for ten aircraft purchased in 2014 and four aircraft and net ten jet engines placed into service in 2015. The increase in operating expenses was primarily driven by higher (i) repairs and maintenance expense of $581 primarily due to costs associated with an on-lease aircraft, (ii) other operating expenses of $337 due to increased transportation and storage of engines, along with additional software costs, (iii) professional fees of $126 due to increased tax consulting and audit fees, and (iv) an increase in commission fees of $98 due to the use of lease brokers. The increase in operating expenses was offset by decreased bad debt expense of $133 for the year ended December 31, 2015 as compared to the year ended December 31, 2014.</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Total other income in the Aviation Leasing segment decreased by $4,538 in the year ended December 31, 2015 as compared to the year ended December 31, 2014, as the Company recognized a lower gain on sale of equipment of $4,523 in the year ended December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Adjusted Net Income increased $20,641 in the year ended December 31, 2015 as compared to the year ended December 31, 2014, primarily driven by the changes to net income attributable to shareholders noted above and the net impact of the provision for tax less cash paid for taxes.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Adjusted EBITDA increased $39,007 in the year ended December 31, 2015 as compared to the year ended December 31, 2014 due to the changes in Net Income attributable to shareholders noted above and increased depreciation and amortization expense for the additional aircraft and engines owned and on-lease in the year ended December 31,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jc w:val="both"/>
        <w:ind w:right="20" w:firstLine="486"/>
        <w:spacing w:after="0" w:line="257" w:lineRule="auto"/>
        <w:rPr>
          <w:sz w:val="20"/>
          <w:szCs w:val="20"/>
          <w:color w:val="auto"/>
        </w:rPr>
      </w:pPr>
      <w:r>
        <w:rPr>
          <w:rFonts w:ascii="Arial" w:cs="Arial" w:eastAsia="Arial" w:hAnsi="Arial"/>
          <w:sz w:val="18"/>
          <w:szCs w:val="18"/>
          <w:color w:val="auto"/>
        </w:rPr>
        <w:t>In our Offshore Energy segment, we own one anchor handling tug supply (“AHTS”) vessel, one construction support vessel, and one remotely operated vehicle (“ROV”) support vessel. In addition, in the year ended December 31, 2015 we had contracted with a Norwegian shipyard to build a new inspection, maintenance, and repair (“IMR”) vessel. In the second quarter of 2016, the Company determined not to proceed with the purchase of the IMR, resulting in a termination of the shipbuilding contract in July 2016. The chart below describes the assets in our Offshore Energy segment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146050</wp:posOffset>
            </wp:positionV>
            <wp:extent cx="7246620" cy="2452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452370"/>
                    </a:xfrm>
                    <a:prstGeom prst="rect">
                      <a:avLst/>
                    </a:prstGeom>
                    <a:noFill/>
                  </pic:spPr>
                </pic:pic>
              </a:graphicData>
            </a:graphic>
          </wp:anchor>
        </w:drawing>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88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7"/>
              </w:rPr>
              <w:t>Year Built</w:t>
            </w:r>
          </w:p>
        </w:tc>
        <w:tc>
          <w:tcPr>
            <w:tcW w:w="3520" w:type="dxa"/>
            <w:vAlign w:val="bottom"/>
            <w:tcBorders>
              <w:top w:val="single" w:sz="8" w:color="auto"/>
              <w:bottom w:val="single" w:sz="8" w:color="D8D8D8"/>
              <w:right w:val="single" w:sz="8" w:color="auto"/>
            </w:tcBorders>
            <w:shd w:val="clear" w:color="auto" w:fill="D8D8D8"/>
          </w:tcPr>
          <w:p>
            <w:pPr>
              <w:ind w:left="136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40"/>
              <w:spacing w:after="0"/>
              <w:rPr>
                <w:sz w:val="20"/>
                <w:szCs w:val="20"/>
                <w:color w:val="auto"/>
              </w:rPr>
            </w:pPr>
            <w:r>
              <w:rPr>
                <w:rFonts w:ascii="Arial" w:cs="Arial" w:eastAsia="Arial" w:hAnsi="Arial"/>
                <w:sz w:val="16"/>
                <w:szCs w:val="16"/>
                <w:color w:val="auto"/>
              </w:rPr>
              <w:t>Lease Expiration</w:t>
            </w:r>
          </w:p>
        </w:tc>
        <w:tc>
          <w:tcPr>
            <w:tcW w:w="2020" w:type="dxa"/>
            <w:vAlign w:val="bottom"/>
            <w:tcBorders>
              <w:top w:val="single" w:sz="8" w:color="auto"/>
              <w:bottom w:val="single" w:sz="8" w:color="D8D8D8"/>
            </w:tcBorders>
            <w:shd w:val="clear" w:color="auto" w:fill="D8D8D8"/>
          </w:tcPr>
          <w:p>
            <w:pPr>
              <w:ind w:left="26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8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AHTS Vessel</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5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Anchor handling tug supply vessel with</w:t>
            </w:r>
          </w:p>
        </w:tc>
        <w:tc>
          <w:tcPr>
            <w:tcW w:w="18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November 2023</w:t>
            </w: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Borders>
              <w:top w:val="single" w:sz="8" w:color="auto"/>
            </w:tcBorders>
          </w:tcPr>
          <w:p>
            <w:pPr>
              <w:spacing w:after="0"/>
              <w:rPr>
                <w:sz w:val="19"/>
                <w:szCs w:val="19"/>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Off-lease</w:t>
            </w:r>
          </w:p>
        </w:tc>
        <w:tc>
          <w:tcPr>
            <w:tcW w:w="20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40"/>
              <w:spacing w:after="0" w:line="222" w:lineRule="exact"/>
              <w:rPr>
                <w:sz w:val="20"/>
                <w:szCs w:val="20"/>
                <w:color w:val="auto"/>
              </w:rPr>
            </w:pPr>
            <w:r>
              <w:rPr>
                <w:rFonts w:ascii="Arial" w:cs="Arial" w:eastAsia="Arial" w:hAnsi="Arial"/>
                <w:sz w:val="18"/>
                <w:szCs w:val="18"/>
                <w:color w:val="auto"/>
              </w:rPr>
              <w:t xml:space="preserve">April 2019 </w:t>
            </w:r>
            <w:r>
              <w:rPr>
                <w:rFonts w:ascii="Arial" w:cs="Arial" w:eastAsia="Arial" w:hAnsi="Arial"/>
                <w:sz w:val="25"/>
                <w:szCs w:val="25"/>
                <w:color w:val="auto"/>
                <w:vertAlign w:val="superscript"/>
              </w:rPr>
              <w:t>(1)</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9"/>
                <w:szCs w:val="19"/>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IMR Vessel</w:t>
            </w:r>
          </w:p>
        </w:tc>
        <w:tc>
          <w:tcPr>
            <w:tcW w:w="116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18"/>
                <w:szCs w:val="18"/>
                <w:color w:val="auto"/>
                <w:w w:val="87"/>
              </w:rPr>
              <w:t>N/A</w:t>
            </w:r>
            <w:r>
              <w:rPr>
                <w:rFonts w:ascii="Arial" w:cs="Arial" w:eastAsia="Arial" w:hAnsi="Arial"/>
                <w:sz w:val="25"/>
                <w:szCs w:val="25"/>
                <w:color w:val="auto"/>
                <w:w w:val="87"/>
                <w:vertAlign w:val="superscript"/>
              </w:rPr>
              <w:t>(2)</w:t>
            </w: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IMR vessel with 150-ton crane,</w:t>
            </w:r>
          </w:p>
        </w:tc>
        <w:tc>
          <w:tcPr>
            <w:tcW w:w="1820" w:type="dxa"/>
            <w:vAlign w:val="bottom"/>
            <w:tcBorders>
              <w:right w:val="single" w:sz="8" w:color="auto"/>
            </w:tcBorders>
          </w:tcPr>
          <w:p>
            <w:pPr>
              <w:ind w:left="140"/>
              <w:spacing w:after="0" w:line="222" w:lineRule="exact"/>
              <w:rPr>
                <w:sz w:val="20"/>
                <w:szCs w:val="20"/>
                <w:color w:val="auto"/>
              </w:rPr>
            </w:pPr>
            <w:r>
              <w:rPr>
                <w:rFonts w:ascii="Arial" w:cs="Arial" w:eastAsia="Arial" w:hAnsi="Arial"/>
                <w:sz w:val="18"/>
                <w:szCs w:val="18"/>
                <w:color w:val="auto"/>
              </w:rPr>
              <w:t>N/A</w:t>
            </w:r>
            <w:r>
              <w:rPr>
                <w:rFonts w:ascii="Arial" w:cs="Arial" w:eastAsia="Arial" w:hAnsi="Arial"/>
                <w:sz w:val="25"/>
                <w:szCs w:val="25"/>
                <w:color w:val="auto"/>
                <w:vertAlign w:val="superscript"/>
              </w:rPr>
              <w:t>(2)</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0" w:type="dxa"/>
            <w:vAlign w:val="bottom"/>
          </w:tcPr>
          <w:p>
            <w:pPr>
              <w:spacing w:after="0"/>
              <w:rPr>
                <w:sz w:val="19"/>
                <w:szCs w:val="19"/>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1,100 square meter deck space, a</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80" w:type="dxa"/>
            <w:vAlign w:val="bottom"/>
            <w:tcBorders>
              <w:righ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moon pool, accommodation for 90</w:t>
            </w:r>
          </w:p>
        </w:tc>
        <w:tc>
          <w:tcPr>
            <w:tcW w:w="1820" w:type="dxa"/>
            <w:vAlign w:val="bottom"/>
            <w:tcBorders>
              <w:right w:val="single" w:sz="8" w:color="auto"/>
            </w:tcBorders>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88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170" w:lineRule="exact"/>
        <w:rPr>
          <w:sz w:val="20"/>
          <w:szCs w:val="20"/>
          <w:color w:val="auto"/>
        </w:rPr>
      </w:pPr>
    </w:p>
    <w:p>
      <w:pPr>
        <w:ind w:left="140" w:hanging="132"/>
        <w:spacing w:after="0"/>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On February 16, 2016, the Company terminated its lease arrangement related to its ROV support vessel and is currently actively pursuing a new lessee.</w:t>
      </w:r>
    </w:p>
    <w:p>
      <w:pPr>
        <w:spacing w:after="0" w:line="109" w:lineRule="exact"/>
        <w:rPr>
          <w:rFonts w:ascii="Arial" w:cs="Arial" w:eastAsia="Arial" w:hAnsi="Arial"/>
          <w:sz w:val="9"/>
          <w:szCs w:val="9"/>
          <w:color w:val="auto"/>
        </w:rPr>
      </w:pPr>
    </w:p>
    <w:p>
      <w:pPr>
        <w:ind w:left="140" w:hanging="132"/>
        <w:spacing w:after="0"/>
        <w:tabs>
          <w:tab w:leader="none" w:pos="140" w:val="left"/>
        </w:tabs>
        <w:numPr>
          <w:ilvl w:val="0"/>
          <w:numId w:val="39"/>
        </w:numPr>
        <w:rPr>
          <w:rFonts w:ascii="Arial" w:cs="Arial" w:eastAsia="Arial" w:hAnsi="Arial"/>
          <w:sz w:val="9"/>
          <w:szCs w:val="9"/>
          <w:color w:val="auto"/>
        </w:rPr>
      </w:pPr>
      <w:r>
        <w:rPr>
          <w:rFonts w:ascii="Arial" w:cs="Arial" w:eastAsia="Arial" w:hAnsi="Arial"/>
          <w:sz w:val="14"/>
          <w:szCs w:val="14"/>
          <w:color w:val="auto"/>
        </w:rPr>
        <w:t>Not applicable due to the termination of the ship building contract in July 2016.</w:t>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40"/>
          </w:cols>
          <w:pgMar w:left="240" w:top="476" w:right="219" w:bottom="1440" w:gutter="0" w:footer="0" w:header="0"/>
        </w:sectPr>
      </w:pPr>
    </w:p>
    <w:bookmarkStart w:id="66" w:name="page67"/>
    <w:bookmarkEnd w:id="66"/>
    <w:p>
      <w:pPr>
        <w:ind w:right="200" w:firstLine="405"/>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2015 as compared to the year ended December 31, 2014 for the Offshore Energy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21,959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9,269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1,665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24,231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14,630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9,601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4,650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5,967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3,166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3,794</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14,411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5,103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9,308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10,303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9,687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10,303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616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 in consolidated subsidiaries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9,627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644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9,627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8,976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 for the Offshore Energy segment: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76"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2,546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19,043</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12,786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6,257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hanging="432"/>
        <w:spacing w:after="0" w:line="273" w:lineRule="auto"/>
        <w:tabs>
          <w:tab w:leader="none" w:pos="148" w:val="left"/>
        </w:tabs>
        <w:numPr>
          <w:ilvl w:val="0"/>
          <w:numId w:val="40"/>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2015 and 2014: (i) depreciation expense of $225 and $225, (ii) and interest expense of $120 and $21,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Total revenues in the Offshore Energy segment increased by $9,601 in the year ended December 31, 2015 as compared to the year ended December 31, 2014 driven by higher lease income derived from a new offshore construction support vessel acquired and put into service in September 2014.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Total expenses in the Offshore Energy segment increased by $9,308 in the year ended December 31, 2015 as compared to the year ended December 31, 2014 primarily from the offshore construction support vessel placed into service in September 2014. Total expenses for the offshore construction support vessel included term loan financing, depreciation and amortization expense, interest expense and operating expenses.</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2015, there was $4,464 and $1,499 of depreciation expense related to the construction support vessel and ROV support vessel, respectively. During the year ended December 31, 2014, there was $1,302 and $1,499 of depreciation expense related to the construction support vessel and ROV support vessel, respectively.</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2015, there was $3,673 and $120 of interest expense primarily related to financing for the construction support vessel and ROV support vessel, respectively. During the year ended December 31, 2014, there was $1,110 and $138 of interest expense related to financing for the construction support vessel and ROV support vessel, respectively.</w:t>
      </w:r>
    </w:p>
    <w:p>
      <w:pPr>
        <w:spacing w:after="0" w:line="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increase in operating expenses was primarily the result of increased (i) repairs and maintenance expenses of $1,448 related to the offshore construction support vessel (ii) crew costs of $615 (iii) management fees of $395 for a technical manager for the offshore construction support vessel beginning in June 2015, (iv) the full year insurance expense of $389 related to the offshore construction support vessel, and (v) other operating expenses of $749 in the year ended December 31, 2015 as compared to the year ended December 31,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Total other income in the Offshore Energy segment increased by $323 in the year ended December 31, 2015 as compared to the year ended December 31, 2014 primarily due to increased interest income and fees earned related to the loan made to our third party partner in the MT6015 joint venture.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Adjusted Net Income was $9,627 in the year ended December 31, 2015, increasing by $651 as compared to the year ended December 31, 2014. This increase was due to the changes noted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63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Adjusted EBITDA increased $6,257 in the year ended December 31, 2015 as compared to the year ended December 31, 2014 due to changes in Net Income attributable to shareholders of $644 noted above and higher depreciation and amortization expense for the full year impact of our offshore construction vessel placed into service during 2014 and higher interest expense.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In our Shipping Containers segment, we own, either directly or through a joint venture, interests in approximately 138,000 maritime shipping containers and related equipment through three separate portfolios. Substantially all of these shipping containers are currently leased to operators or other third parties and, as of December 31, 2015, are 66.5% levered. The weighted average remaining lease term for these assets is 1.5 years. The chart below describes the assets in our Shipping Containers segment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54875" cy="2126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126615"/>
                    </a:xfrm>
                    <a:prstGeom prst="rect">
                      <a:avLst/>
                    </a:prstGeom>
                    <a:noFill/>
                  </pic:spPr>
                </pic:pic>
              </a:graphicData>
            </a:graphic>
          </wp:anchor>
        </w:drawing>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Shipping Containers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2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2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Arial" w:cs="Arial" w:eastAsia="Arial" w:hAnsi="Arial"/>
                <w:sz w:val="16"/>
                <w:szCs w:val="16"/>
                <w:color w:val="auto"/>
              </w:rPr>
              <w:t>Type</w:t>
            </w:r>
          </w:p>
        </w:tc>
        <w:tc>
          <w:tcPr>
            <w:tcW w:w="1720" w:type="dxa"/>
            <w:vAlign w:val="bottom"/>
            <w:tcBorders>
              <w:top w:val="single" w:sz="8" w:color="auto"/>
              <w:bottom w:val="single" w:sz="8" w:color="D8D8D8"/>
              <w:right w:val="single" w:sz="8" w:color="auto"/>
            </w:tcBorders>
            <w:shd w:val="clear" w:color="auto" w:fill="D8D8D8"/>
          </w:tcPr>
          <w:p>
            <w:pPr>
              <w:ind w:left="420"/>
              <w:spacing w:after="0"/>
              <w:rPr>
                <w:sz w:val="20"/>
                <w:szCs w:val="20"/>
                <w:color w:val="auto"/>
              </w:rPr>
            </w:pPr>
            <w:r>
              <w:rPr>
                <w:rFonts w:ascii="Arial" w:cs="Arial" w:eastAsia="Arial" w:hAnsi="Arial"/>
                <w:sz w:val="16"/>
                <w:szCs w:val="16"/>
                <w:color w:val="auto"/>
              </w:rPr>
              <w:t>Average Age</w:t>
            </w:r>
          </w:p>
        </w:tc>
        <w:tc>
          <w:tcPr>
            <w:tcW w:w="1700" w:type="dxa"/>
            <w:vAlign w:val="bottom"/>
            <w:tcBorders>
              <w:top w:val="single" w:sz="8" w:color="auto"/>
              <w:bottom w:val="single" w:sz="8" w:color="D8D8D8"/>
              <w:right w:val="single" w:sz="8" w:color="auto"/>
            </w:tcBorders>
            <w:shd w:val="clear" w:color="auto" w:fill="D8D8D8"/>
          </w:tcPr>
          <w:p>
            <w:pPr>
              <w:ind w:left="460"/>
              <w:spacing w:after="0"/>
              <w:rPr>
                <w:sz w:val="20"/>
                <w:szCs w:val="20"/>
                <w:color w:val="auto"/>
              </w:rPr>
            </w:pPr>
            <w:r>
              <w:rPr>
                <w:rFonts w:ascii="Arial" w:cs="Arial" w:eastAsia="Arial" w:hAnsi="Arial"/>
                <w:sz w:val="16"/>
                <w:szCs w:val="16"/>
                <w:color w:val="auto"/>
              </w:rPr>
              <w:t>Lease Type</w:t>
            </w:r>
          </w:p>
        </w:tc>
        <w:tc>
          <w:tcPr>
            <w:tcW w:w="260" w:type="dxa"/>
            <w:vAlign w:val="bottom"/>
            <w:tcBorders>
              <w:top w:val="single" w:sz="8" w:color="auto"/>
              <w:bottom w:val="single" w:sz="8" w:color="D8D8D8"/>
            </w:tcBorders>
            <w:shd w:val="clear" w:color="auto" w:fill="D8D8D8"/>
          </w:tcPr>
          <w:p>
            <w:pPr>
              <w:spacing w:after="0"/>
              <w:rPr>
                <w:sz w:val="23"/>
                <w:szCs w:val="23"/>
                <w:color w:val="auto"/>
              </w:rPr>
            </w:pPr>
          </w:p>
        </w:tc>
        <w:tc>
          <w:tcPr>
            <w:tcW w:w="1440" w:type="dxa"/>
            <w:vAlign w:val="bottom"/>
            <w:tcBorders>
              <w:top w:val="single" w:sz="8" w:color="auto"/>
              <w:bottom w:val="single" w:sz="8" w:color="D8D8D8"/>
              <w:right w:val="single" w:sz="8" w:color="auto"/>
            </w:tcBorders>
            <w:shd w:val="clear" w:color="auto" w:fill="D8D8D8"/>
          </w:tcPr>
          <w:p>
            <w:pPr>
              <w:ind w:left="10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ind w:left="40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3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Portfolio #1</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 Years</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Customers</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51%</w:t>
            </w:r>
          </w:p>
        </w:tc>
        <w:tc>
          <w:tcPr>
            <w:tcW w:w="20" w:type="dxa"/>
            <w:vAlign w:val="bottom"/>
            <w:tcBorders>
              <w:top w:val="single" w:sz="8" w:color="auto"/>
            </w:tcBorders>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96,000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Lease/Operating</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#2</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~11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line="216" w:lineRule="exact"/>
              <w:rPr>
                <w:sz w:val="20"/>
                <w:szCs w:val="20"/>
                <w:color w:val="auto"/>
              </w:rPr>
            </w:pPr>
            <w:r>
              <w:rPr>
                <w:rFonts w:ascii="Arial" w:cs="Arial" w:eastAsia="Arial" w:hAnsi="Arial"/>
                <w:sz w:val="18"/>
                <w:szCs w:val="18"/>
                <w:color w:val="auto"/>
              </w:rPr>
              <w:t xml:space="preserve">39,000 </w:t>
            </w:r>
            <w:r>
              <w:rPr>
                <w:rFonts w:ascii="Arial" w:cs="Arial" w:eastAsia="Arial" w:hAnsi="Arial"/>
                <w:sz w:val="25"/>
                <w:szCs w:val="25"/>
                <w:color w:val="auto"/>
                <w:vertAlign w:val="superscript"/>
              </w:rPr>
              <w:t>(1)</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#3</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~7.5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3,000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2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Chassis</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60"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23"/>
          <w:szCs w:val="23"/>
          <w:color w:val="auto"/>
          <w:vertAlign w:val="superscript"/>
        </w:rPr>
      </w:pPr>
      <w:r>
        <w:rPr>
          <w:rFonts w:ascii="Arial" w:cs="Arial" w:eastAsia="Arial" w:hAnsi="Arial"/>
          <w:sz w:val="17"/>
          <w:szCs w:val="17"/>
          <w:color w:val="auto"/>
        </w:rPr>
        <w:t>On March 9, 2016, the Company consummated the sale of Portfolio #2.</w:t>
      </w:r>
    </w:p>
    <w:p>
      <w:pPr>
        <w:spacing w:after="0" w:line="98" w:lineRule="exact"/>
        <w:rPr>
          <w:sz w:val="20"/>
          <w:szCs w:val="20"/>
          <w:color w:val="auto"/>
        </w:rPr>
      </w:pPr>
    </w:p>
    <w:p>
      <w:pPr>
        <w:ind w:right="20" w:firstLine="648"/>
        <w:spacing w:after="0" w:line="272" w:lineRule="auto"/>
        <w:rPr>
          <w:sz w:val="20"/>
          <w:szCs w:val="20"/>
          <w:color w:val="auto"/>
        </w:rPr>
      </w:pPr>
      <w:r>
        <w:rPr>
          <w:rFonts w:ascii="Arial" w:cs="Arial" w:eastAsia="Arial" w:hAnsi="Arial"/>
          <w:sz w:val="18"/>
          <w:szCs w:val="18"/>
          <w:color w:val="auto"/>
        </w:rPr>
        <w:t>The following table presents our results of operations and reconciliation of Net Income attributable to shareholders to Adjusted Net Income in the year ended December 31, 2015 as compared to the year ended December 31, 2014 for the Shipping Containers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7,182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(1,214)</w:t>
            </w:r>
          </w:p>
        </w:tc>
      </w:tr>
      <w:tr>
        <w:trPr>
          <w:trHeight w:val="291"/>
        </w:trPr>
        <w:tc>
          <w:tcPr>
            <w:tcW w:w="6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2,393</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2,743</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(loss)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11,366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(13,897)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0"/>
        </w:trPr>
        <w:tc>
          <w:tcPr>
            <w:tcW w:w="6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476"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40"/>
          </w:cols>
          <w:pgMar w:left="240" w:top="476" w:right="21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(2,404)</w:t>
            </w:r>
          </w:p>
        </w:tc>
        <w:tc>
          <w:tcPr>
            <w:tcW w:w="12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b w:val="1"/>
                <w:bCs w:val="1"/>
                <w:color w:val="auto"/>
              </w:rPr>
              <w:t>11,266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(13,670)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(benefit)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Net Income from unconsolidated entities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3,552</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losses (earnings) of unconsolidated entities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13,049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7,991</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11,453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(3,462)</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hanging="432"/>
        <w:spacing w:after="0" w:line="257" w:lineRule="auto"/>
        <w:tabs>
          <w:tab w:leader="none" w:pos="148" w:val="left"/>
        </w:tabs>
        <w:numPr>
          <w:ilvl w:val="0"/>
          <w:numId w:val="42"/>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asset impairment charges of $10,508 for the year ended December 31, 2015. Pro-rata share of Adjusted Net Income from unconsolidated entities includes the Company’s proportionate share of the unconsolidated entities’ net income adjusted for loss on extinguishment of debt of $62 for the year ended December 31, 2014.</w:t>
      </w:r>
    </w:p>
    <w:p>
      <w:pPr>
        <w:spacing w:after="0" w:line="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in the year ended December 31, 2015 as compared to the year ended December 31, 2014 for the Shipping Containers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(13,670)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(benefit) for income taxes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2,393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Pro-rata share of Adjusted EBITDA from unconsolidated entities </w:t>
            </w:r>
            <w:r>
              <w:rPr>
                <w:rFonts w:ascii="Arial" w:cs="Arial" w:eastAsia="Arial" w:hAnsi="Arial"/>
                <w:sz w:val="21"/>
                <w:szCs w:val="21"/>
                <w:color w:val="auto"/>
                <w:vertAlign w:val="superscript"/>
              </w:rPr>
              <w:t>(2)</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6,987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9,669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losses (earnings) of unconsolidated entities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13,049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13,819</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17,807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(3,988)</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right="120" w:hanging="432"/>
        <w:spacing w:after="0" w:line="312" w:lineRule="auto"/>
        <w:tabs>
          <w:tab w:leader="none" w:pos="148" w:val="left"/>
        </w:tabs>
        <w:numPr>
          <w:ilvl w:val="0"/>
          <w:numId w:val="43"/>
        </w:numPr>
        <w:rPr>
          <w:rFonts w:ascii="Arial" w:cs="Arial" w:eastAsia="Arial" w:hAnsi="Arial"/>
          <w:sz w:val="8"/>
          <w:szCs w:val="8"/>
          <w:color w:val="auto"/>
        </w:rPr>
      </w:pPr>
      <w:r>
        <w:rPr>
          <w:rFonts w:ascii="Arial" w:cs="Arial" w:eastAsia="Arial" w:hAnsi="Arial"/>
          <w:sz w:val="13"/>
          <w:szCs w:val="13"/>
          <w:color w:val="auto"/>
        </w:rPr>
        <w:t>The Company’s pro-rata share of Adjusted EBITDA from unconsolidated entities includes the following items for the years ended December 31, 2015 and 2014: (i) net income (loss) of $(7,165) and $5,876, (ii) interest expense of $1,778 and $2,561, (iii) depreciation and amortization expense of $1,866 and $1,232, and (iv) asset impairment charges of $10,508 and $0,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639"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Total revenues in the Shipping Containers segment decreased by $1,214 in the year ended December 31, 2015 as compared to the year ended December 31, 2014 principally driven by lower finance lease income as a result of the amortization of the underlying principal balances.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Total expenses in the Shipping Containers segment decreased by $354 in the year ended December 31, 2015 as compared to the year ended December 31, 2014 due to a decrease in interest expense of $447 in the year ended December 31, 2015 due to lower principal balances on the term loans. This decrease was offset by increased expense of $93 related to management fees.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Total other income in the Shipping Containers segment decreased $13,037 in the year ended December 31, 2015 as compared to the year ended December 31, 2014, primarily driven by lower equity in earnings of unconsolidated entities from our shipping container joint venture by $13,049 due to an asset impairment recognized by the shipping container joint venture.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Adjusted Net Income decreased $3,462 in the year ended December 31, 2015 as compared to the year ended December 31, 2014. In addition to the changes in Net (loss) income attributable to shareholders noted above of $13,670, the decrease was primarily impacted by lower equity in earnings of unconsolidated entities, a lower pro-rata share of Adjusted Net Income from unconsolidated entities, and a higher tax benefit for 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Adjusted EBITDA decreased $3,988 in the year ended December 31, 2015 as compared to the year ended December 31, 2014 due to changes in Net (loss) income attributable to shareholders noted above of $13,670, primarily due to a lower pro-rata share of Adjusted EBITDA from unconsolidated entities driven by an asset impairment charge recognized by a shipping container joint venture, offset by lower equity in earnings of unconsolidated entities.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as compared to the year ended December 31, 2014 for the Jefferson Terminal segment:</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3,295</w:t>
            </w:r>
          </w:p>
        </w:tc>
      </w:tr>
      <w:tr>
        <w:trPr>
          <w:trHeight w:val="237"/>
        </w:trPr>
        <w:tc>
          <w:tcPr>
            <w:tcW w:w="640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13,655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11,003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18,275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14,298</w:t>
            </w: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33,154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9,095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24,059</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13,897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11,134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12,546</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10,994</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59,597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18,904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40,693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sale of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other income (expense)</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(41,396)</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(26,515)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(41,437)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(26,272)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(17,376)</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(11,810)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(14,462)</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(5,494)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(22,153)</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(18,944)</w:t>
            </w:r>
          </w:p>
        </w:tc>
      </w:tr>
      <w:tr>
        <w:trPr>
          <w:trHeight w:val="20"/>
        </w:trPr>
        <w:tc>
          <w:tcPr>
            <w:tcW w:w="6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right="140" w:hanging="432"/>
        <w:spacing w:after="0" w:line="273" w:lineRule="auto"/>
        <w:tabs>
          <w:tab w:leader="none" w:pos="148" w:val="left"/>
        </w:tabs>
        <w:numPr>
          <w:ilvl w:val="0"/>
          <w:numId w:val="44"/>
        </w:numPr>
        <w:rPr>
          <w:rFonts w:ascii="Arial" w:cs="Arial" w:eastAsia="Arial" w:hAnsi="Arial"/>
          <w:sz w:val="9"/>
          <w:szCs w:val="9"/>
          <w:color w:val="auto"/>
        </w:rPr>
      </w:pPr>
      <w:r>
        <w:rPr>
          <w:rFonts w:ascii="Arial" w:cs="Arial" w:eastAsia="Arial" w:hAnsi="Arial"/>
          <w:sz w:val="14"/>
          <w:szCs w:val="14"/>
          <w:color w:val="auto"/>
        </w:rPr>
        <w:t>Non-controlling share of Adjusted Net Loss is comprised of the following for the years ended December 31, 2015 and 2014: (i) equity-based compensation of $1,339 and $454, (ii) provision for income tax of $16 and $71, and (iii) cash tax payments of $(70) and $0,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2" w:right="239" w:bottom="1440" w:gutter="0" w:footer="0" w:header="0"/>
        </w:sectPr>
      </w:pPr>
    </w:p>
    <w:bookmarkStart w:id="72" w:name="page73"/>
    <w:bookmarkEnd w:id="72"/>
    <w:p>
      <w:pPr>
        <w:ind w:firstLine="486"/>
        <w:spacing w:after="0" w:line="340"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2015 as compared to the year ended December 31, 2014 for the Jefferson Terminal segment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(14,462)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5,494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(5,494)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13,897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11,134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12,546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10,994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(11,562)</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(9,311)</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(5,707)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(620)</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(5,087)</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right="560" w:hanging="432"/>
        <w:spacing w:after="0" w:line="312" w:lineRule="auto"/>
        <w:tabs>
          <w:tab w:leader="none" w:pos="148" w:val="left"/>
        </w:tabs>
        <w:numPr>
          <w:ilvl w:val="0"/>
          <w:numId w:val="45"/>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years ended December 31, 2015 and 2014: (i) equity-based compensation of $1,339 and $454, (ii) provision for income taxes of $16 and $71, (iii) interest expense of $4,783 and $621, and (iv) depreciation and amortization expense of $5,424 and $1,105,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Total revenue in the Jefferson Terminal segment increased by $14,298 in the year ended December 31, 2015 as compared to the year ended December 31, 2014 due to increases in both lease income and terminal service revenue. Lease income is derived from the leasing of rail cars that were purchased in 2014. Lease income increased by $3,295 in the year ended December 31, 2015 as compared to the year ended December 31, 2014, as lease contracts were entered into starting August 2014. Terminal services revenue increased by $11,003 in the year ended December 31, 2015, as the acquisition of Jefferson Terminal occurred on August 27, 2014 and 2015 reflected a full year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Total expenses in the Jefferson Terminal segment increased by $40,693 in the year ended December 31, 2015 as compared to the year ended December 31, 2014. The acquisition of the Jefferson Terminal was finalized on August 27, 2014. Accordingly, total expenses increased primarily due to a full year impact in 2015 as compared to four months in 2014. The increase consists of higher (i) operating expenses of $24,059, including $6,622 of terminal facility expenses, $5,249 of compensation and benefit expenses, $2,295 of equity-based compensation expense, $1,589 of equipment lease expenses, $1,566 of professional fee expenses including consulting and legal services, $1,255 of maintenance expenses, $1,402 of port usage fees and $1,113 of insurance expenses; (ii) amortization expense related to acquired customer relationships of $2,358 (iii) depreciation expense of $8,776 related to tank railcars and property, plant and equipment placed into service in 2015 and (iv) interest expense of $10,994 related to term debt used to finance the purchase of Jefferson Terminal, as well as amounts outstanding on previously issued municipal bonds, in the year ended December 31, 2015 as compared to the year ended December 31, 2014. These increases were offset by $5,494 of acquisition and transaction expenses costs in the year ended 2014 related to the closing of the Jefferson Terminal acquisition that did not recur in 2015.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Net loss attributable to shareholders increased $14,462 in the year ended December 31, 2015 as compared to the year ended December 31, 2014. In addition to the changes discussed above, Net loss attributable to shareholders was also affected by net loss attributable to non-controlling interest in consolidated subsidiaries, which increased $11,810 in the year ended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82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Adjusted Net Loss increased by $18,944 in the year ended December 31, 2015 as compared to the year ended December 31, 2014. In addition to the changes in Net loss attributable to shareholders noted above, 2015 was impacted by less acquisition and transaction expenses of $5,494 which occurred in 2014 for the acquisition of Jefferson Terminal. Adjusted Net Loss was also affected by higher non-controlling share of Adjusted Net Loss of $760 offset by higher equity-based compensation expense of $2,295 in the year ended December 31, 2015 as compared to the year ended December 31,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Adjusted EBITDA decreased by $5,087 in the year ended December 31, 2015 as compared to the year ended December 31, 2014. In the year ended December 31, 2015, in addition to the changes in Net loss attributable to shareholders noted above, Adjusted EBITDA was impacted by (i) higher adjustment for the non-controlling share of Adjusted EBITDA of $9,311, comprised of higher equity-based compensation expense of $885, interest expense of $4,162, and depreciation and amortization expense of $4,319 and (ii) lower acquisition and transaction expenses of $5,494, in the year ended December 31, 2015 as compared to the year ended December 31, 2014. These adjustments were offset by higher (i) depreciation and amortization expense of $11,134 related to acquired customer relationships, tank railcars and property, plant and equipment, (ii) interest expense of $10,994 and (iii) equity-based compensation expense of $2,295, in the year ended December 31, 2015 as compared to the year ended December 31, 2014.</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as compared to the year ended December 31, 2014 for the Railroad segment: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25,550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15,581</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25,550</w:t>
            </w: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9,969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15,581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64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27,819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12,715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30,292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21,926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8,366</w:t>
            </w:r>
          </w:p>
        </w:tc>
      </w:tr>
      <w:tr>
        <w:trPr>
          <w:trHeight w:val="291"/>
        </w:trPr>
        <w:tc>
          <w:tcPr>
            <w:tcW w:w="64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565</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(4,177)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(11,957)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7,780</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(4,177)</w:t>
            </w: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(11,957)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7,780</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 consolidated subsidiaries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(4,056)</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7,901</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1,078</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3"/>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3"/>
                <w:szCs w:val="23"/>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(2,898)</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(6,183)</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3,285</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13"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Non-controlling share of Adjusted Net Loss is comprised of equity-based compensation of $48 and $0 for the years ended December 31, 2015 and 2014, respectively.</w:t>
      </w:r>
    </w:p>
    <w:p>
      <w:pPr>
        <w:spacing w:after="0" w:line="113"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2015 as compared to the year ended December 31, 2014 for the Railroad segment: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(5,646)</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578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391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EBITDA (2)</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(5,007)</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4,483</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09" w:lineRule="exact"/>
        <w:rPr>
          <w:sz w:val="20"/>
          <w:szCs w:val="20"/>
          <w:color w:val="auto"/>
        </w:rPr>
      </w:pPr>
    </w:p>
    <w:p>
      <w:pPr>
        <w:ind w:left="440" w:hanging="432"/>
        <w:spacing w:after="0" w:line="273" w:lineRule="auto"/>
        <w:tabs>
          <w:tab w:leader="none" w:pos="162" w:val="left"/>
        </w:tabs>
        <w:numPr>
          <w:ilvl w:val="0"/>
          <w:numId w:val="47"/>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years ended December 31, 2015 and 2014: (i) equity-based compensation of $48 and $0, (ii) interest expense of $23 and $0, and (iii) depreciation and amortization expense of $76 and $0,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Total Railroad segment revenues increased by $15,581 in the year ended December 31, 2015 as compared to the year ended December 31, 2014. The acquisition of CMQR was finalized by June 30, 2014. Accordingly, total Railroad Segment revenues increased primarily due to a full year impact in 2015 as compared to six months in 2014. The 2015 increase consists of higher (i) freight transportation revenue of $12,722; (ii) switching and other rail service revenue of $2,354; and (iii) other miscellaneous rail revenue of $505.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Total expenses in the Railroad segment increased $8,366 in the year ended December 31, 2015 as compared to the year ended December 31, 2014, which was also primarily due to a full year impact in 2015 as compared to six months in 2014. The 2015 increase consists of higher (i) operating expenses of $12,715, including $5,200 of compensation and benefit expenses, $4,559 of rail facility and fuel expenses, $1,079 of equity-based compensation expense and $741 of equipment lease expenses; (ii) depreciation expense of $886 related to property, plant, and equipment; and (iii) interest expense of $391 related to borrowings under the CMQR Credit Agreement used to finance construction and improvements to the railroad, in the year ended December 31, 2015.</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63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Net loss attributable to shareholders decreased $7,901 in the year ended December 31, 2015 as compared to the year ended December 31, 2014. In addition to the changes discussed above, the decrease was also due to a net loss attributable to non-controlling interest in consolidated subsidiaries of $121 for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Adjusted Net Loss decreased $3,285 in the year ended December 31, 2015 as compared to the year ended December 31, 2014. In addition to the changes in Net loss attributable to shareholders noted above, Adjusted Net Loss was impacted by increased equity-based compensation expense of $1,078 in the year ended December 31, 2015 as compared to the year ended December 31, 2014, and the absence of acquisition and transaction expenses of $5,646 incurred in the year ended December 31, 2014, in connection with the acquisition of CMQR.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Adjusted EBITDA increased $4,483 in the year ended December 31, 2015 as compared to the year ended December 31, 2014. In addition to the changes in Net loss attributable to shareholders noted above, Adjusted EBITDA was also impacted by higher (i) equity-based compensation expense of $1,078, (ii) depreciation and amortization expense of $906, and (iii) interest expense of $391, offset by increased non-controlling share of Adjusted EBITDA of $(147), and the absence of acquisition and transaction expenses, in the year ended December 31, 2015 as compared to the year ended December 31, 2014.</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in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as compared to the year ended December 31, 2014 for our Corporate operations: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Year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3"/>
        </w:trPr>
        <w:tc>
          <w:tcPr>
            <w:tcW w:w="64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47"/>
        </w:trPr>
        <w:tc>
          <w:tcPr>
            <w:tcW w:w="64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17"/>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7,568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5,561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5,463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9,555</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28,269</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7,825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20,444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(28,269)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(20,444)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(28,273)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(20,448)</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Less: Loss attributable to non-controlling interest in consolidated subsidiaries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(28,268)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(20,443)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5,683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5,373</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 unconsolidated entities</w:t>
            </w:r>
          </w:p>
        </w:tc>
        <w:tc>
          <w:tcPr>
            <w:tcW w:w="3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3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Loss</w:t>
            </w:r>
          </w:p>
        </w:tc>
        <w:tc>
          <w:tcPr>
            <w:tcW w:w="3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(22,557)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(15,041)</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76" w:right="239" w:bottom="1440" w:gutter="0" w:footer="0" w:header="0"/>
        </w:sectPr>
      </w:pPr>
    </w:p>
    <w:bookmarkStart w:id="76" w:name="page77"/>
    <w:bookmarkEnd w:id="76"/>
    <w:p>
      <w:pPr>
        <w:jc w:val="both"/>
        <w:ind w:firstLine="48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in the year ended December 31, 2015 as compared to the year ended December 31, 2014 for Corporate:</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6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3"/>
        </w:trPr>
        <w:tc>
          <w:tcPr>
            <w:tcW w:w="63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17"/>
        </w:trPr>
        <w:tc>
          <w:tcPr>
            <w:tcW w:w="6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47"/>
        </w:trPr>
        <w:tc>
          <w:tcPr>
            <w:tcW w:w="63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6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ind w:left="2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(20,443)</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Add: Provision for income taxes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3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Add: Acquisition and transaction expenses</w:t>
            </w:r>
          </w:p>
        </w:tc>
        <w:tc>
          <w:tcPr>
            <w:tcW w:w="38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5,683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5,373</w:t>
            </w:r>
          </w:p>
        </w:tc>
      </w:tr>
      <w:tr>
        <w:trPr>
          <w:trHeight w:val="3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Losses on the modification or extinguishment of debt and capital lease obligations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Add: Changes in fair value of non-hedge derivative instruments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Asset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Add: Incentive allocations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Depreciation and amortization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Add: Interest expense</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3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 Pro-rata share of Adjusted EBITDA from unconsolidated entities</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Pr>
          <w:p>
            <w:pPr>
              <w:ind w:left="20"/>
              <w:spacing w:after="0"/>
              <w:rPr>
                <w:sz w:val="20"/>
                <w:szCs w:val="20"/>
                <w:color w:val="auto"/>
              </w:rPr>
            </w:pPr>
            <w:r>
              <w:rPr>
                <w:rFonts w:ascii="Arial" w:cs="Arial" w:eastAsia="Arial" w:hAnsi="Arial"/>
                <w:sz w:val="16"/>
                <w:szCs w:val="16"/>
                <w:color w:val="auto"/>
              </w:rPr>
              <w:t>Less: Equity in earnings of unconsolidated entities</w:t>
            </w:r>
          </w:p>
        </w:tc>
        <w:tc>
          <w:tcPr>
            <w:tcW w:w="3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6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Non-controlling share of Adjusted EBITDA</w:t>
            </w:r>
          </w:p>
        </w:tc>
        <w:tc>
          <w:tcPr>
            <w:tcW w:w="3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44"/>
        </w:trPr>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(22,557)</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(7,470)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(15,087)</w:t>
            </w:r>
          </w:p>
        </w:tc>
      </w:tr>
      <w:tr>
        <w:trPr>
          <w:trHeight w:val="20"/>
        </w:trPr>
        <w:tc>
          <w:tcPr>
            <w:tcW w:w="6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Corporate, total expenses increased by $20,444 in the year ended December 31, 2015 as compared to the year ended December 31, 2014. The increase primarily consists of higher (i) management fees of $9,555 attributable to an increase in the weighted average capital contributed prior to the IPO as well as capital raised during the Company’s IPO, (ii) general and administrative expenses of $5,561, including $4,119 of reimbursements to our manager, $556 of professional fees primarily for audit, tax and legal services and $443 of insurance expenses; and (iii) acquisition and transaction expenses for additional investment activities of $5,373 in the year ended December 31, 2015 as compared to the year ended December 31, 2014.</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Adjusted Net Loss was increased $15,041 in the year ended December 31, 2015 as compared to the year ended December 31, 2014. In addition to the changes in Net loss attributable to shareholders noted above, Adjusted Net Loss was primarily impacted by higher acquisition and transaction expenses of $5,373 incurred for potential acquisition opportunities in the year ended December 31,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Adjusted EBITDA decreased $15,087 in the year ended December 31, 2015 as compared to the year ended December 31, 2014. In addition to the changes in Net loss attributable to shareholders noted above, the decrease was primarily impacted by higher acquisition and transaction expenses of $5,373 incurred for potential acquisition opportunities in the year ended December 31,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Affiliated Entities</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managed by FIG LLC (the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14 to our consolidated financial statements included elsewhere in this filing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January 23, 2017, the Company entered into an unsecured credit agreement under which the Company, through its wholly owned subsidiaries, including the Partnership and WWTAI Finance Ltd., an exempted company incorporated with limited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76" w:right="239" w:bottom="1440" w:gutter="0" w:footer="0" w:header="0"/>
        </w:sectPr>
      </w:pPr>
    </w:p>
    <w:bookmarkStart w:id="77" w:name="page78"/>
    <w:bookmarkEnd w:id="77"/>
    <w:p>
      <w:pPr>
        <w:jc w:val="both"/>
        <w:spacing w:after="0" w:line="255" w:lineRule="auto"/>
        <w:rPr>
          <w:sz w:val="20"/>
          <w:szCs w:val="20"/>
          <w:color w:val="auto"/>
        </w:rPr>
      </w:pPr>
      <w:r>
        <w:rPr>
          <w:rFonts w:ascii="Arial" w:cs="Arial" w:eastAsia="Arial" w:hAnsi="Arial"/>
          <w:sz w:val="18"/>
          <w:szCs w:val="18"/>
          <w:color w:val="auto"/>
        </w:rPr>
        <w:t>liability under the laws of Bermuda, borrowed $100,000 in term loans denominated in U.S. dollars (the “Term Loans”). The proceeds of the Term Loans will be used for general corporate purposes, including future acquisitions by the Company and its subsidiaries of certain aviation and infrastructure assets. The Term Loans currently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 year extension, and require amortization payments in the amount of $250 on the last day of each fiscal quarter beginning on March 31, 2017. Refer to the Company’s Form 8-K which was filed with the Securities and Exchange Commission on January 27, 2017 for additional detail.</w:t>
      </w:r>
    </w:p>
    <w:p>
      <w:pPr>
        <w:spacing w:after="0" w:line="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On February 23, 2017, the Company’s Board of Directors declared a cash dividend on its common shares of $0.33 per share for the quarter ended December 31, 2016, payable on March 20, 2017 to the holders of record on March 10,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principal uses of liquidity have been and continue to be (i) acquisitions of transportation infrastructure and equipment, (ii) distributions to our shareholders, (iii) expenses associated with our operating activities and (iv) debt service obligations associated with our investments (all dollar amounts are expressed in thousands).</w:t>
      </w:r>
    </w:p>
    <w:p>
      <w:pPr>
        <w:spacing w:after="0" w:line="73" w:lineRule="exact"/>
        <w:rPr>
          <w:sz w:val="20"/>
          <w:szCs w:val="20"/>
          <w:color w:val="auto"/>
        </w:rPr>
      </w:pPr>
    </w:p>
    <w:p>
      <w:pPr>
        <w:ind w:left="880" w:right="20" w:hanging="318"/>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years ended December 31, 2016, 2015, and 2014, cash used for the purpose of making investments was $308,069, $278,433, and $622,179, respectively.</w:t>
      </w:r>
    </w:p>
    <w:p>
      <w:pPr>
        <w:spacing w:after="0" w:line="62" w:lineRule="exact"/>
        <w:rPr>
          <w:rFonts w:ascii="Arial" w:cs="Arial" w:eastAsia="Arial" w:hAnsi="Arial"/>
          <w:sz w:val="18"/>
          <w:szCs w:val="18"/>
          <w:color w:val="auto"/>
        </w:rPr>
      </w:pPr>
    </w:p>
    <w:p>
      <w:pPr>
        <w:ind w:left="880" w:right="20" w:hanging="318"/>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years ended December 31, 2016, 2015 and 2014, distributions to shareholders, including cash dividends were $100,027, $81,260 and $75,999 respectively, and distributions to non-controlling interest were $0, $321, and $565 respectively.</w:t>
      </w:r>
    </w:p>
    <w:p>
      <w:pPr>
        <w:spacing w:after="0" w:line="62" w:lineRule="exact"/>
        <w:rPr>
          <w:rFonts w:ascii="Arial" w:cs="Arial" w:eastAsia="Arial" w:hAnsi="Arial"/>
          <w:sz w:val="18"/>
          <w:szCs w:val="18"/>
          <w:color w:val="auto"/>
        </w:rPr>
      </w:pPr>
    </w:p>
    <w:p>
      <w:pPr>
        <w:ind w:left="880" w:right="20" w:hanging="318"/>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principal sources of liquidity to fund these uses have been and continue to be (i) revenues from our transportation infrastructure and equipment assets (including finance lease collections and maintenance reserve collections) net of operating expenses, (ii) borrowings, (iii) distributions received from unconsolidated investees, (iv) capital contributions from our shareholders, (v) proceeds from asset sales and (vi) proceeds from the issuance of common shares.</w:t>
      </w:r>
    </w:p>
    <w:p>
      <w:pPr>
        <w:spacing w:after="0" w:line="79" w:lineRule="exact"/>
        <w:rPr>
          <w:sz w:val="20"/>
          <w:szCs w:val="20"/>
          <w:color w:val="auto"/>
        </w:rPr>
      </w:pPr>
    </w:p>
    <w:p>
      <w:pPr>
        <w:ind w:left="880" w:hanging="318"/>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years ended December 31, 2016, 2015, and 2014, cash flows from operating activities, plus the principal collections on finance leases and maintenance reserve collections were $48,220, $53,969 and $(16,296), respectively.</w:t>
      </w:r>
    </w:p>
    <w:p>
      <w:pPr>
        <w:spacing w:after="0" w:line="62" w:lineRule="exact"/>
        <w:rPr>
          <w:rFonts w:ascii="Arial" w:cs="Arial" w:eastAsia="Arial" w:hAnsi="Arial"/>
          <w:sz w:val="18"/>
          <w:szCs w:val="18"/>
          <w:color w:val="auto"/>
        </w:rPr>
      </w:pPr>
    </w:p>
    <w:p>
      <w:pPr>
        <w:jc w:val="both"/>
        <w:ind w:left="880" w:hanging="318"/>
        <w:spacing w:after="0" w:line="293" w:lineRule="auto"/>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the year ended December 31, 2016, additional borrowings were obtained in connection with the Series 2016 Bonds of $99,858 and the CMQR Credit Agreement of $10,800. We made total principal repayments of $160,166, primarily relating to the termination of the Jefferson Terminal Credit Agreement, Container Loan #1, and Container Loan #2. During year ended December 31, 2015, additional borrowings of $200 were obtained in connection with the CMQR Credit Agreement and we made total principal repayments of $23,761. During the year ended December 31, 2014, additional borrowings of $179,569 were obtained in connection with the Jefferson Terminal Facility of $100,000, the FTAI Pride Credit Agreement of $75,000, and the CMQR Credit Agreement of $10,000 and we made total principal repayments of $31,131.</w:t>
      </w:r>
    </w:p>
    <w:p>
      <w:pPr>
        <w:spacing w:after="0" w:line="56" w:lineRule="exact"/>
        <w:rPr>
          <w:rFonts w:ascii="Arial" w:cs="Arial" w:eastAsia="Arial" w:hAnsi="Arial"/>
          <w:sz w:val="16"/>
          <w:szCs w:val="16"/>
          <w:color w:val="auto"/>
        </w:rPr>
      </w:pPr>
    </w:p>
    <w:p>
      <w:pPr>
        <w:ind w:left="880" w:hanging="318"/>
        <w:spacing w:after="0" w:line="308" w:lineRule="auto"/>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During the years ended December 31, 2016, 2015, and 2014, we received $462, $3,937 and $17,271 in cash distributions from our unconsolidated investees, respectively, of which $30, $209 and $8,207 was included in cash flows from operating activities, respectively.</w:t>
      </w:r>
    </w:p>
    <w:p>
      <w:pPr>
        <w:spacing w:after="0" w:line="38" w:lineRule="exact"/>
        <w:rPr>
          <w:rFonts w:ascii="Arial" w:cs="Arial" w:eastAsia="Arial" w:hAnsi="Arial"/>
          <w:sz w:val="17"/>
          <w:szCs w:val="17"/>
          <w:color w:val="auto"/>
        </w:rPr>
      </w:pPr>
    </w:p>
    <w:p>
      <w:pPr>
        <w:ind w:left="880" w:hanging="318"/>
        <w:spacing w:after="0"/>
        <w:tabs>
          <w:tab w:leader="none" w:pos="8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During the years ended December 31, 2016, 2015, and 2014 proceeds from the sale of assets were $94,375, $14,518 and $37,074, respectively.</w:t>
      </w:r>
    </w:p>
    <w:p>
      <w:pPr>
        <w:spacing w:after="0" w:line="140" w:lineRule="exact"/>
        <w:rPr>
          <w:rFonts w:ascii="Arial" w:cs="Arial" w:eastAsia="Arial" w:hAnsi="Arial"/>
          <w:sz w:val="16"/>
          <w:szCs w:val="16"/>
          <w:color w:val="auto"/>
        </w:rPr>
      </w:pPr>
    </w:p>
    <w:p>
      <w:pPr>
        <w:ind w:left="880" w:hanging="318"/>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the years ended December 31, 2016, 2015, and 2014 capital contributions from shareholders were $0, $295,879, and $490,747 respectively, and capital contributions from non-controlling interests were $11,480, $37,826, and $57,841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During the year ended December 31, 2015, proceeds from the issuance of common stock were $351,059, net of issuance costs of $2,998.</w:t>
      </w:r>
    </w:p>
    <w:p>
      <w:pPr>
        <w:spacing w:after="0" w:line="12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78" w:name="page79"/>
    <w:bookmarkEnd w:id="78"/>
    <w:p>
      <w:pPr>
        <w:jc w:val="both"/>
        <w:ind w:right="20" w:firstLine="486"/>
        <w:spacing w:after="0" w:line="286" w:lineRule="auto"/>
        <w:rPr>
          <w:sz w:val="20"/>
          <w:szCs w:val="20"/>
          <w:color w:val="auto"/>
        </w:rPr>
      </w:pPr>
      <w:r>
        <w:rPr>
          <w:rFonts w:ascii="Arial" w:cs="Arial" w:eastAsia="Arial" w:hAnsi="Arial"/>
          <w:sz w:val="17"/>
          <w:szCs w:val="17"/>
          <w:color w:val="auto"/>
        </w:rPr>
        <w:t>The Company is currently evaluating several potential Infrastructure and Equipment Leasing transactions, which could occur within the next 12 months. However, as of the date of this filing, none of these pipeline transactions or negotiations are definitive or included within the planned liquidity needs of the Company. We cannot assure you if or when any such transaction will be consummated or the terms of any such transaction.</w:t>
      </w:r>
    </w:p>
    <w:p>
      <w:pPr>
        <w:spacing w:after="0" w:line="5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On May 3, 2016, the Company’s Board of Directors also authorized the repurchase of up to $50 million of the Company’s common shares over the succeeding 12 months. Under the program, the Company may purchase its shares from time to time in the open market or in privately negotiated transactions. The amount and timing of the purchases will depend on a number of factors including the price and availability of the Company’s shares, trading volume, capital availability, Company performance and general economic and market conditions. The share repurchase program may be suspended or discontinued at any time. The Company may also from time to time establish a trading plan under Rule 10b5-1 of the Securities Exchange Act of 1934 or effect one or more tender offers to facilitate purchases of its shares under this authorization.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Cash Flow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historical cash flow for the years ended December 31, 2016, 2015 and 2014: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Year Ended</w:t>
            </w: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33"/>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right"/>
              <w:ind w:right="259"/>
              <w:spacing w:after="0"/>
              <w:rPr>
                <w:sz w:val="20"/>
                <w:szCs w:val="20"/>
                <w:color w:val="auto"/>
              </w:rPr>
            </w:pPr>
            <w:r>
              <w:rPr>
                <w:rFonts w:ascii="Arial" w:cs="Arial" w:eastAsia="Arial" w:hAnsi="Arial"/>
                <w:sz w:val="16"/>
                <w:szCs w:val="16"/>
                <w:b w:val="1"/>
                <w:bCs w:val="1"/>
                <w:color w:val="auto"/>
              </w:rPr>
              <w:t>December 31, 2016</w:t>
            </w:r>
          </w:p>
        </w:tc>
        <w:tc>
          <w:tcPr>
            <w:tcW w:w="360" w:type="dxa"/>
            <w:vAlign w:val="bottom"/>
          </w:tcPr>
          <w:p>
            <w:pPr>
              <w:spacing w:after="0"/>
              <w:rPr>
                <w:sz w:val="20"/>
                <w:szCs w:val="20"/>
                <w:color w:val="auto"/>
              </w:rPr>
            </w:pPr>
          </w:p>
        </w:tc>
        <w:tc>
          <w:tcPr>
            <w:tcW w:w="18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December 31, 2015</w:t>
            </w:r>
          </w:p>
        </w:tc>
        <w:tc>
          <w:tcPr>
            <w:tcW w:w="340" w:type="dxa"/>
            <w:vAlign w:val="bottom"/>
          </w:tcPr>
          <w:p>
            <w:pPr>
              <w:spacing w:after="0"/>
              <w:rPr>
                <w:sz w:val="20"/>
                <w:szCs w:val="20"/>
                <w:color w:val="auto"/>
              </w:rPr>
            </w:pPr>
          </w:p>
        </w:tc>
        <w:tc>
          <w:tcPr>
            <w:tcW w:w="1780" w:type="dxa"/>
            <w:vAlign w:val="bottom"/>
          </w:tcPr>
          <w:p>
            <w:pPr>
              <w:jc w:val="right"/>
              <w:ind w:right="239"/>
              <w:spacing w:after="0"/>
              <w:rPr>
                <w:sz w:val="20"/>
                <w:szCs w:val="20"/>
                <w:color w:val="auto"/>
              </w:rPr>
            </w:pPr>
            <w:r>
              <w:rPr>
                <w:rFonts w:ascii="Arial" w:cs="Arial" w:eastAsia="Arial" w:hAnsi="Arial"/>
                <w:sz w:val="16"/>
                <w:szCs w:val="16"/>
                <w:b w:val="1"/>
                <w:bCs w:val="1"/>
                <w:color w:val="auto"/>
                <w:w w:val="99"/>
              </w:rPr>
              <w:t>December 31, 2014</w:t>
            </w:r>
          </w:p>
        </w:tc>
      </w:tr>
      <w:tr>
        <w:trPr>
          <w:trHeight w:val="33"/>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70"/>
        </w:trPr>
        <w:tc>
          <w:tcPr>
            <w:tcW w:w="5020" w:type="dxa"/>
            <w:vAlign w:val="bottom"/>
          </w:tcPr>
          <w:p>
            <w:pPr>
              <w:ind w:left="40"/>
              <w:spacing w:after="0"/>
              <w:rPr>
                <w:sz w:val="20"/>
                <w:szCs w:val="20"/>
                <w:color w:val="auto"/>
              </w:rPr>
            </w:pPr>
            <w:r>
              <w:rPr>
                <w:rFonts w:ascii="Arial" w:cs="Arial" w:eastAsia="Arial" w:hAnsi="Arial"/>
                <w:sz w:val="16"/>
                <w:szCs w:val="16"/>
                <w:b w:val="1"/>
                <w:bCs w:val="1"/>
                <w:color w:val="auto"/>
              </w:rPr>
              <w:t>Cash Flow Data:</w:t>
            </w:r>
          </w:p>
        </w:tc>
        <w:tc>
          <w:tcPr>
            <w:tcW w:w="2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3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30,903</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23,528</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(31,551)</w:t>
            </w:r>
          </w:p>
        </w:tc>
      </w:tr>
      <w:tr>
        <w:trPr>
          <w:trHeight w:val="237"/>
        </w:trPr>
        <w:tc>
          <w:tcPr>
            <w:tcW w:w="5020" w:type="dxa"/>
            <w:vAlign w:val="bottom"/>
          </w:tcPr>
          <w:p>
            <w:pPr>
              <w:ind w:left="5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Pr>
          <w:p>
            <w:pPr>
              <w:spacing w:after="0"/>
              <w:rPr>
                <w:sz w:val="20"/>
                <w:szCs w:val="20"/>
                <w:color w:val="auto"/>
              </w:rPr>
            </w:pPr>
          </w:p>
        </w:tc>
        <w:tc>
          <w:tcPr>
            <w:tcW w:w="1820" w:type="dxa"/>
            <w:vAlign w:val="bottom"/>
          </w:tcPr>
          <w:p>
            <w:pPr>
              <w:jc w:val="right"/>
              <w:ind w:right="59"/>
              <w:spacing w:after="0"/>
              <w:rPr>
                <w:sz w:val="20"/>
                <w:szCs w:val="20"/>
                <w:color w:val="auto"/>
              </w:rPr>
            </w:pPr>
            <w:r>
              <w:rPr>
                <w:rFonts w:ascii="Arial" w:cs="Arial" w:eastAsia="Arial" w:hAnsi="Arial"/>
                <w:sz w:val="16"/>
                <w:szCs w:val="16"/>
                <w:color w:val="auto"/>
              </w:rPr>
              <w:t>(213,098)</w:t>
            </w:r>
          </w:p>
        </w:tc>
        <w:tc>
          <w:tcPr>
            <w:tcW w:w="36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(239,921)</w:t>
            </w:r>
          </w:p>
        </w:tc>
        <w:tc>
          <w:tcPr>
            <w:tcW w:w="34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(571,416)</w:t>
            </w:r>
          </w:p>
        </w:tc>
      </w:tr>
      <w:tr>
        <w:trPr>
          <w:trHeight w:val="33"/>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37"/>
        </w:trPr>
        <w:tc>
          <w:tcPr>
            <w:tcW w:w="5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26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(131,453)</w:t>
            </w: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575,971</w:t>
            </w:r>
          </w:p>
        </w:tc>
        <w:tc>
          <w:tcPr>
            <w:tcW w:w="340" w:type="dxa"/>
            <w:vAlign w:val="bottom"/>
            <w:shd w:val="clear" w:color="auto" w:fill="CCEEFF"/>
          </w:tcPr>
          <w:p>
            <w:pPr>
              <w:spacing w:after="0"/>
              <w:rPr>
                <w:sz w:val="20"/>
                <w:szCs w:val="20"/>
                <w:color w:val="auto"/>
              </w:rPr>
            </w:pP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617,856</w:t>
            </w:r>
          </w:p>
        </w:tc>
      </w:tr>
      <w:tr>
        <w:trPr>
          <w:trHeight w:val="33"/>
        </w:trPr>
        <w:tc>
          <w:tcPr>
            <w:tcW w:w="5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years ended December 31, 2016 and December 31, 2015</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Net cash provided by operating activities was $30,903 in the year ended December 31, 2016 as compared to $23,528 in the year ended December 31, 2015, representing a $7,375 increase. Net loss was $40,598 for the year ended December 31, 2016, compared $28,631 for the year ended December 31, 2015, a decrease of $11,967. The decrease was offset by non-cash adjustments to reconcile net income which include an increase of (i) $7,450 relating to an asset impairment, (ii) $14,902 relating to depreciation and amortization, and (iii) $1,579 loss on extinguishment of debt, offset by a decrease in equity based compensation of $8,334, equity in losses from unconsolidated entities of $964 and gain on sale of equipment of $2,522 as compared to 2015. The decrease was further offset by the changes in in accounts payable, other liabilities, accounts receivable and other assets due to the continued expansion of operations across all business segments,</w:t>
      </w:r>
    </w:p>
    <w:p>
      <w:pPr>
        <w:spacing w:after="0" w:line="8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Net cash used in investing activities was $213,098 and $239,921 in the year ended December 31, 2016 and 2015, respectively, representing a $26,823 decrease. Cash used in investing activities decreased due to cash received for the sale of two finance leases, resulting in proceeds of $71,000, a decrease in cash paid for property, plant and equipment of $38,657, and the investment in the note receivable of $11,803 in the year ended December 31, 2016 as compared to the year ended December 31, 2015. Offsetting these decreases was an increase in cash used for the acquisition of leasing equipment of $35,550, cash used for purchase deposits of aircraft and aircraft engines of $13,681, and investments of $28,784, as well as a decrease principal collections on finance leases of $17,779 in the year ended December 31, 2016 as compared to the year ended December 31, 2015.</w:t>
      </w:r>
    </w:p>
    <w:p>
      <w:pPr>
        <w:spacing w:after="0" w:line="70"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Net cash used in financing activities was $131,453 in the year ended December 31, 2016 as compared to cash provided by financing activities of $575,971 in year ended December 31, 2015, representing a $707,424 decrease. Such decrease was attributable to (i) a decrease in cash proceeds received due to the issuance of common shares net of issuance costs paid of $351,059, (ii) a decrease in capital contributions from shareholders of $295,879, and (iii) a decrease in capital contributions from non-controlling interests of $26,346. In addition to these decreases, cash outflows increased in the year ended December 31, 2016 as compared to the year ended December 31, 2015 due to repayment of debt, net of proceeds from borrowings of $25,947, cash dividends paid of $63,684, offset by a decrease in distributions to shareholders of $44,917 and a net increase in maintenance deposits of $13,164.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76" w:right="23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b w:val="1"/>
          <w:bCs w:val="1"/>
          <w:i w:val="1"/>
          <w:iCs w:val="1"/>
          <w:color w:val="auto"/>
        </w:rPr>
        <w:t>Comparison of the years ended December 31, 2015 and December 31, 2014</w:t>
      </w:r>
    </w:p>
    <w:p>
      <w:pPr>
        <w:spacing w:after="0" w:line="117"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Net cash provided by operating activities was $23,528 in the year ended December 31, 2015 as compared to net cash used in operating activities of $31,551 in the year ended December 31, 2014, representing a $55,079 increase. Net loss was $28,631 in the year ended December 31, 2015, compared to income of $2,918 in the year ended December 31, 2014, a decrease of $31,549. The increase in net cash provided by operating activities was driven by non-cash adjustments to reconcile net income which include an increase of (i) $29,310 relating to depreciation and amortization primarily due to assets depreciated for a full year and significant assets placed into service during 2015, (ii) $4,322 of amortization of lease intangibles and incentives, (iii) $13,049 in equity in losses of unconsolidated entities, (iv) $4,157 attributable to the change in gain on sale of equipment, and (v) $3,397 of equity based compensation, offset by a decrease in operating distributions from an unconsolidated entity of $7,998 in the year ended December 31, 2015 as compared to the year ended December 31, 2014. The increase was also driven by lower cash outflows related to accounts payable and accrued liabilities of $49,080 during the year ended December 31, 2015 as the year ended December 31, 2014 included significant cash outflows resulting from the Jefferson acquisition.</w:t>
      </w:r>
    </w:p>
    <w:p>
      <w:pPr>
        <w:spacing w:after="0" w:line="59"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Net cash used in investing activities decreased $331,495 in the year ended December 31, 2015 as compared to the year ended December 31, 2014. Cash used in the acquisition of leasing equipment and related lease intangibles decreased by $240,017 in the year ended December 31, 2015 as compared to the year ended December 31, 2014. Additionally, cash was used to fund the acquisition of Jefferson Terminal of $47,811 and purchase CMQR of $11,308 in the year ended December 31, 2014, both of which did not occur in the year ended December 31, 2015. Additionally, in conjunction with Jefferson Terminal, the Company funded term loans and other receivables of $97,616 in the year ended December 31, 2014. The Company also received $20,292 in principal collections on financing leases in the year ended December 31, 2015, as compared to $11,931 in the year ended December 31, 2014. These decreases in cash used in investing activities were offset by higher cash flows used in the year ended December 31, 2015 as compared to the year ended December 31, 2014 for the acquisitions of property plant and equipment of $46,587 related to the continued expansion and development of Jefferson Terminal and CMQR, as well as the investment in note receivable of $14,869.</w:t>
      </w:r>
    </w:p>
    <w:p>
      <w:pPr>
        <w:spacing w:after="0" w:line="74"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Net cash provided by financing activities was $575,971 and $617,856 in the years ended December 31, 2015 and 2014, respectively, representing a $41,885 decrease. Such decrease was attributable to (i) a decrease in capital contributions from shareholders, net of distributions to shareholders and cash dividends paid of $200,129, (ii) a decrease in proceeds from debt, net of repayment of debt of $171,999 and (iii) a decrease in capital contributions from non-controlling interests of $20,015 in the year ended December 31, 2015 as compared to the year ended December 31, 2014. These decreases in cash inflows were offset by the issuance of common shares net of issuance costs paid of $351,059 in the year ended December 31, 2015.</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Funds Available for Distribution (Non-GAAP)</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7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Pr>
          <w:p>
            <w:pPr>
              <w:spacing w:after="0"/>
              <w:rPr>
                <w:sz w:val="20"/>
                <w:szCs w:val="20"/>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 2015</w:t>
            </w:r>
          </w:p>
        </w:tc>
        <w:tc>
          <w:tcPr>
            <w:tcW w:w="24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30,903</w:t>
            </w:r>
          </w:p>
        </w:tc>
        <w:tc>
          <w:tcPr>
            <w:tcW w:w="12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23,528</w:t>
            </w:r>
          </w:p>
        </w:tc>
        <w:tc>
          <w:tcPr>
            <w:tcW w:w="10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(31,551)</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Finance Leases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 xml:space="preserve">Add: Proceeds from sale of assets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94,875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14,518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37,074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Return of Capital Distributions from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9,064</w:t>
            </w: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6"/>
                <w:szCs w:val="16"/>
                <w:color w:val="auto"/>
              </w:rPr>
              <w:t xml:space="preserve">Less: Required Payments on Debt Obligations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(53,668)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(23,761)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(31,131)</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Capital Distributions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Exclude: Changes in Working Capital</w:t>
            </w:r>
          </w:p>
        </w:tc>
        <w:tc>
          <w:tcPr>
            <w:tcW w:w="240" w:type="dxa"/>
            <w:vAlign w:val="bottom"/>
          </w:tcPr>
          <w:p>
            <w:pPr>
              <w:spacing w:after="0"/>
              <w:rPr>
                <w:sz w:val="20"/>
                <w:szCs w:val="20"/>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1,730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10,104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50,440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Funds Available for Distribution (FAD)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76,785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48,088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45,262</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w w:val="94"/>
              </w:rPr>
              <w:t>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40" w:hanging="132"/>
        <w:spacing w:after="0"/>
        <w:tabs>
          <w:tab w:leader="none" w:pos="140" w:val="left"/>
        </w:tabs>
        <w:numPr>
          <w:ilvl w:val="0"/>
          <w:numId w:val="50"/>
        </w:numPr>
        <w:rPr>
          <w:rFonts w:ascii="Arial" w:cs="Arial" w:eastAsia="Arial" w:hAnsi="Arial"/>
          <w:sz w:val="8"/>
          <w:szCs w:val="8"/>
          <w:color w:val="auto"/>
        </w:rPr>
      </w:pPr>
      <w:r>
        <w:rPr>
          <w:rFonts w:ascii="Arial" w:cs="Arial" w:eastAsia="Arial" w:hAnsi="Arial"/>
          <w:sz w:val="13"/>
          <w:szCs w:val="13"/>
          <w:color w:val="auto"/>
        </w:rPr>
        <w:t>Proceeds from sale of assets includes $500 received in December 2015 for a deposit on the sale of a commercial jet engine, which was completed in the year ended December 31, 2016.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0" w:name="page81"/>
    <w:bookmarkEnd w:id="80"/>
    <w:p>
      <w:pPr>
        <w:ind w:left="500" w:right="120" w:hanging="492"/>
        <w:spacing w:after="0" w:line="273" w:lineRule="auto"/>
        <w:tabs>
          <w:tab w:leader="none" w:pos="154" w:val="left"/>
        </w:tabs>
        <w:numPr>
          <w:ilvl w:val="0"/>
          <w:numId w:val="51"/>
        </w:numPr>
        <w:rPr>
          <w:rFonts w:ascii="Arial" w:cs="Arial" w:eastAsia="Arial" w:hAnsi="Arial"/>
          <w:sz w:val="9"/>
          <w:szCs w:val="9"/>
          <w:color w:val="auto"/>
        </w:rPr>
      </w:pPr>
      <w:r>
        <w:rPr>
          <w:rFonts w:ascii="Arial" w:cs="Arial" w:eastAsia="Arial" w:hAnsi="Arial"/>
          <w:sz w:val="14"/>
          <w:szCs w:val="14"/>
          <w:color w:val="auto"/>
        </w:rPr>
        <w:t>Required payments on debt obligations excludes $98,750 repayment upon the termination of the Jefferson Terminal Credit Agreement and $7,748 repayment under the CMQR Credit Agreement in the year ended December 31, 2016, which were voluntary refinancing as repayment of these amounts were not required at this time.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80" w:lineRule="exact"/>
        <w:rPr>
          <w:sz w:val="20"/>
          <w:szCs w:val="20"/>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FAD does not give pro forma effect to prior acquisitions, certain of which cannot be quantified.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has significant discretion to make distributions, and the Company is not bound by any contractual provision that requires it to use cash for distributions.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If such factors were included in FAD, there can be no assurance that the results would be consistent with the Company’s presentation of FAD.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FTAI Pride Credit Agreement</w:t>
      </w:r>
      <w:r>
        <w:rPr>
          <w:rFonts w:ascii="Arial" w:cs="Arial" w:eastAsia="Arial" w:hAnsi="Arial"/>
          <w:sz w:val="17"/>
          <w:szCs w:val="17"/>
          <w:color w:val="auto"/>
        </w:rPr>
        <w:t>—On September 15, 2014, FTAI Pride, LLC, (“FTAI Pride”) a subsidiary of the Company entered into a credit agreement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on September 15, 2019,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CMQR Credit Agreement</w:t>
      </w:r>
      <w:r>
        <w:rPr>
          <w:rFonts w:ascii="Arial" w:cs="Arial" w:eastAsia="Arial" w:hAnsi="Arial"/>
          <w:sz w:val="18"/>
          <w:szCs w:val="18"/>
          <w:color w:val="auto"/>
        </w:rPr>
        <w:t>—On March 28, 2016, CMQR amended its credit agreement (the “CMQR Credit Agreement”) with a financial institution for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December 31, 2016 was 3.21%.</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64" w:right="239" w:bottom="1440" w:gutter="0" w:footer="0" w:header="0"/>
        </w:sectPr>
      </w:pPr>
    </w:p>
    <w:bookmarkStart w:id="81" w:name="page82"/>
    <w:bookmarkEnd w:id="81"/>
    <w:p>
      <w:pPr>
        <w:jc w:val="both"/>
        <w:spacing w:after="0" w:line="293" w:lineRule="auto"/>
        <w:rPr>
          <w:sz w:val="20"/>
          <w:szCs w:val="20"/>
          <w:color w:val="auto"/>
        </w:rPr>
      </w:pPr>
      <w:r>
        <w:rPr>
          <w:rFonts w:ascii="Arial" w:cs="Arial" w:eastAsia="Arial" w:hAnsi="Arial"/>
          <w:sz w:val="16"/>
          <w:szCs w:val="16"/>
          <w:b w:val="1"/>
          <w:bCs w:val="1"/>
          <w:i w:val="1"/>
          <w:iCs w:val="1"/>
          <w:color w:val="auto"/>
        </w:rPr>
        <w:t>Series 2012 Bonds</w:t>
      </w:r>
      <w:r>
        <w:rPr>
          <w:rFonts w:ascii="Arial" w:cs="Arial" w:eastAsia="Arial" w:hAnsi="Arial"/>
          <w:sz w:val="16"/>
          <w:szCs w:val="16"/>
          <w:color w:val="auto"/>
        </w:rPr>
        <w:t>—On August 1, 2012, Jefferson County Development Corporation issued $46,875 of tax-exempt industrial bonds (“Series 2012 Bonds”),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jc w:val="both"/>
        <w:spacing w:after="0" w:line="261" w:lineRule="auto"/>
        <w:rPr>
          <w:sz w:val="20"/>
          <w:szCs w:val="20"/>
          <w:color w:val="auto"/>
        </w:rPr>
      </w:pPr>
      <w:r>
        <w:rPr>
          <w:rFonts w:ascii="Arial" w:cs="Arial" w:eastAsia="Arial" w:hAnsi="Arial"/>
          <w:sz w:val="18"/>
          <w:szCs w:val="18"/>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Series 2016 Bonds</w:t>
      </w:r>
      <w:r>
        <w:rPr>
          <w:rFonts w:ascii="Arial" w:cs="Arial" w:eastAsia="Arial" w:hAnsi="Arial"/>
          <w:sz w:val="16"/>
          <w:szCs w:val="16"/>
          <w:color w:val="auto"/>
        </w:rPr>
        <w:t>—On March 7, 2016, the Port of Beaumont Navigation District of Jefferson County, Texas (the “District”) issued $144,200 of Dock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5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5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as well as maintenance of a minimum total asset value of Aviation Assets and minimum total equity of the Company. In connection with the above,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such affiliate, will effectively guarantee a pro rata portion of the obligations under the Standby Bond Purchase Agreement in return for a guarantee fee of $6,873 (shared on the same pro rata basis). This fee will be amortized as interest expense to the redemption date or February 13, 2020.</w:t>
      </w:r>
    </w:p>
    <w:p>
      <w:pPr>
        <w:spacing w:after="0" w:line="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debt covenants as of December 31,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700" w:firstLine="446"/>
        <w:spacing w:after="0" w:line="277" w:lineRule="auto"/>
        <w:rPr>
          <w:sz w:val="20"/>
          <w:szCs w:val="20"/>
          <w:color w:val="auto"/>
        </w:rPr>
      </w:pPr>
      <w:r>
        <w:rPr>
          <w:rFonts w:ascii="Arial" w:cs="Arial" w:eastAsia="Arial" w:hAnsi="Arial"/>
          <w:sz w:val="18"/>
          <w:szCs w:val="18"/>
          <w:color w:val="auto"/>
        </w:rPr>
        <w:t>The following table summarizes our future obligations, by period due, as of December 31, 2016, under our various contractual obligations and commitments. We had no off-balance sheet arrangements as of December 31,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6"/>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7"/>
                <w:szCs w:val="17"/>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FTAI Pride Credit Agreement</w:t>
            </w: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60,937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48,437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CMQR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Jefferson Bonds Payable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188,390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146,010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35,780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Note payable to 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gridSpan w:val="2"/>
          </w:tcPr>
          <w:p>
            <w:pPr>
              <w:ind w:left="40"/>
              <w:spacing w:after="0"/>
              <w:rPr>
                <w:sz w:val="20"/>
                <w:szCs w:val="20"/>
                <w:color w:val="auto"/>
              </w:rPr>
            </w:pPr>
            <w:r>
              <w:rPr>
                <w:rFonts w:ascii="Arial" w:cs="Arial" w:eastAsia="Arial" w:hAnsi="Arial"/>
                <w:sz w:val="16"/>
                <w:szCs w:val="16"/>
                <w:color w:val="auto"/>
                <w:w w:val="92"/>
              </w:rPr>
              <w:t>Total principal payments on loans and bonds payable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264,304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8,078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20,823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50,510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146,413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35,780</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 xml:space="preserve">Total estimated interest payments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81,001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11,587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17,128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15,735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13,662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18,547</w:t>
            </w:r>
          </w:p>
        </w:tc>
        <w:tc>
          <w:tcPr>
            <w:tcW w:w="0" w:type="dxa"/>
            <w:vAlign w:val="bottom"/>
          </w:tcPr>
          <w:p>
            <w:pPr>
              <w:spacing w:after="0"/>
              <w:rPr>
                <w:sz w:val="1"/>
                <w:szCs w:val="1"/>
                <w:color w:val="auto"/>
              </w:rPr>
            </w:pPr>
          </w:p>
        </w:tc>
      </w:tr>
      <w:tr>
        <w:trPr>
          <w:trHeight w:val="324"/>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Obligation to third-party (Repauno)</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6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98,879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6,323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5,637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5,219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73,279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99,664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6,511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5,407</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4,722</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73,279</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451,469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71,652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127,606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64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0" w:hanging="165"/>
        <w:spacing w:after="0"/>
        <w:tabs>
          <w:tab w:leader="none" w:pos="200" w:val="left"/>
        </w:tabs>
        <w:numPr>
          <w:ilvl w:val="0"/>
          <w:numId w:val="53"/>
        </w:numPr>
        <w:rPr>
          <w:rFonts w:ascii="Arial" w:cs="Arial" w:eastAsia="Arial" w:hAnsi="Arial"/>
          <w:sz w:val="9"/>
          <w:szCs w:val="9"/>
          <w:color w:val="auto"/>
        </w:rPr>
      </w:pPr>
      <w:r>
        <w:rPr>
          <w:rFonts w:ascii="Arial" w:cs="Arial" w:eastAsia="Arial" w:hAnsi="Arial"/>
          <w:sz w:val="14"/>
          <w:szCs w:val="14"/>
          <w:color w:val="auto"/>
        </w:rPr>
        <w:t>Estimated interest payments based on rates as of December 31, 2016.</w:t>
      </w:r>
    </w:p>
    <w:p>
      <w:pPr>
        <w:spacing w:after="0" w:line="12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jc w:val="both"/>
        <w:ind w:firstLine="486"/>
        <w:spacing w:after="0" w:line="305" w:lineRule="auto"/>
        <w:rPr>
          <w:sz w:val="20"/>
          <w:szCs w:val="20"/>
          <w:color w:val="auto"/>
        </w:rPr>
      </w:pPr>
      <w:r>
        <w:rPr>
          <w:rFonts w:ascii="Arial" w:cs="Arial" w:eastAsia="Arial" w:hAnsi="Arial"/>
          <w:sz w:val="16"/>
          <w:szCs w:val="16"/>
          <w:b w:val="1"/>
          <w:bCs w:val="1"/>
          <w:i w:val="1"/>
          <w:iCs w:val="1"/>
          <w:color w:val="auto"/>
        </w:rPr>
        <w:t>Operating Leases</w:t>
      </w:r>
      <w:r>
        <w:rPr>
          <w:rFonts w:ascii="Arial" w:cs="Arial" w:eastAsia="Arial" w:hAnsi="Arial"/>
          <w:sz w:val="16"/>
          <w:szCs w:val="16"/>
          <w:color w:val="auto"/>
        </w:rPr>
        <w:t>—The Company leases equipment pursuant to net operating leases. Operating leases with fixed rentals and step rentals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 also recognizes maintenance revenue related to the portion of maintenance payments received from lessees of aviation equipment that are not expected to be reimbursed in connection with major maintenance events.</w:t>
      </w:r>
    </w:p>
    <w:p>
      <w:pPr>
        <w:spacing w:after="0" w:line="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i w:val="1"/>
          <w:iCs w:val="1"/>
          <w:color w:val="auto"/>
        </w:rPr>
        <w:t>Finance Lease</w:t>
      </w:r>
      <w:r>
        <w:rPr>
          <w:rFonts w:ascii="Arial" w:cs="Arial" w:eastAsia="Arial" w:hAnsi="Arial"/>
          <w:sz w:val="17"/>
          <w:szCs w:val="17"/>
          <w:color w:val="auto"/>
        </w:rPr>
        <w:t>—The Company holds one anchor handling tug supply vessel, subject to a finance lease, as of December 31, 2016. This lease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includes a lessee obligation to purchase the leased equipment at the end of 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17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—The assessment of whether an entity is a VIE and the determination of whether to consolidate a VIE requires judgment.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2" w:right="239" w:bottom="1440" w:gutter="0" w:footer="0" w:header="0"/>
        </w:sectPr>
      </w:pPr>
    </w:p>
    <w:bookmarkStart w:id="83" w:name="page84"/>
    <w:bookmarkEnd w:id="83"/>
    <w:p>
      <w:pPr>
        <w:jc w:val="both"/>
        <w:ind w:firstLine="446"/>
        <w:spacing w:after="0" w:line="273" w:lineRule="auto"/>
        <w:rPr>
          <w:sz w:val="20"/>
          <w:szCs w:val="20"/>
          <w:color w:val="auto"/>
        </w:rPr>
      </w:pPr>
      <w:r>
        <w:rPr>
          <w:rFonts w:ascii="Arial" w:cs="Arial" w:eastAsia="Arial" w:hAnsi="Arial"/>
          <w:sz w:val="17"/>
          <w:szCs w:val="17"/>
          <w:b w:val="1"/>
          <w:bCs w:val="1"/>
          <w:i w:val="1"/>
          <w:iCs w:val="1"/>
          <w:color w:val="auto"/>
        </w:rPr>
        <w:t>Maintenance Payments</w:t>
      </w:r>
      <w:r>
        <w:rPr>
          <w:rFonts w:ascii="Arial" w:cs="Arial" w:eastAsia="Arial" w:hAnsi="Arial"/>
          <w:sz w:val="17"/>
          <w:szCs w:val="17"/>
          <w:color w:val="auto"/>
        </w:rPr>
        <w:t>—Typically, under an operating lease of aviation equipment, the lessee is responsible for performing all maintenance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records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73"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In certain leases, the lessee or the Company may be obligated to make a payment to the other party at lease termination based on redelivery conditions stipulated at the inception of the lease. When the lessee is required to return the aircraft in an improved maintenance condition, the Company records a maintenance right asset, as a component of other assets, for the estimated value of the end-of-life maintenance payment at acquisition. The Company recognizes payments received as end-of-lease compensation adjustments, within lease revenue or as a reduction to the maintenance right asset, when payment is received or collectability is assured. In the event the Company is required to make payments at the end of the lease for redelivery conditions, amounts are accrued as additional maintenance liability when the Company is obligated and can reasonably estimate such payment.</w:t>
      </w:r>
    </w:p>
    <w:p>
      <w:pPr>
        <w:spacing w:after="0" w:line="5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b w:val="1"/>
          <w:bCs w:val="1"/>
          <w:i w:val="1"/>
          <w:iCs w:val="1"/>
          <w:color w:val="auto"/>
        </w:rPr>
        <w:t>Property, Plant and Equipment, Leasing Equipment and Depreciation</w:t>
      </w:r>
      <w:r>
        <w:rPr>
          <w:rFonts w:ascii="Arial" w:cs="Arial" w:eastAsia="Arial" w:hAnsi="Arial"/>
          <w:sz w:val="18"/>
          <w:szCs w:val="18"/>
          <w:color w:val="auto"/>
        </w:rPr>
        <w:t>—Property, plant and equipment and leasing equipment are stated at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(inclusive of capitalized acquisition costs, where applicable) and depreciated using the straight-line method, over estimated useful lives, to estimated residual values which are summarized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tcBorders>
              <w:bottom w:val="single" w:sz="8" w:color="CCEEFF"/>
            </w:tcBorders>
            <w:gridSpan w:val="2"/>
            <w:shd w:val="clear" w:color="auto" w:fill="CCEEFF"/>
          </w:tcPr>
          <w:p>
            <w:pPr>
              <w:ind w:left="1880"/>
              <w:spacing w:after="0"/>
              <w:rPr>
                <w:sz w:val="20"/>
                <w:szCs w:val="20"/>
                <w:color w:val="auto"/>
              </w:rPr>
            </w:pPr>
            <w:r>
              <w:rPr>
                <w:rFonts w:ascii="Arial" w:cs="Arial" w:eastAsia="Arial" w:hAnsi="Arial"/>
                <w:sz w:val="16"/>
                <w:szCs w:val="16"/>
                <w:b w:val="1"/>
                <w:bCs w:val="1"/>
                <w:color w:val="auto"/>
              </w:rPr>
              <w:t>Asset</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Range of Estimated Useful Lives</w:t>
            </w:r>
          </w:p>
        </w:tc>
        <w:tc>
          <w:tcPr>
            <w:tcW w:w="35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b w:val="1"/>
                <w:bCs w:val="1"/>
                <w:color w:val="auto"/>
              </w:rPr>
              <w:t>Residual Value Estimates</w:t>
            </w:r>
          </w:p>
        </w:tc>
      </w:tr>
      <w:tr>
        <w:trPr>
          <w:trHeight w:val="213"/>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Aircraft</w:t>
            </w:r>
          </w:p>
        </w:tc>
        <w:tc>
          <w:tcPr>
            <w:tcW w:w="120" w:type="dxa"/>
            <w:vAlign w:val="bottom"/>
          </w:tcPr>
          <w:p>
            <w:pPr>
              <w:spacing w:after="0"/>
              <w:rPr>
                <w:sz w:val="18"/>
                <w:szCs w:val="18"/>
                <w:color w:val="auto"/>
              </w:rPr>
            </w:pPr>
          </w:p>
        </w:tc>
        <w:tc>
          <w:tcPr>
            <w:tcW w:w="354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color w:val="auto"/>
              </w:rPr>
              <w:t>25 years from date of manufacture</w:t>
            </w:r>
          </w:p>
        </w:tc>
        <w:tc>
          <w:tcPr>
            <w:tcW w:w="120" w:type="dxa"/>
            <w:vAlign w:val="bottom"/>
          </w:tcPr>
          <w:p>
            <w:pPr>
              <w:spacing w:after="0"/>
              <w:rPr>
                <w:sz w:val="18"/>
                <w:szCs w:val="18"/>
                <w:color w:val="auto"/>
              </w:rPr>
            </w:pPr>
          </w:p>
        </w:tc>
        <w:tc>
          <w:tcPr>
            <w:tcW w:w="35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4"/>
              </w:rPr>
              <w:t>Not to exceed 15% of manufacturer’s list price when</w:t>
            </w:r>
          </w:p>
        </w:tc>
      </w:tr>
      <w:tr>
        <w:trPr>
          <w:trHeight w:val="206"/>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new</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20"/>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Aircraft engines</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w:t>
            </w:r>
          </w:p>
        </w:tc>
        <w:tc>
          <w:tcPr>
            <w:tcW w:w="3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w w:val="98"/>
              </w:rPr>
              <w:t>- 6 years, based on maintenance adjusted service</w:t>
            </w:r>
          </w:p>
        </w:tc>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Sum of engine core salvage value plus the estimated</w:t>
            </w:r>
          </w:p>
        </w:tc>
      </w:tr>
      <w:tr>
        <w:trPr>
          <w:trHeight w:val="219"/>
        </w:trPr>
        <w:tc>
          <w:tcPr>
            <w:tcW w:w="4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life</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of life limited parts</w:t>
            </w:r>
          </w:p>
        </w:tc>
      </w:tr>
      <w:tr>
        <w:trPr>
          <w:trHeight w:val="22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Offshore energy vessels</w:t>
            </w:r>
          </w:p>
        </w:tc>
        <w:tc>
          <w:tcPr>
            <w:tcW w:w="3660" w:type="dxa"/>
            <w:vAlign w:val="bottom"/>
            <w:gridSpan w:val="4"/>
          </w:tcPr>
          <w:p>
            <w:pPr>
              <w:ind w:left="40"/>
              <w:spacing w:after="0"/>
              <w:rPr>
                <w:sz w:val="20"/>
                <w:szCs w:val="20"/>
                <w:color w:val="auto"/>
              </w:rPr>
            </w:pPr>
            <w:r>
              <w:rPr>
                <w:rFonts w:ascii="Arial" w:cs="Arial" w:eastAsia="Arial" w:hAnsi="Arial"/>
                <w:sz w:val="16"/>
                <w:szCs w:val="16"/>
                <w:color w:val="auto"/>
              </w:rPr>
              <w:t>25 years from date of manufacture</w:t>
            </w:r>
          </w:p>
        </w:tc>
        <w:tc>
          <w:tcPr>
            <w:tcW w:w="3520" w:type="dxa"/>
            <w:vAlign w:val="bottom"/>
          </w:tcPr>
          <w:p>
            <w:pPr>
              <w:ind w:left="20"/>
              <w:spacing w:after="0"/>
              <w:rPr>
                <w:sz w:val="20"/>
                <w:szCs w:val="20"/>
                <w:color w:val="auto"/>
              </w:rPr>
            </w:pPr>
            <w:r>
              <w:rPr>
                <w:rFonts w:ascii="Arial" w:cs="Arial" w:eastAsia="Arial" w:hAnsi="Arial"/>
                <w:sz w:val="16"/>
                <w:szCs w:val="16"/>
                <w:color w:val="auto"/>
              </w:rPr>
              <w:t>20% of new build cost</w:t>
            </w:r>
          </w:p>
        </w:tc>
      </w:tr>
      <w:tr>
        <w:trPr>
          <w:trHeight w:val="47"/>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40</w:t>
            </w: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- 50 years from date of manufacture</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Scrap value at end of useful life</w:t>
            </w:r>
          </w:p>
        </w:tc>
      </w:tr>
      <w:tr>
        <w:trPr>
          <w:trHeight w:val="22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Track and track related assets</w:t>
            </w:r>
          </w:p>
        </w:tc>
        <w:tc>
          <w:tcPr>
            <w:tcW w:w="220" w:type="dxa"/>
            <w:vAlign w:val="bottom"/>
            <w:gridSpan w:val="2"/>
          </w:tcPr>
          <w:p>
            <w:pPr>
              <w:ind w:left="40"/>
              <w:spacing w:after="0"/>
              <w:rPr>
                <w:sz w:val="20"/>
                <w:szCs w:val="20"/>
                <w:color w:val="auto"/>
              </w:rPr>
            </w:pPr>
            <w:r>
              <w:rPr>
                <w:rFonts w:ascii="Arial" w:cs="Arial" w:eastAsia="Arial" w:hAnsi="Arial"/>
                <w:sz w:val="16"/>
                <w:szCs w:val="16"/>
                <w:color w:val="auto"/>
                <w:w w:val="89"/>
              </w:rPr>
              <w:t>15</w:t>
            </w:r>
          </w:p>
        </w:tc>
        <w:tc>
          <w:tcPr>
            <w:tcW w:w="3440" w:type="dxa"/>
            <w:vAlign w:val="bottom"/>
            <w:gridSpan w:val="2"/>
          </w:tcPr>
          <w:p>
            <w:pPr>
              <w:ind w:left="20"/>
              <w:spacing w:after="0"/>
              <w:rPr>
                <w:sz w:val="20"/>
                <w:szCs w:val="20"/>
                <w:color w:val="auto"/>
              </w:rPr>
            </w:pPr>
            <w:r>
              <w:rPr>
                <w:rFonts w:ascii="Arial" w:cs="Arial" w:eastAsia="Arial" w:hAnsi="Arial"/>
                <w:sz w:val="16"/>
                <w:szCs w:val="16"/>
                <w:color w:val="auto"/>
              </w:rPr>
              <w:t>- 50 years from date of manufacture</w:t>
            </w:r>
          </w:p>
        </w:tc>
        <w:tc>
          <w:tcPr>
            <w:tcW w:w="3520" w:type="dxa"/>
            <w:vAlign w:val="bottom"/>
          </w:tcPr>
          <w:p>
            <w:pPr>
              <w:ind w:left="20"/>
              <w:spacing w:after="0"/>
              <w:rPr>
                <w:sz w:val="20"/>
                <w:szCs w:val="20"/>
                <w:color w:val="auto"/>
              </w:rPr>
            </w:pPr>
            <w:r>
              <w:rPr>
                <w:rFonts w:ascii="Arial" w:cs="Arial" w:eastAsia="Arial" w:hAnsi="Arial"/>
                <w:sz w:val="16"/>
                <w:szCs w:val="16"/>
                <w:color w:val="auto"/>
              </w:rPr>
              <w:t>Scrap value at end of useful life</w:t>
            </w:r>
          </w:p>
        </w:tc>
      </w:tr>
      <w:tr>
        <w:trPr>
          <w:trHeight w:val="47"/>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Buildings and site improvements</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20</w:t>
            </w: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- 30 years</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Scrap value at end of useful life</w:t>
            </w:r>
          </w:p>
        </w:tc>
      </w:tr>
      <w:tr>
        <w:trPr>
          <w:trHeight w:val="22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Railroad equipment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3</w:t>
            </w:r>
          </w:p>
        </w:tc>
        <w:tc>
          <w:tcPr>
            <w:tcW w:w="3520" w:type="dxa"/>
            <w:vAlign w:val="bottom"/>
            <w:gridSpan w:val="3"/>
          </w:tcPr>
          <w:p>
            <w:pPr>
              <w:ind w:left="20"/>
              <w:spacing w:after="0"/>
              <w:rPr>
                <w:sz w:val="20"/>
                <w:szCs w:val="20"/>
                <w:color w:val="auto"/>
              </w:rPr>
            </w:pPr>
            <w:r>
              <w:rPr>
                <w:rFonts w:ascii="Arial" w:cs="Arial" w:eastAsia="Arial" w:hAnsi="Arial"/>
                <w:sz w:val="16"/>
                <w:szCs w:val="16"/>
                <w:color w:val="auto"/>
              </w:rPr>
              <w:t>- 15 years from date of manufacture</w:t>
            </w:r>
          </w:p>
        </w:tc>
        <w:tc>
          <w:tcPr>
            <w:tcW w:w="3520" w:type="dxa"/>
            <w:vAlign w:val="bottom"/>
          </w:tcPr>
          <w:p>
            <w:pPr>
              <w:ind w:left="20"/>
              <w:spacing w:after="0"/>
              <w:rPr>
                <w:sz w:val="20"/>
                <w:szCs w:val="20"/>
                <w:color w:val="auto"/>
              </w:rPr>
            </w:pPr>
            <w:r>
              <w:rPr>
                <w:rFonts w:ascii="Arial" w:cs="Arial" w:eastAsia="Arial" w:hAnsi="Arial"/>
                <w:sz w:val="16"/>
                <w:szCs w:val="16"/>
                <w:color w:val="auto"/>
              </w:rPr>
              <w:t>Scrap value at end of useful life</w:t>
            </w:r>
          </w:p>
        </w:tc>
      </w:tr>
      <w:tr>
        <w:trPr>
          <w:trHeight w:val="47"/>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3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15</w:t>
            </w:r>
          </w:p>
        </w:tc>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- 25 years from date of manufacture</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Scrap value at end of useful life</w:t>
            </w:r>
          </w:p>
        </w:tc>
      </w:tr>
      <w:tr>
        <w:trPr>
          <w:trHeight w:val="22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Vehicles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5</w:t>
            </w:r>
          </w:p>
        </w:tc>
        <w:tc>
          <w:tcPr>
            <w:tcW w:w="3520" w:type="dxa"/>
            <w:vAlign w:val="bottom"/>
            <w:gridSpan w:val="3"/>
          </w:tcPr>
          <w:p>
            <w:pPr>
              <w:ind w:left="20"/>
              <w:spacing w:after="0"/>
              <w:rPr>
                <w:sz w:val="20"/>
                <w:szCs w:val="20"/>
                <w:color w:val="auto"/>
              </w:rPr>
            </w:pPr>
            <w:r>
              <w:rPr>
                <w:rFonts w:ascii="Arial" w:cs="Arial" w:eastAsia="Arial" w:hAnsi="Arial"/>
                <w:sz w:val="16"/>
                <w:szCs w:val="16"/>
                <w:color w:val="auto"/>
              </w:rPr>
              <w:t>- 7 years from date of manufacture</w:t>
            </w:r>
          </w:p>
        </w:tc>
        <w:tc>
          <w:tcPr>
            <w:tcW w:w="3520" w:type="dxa"/>
            <w:vAlign w:val="bottom"/>
          </w:tcPr>
          <w:p>
            <w:pPr>
              <w:ind w:left="20"/>
              <w:spacing w:after="0"/>
              <w:rPr>
                <w:sz w:val="20"/>
                <w:szCs w:val="20"/>
                <w:color w:val="auto"/>
              </w:rPr>
            </w:pPr>
            <w:r>
              <w:rPr>
                <w:rFonts w:ascii="Arial" w:cs="Arial" w:eastAsia="Arial" w:hAnsi="Arial"/>
                <w:sz w:val="16"/>
                <w:szCs w:val="16"/>
                <w:color w:val="auto"/>
              </w:rPr>
              <w:t>Scrap value at end of useful life</w:t>
            </w:r>
          </w:p>
        </w:tc>
      </w:tr>
      <w:tr>
        <w:trPr>
          <w:trHeight w:val="47"/>
        </w:trPr>
        <w:tc>
          <w:tcPr>
            <w:tcW w:w="4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tcPr>
          <w:p>
            <w:pPr>
              <w:spacing w:after="0"/>
              <w:rPr>
                <w:sz w:val="4"/>
                <w:szCs w:val="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3</w:t>
            </w:r>
          </w:p>
        </w:tc>
        <w:tc>
          <w:tcPr>
            <w:tcW w:w="3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- 6 years from date of purchase</w:t>
            </w: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None</w:t>
            </w:r>
          </w:p>
        </w:tc>
      </w:tr>
      <w:tr>
        <w:trPr>
          <w:trHeight w:val="224"/>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Computer hardware and software</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3</w:t>
            </w:r>
          </w:p>
        </w:tc>
        <w:tc>
          <w:tcPr>
            <w:tcW w:w="3520" w:type="dxa"/>
            <w:vAlign w:val="bottom"/>
            <w:gridSpan w:val="3"/>
          </w:tcPr>
          <w:p>
            <w:pPr>
              <w:ind w:left="20"/>
              <w:spacing w:after="0"/>
              <w:rPr>
                <w:sz w:val="20"/>
                <w:szCs w:val="20"/>
                <w:color w:val="auto"/>
              </w:rPr>
            </w:pPr>
            <w:r>
              <w:rPr>
                <w:rFonts w:ascii="Arial" w:cs="Arial" w:eastAsia="Arial" w:hAnsi="Arial"/>
                <w:sz w:val="16"/>
                <w:szCs w:val="16"/>
                <w:color w:val="auto"/>
              </w:rPr>
              <w:t>- 5 years from date of purchase</w:t>
            </w:r>
          </w:p>
        </w:tc>
        <w:tc>
          <w:tcPr>
            <w:tcW w:w="3520" w:type="dxa"/>
            <w:vAlign w:val="bottom"/>
          </w:tcPr>
          <w:p>
            <w:pPr>
              <w:ind w:left="20"/>
              <w:spacing w:after="0"/>
              <w:rPr>
                <w:sz w:val="20"/>
                <w:szCs w:val="20"/>
                <w:color w:val="auto"/>
              </w:rPr>
            </w:pPr>
            <w:r>
              <w:rPr>
                <w:rFonts w:ascii="Arial" w:cs="Arial" w:eastAsia="Arial" w:hAnsi="Arial"/>
                <w:sz w:val="16"/>
                <w:szCs w:val="16"/>
                <w:color w:val="auto"/>
              </w:rPr>
              <w:t>None</w:t>
            </w:r>
          </w:p>
        </w:tc>
      </w:tr>
    </w:tbl>
    <w:p>
      <w:pPr>
        <w:spacing w:after="0" w:line="140"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b w:val="1"/>
          <w:bCs w:val="1"/>
          <w:i w:val="1"/>
          <w:iCs w:val="1"/>
          <w:color w:val="auto"/>
        </w:rPr>
        <w:t>Impairment of Long-Lived Assets</w:t>
      </w:r>
      <w:r>
        <w:rPr>
          <w:rFonts w:ascii="Arial" w:cs="Arial" w:eastAsia="Arial" w:hAnsi="Arial"/>
          <w:sz w:val="16"/>
          <w:szCs w:val="16"/>
          <w:color w:val="auto"/>
        </w:rPr>
        <w:t>—The Company performs a recoverability assessment of each of its long-lived assets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5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4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includes the excess of the purchase price over the fair value of the net tangible and intangible assets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of CMQR and Jefferson Terminal. The carrying amount of goodwill is approximately $116,584 as of December 31, 2016 and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4" w:name="page85"/>
    <w:bookmarkEnd w:id="84"/>
    <w:p>
      <w:pPr>
        <w:jc w:val="both"/>
        <w:ind w:firstLine="446"/>
        <w:spacing w:after="0" w:line="259" w:lineRule="auto"/>
        <w:rPr>
          <w:sz w:val="20"/>
          <w:szCs w:val="20"/>
          <w:color w:val="auto"/>
        </w:rPr>
      </w:pPr>
      <w:r>
        <w:rPr>
          <w:rFonts w:ascii="Arial" w:cs="Arial" w:eastAsia="Arial" w:hAnsi="Arial"/>
          <w:sz w:val="18"/>
          <w:szCs w:val="18"/>
          <w:color w:val="auto"/>
        </w:rPr>
        <w:t>The Company reviews the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w:t>
      </w:r>
    </w:p>
    <w:p>
      <w:pPr>
        <w:spacing w:after="0" w:line="79"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2016 or December 31, 2015.</w:t>
      </w:r>
    </w:p>
    <w:p>
      <w:pPr>
        <w:spacing w:after="0" w:line="39"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80"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For the purpose of performing the annual analysis, the Company’s two reporting units subject to the test are the Jefferson Terminal and Railroad reporting units. The Company estimates the fair value of the reporting units using an income approach, specifically a discounted cash flow analysis. This analysis requires the Company to make significant assumptions and estimates about the extent and timing of future cash flows, discount rates and growth rates. The estimates and assumptions used consider historical performance and are consistent with the assumptions used in determining future profit plans for the reporting units. The Company also utilizes market valuation models and other financial ratios, which require the Company to make certain assumptions and estimates regarding the applicability of those models to its assets and businesses.</w:t>
      </w:r>
    </w:p>
    <w:p>
      <w:pPr>
        <w:spacing w:after="0" w:line="70"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The Company performed a sensitivity analysis for goodwill impairment and determined that a hypothetical 5% decline in the fair value of each reporting unit as of October 1, 2016 would not result in an impairment of goodwill for either reporting unit.</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2016 and December 31, 2015, there was no impairment of goodwill.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Note 2 to our consolidated financial statements included elsewhere in this filing for recent accounting pronouncements.</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risk represents the risk of changes in value of a financial instrument, caused by fluctuations in interest rates and foreign exchange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factors could cause fluctuations in our results of operations and cash flows. We are exposed to the market risks described below.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7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76" w:right="239" w:bottom="1440" w:gutter="0" w:footer="0" w:header="0"/>
        </w:sectPr>
      </w:pPr>
    </w:p>
    <w:bookmarkStart w:id="85" w:name="page86"/>
    <w:bookmarkEnd w:id="85"/>
    <w:p>
      <w:pPr>
        <w:jc w:val="both"/>
        <w:ind w:firstLine="446"/>
        <w:spacing w:after="0" w:line="271" w:lineRule="auto"/>
        <w:rPr>
          <w:sz w:val="20"/>
          <w:szCs w:val="20"/>
          <w:color w:val="auto"/>
        </w:rPr>
      </w:pPr>
      <w:r>
        <w:rPr>
          <w:rFonts w:ascii="Arial" w:cs="Arial" w:eastAsia="Arial" w:hAnsi="Arial"/>
          <w:sz w:val="17"/>
          <w:szCs w:val="17"/>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of December 31, 2016,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$722 and $(668), respectively, over the next 12 months before the impact of interest rate derivatives.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76"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420" w:type="dxa"/>
            <w:vAlign w:val="bottom"/>
          </w:tcPr>
          <w:p>
            <w:pPr>
              <w:spacing w:after="0"/>
              <w:rPr>
                <w:sz w:val="20"/>
                <w:szCs w:val="20"/>
                <w:color w:val="auto"/>
              </w:rPr>
            </w:pPr>
          </w:p>
        </w:tc>
      </w:tr>
      <w:tr>
        <w:trPr>
          <w:trHeight w:val="486"/>
        </w:trPr>
        <w:tc>
          <w:tcPr>
            <w:tcW w:w="10620" w:type="dxa"/>
            <w:vAlign w:val="bottom"/>
            <w:gridSpan w:val="2"/>
          </w:tcPr>
          <w:p>
            <w:pPr>
              <w:spacing w:after="0"/>
              <w:rPr>
                <w:sz w:val="20"/>
                <w:szCs w:val="20"/>
                <w:color w:val="auto"/>
              </w:rPr>
            </w:pPr>
            <w:r>
              <w:rPr>
                <w:rFonts w:ascii="Arial" w:cs="Arial" w:eastAsia="Arial" w:hAnsi="Arial"/>
                <w:sz w:val="18"/>
                <w:szCs w:val="18"/>
                <w:color w:val="auto"/>
              </w:rPr>
              <w:t>Index to Financial Statements:</w:t>
            </w:r>
          </w:p>
        </w:tc>
        <w:tc>
          <w:tcPr>
            <w:tcW w:w="420" w:type="dxa"/>
            <w:vAlign w:val="bottom"/>
          </w:tcPr>
          <w:p>
            <w:pPr>
              <w:spacing w:after="0"/>
              <w:rPr>
                <w:sz w:val="24"/>
                <w:szCs w:val="24"/>
                <w:color w:val="auto"/>
              </w:rPr>
            </w:pPr>
          </w:p>
        </w:tc>
      </w:tr>
      <w:tr>
        <w:trPr>
          <w:trHeight w:val="419"/>
        </w:trPr>
        <w:tc>
          <w:tcPr>
            <w:tcW w:w="10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Financial Statements of Fortress Transportation and Infrastructure Investors LLC:</w:t>
            </w:r>
          </w:p>
        </w:tc>
        <w:tc>
          <w:tcPr>
            <w:tcW w:w="420" w:type="dxa"/>
            <w:vAlign w:val="bottom"/>
          </w:tcPr>
          <w:p>
            <w:pPr>
              <w:spacing w:after="0"/>
              <w:rPr>
                <w:sz w:val="24"/>
                <w:szCs w:val="24"/>
                <w:color w:val="auto"/>
              </w:rPr>
            </w:pPr>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88">
              <w:r>
                <w:rPr>
                  <w:rFonts w:ascii="Arial" w:cs="Arial" w:eastAsia="Arial" w:hAnsi="Arial"/>
                  <w:sz w:val="18"/>
                  <w:szCs w:val="18"/>
                  <w:color w:val="0000EE"/>
                </w:rPr>
                <w:t>Report of Independent Registered Public Accounting Firm as of and for the year ended December 31, 2016</w:t>
              </w:r>
            </w:hyperlink>
          </w:p>
        </w:tc>
        <w:tc>
          <w:tcPr>
            <w:tcW w:w="420" w:type="dxa"/>
            <w:vAlign w:val="bottom"/>
          </w:tcPr>
          <w:p>
            <w:pPr>
              <w:ind w:left="160"/>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70"/>
        </w:trPr>
        <w:tc>
          <w:tcPr>
            <w:tcW w:w="10620" w:type="dxa"/>
            <w:vAlign w:val="bottom"/>
            <w:gridSpan w:val="2"/>
          </w:tcPr>
          <w:p>
            <w:pPr>
              <w:ind w:left="500"/>
              <w:spacing w:after="0"/>
              <w:rPr>
                <w:rFonts w:ascii="Arial" w:cs="Arial" w:eastAsia="Arial" w:hAnsi="Arial"/>
                <w:sz w:val="18"/>
                <w:szCs w:val="18"/>
                <w:color w:val="0000EE"/>
                <w:w w:val="91"/>
              </w:rPr>
            </w:pPr>
            <w:hyperlink w:anchor="page89">
              <w:r>
                <w:rPr>
                  <w:rFonts w:ascii="Arial" w:cs="Arial" w:eastAsia="Arial" w:hAnsi="Arial"/>
                  <w:sz w:val="18"/>
                  <w:szCs w:val="18"/>
                  <w:color w:val="0000EE"/>
                  <w:w w:val="91"/>
                </w:rPr>
                <w:t>Report of Independent Registered Public Accounting Firm as of December 31, 2015 and for the years ended December 31, 2015 and 2014</w:t>
              </w:r>
            </w:hyperlink>
          </w:p>
        </w:tc>
        <w:tc>
          <w:tcPr>
            <w:tcW w:w="420" w:type="dxa"/>
            <w:vAlign w:val="bottom"/>
          </w:tcPr>
          <w:p>
            <w:pPr>
              <w:ind w:left="16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90">
              <w:r>
                <w:rPr>
                  <w:rFonts w:ascii="Arial" w:cs="Arial" w:eastAsia="Arial" w:hAnsi="Arial"/>
                  <w:sz w:val="18"/>
                  <w:szCs w:val="18"/>
                  <w:color w:val="0000EE"/>
                </w:rPr>
                <w:t>Consolidated Balance Sheets as of December 31, 2016 and December 31, 2015</w:t>
              </w:r>
            </w:hyperlink>
          </w:p>
        </w:tc>
        <w:tc>
          <w:tcPr>
            <w:tcW w:w="420" w:type="dxa"/>
            <w:vAlign w:val="bottom"/>
          </w:tcPr>
          <w:p>
            <w:pPr>
              <w:ind w:left="160"/>
              <w:spacing w:after="0"/>
              <w:rPr>
                <w:rFonts w:ascii="Arial" w:cs="Arial" w:eastAsia="Arial" w:hAnsi="Arial"/>
                <w:sz w:val="18"/>
                <w:szCs w:val="18"/>
                <w:color w:val="0000EE"/>
              </w:rPr>
            </w:pPr>
            <w:hyperlink w:anchor="page90">
              <w:r>
                <w:rPr>
                  <w:rFonts w:ascii="Arial" w:cs="Arial" w:eastAsia="Arial" w:hAnsi="Arial"/>
                  <w:sz w:val="18"/>
                  <w:szCs w:val="18"/>
                  <w:color w:val="0000EE"/>
                </w:rPr>
                <w:t>90</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91">
              <w:r>
                <w:rPr>
                  <w:rFonts w:ascii="Arial" w:cs="Arial" w:eastAsia="Arial" w:hAnsi="Arial"/>
                  <w:sz w:val="18"/>
                  <w:szCs w:val="18"/>
                  <w:color w:val="0000EE"/>
                </w:rPr>
                <w:t>Consolidated Statements of Operations for the years ended December 31, 2016, 2015 and 2014</w:t>
              </w:r>
            </w:hyperlink>
          </w:p>
        </w:tc>
        <w:tc>
          <w:tcPr>
            <w:tcW w:w="420" w:type="dxa"/>
            <w:vAlign w:val="bottom"/>
          </w:tcPr>
          <w:p>
            <w:pPr>
              <w:ind w:left="160"/>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92">
              <w:r>
                <w:rPr>
                  <w:rFonts w:ascii="Arial" w:cs="Arial" w:eastAsia="Arial" w:hAnsi="Arial"/>
                  <w:sz w:val="18"/>
                  <w:szCs w:val="18"/>
                  <w:color w:val="0000EE"/>
                </w:rPr>
                <w:t>Consolidated Statements of Comprehensive (Loss) Income for the years ended December 31, 2016, 2015 and 2014</w:t>
              </w:r>
            </w:hyperlink>
          </w:p>
        </w:tc>
        <w:tc>
          <w:tcPr>
            <w:tcW w:w="420" w:type="dxa"/>
            <w:vAlign w:val="bottom"/>
          </w:tcPr>
          <w:p>
            <w:pPr>
              <w:ind w:left="160"/>
              <w:spacing w:after="0"/>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93">
              <w:r>
                <w:rPr>
                  <w:rFonts w:ascii="Arial" w:cs="Arial" w:eastAsia="Arial" w:hAnsi="Arial"/>
                  <w:sz w:val="18"/>
                  <w:szCs w:val="18"/>
                  <w:color w:val="0000EE"/>
                </w:rPr>
                <w:t>Consolidated Statement of Changes in Equity for the years ended December 31, 2016 and 2014</w:t>
              </w:r>
            </w:hyperlink>
          </w:p>
        </w:tc>
        <w:tc>
          <w:tcPr>
            <w:tcW w:w="420" w:type="dxa"/>
            <w:vAlign w:val="bottom"/>
          </w:tcPr>
          <w:p>
            <w:pPr>
              <w:ind w:left="160"/>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94">
              <w:r>
                <w:rPr>
                  <w:rFonts w:ascii="Arial" w:cs="Arial" w:eastAsia="Arial" w:hAnsi="Arial"/>
                  <w:sz w:val="18"/>
                  <w:szCs w:val="18"/>
                  <w:color w:val="0000EE"/>
                </w:rPr>
                <w:t>Consolidated Statements of Cash Flows for the years ended December 31, 2016, 2015 and 2014</w:t>
              </w:r>
            </w:hyperlink>
          </w:p>
        </w:tc>
        <w:tc>
          <w:tcPr>
            <w:tcW w:w="420" w:type="dxa"/>
            <w:vAlign w:val="bottom"/>
          </w:tcPr>
          <w:p>
            <w:pPr>
              <w:ind w:left="160"/>
              <w:spacing w:after="0"/>
              <w:rPr>
                <w:rFonts w:ascii="Arial" w:cs="Arial" w:eastAsia="Arial" w:hAnsi="Arial"/>
                <w:sz w:val="18"/>
                <w:szCs w:val="18"/>
                <w:color w:val="0000EE"/>
              </w:rPr>
            </w:pPr>
            <w:hyperlink w:anchor="page94">
              <w:r>
                <w:rPr>
                  <w:rFonts w:ascii="Arial" w:cs="Arial" w:eastAsia="Arial" w:hAnsi="Arial"/>
                  <w:sz w:val="18"/>
                  <w:szCs w:val="18"/>
                  <w:color w:val="0000EE"/>
                </w:rPr>
                <w:t>94</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96">
              <w:r>
                <w:rPr>
                  <w:rFonts w:ascii="Arial" w:cs="Arial" w:eastAsia="Arial" w:hAnsi="Arial"/>
                  <w:sz w:val="18"/>
                  <w:szCs w:val="18"/>
                  <w:color w:val="0000EE"/>
                </w:rPr>
                <w:t>Notes to Consolidated Financial Statements</w:t>
              </w:r>
            </w:hyperlink>
          </w:p>
        </w:tc>
        <w:tc>
          <w:tcPr>
            <w:tcW w:w="420" w:type="dxa"/>
            <w:vAlign w:val="bottom"/>
          </w:tcPr>
          <w:p>
            <w:pPr>
              <w:ind w:left="160"/>
              <w:spacing w:after="0"/>
              <w:rPr>
                <w:rFonts w:ascii="Arial" w:cs="Arial" w:eastAsia="Arial" w:hAnsi="Arial"/>
                <w:sz w:val="18"/>
                <w:szCs w:val="18"/>
                <w:color w:val="0000EE"/>
              </w:rPr>
            </w:pPr>
            <w:hyperlink w:anchor="page96">
              <w:r>
                <w:rPr>
                  <w:rFonts w:ascii="Arial" w:cs="Arial" w:eastAsia="Arial" w:hAnsi="Arial"/>
                  <w:sz w:val="18"/>
                  <w:szCs w:val="18"/>
                  <w:color w:val="0000EE"/>
                </w:rPr>
                <w:t>96</w:t>
              </w:r>
            </w:hyperlink>
          </w:p>
        </w:tc>
      </w:tr>
      <w:tr>
        <w:trPr>
          <w:trHeight w:val="513"/>
        </w:trPr>
        <w:tc>
          <w:tcPr>
            <w:tcW w:w="106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Financial Statements of Intermodal Finance I Ltd:</w:t>
            </w:r>
          </w:p>
        </w:tc>
        <w:tc>
          <w:tcPr>
            <w:tcW w:w="420" w:type="dxa"/>
            <w:vAlign w:val="bottom"/>
          </w:tcPr>
          <w:p>
            <w:pPr>
              <w:spacing w:after="0"/>
              <w:rPr>
                <w:sz w:val="24"/>
                <w:szCs w:val="24"/>
                <w:color w:val="auto"/>
              </w:rPr>
            </w:pPr>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38">
              <w:r>
                <w:rPr>
                  <w:rFonts w:ascii="Arial" w:cs="Arial" w:eastAsia="Arial" w:hAnsi="Arial"/>
                  <w:sz w:val="18"/>
                  <w:szCs w:val="18"/>
                  <w:color w:val="0000EE"/>
                </w:rPr>
                <w:t>Report of Independent Auditors as of and for the year ended December 31, 2016</w:t>
              </w:r>
            </w:hyperlink>
          </w:p>
        </w:tc>
        <w:tc>
          <w:tcPr>
            <w:tcW w:w="420" w:type="dxa"/>
            <w:vAlign w:val="bottom"/>
          </w:tcPr>
          <w:p>
            <w:pPr>
              <w:ind w:left="160"/>
              <w:spacing w:after="0"/>
              <w:rPr>
                <w:rFonts w:ascii="Arial" w:cs="Arial" w:eastAsia="Arial" w:hAnsi="Arial"/>
                <w:sz w:val="18"/>
                <w:szCs w:val="18"/>
                <w:color w:val="0000EE"/>
                <w:w w:val="79"/>
              </w:rPr>
            </w:pPr>
            <w:hyperlink w:anchor="page138">
              <w:r>
                <w:rPr>
                  <w:rFonts w:ascii="Arial" w:cs="Arial" w:eastAsia="Arial" w:hAnsi="Arial"/>
                  <w:sz w:val="18"/>
                  <w:szCs w:val="18"/>
                  <w:color w:val="0000EE"/>
                  <w:w w:val="79"/>
                </w:rPr>
                <w:t>138</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39">
              <w:r>
                <w:rPr>
                  <w:rFonts w:ascii="Arial" w:cs="Arial" w:eastAsia="Arial" w:hAnsi="Arial"/>
                  <w:sz w:val="18"/>
                  <w:szCs w:val="18"/>
                  <w:color w:val="0000EE"/>
                </w:rPr>
                <w:t>Report of Independent Auditors as of December 31, 2015 and for the years ended December 31, 2015 and 2014</w:t>
              </w:r>
            </w:hyperlink>
          </w:p>
        </w:tc>
        <w:tc>
          <w:tcPr>
            <w:tcW w:w="420" w:type="dxa"/>
            <w:vAlign w:val="bottom"/>
          </w:tcPr>
          <w:p>
            <w:pPr>
              <w:ind w:left="160"/>
              <w:spacing w:after="0"/>
              <w:rPr>
                <w:rFonts w:ascii="Arial" w:cs="Arial" w:eastAsia="Arial" w:hAnsi="Arial"/>
                <w:sz w:val="18"/>
                <w:szCs w:val="18"/>
                <w:color w:val="0000EE"/>
                <w:w w:val="79"/>
              </w:rPr>
            </w:pPr>
            <w:hyperlink w:anchor="page139">
              <w:r>
                <w:rPr>
                  <w:rFonts w:ascii="Arial" w:cs="Arial" w:eastAsia="Arial" w:hAnsi="Arial"/>
                  <w:sz w:val="18"/>
                  <w:szCs w:val="18"/>
                  <w:color w:val="0000EE"/>
                  <w:w w:val="79"/>
                </w:rPr>
                <w:t>139</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40">
              <w:r>
                <w:rPr>
                  <w:rFonts w:ascii="Arial" w:cs="Arial" w:eastAsia="Arial" w:hAnsi="Arial"/>
                  <w:sz w:val="18"/>
                  <w:szCs w:val="18"/>
                  <w:color w:val="0000EE"/>
                </w:rPr>
                <w:t>Consolidated Balance Sheets as of December 31, 2016 and 2015</w:t>
              </w:r>
            </w:hyperlink>
          </w:p>
        </w:tc>
        <w:tc>
          <w:tcPr>
            <w:tcW w:w="420" w:type="dxa"/>
            <w:vAlign w:val="bottom"/>
          </w:tcPr>
          <w:p>
            <w:pPr>
              <w:ind w:left="160"/>
              <w:spacing w:after="0"/>
              <w:rPr>
                <w:rFonts w:ascii="Arial" w:cs="Arial" w:eastAsia="Arial" w:hAnsi="Arial"/>
                <w:sz w:val="18"/>
                <w:szCs w:val="18"/>
                <w:color w:val="0000EE"/>
                <w:w w:val="79"/>
              </w:rPr>
            </w:pPr>
            <w:hyperlink w:anchor="page140">
              <w:r>
                <w:rPr>
                  <w:rFonts w:ascii="Arial" w:cs="Arial" w:eastAsia="Arial" w:hAnsi="Arial"/>
                  <w:sz w:val="18"/>
                  <w:szCs w:val="18"/>
                  <w:color w:val="0000EE"/>
                  <w:w w:val="79"/>
                </w:rPr>
                <w:t>140</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41">
              <w:r>
                <w:rPr>
                  <w:rFonts w:ascii="Arial" w:cs="Arial" w:eastAsia="Arial" w:hAnsi="Arial"/>
                  <w:sz w:val="18"/>
                  <w:szCs w:val="18"/>
                  <w:color w:val="0000EE"/>
                </w:rPr>
                <w:t>Consolidated Statements of Operations for the years ended December 31, 2015, 2016 and 2015</w:t>
              </w:r>
            </w:hyperlink>
          </w:p>
        </w:tc>
        <w:tc>
          <w:tcPr>
            <w:tcW w:w="420" w:type="dxa"/>
            <w:vAlign w:val="bottom"/>
          </w:tcPr>
          <w:p>
            <w:pPr>
              <w:ind w:left="160"/>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141</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42">
              <w:r>
                <w:rPr>
                  <w:rFonts w:ascii="Arial" w:cs="Arial" w:eastAsia="Arial" w:hAnsi="Arial"/>
                  <w:sz w:val="18"/>
                  <w:szCs w:val="18"/>
                  <w:color w:val="0000EE"/>
                </w:rPr>
                <w:t>Consolidated Statements of Comprehensive (Loss) Income for the years ended December 31, 2016, 2015, and 2014</w:t>
              </w:r>
            </w:hyperlink>
          </w:p>
        </w:tc>
        <w:tc>
          <w:tcPr>
            <w:tcW w:w="420" w:type="dxa"/>
            <w:vAlign w:val="bottom"/>
          </w:tcPr>
          <w:p>
            <w:pPr>
              <w:ind w:left="160"/>
              <w:spacing w:after="0"/>
              <w:rPr>
                <w:rFonts w:ascii="Arial" w:cs="Arial" w:eastAsia="Arial" w:hAnsi="Arial"/>
                <w:sz w:val="18"/>
                <w:szCs w:val="18"/>
                <w:color w:val="0000EE"/>
                <w:w w:val="79"/>
              </w:rPr>
            </w:pPr>
            <w:hyperlink w:anchor="page142">
              <w:r>
                <w:rPr>
                  <w:rFonts w:ascii="Arial" w:cs="Arial" w:eastAsia="Arial" w:hAnsi="Arial"/>
                  <w:sz w:val="18"/>
                  <w:szCs w:val="18"/>
                  <w:color w:val="0000EE"/>
                  <w:w w:val="79"/>
                </w:rPr>
                <w:t>142</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43">
              <w:r>
                <w:rPr>
                  <w:rFonts w:ascii="Arial" w:cs="Arial" w:eastAsia="Arial" w:hAnsi="Arial"/>
                  <w:sz w:val="18"/>
                  <w:szCs w:val="18"/>
                  <w:color w:val="0000EE"/>
                </w:rPr>
                <w:t>Consolidated Statements of Cash Flows for the years ended December 31, 2016, 2015, and 2014</w:t>
              </w:r>
            </w:hyperlink>
          </w:p>
        </w:tc>
        <w:tc>
          <w:tcPr>
            <w:tcW w:w="420" w:type="dxa"/>
            <w:vAlign w:val="bottom"/>
          </w:tcPr>
          <w:p>
            <w:pPr>
              <w:ind w:left="160"/>
              <w:spacing w:after="0"/>
              <w:rPr>
                <w:rFonts w:ascii="Arial" w:cs="Arial" w:eastAsia="Arial" w:hAnsi="Arial"/>
                <w:sz w:val="18"/>
                <w:szCs w:val="18"/>
                <w:color w:val="0000EE"/>
                <w:w w:val="79"/>
              </w:rPr>
            </w:pPr>
            <w:hyperlink w:anchor="page143">
              <w:r>
                <w:rPr>
                  <w:rFonts w:ascii="Arial" w:cs="Arial" w:eastAsia="Arial" w:hAnsi="Arial"/>
                  <w:sz w:val="18"/>
                  <w:szCs w:val="18"/>
                  <w:color w:val="0000EE"/>
                  <w:w w:val="79"/>
                </w:rPr>
                <w:t>143</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Members’ Equity for the years ended December 31, 2016, 2015, and 2014</w:t>
              </w:r>
            </w:hyperlink>
          </w:p>
        </w:tc>
        <w:tc>
          <w:tcPr>
            <w:tcW w:w="420" w:type="dxa"/>
            <w:vAlign w:val="bottom"/>
          </w:tcPr>
          <w:p>
            <w:pPr>
              <w:ind w:left="160"/>
              <w:spacing w:after="0"/>
              <w:rPr>
                <w:rFonts w:ascii="Arial" w:cs="Arial" w:eastAsia="Arial" w:hAnsi="Arial"/>
                <w:sz w:val="18"/>
                <w:szCs w:val="18"/>
                <w:color w:val="0000EE"/>
                <w:w w:val="79"/>
              </w:rPr>
            </w:pPr>
            <w:hyperlink w:anchor="page145">
              <w:r>
                <w:rPr>
                  <w:rFonts w:ascii="Arial" w:cs="Arial" w:eastAsia="Arial" w:hAnsi="Arial"/>
                  <w:sz w:val="18"/>
                  <w:szCs w:val="18"/>
                  <w:color w:val="0000EE"/>
                  <w:w w:val="79"/>
                </w:rPr>
                <w:t>145</w:t>
              </w:r>
            </w:hyperlink>
          </w:p>
        </w:tc>
      </w:tr>
      <w:tr>
        <w:trPr>
          <w:trHeight w:val="270"/>
        </w:trPr>
        <w:tc>
          <w:tcPr>
            <w:tcW w:w="10620" w:type="dxa"/>
            <w:vAlign w:val="bottom"/>
            <w:gridSpan w:val="2"/>
          </w:tcPr>
          <w:p>
            <w:pPr>
              <w:ind w:left="500"/>
              <w:spacing w:after="0"/>
              <w:rPr>
                <w:rFonts w:ascii="Arial" w:cs="Arial" w:eastAsia="Arial" w:hAnsi="Arial"/>
                <w:sz w:val="18"/>
                <w:szCs w:val="18"/>
                <w:color w:val="0000EE"/>
              </w:rPr>
            </w:pPr>
            <w:hyperlink w:anchor="page146">
              <w:r>
                <w:rPr>
                  <w:rFonts w:ascii="Arial" w:cs="Arial" w:eastAsia="Arial" w:hAnsi="Arial"/>
                  <w:sz w:val="18"/>
                  <w:szCs w:val="18"/>
                  <w:color w:val="0000EE"/>
                </w:rPr>
                <w:t>Notes to Consolidated Financial Statements</w:t>
              </w:r>
            </w:hyperlink>
          </w:p>
        </w:tc>
        <w:tc>
          <w:tcPr>
            <w:tcW w:w="420" w:type="dxa"/>
            <w:vAlign w:val="bottom"/>
          </w:tcPr>
          <w:p>
            <w:pPr>
              <w:ind w:left="160"/>
              <w:spacing w:after="0"/>
              <w:rPr>
                <w:rFonts w:ascii="Arial" w:cs="Arial" w:eastAsia="Arial" w:hAnsi="Arial"/>
                <w:sz w:val="18"/>
                <w:szCs w:val="18"/>
                <w:color w:val="0000EE"/>
                <w:w w:val="79"/>
              </w:rPr>
            </w:pPr>
            <w:hyperlink w:anchor="page146">
              <w:r>
                <w:rPr>
                  <w:rFonts w:ascii="Arial" w:cs="Arial" w:eastAsia="Arial" w:hAnsi="Arial"/>
                  <w:sz w:val="18"/>
                  <w:szCs w:val="18"/>
                  <w:color w:val="0000EE"/>
                  <w:w w:val="79"/>
                </w:rPr>
                <w:t>146</w:t>
              </w:r>
            </w:hyperlink>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Regulation S-X 3-09, the audited consolidated financial statements of Intermodal Finance I Ltd. as of December 31, 2016 and December 31, 2015 and for the years ended December 31, 2016, 2015, and 2014, are presented herein.</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60"/>
          </w:cols>
          <w:pgMar w:left="240" w:top="364" w:right="39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Fortress Transportation and Infrastructure Investors LLC and Subsidiaries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 of Fortress Transportation and Infrastructure Investors LLC and Subsidiaries as of December 31, 2016, and the related consolidated statements of operations, comprehensive (loss) income, changes in equity and cash flows for the year then ended. These financial statements are the responsibility of the Company’s management. Our responsibility is to express an opinion on these financial statements based on our audit.</w:t>
      </w:r>
    </w:p>
    <w:p>
      <w:pPr>
        <w:spacing w:after="0" w:line="1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Fortress Transportation and Infrastructure Investors LLC and Subsidiaries at December 31, 2016, and the consolidated results of their operations and their cash flows for the year then ended, in conformity with U.S. generally accepted accounting principles.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to the consolidated financial statements, the Company revised its consolidated balance sheets to present debt issuance costs as a direct deduction from debt rather than within other assets, for all periods presented as a result of the adoption of the of the amendments to the FASB Accounting Standards Codification resulting from Accounting Standards Update No. 2015-03, “Imputation of Interest: Simplifying the Presentation of Debt Issuance Costs,” effective December 15, 2015.</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36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Fortress Transportation and Infrastructure Investors LLC:</w:t>
      </w:r>
    </w:p>
    <w:p>
      <w:pPr>
        <w:spacing w:after="0" w:line="200" w:lineRule="exact"/>
        <w:rPr>
          <w:sz w:val="20"/>
          <w:szCs w:val="20"/>
          <w:color w:val="auto"/>
        </w:rPr>
      </w:pP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our opinion, the consolidated balance sheet as of December 31, 2015 and the related consolidated statements of operations, comprehensive (loss) income, of changes in equity and of cash flows for each of the two years in the period ended December 31, 2015 present fairly, in all material respects, the financial position of Fortress Transportation and Infrastructure Investors LLC and its subsidiaries as of December 31, 2015, and the results of their operations and their cash flows for each of the two years in the period ended December 31, 2015,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March 8, 2016, except for the change in presentation of debt issuance costs as discussed in Note 9 to the consolidated financial statements, as to which the date is February 24,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8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b w:val="1"/>
                <w:bCs w:val="1"/>
                <w:color w:val="auto"/>
              </w:rPr>
              <w:t>Notes</w:t>
            </w: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0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68,055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381,703</w:t>
            </w: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65,441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21,610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21,358</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14,466</w:t>
            </w: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Leasing equipment, net</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765,455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636,681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Finance leases, net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Property, plant, and equipment, net</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352,181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299,678</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0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3"/>
              </w:rPr>
              <w:t>Investments (includes $17,630 and $0 available-for-sale securities at fair value as of December 31,</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2016 and 2015, respectively)</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39,978</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Intangible assets, net</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38,954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44,129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Goodwill</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116,584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116,584</w:t>
            </w: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69,589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36,758</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1,547,312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1,644,805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38,239</w:t>
            </w:r>
          </w:p>
        </w:tc>
        <w:tc>
          <w:tcPr>
            <w:tcW w:w="12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34,995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Debt, net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259,512</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Maintenance deposits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45,394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30,494</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Security deposits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19,947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15,990</w:t>
            </w:r>
          </w:p>
        </w:tc>
        <w:tc>
          <w:tcPr>
            <w:tcW w:w="0" w:type="dxa"/>
            <w:vAlign w:val="bottom"/>
          </w:tcPr>
          <w:p>
            <w:pPr>
              <w:spacing w:after="0"/>
              <w:rPr>
                <w:sz w:val="1"/>
                <w:szCs w:val="1"/>
                <w:color w:val="auto"/>
              </w:rPr>
            </w:pPr>
          </w:p>
        </w:tc>
      </w:tr>
      <w:tr>
        <w:trPr>
          <w:trHeight w:val="224"/>
        </w:trPr>
        <w:tc>
          <w:tcPr>
            <w:tcW w:w="708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18,540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6,419</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381,632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354,119</w:t>
            </w: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Commitments and contingencies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080" w:type="dxa"/>
            <w:vAlign w:val="bottom"/>
          </w:tcPr>
          <w:p>
            <w:pPr>
              <w:ind w:left="500"/>
              <w:spacing w:after="0"/>
              <w:rPr>
                <w:sz w:val="20"/>
                <w:szCs w:val="20"/>
                <w:color w:val="auto"/>
              </w:rPr>
            </w:pPr>
            <w:r>
              <w:rPr>
                <w:rFonts w:ascii="Arial" w:cs="Arial" w:eastAsia="Arial" w:hAnsi="Arial"/>
                <w:sz w:val="16"/>
                <w:szCs w:val="16"/>
                <w:color w:val="auto"/>
                <w:w w:val="97"/>
              </w:rPr>
              <w:t>Common shares ($0.01 par value per share; 2,000,000,000 shares authorized; 75,750,943 and</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500"/>
              <w:spacing w:after="0"/>
              <w:rPr>
                <w:sz w:val="20"/>
                <w:szCs w:val="20"/>
                <w:color w:val="auto"/>
              </w:rPr>
            </w:pPr>
            <w:r>
              <w:rPr>
                <w:rFonts w:ascii="Arial" w:cs="Arial" w:eastAsia="Arial" w:hAnsi="Arial"/>
                <w:sz w:val="16"/>
                <w:szCs w:val="16"/>
                <w:color w:val="auto"/>
                <w:w w:val="98"/>
              </w:rPr>
              <w:t>75,718,183 shares issued and outstanding as of December 31, 2016 and December 31, 2015,</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500"/>
              <w:spacing w:after="0"/>
              <w:rPr>
                <w:sz w:val="20"/>
                <w:szCs w:val="20"/>
                <w:color w:val="auto"/>
              </w:rPr>
            </w:pPr>
            <w:r>
              <w:rPr>
                <w:rFonts w:ascii="Arial" w:cs="Arial" w:eastAsia="Arial" w:hAnsi="Arial"/>
                <w:sz w:val="16"/>
                <w:szCs w:val="16"/>
                <w:color w:val="auto"/>
              </w:rPr>
              <w:t>respectively)</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Additional paid in capital</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1,084,757</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1,184,198</w:t>
            </w:r>
          </w:p>
        </w:tc>
        <w:tc>
          <w:tcPr>
            <w:tcW w:w="0" w:type="dxa"/>
            <w:vAlign w:val="bottom"/>
          </w:tcPr>
          <w:p>
            <w:pPr>
              <w:spacing w:after="0"/>
              <w:rPr>
                <w:sz w:val="1"/>
                <w:szCs w:val="1"/>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Accumulated deficit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(38,833)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(18,769)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other comprehensive income</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7"/>
        </w:trPr>
        <w:tc>
          <w:tcPr>
            <w:tcW w:w="7080" w:type="dxa"/>
            <w:vAlign w:val="bottom"/>
          </w:tcPr>
          <w:p>
            <w:pPr>
              <w:ind w:left="500"/>
              <w:spacing w:after="0"/>
              <w:rPr>
                <w:sz w:val="20"/>
                <w:szCs w:val="20"/>
                <w:color w:val="auto"/>
              </w:rPr>
            </w:pPr>
            <w:r>
              <w:rPr>
                <w:rFonts w:ascii="Arial" w:cs="Arial" w:eastAsia="Arial" w:hAnsi="Arial"/>
                <w:sz w:val="16"/>
                <w:szCs w:val="16"/>
                <w:color w:val="auto"/>
              </w:rPr>
              <w:t>Shareholders'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1,053,812</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1,166,283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Non-controlling interest in equity of consolidated subsidiaries</w:t>
            </w: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111,868</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124,403</w:t>
            </w:r>
          </w:p>
        </w:tc>
        <w:tc>
          <w:tcPr>
            <w:tcW w:w="0" w:type="dxa"/>
            <w:vAlign w:val="bottom"/>
          </w:tcPr>
          <w:p>
            <w:pPr>
              <w:spacing w:after="0"/>
              <w:rPr>
                <w:sz w:val="1"/>
                <w:szCs w:val="1"/>
                <w:color w:val="auto"/>
              </w:rPr>
            </w:pPr>
          </w:p>
        </w:tc>
      </w:tr>
      <w:tr>
        <w:trPr>
          <w:trHeight w:val="217"/>
        </w:trPr>
        <w:tc>
          <w:tcPr>
            <w:tcW w:w="708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1,165,680</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1,290,686</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equity</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1,547,312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1,644,805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364" w:right="2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40" w:type="dxa"/>
            <w:vAlign w:val="bottom"/>
            <w:gridSpan w:val="5"/>
          </w:tcPr>
          <w:p>
            <w:pPr>
              <w:ind w:left="40"/>
              <w:spacing w:after="0"/>
              <w:rPr>
                <w:sz w:val="20"/>
                <w:szCs w:val="20"/>
                <w:color w:val="auto"/>
              </w:rPr>
            </w:pPr>
            <w:r>
              <w:rPr>
                <w:rFonts w:ascii="Arial" w:cs="Arial" w:eastAsia="Arial" w:hAnsi="Arial"/>
                <w:sz w:val="16"/>
                <w:szCs w:val="16"/>
                <w:b w:val="1"/>
                <w:bCs w:val="1"/>
                <w:color w:val="auto"/>
                <w:w w:val="90"/>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800" w:type="dxa"/>
            <w:vAlign w:val="bottom"/>
            <w:gridSpan w:val="2"/>
          </w:tcPr>
          <w:p>
            <w:pPr>
              <w:ind w:left="140"/>
              <w:spacing w:after="0"/>
              <w:rPr>
                <w:sz w:val="20"/>
                <w:szCs w:val="20"/>
                <w:color w:val="auto"/>
              </w:rPr>
            </w:pPr>
            <w:r>
              <w:rPr>
                <w:rFonts w:ascii="Arial" w:cs="Arial" w:eastAsia="Arial" w:hAnsi="Arial"/>
                <w:sz w:val="16"/>
                <w:szCs w:val="16"/>
                <w:b w:val="1"/>
                <w:bCs w:val="1"/>
                <w:color w:val="auto"/>
              </w:rPr>
              <w:t>Notes</w:t>
            </w:r>
          </w:p>
        </w:tc>
        <w:tc>
          <w:tcPr>
            <w:tcW w:w="380" w:type="dxa"/>
            <w:vAlign w:val="bottom"/>
          </w:tcPr>
          <w:p>
            <w:pPr>
              <w:spacing w:after="0"/>
              <w:rPr>
                <w:sz w:val="20"/>
                <w:szCs w:val="20"/>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56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Equipment leasing revenues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101,949</w:t>
            </w:r>
          </w:p>
        </w:tc>
        <w:tc>
          <w:tcPr>
            <w:tcW w:w="5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92,743</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43,984</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Infrastructure revenues</w:t>
            </w: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46,771</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43,825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13,946</w:t>
            </w:r>
          </w:p>
        </w:tc>
      </w:tr>
      <w:tr>
        <w:trPr>
          <w:trHeight w:val="217"/>
        </w:trPr>
        <w:tc>
          <w:tcPr>
            <w:tcW w:w="562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148,720</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136,568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57,930</w:t>
            </w:r>
          </w:p>
        </w:tc>
      </w:tr>
      <w:tr>
        <w:trPr>
          <w:trHeight w:val="33"/>
        </w:trPr>
        <w:tc>
          <w:tcPr>
            <w:tcW w:w="56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66,169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27,223</w:t>
            </w: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2,007</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Acquisition and transaction expenses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11,450</w:t>
            </w: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Management fees and incentive allocation to affiliate</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16,742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5,463</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4, 6, 8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60,210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15,998</w:t>
            </w: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18,957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19,311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5,872</w:t>
            </w:r>
          </w:p>
        </w:tc>
      </w:tr>
      <w:tr>
        <w:trPr>
          <w:trHeight w:val="33"/>
        </w:trPr>
        <w:tc>
          <w:tcPr>
            <w:tcW w:w="56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180,708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68,013</w:t>
            </w:r>
          </w:p>
        </w:tc>
      </w:tr>
      <w:tr>
        <w:trPr>
          <w:trHeight w:val="264"/>
        </w:trPr>
        <w:tc>
          <w:tcPr>
            <w:tcW w:w="5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(expense) income</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Equity in (losses) earnings of unconsolidated entities</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(5,992)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6,093</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sale of equipment and finance leases, net</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5,941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Loss on extinguishment of debt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Asset impairment</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Interest income</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income</w:t>
            </w: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17"/>
        </w:trPr>
        <w:tc>
          <w:tcPr>
            <w:tcW w:w="5620" w:type="dxa"/>
            <w:vAlign w:val="bottom"/>
          </w:tcPr>
          <w:p>
            <w:pPr>
              <w:ind w:left="500"/>
              <w:spacing w:after="0"/>
              <w:rPr>
                <w:sz w:val="20"/>
                <w:szCs w:val="20"/>
                <w:color w:val="auto"/>
              </w:rPr>
            </w:pPr>
            <w:r>
              <w:rPr>
                <w:rFonts w:ascii="Arial" w:cs="Arial" w:eastAsia="Arial" w:hAnsi="Arial"/>
                <w:sz w:val="16"/>
                <w:szCs w:val="16"/>
                <w:color w:val="auto"/>
              </w:rPr>
              <w:t>Total other (expense)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(8,342)</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13,875</w:t>
            </w:r>
          </w:p>
        </w:tc>
      </w:tr>
      <w:tr>
        <w:trPr>
          <w:trHeight w:val="33"/>
        </w:trPr>
        <w:tc>
          <w:tcPr>
            <w:tcW w:w="56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b w:val="1"/>
                <w:bCs w:val="1"/>
                <w:color w:val="auto"/>
              </w:rPr>
              <w:t>(Loss) income before income taxes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(40,330)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(28,045)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3,792</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income taxes</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w:t>
            </w:r>
          </w:p>
        </w:tc>
      </w:tr>
      <w:tr>
        <w:trPr>
          <w:trHeight w:val="217"/>
        </w:trPr>
        <w:tc>
          <w:tcPr>
            <w:tcW w:w="5620" w:type="dxa"/>
            <w:vAlign w:val="bottom"/>
          </w:tcPr>
          <w:p>
            <w:pPr>
              <w:ind w:left="500"/>
              <w:spacing w:after="0"/>
              <w:rPr>
                <w:sz w:val="20"/>
                <w:szCs w:val="20"/>
                <w:color w:val="auto"/>
              </w:rPr>
            </w:pPr>
            <w:r>
              <w:rPr>
                <w:rFonts w:ascii="Arial" w:cs="Arial" w:eastAsia="Arial" w:hAnsi="Arial"/>
                <w:sz w:val="16"/>
                <w:szCs w:val="16"/>
                <w:b w:val="1"/>
                <w:bCs w:val="1"/>
                <w:color w:val="auto"/>
              </w:rPr>
              <w:t>Net (loss)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(40,598)</w:t>
            </w: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(28,631)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2,918</w:t>
            </w:r>
          </w:p>
        </w:tc>
      </w:tr>
      <w:tr>
        <w:trPr>
          <w:trHeight w:val="33"/>
        </w:trPr>
        <w:tc>
          <w:tcPr>
            <w:tcW w:w="56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0"/>
        </w:trPr>
        <w:tc>
          <w:tcPr>
            <w:tcW w:w="56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Less: Net loss attributable to non-controlling interests in consolidated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9"/>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subsidiaries</w:t>
            </w: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(20,534)</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(4,862)</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6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(20,064)</w:t>
            </w: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(11,826)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7,780</w:t>
            </w:r>
          </w:p>
        </w:tc>
      </w:tr>
      <w:tr>
        <w:trPr>
          <w:trHeight w:val="257"/>
        </w:trPr>
        <w:tc>
          <w:tcPr>
            <w:tcW w:w="56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Basic and Diluted (Loss) Income per Share</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16</w:t>
            </w:r>
          </w:p>
        </w:tc>
        <w:tc>
          <w:tcPr>
            <w:tcW w:w="12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(0.26)</w:t>
            </w:r>
          </w:p>
        </w:tc>
        <w:tc>
          <w:tcPr>
            <w:tcW w:w="52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0.15</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Shares Outstanding:</w:t>
            </w: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500"/>
              <w:spacing w:after="0"/>
              <w:rPr>
                <w:sz w:val="20"/>
                <w:szCs w:val="20"/>
                <w:color w:val="auto"/>
              </w:rPr>
            </w:pPr>
            <w:r>
              <w:rPr>
                <w:rFonts w:ascii="Arial" w:cs="Arial" w:eastAsia="Arial" w:hAnsi="Arial"/>
                <w:sz w:val="16"/>
                <w:szCs w:val="16"/>
                <w:color w:val="auto"/>
              </w:rPr>
              <w:t>Basic</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75,738,698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67,039,439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53,502,873</w:t>
            </w:r>
          </w:p>
        </w:tc>
      </w:tr>
      <w:tr>
        <w:trPr>
          <w:trHeight w:val="33"/>
        </w:trPr>
        <w:tc>
          <w:tcPr>
            <w:tcW w:w="5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56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75,738,698</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67,039,439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53,502,873</w:t>
            </w:r>
          </w:p>
        </w:tc>
      </w:tr>
      <w:tr>
        <w:trPr>
          <w:trHeight w:val="33"/>
        </w:trPr>
        <w:tc>
          <w:tcPr>
            <w:tcW w:w="56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580"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ind w:right="534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(LOSS) INCOME </w:t>
      </w:r>
      <w:r>
        <w:rPr>
          <w:rFonts w:ascii="Arial" w:cs="Arial" w:eastAsia="Arial" w:hAnsi="Arial"/>
          <w:sz w:val="18"/>
          <w:szCs w:val="18"/>
          <w:color w:val="auto"/>
        </w:rPr>
        <w:t>(Dollar amounts in thousands, unless otherwise noted)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(40,598)</w:t>
            </w:r>
          </w:p>
        </w:tc>
        <w:tc>
          <w:tcPr>
            <w:tcW w:w="5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Change in fair value of cash flow hedge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37"/>
        </w:trPr>
        <w:tc>
          <w:tcPr>
            <w:tcW w:w="6400" w:type="dxa"/>
            <w:vAlign w:val="bottom"/>
          </w:tcPr>
          <w:p>
            <w:pPr>
              <w:ind w:left="500"/>
              <w:spacing w:after="0"/>
              <w:rPr>
                <w:sz w:val="20"/>
                <w:szCs w:val="20"/>
                <w:color w:val="auto"/>
              </w:rPr>
            </w:pPr>
            <w:r>
              <w:rPr>
                <w:rFonts w:ascii="Arial" w:cs="Arial" w:eastAsia="Arial" w:hAnsi="Arial"/>
                <w:sz w:val="16"/>
                <w:szCs w:val="16"/>
                <w:color w:val="auto"/>
              </w:rPr>
              <w:t>Change in fair value of available-for-sale securities</w:t>
            </w:r>
          </w:p>
        </w:tc>
        <w:tc>
          <w:tcPr>
            <w:tcW w:w="10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7,130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(33,565)</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2,804</w:t>
            </w:r>
          </w:p>
        </w:tc>
      </w:tr>
      <w:tr>
        <w:trPr>
          <w:trHeight w:val="237"/>
        </w:trPr>
        <w:tc>
          <w:tcPr>
            <w:tcW w:w="6400" w:type="dxa"/>
            <w:vAlign w:val="bottom"/>
          </w:tcPr>
          <w:p>
            <w:pPr>
              <w:ind w:left="500"/>
              <w:spacing w:after="0"/>
              <w:rPr>
                <w:sz w:val="20"/>
                <w:szCs w:val="20"/>
                <w:color w:val="auto"/>
              </w:rPr>
            </w:pPr>
            <w:r>
              <w:rPr>
                <w:rFonts w:ascii="Arial" w:cs="Arial" w:eastAsia="Arial" w:hAnsi="Arial"/>
                <w:sz w:val="16"/>
                <w:szCs w:val="16"/>
                <w:color w:val="auto"/>
              </w:rPr>
              <w:t>Comprehensive loss attributable to non-controlling interest</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0"/>
              </w:rPr>
              <w:t>(20,534)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(16,805)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(4,862)</w:t>
            </w: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Comprehensive (loss) income attributable to shareholders</w:t>
            </w:r>
          </w:p>
        </w:tc>
        <w:tc>
          <w:tcPr>
            <w:tcW w:w="1000" w:type="dxa"/>
            <w:vAlign w:val="bottom"/>
          </w:tcPr>
          <w:p>
            <w:pPr>
              <w:jc w:val="right"/>
              <w:ind w:right="799"/>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0"/>
              </w:rPr>
              <w:t>(13,031)</w:t>
            </w:r>
          </w:p>
        </w:tc>
        <w:tc>
          <w:tcPr>
            <w:tcW w:w="5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(11,943)</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7,666</w:t>
            </w:r>
          </w:p>
        </w:tc>
      </w:tr>
      <w:tr>
        <w:trPr>
          <w:trHeight w:val="20"/>
        </w:trPr>
        <w:tc>
          <w:tcPr>
            <w:tcW w:w="64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0"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Non-Controlling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Accumulated Other</w:t>
            </w:r>
          </w:p>
        </w:tc>
        <w:tc>
          <w:tcPr>
            <w:tcW w:w="1560" w:type="dxa"/>
            <w:vAlign w:val="bottom"/>
            <w:gridSpan w:val="3"/>
          </w:tcPr>
          <w:p>
            <w:pPr>
              <w:ind w:left="20"/>
              <w:spacing w:after="0"/>
              <w:rPr>
                <w:sz w:val="20"/>
                <w:szCs w:val="20"/>
                <w:color w:val="auto"/>
              </w:rPr>
            </w:pPr>
            <w:r>
              <w:rPr>
                <w:rFonts w:ascii="Arial" w:cs="Arial" w:eastAsia="Arial" w:hAnsi="Arial"/>
                <w:sz w:val="16"/>
                <w:szCs w:val="16"/>
                <w:b w:val="1"/>
                <w:bCs w:val="1"/>
                <w:color w:val="auto"/>
              </w:rPr>
              <w:t>Interest in Equity of</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4"/>
              </w:rPr>
              <w:t>Additional Paid In</w:t>
            </w: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Consolidated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Common Stock</w:t>
            </w:r>
          </w:p>
        </w:tc>
        <w:tc>
          <w:tcPr>
            <w:tcW w:w="28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Total Equity</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Equity - 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613,683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99,065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713,497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(loss)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for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(28,631)</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(28,748)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Capital contributions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295,879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37,826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333,705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distributions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(45,238)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348,929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349,151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(36,343)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4,662</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 December 31, 2015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1,184,198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(18,769)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124,403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1,290,686</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for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(40,598)</w:t>
            </w:r>
          </w:p>
        </w:tc>
        <w:tc>
          <w:tcPr>
            <w:tcW w:w="0" w:type="dxa"/>
            <w:vAlign w:val="bottom"/>
          </w:tcPr>
          <w:p>
            <w:pPr>
              <w:spacing w:after="0"/>
              <w:rPr>
                <w:sz w:val="1"/>
                <w:szCs w:val="1"/>
                <w:color w:val="auto"/>
              </w:rPr>
            </w:pPr>
          </w:p>
        </w:tc>
      </w:tr>
      <w:tr>
        <w:trPr>
          <w:trHeight w:val="237"/>
        </w:trPr>
        <w:tc>
          <w:tcPr>
            <w:tcW w:w="264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7,033</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comprehensive (loss)</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(33,565)</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Capital contributions</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12,121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Settlement of equity-based</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Dividends declared</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(99,977)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(100,027)</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(3,672)</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 December 31, 2016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1,084,757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111,868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1,165,680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0"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27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color w:val="auto"/>
              </w:rPr>
              <w:t>Net (loss) income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(40,598)</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(28,631)</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2,918</w:t>
            </w:r>
          </w:p>
        </w:tc>
      </w:tr>
      <w:tr>
        <w:trPr>
          <w:trHeight w:val="276"/>
        </w:trPr>
        <w:tc>
          <w:tcPr>
            <w:tcW w:w="7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Equity in losses (earnings) of unconsolidated entities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5,992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6,956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(6,093)</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sale of equipment and finance leases, net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(7,576)</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Security deposits and maintenance claims included in earnings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extinguishment of debt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Equity-based compensation</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(3,672)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1,265</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60,210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15,998</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Asset impairment</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7,450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2,694</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2,576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Operating distributions from unconsolidated entities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8,207</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Bad debt expense</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281</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Change in:</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32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w:t>
            </w:r>
          </w:p>
        </w:tc>
      </w:tr>
      <w:tr>
        <w:trPr>
          <w:trHeight w:val="264"/>
        </w:trPr>
        <w:tc>
          <w:tcPr>
            <w:tcW w:w="7320" w:type="dxa"/>
            <w:vAlign w:val="bottom"/>
          </w:tcPr>
          <w:p>
            <w:pPr>
              <w:ind w:left="1280"/>
              <w:spacing w:after="0"/>
              <w:rPr>
                <w:sz w:val="20"/>
                <w:szCs w:val="20"/>
                <w:color w:val="auto"/>
              </w:rPr>
            </w:pPr>
            <w:r>
              <w:rPr>
                <w:rFonts w:ascii="Arial" w:cs="Arial" w:eastAsia="Arial" w:hAnsi="Arial"/>
                <w:sz w:val="14"/>
                <w:szCs w:val="14"/>
                <w:color w:val="auto"/>
              </w:rPr>
              <w:t>Other assets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(8,584)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(2,654)</w:t>
            </w:r>
          </w:p>
        </w:tc>
      </w:tr>
      <w:tr>
        <w:trPr>
          <w:trHeight w:val="276"/>
        </w:trPr>
        <w:tc>
          <w:tcPr>
            <w:tcW w:w="732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7,726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(45,900)</w:t>
            </w:r>
          </w:p>
        </w:tc>
      </w:tr>
      <w:tr>
        <w:trPr>
          <w:trHeight w:val="264"/>
        </w:trPr>
        <w:tc>
          <w:tcPr>
            <w:tcW w:w="7320" w:type="dxa"/>
            <w:vAlign w:val="bottom"/>
          </w:tcPr>
          <w:p>
            <w:pPr>
              <w:ind w:left="1280"/>
              <w:spacing w:after="0"/>
              <w:rPr>
                <w:sz w:val="20"/>
                <w:szCs w:val="20"/>
                <w:color w:val="auto"/>
              </w:rPr>
            </w:pPr>
            <w:r>
              <w:rPr>
                <w:rFonts w:ascii="Arial" w:cs="Arial" w:eastAsia="Arial" w:hAnsi="Arial"/>
                <w:sz w:val="14"/>
                <w:szCs w:val="14"/>
                <w:color w:val="auto"/>
              </w:rPr>
              <w:t>Management fees payable to affiliate</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2,362</w:t>
            </w:r>
          </w:p>
        </w:tc>
      </w:tr>
      <w:tr>
        <w:trPr>
          <w:trHeight w:val="270"/>
        </w:trPr>
        <w:tc>
          <w:tcPr>
            <w:tcW w:w="732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6,651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2,964</w:t>
            </w:r>
          </w:p>
        </w:tc>
      </w:tr>
      <w:tr>
        <w:trPr>
          <w:trHeight w:val="250"/>
        </w:trPr>
        <w:tc>
          <w:tcPr>
            <w:tcW w:w="732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30,903</w:t>
            </w: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23,528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(31,551)</w:t>
            </w:r>
          </w:p>
        </w:tc>
      </w:tr>
      <w:tr>
        <w:trPr>
          <w:trHeight w:val="121"/>
        </w:trPr>
        <w:tc>
          <w:tcPr>
            <w:tcW w:w="7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restricted cash</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(7,306)</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Construction deposit related to vessel</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(7,450)</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notes receivable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(28,784)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2,513</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11,931</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(200,640)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(165,090)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(387,118)</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(57,371)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(96,028)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(49,441)</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lease intangibles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(4,527)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(20,435)</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Collection of notes receivable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CMQR</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(11,308)</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Jefferson Terminal</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(47,811)</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pre-existing debt relationships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(97,616)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Purchase deposit for aircraft and aircraft engines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sale of finance leases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71,000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22,885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31,597</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842</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equipment held for sale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deposit on sale of engine</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deposit on sale of engine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Escrow funding for the purchase of aircraft</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70"/>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capital distributions from unconsolidated entities</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432</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3,728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9,064</w:t>
            </w:r>
          </w:p>
        </w:tc>
      </w:tr>
      <w:tr>
        <w:trPr>
          <w:trHeight w:val="24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(213,098)</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(239,921)</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(571,416)</w:t>
            </w:r>
          </w:p>
        </w:tc>
      </w:tr>
    </w:tbl>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-130175</wp:posOffset>
            </wp:positionV>
            <wp:extent cx="26073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ectPr>
          <w:pgSz w:w="11900" w:h="16838" w:orient="portrait"/>
          <w:cols w:equalWidth="0" w:num="1">
            <w:col w:w="11420"/>
          </w:cols>
          <w:pgMar w:left="240" w:top="580" w:right="239" w:bottom="744"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580" w:right="239" w:bottom="744"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r>
      <w:tr>
        <w:trPr>
          <w:trHeight w:val="27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110,658</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179,569</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(160,166)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(31,131)</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Payment of other liabilities to non-controlling interest holder</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Payment of deferred financing costs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(4,793)</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Receipt of security deposits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3,815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2,389</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security deposits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Receipt of maintenance deposits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14,804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10,149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3,324</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Release of maintenance deposits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Proceeds from issuance of common shares, net of underwriter's discount</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354,057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Common shares issuance costs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Capital contributions from shareholders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295,879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490,747</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Capital distributions to shareholders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(75,999)</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Capital contributions from non-controlling interests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11,480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37,826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57,841</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Capital distributions to non-controlling interests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Settlement of equity-based compensation</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dividends</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(100,027)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(36,343)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(131,453)</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575,971</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617,856</w:t>
            </w:r>
          </w:p>
        </w:tc>
      </w:tr>
      <w:tr>
        <w:trPr>
          <w:trHeight w:val="283"/>
        </w:trPr>
        <w:tc>
          <w:tcPr>
            <w:tcW w:w="73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(313,648)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359,578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14,889</w:t>
            </w:r>
          </w:p>
        </w:tc>
      </w:tr>
      <w:tr>
        <w:trPr>
          <w:trHeight w:val="270"/>
        </w:trPr>
        <w:tc>
          <w:tcPr>
            <w:tcW w:w="7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381,703</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22,125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7,236</w:t>
            </w:r>
          </w:p>
        </w:tc>
      </w:tr>
      <w:tr>
        <w:trPr>
          <w:trHeight w:val="283"/>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Cash and cash equivalents, end of period</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68,055</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b w:val="1"/>
                <w:bCs w:val="1"/>
                <w:color w:val="auto"/>
              </w:rPr>
              <w:t>381,703</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22,125</w:t>
            </w:r>
          </w:p>
        </w:tc>
      </w:tr>
      <w:tr>
        <w:trPr>
          <w:trHeight w:val="264"/>
        </w:trPr>
        <w:tc>
          <w:tcPr>
            <w:tcW w:w="73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3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Cash paid for interest, net of capitalized interest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13,150</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3,627</w:t>
            </w:r>
          </w:p>
        </w:tc>
      </w:tr>
      <w:tr>
        <w:trPr>
          <w:trHeight w:val="264"/>
        </w:trPr>
        <w:tc>
          <w:tcPr>
            <w:tcW w:w="7320" w:type="dxa"/>
            <w:vAlign w:val="bottom"/>
          </w:tcPr>
          <w:p>
            <w:pPr>
              <w:ind w:left="640"/>
              <w:spacing w:after="0"/>
              <w:rPr>
                <w:sz w:val="20"/>
                <w:szCs w:val="20"/>
                <w:color w:val="auto"/>
              </w:rPr>
            </w:pPr>
            <w:r>
              <w:rPr>
                <w:rFonts w:ascii="Arial" w:cs="Arial" w:eastAsia="Arial" w:hAnsi="Arial"/>
                <w:sz w:val="14"/>
                <w:szCs w:val="14"/>
                <w:color w:val="auto"/>
              </w:rPr>
              <w:t>Cash paid for taxes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654</w:t>
            </w:r>
          </w:p>
        </w:tc>
        <w:tc>
          <w:tcPr>
            <w:tcW w:w="4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274</w:t>
            </w:r>
          </w:p>
        </w:tc>
      </w:tr>
      <w:tr>
        <w:trPr>
          <w:trHeight w:val="290"/>
        </w:trPr>
        <w:tc>
          <w:tcPr>
            <w:tcW w:w="73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7320" w:type="dxa"/>
            <w:vAlign w:val="bottom"/>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Restricted cash proceeds from borrowings of debt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44,342</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(7,724)</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(52,556)</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CMQR</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(2,991)</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Acquisition of Jefferson</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(38,207)</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(12,184)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(22,454)</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Financing of property, plant and equipment</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5,321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Settled and assumed security deposits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758</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8,317</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6,350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34,461</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Deferred financing costs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Non-cash contribution of non-controlling interest</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641</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38,207</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Common share issuance costs</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Equity compensation to non-controlling interest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(3,872)</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1,265</w:t>
            </w:r>
          </w:p>
        </w:tc>
      </w:tr>
      <w:tr>
        <w:trPr>
          <w:trHeight w:val="276"/>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fair value of cash flow hedge</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64"/>
        </w:trPr>
        <w:tc>
          <w:tcPr>
            <w:tcW w:w="7320" w:type="dxa"/>
            <w:vAlign w:val="bottom"/>
          </w:tcPr>
          <w:p>
            <w:pPr>
              <w:ind w:left="600"/>
              <w:spacing w:after="0"/>
              <w:rPr>
                <w:sz w:val="20"/>
                <w:szCs w:val="20"/>
                <w:color w:val="auto"/>
              </w:rPr>
            </w:pPr>
            <w:r>
              <w:rPr>
                <w:rFonts w:ascii="Arial" w:cs="Arial" w:eastAsia="Arial" w:hAnsi="Arial"/>
                <w:sz w:val="14"/>
                <w:szCs w:val="14"/>
                <w:color w:val="auto"/>
              </w:rPr>
              <w:t>Distribution payable</w:t>
            </w:r>
          </w:p>
        </w:tc>
        <w:tc>
          <w:tcPr>
            <w:tcW w:w="3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263"/>
        </w:trPr>
        <w:tc>
          <w:tcPr>
            <w:tcW w:w="73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Loan receivable from non-controlling interest</w:t>
            </w: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3,725</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580"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15).</w:t>
      </w:r>
    </w:p>
    <w:p>
      <w:pPr>
        <w:spacing w:after="0" w:line="7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managed by FIG LLC (the “Manager”), an affiliate of Fortress Investment Group LLC (“Fortress”), pursuant to a management agreement (the “Management Agreement”) that provides for the Company to bear obligations for management fees payable to the Manager as well as reimbursement of costs and expenses as provided therein (Note 14).</w:t>
      </w:r>
    </w:p>
    <w:p>
      <w:pPr>
        <w:spacing w:after="0" w:line="7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December 31, 2014, through their investment in the Company, the beneficial owners of the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holds a 0.05% interest. The Master GP is owned by an affiliate of Fortress. The Onshore Fund and the Offshore Fund (collectively, the “Initial Shareholders”) are investment vehicles which are sponsored by Fortress. The general partner of the Onshore Fund and the Offshore Fund is an affiliate of Fortress.</w:t>
      </w:r>
    </w:p>
    <w:p>
      <w:pPr>
        <w:spacing w:after="0" w:line="85"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May 2015, the remaining capital commitments of the investors of the Onshore Fund, Offshore Fund and Master GP were called. Through a series of transactions,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53,502,873 common shares were issued to the Onshore Fund and Offshore Fund based on their relative interests in the Company.</w:t>
      </w:r>
    </w:p>
    <w:p>
      <w:pPr>
        <w:spacing w:after="0" w:line="4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20, 2015, the Company completed an Initial Public Offering (“IPO”) of 20 million common shares at a price to the public of $17.00 per share. On June 15, 2015, the underwriters exercised their overallotment option, pursuant to which the Company issued an additional 2.2 million shares to such underwriters at the IPO price.</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Accounting</w:t>
      </w:r>
      <w:r>
        <w:rPr>
          <w:rFonts w:ascii="Arial" w:cs="Arial" w:eastAsia="Arial" w:hAnsi="Arial"/>
          <w:sz w:val="18"/>
          <w:szCs w:val="18"/>
          <w:color w:val="auto"/>
        </w:rPr>
        <w:t>—The accompanying consolidated financial statements are prepared in accordance with U.S. generally accepted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principles (“GAAP”) and include the accounts of the Company and its subsidiaries.</w:t>
      </w:r>
    </w:p>
    <w:p>
      <w:pPr>
        <w:spacing w:after="0" w:line="62"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Company consolidates all entities in which it has a controlling financial interest and in which it has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7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—The assessment of whether an entity is a variable interest entity (“VIE”) and the determination of whether to consolidate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VIE requires judgment. 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WWTAI IES MT6015 Ltd</w:t>
      </w:r>
    </w:p>
    <w:p>
      <w:pPr>
        <w:spacing w:after="0" w:line="11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Company has an interest in WWTAI IES MT6015 Ltd. (“MT6015”), an entity formed in 2014 which had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11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December 31, 2015, MT6015 had total assets of $7,533, which are available only to settle the obligations of MT6015. Other than entering into the above commitment, MT6015 has conducted no operations, and no creditors of MT6015 have recourse to any assets of the Company or to its general credit.</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second quarter of 2016, the Company determined not to proceed with the purchase of the Vessel. The shipbuilder delivered a notice of termination of the shipbuilding contract to MT6015 in July 2016. Correspondingly, in the second quarter of 2016, the Company recorded an impairment in its MT6015 investment of $7,450. The shipbuilder has no further recourse to the Company.</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JGP Energy Partners LLC</w:t>
      </w:r>
    </w:p>
    <w:p>
      <w:pPr>
        <w:spacing w:after="0" w:line="11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During the quarter ended September 30, 2016, the Company initiated activities in its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 million (for a total of $54 million) for the development and construction of the ethanol terminal facilities. JGP is governed by a designated operating committee selected by the members in proportion to their equity interests. JGP is solely reliant on its members to finance its activities and therefore is a VIE. The Company concluded that it is not the primary beneficiary of JGP as the members share equally in the risks and rewards and decision making authority of the entity; therefore, the Company does not consolidate JGP and accounts for this investment in accordance with the equity method.</w:t>
      </w:r>
    </w:p>
    <w:p>
      <w:pPr>
        <w:spacing w:after="0" w:line="59" w:lineRule="exact"/>
        <w:rPr>
          <w:sz w:val="20"/>
          <w:szCs w:val="20"/>
          <w:color w:val="auto"/>
        </w:rPr>
      </w:pPr>
    </w:p>
    <w:p>
      <w:pPr>
        <w:ind w:left="660" w:right="640"/>
        <w:spacing w:after="0" w:line="375" w:lineRule="auto"/>
        <w:rPr>
          <w:sz w:val="20"/>
          <w:szCs w:val="20"/>
          <w:color w:val="auto"/>
        </w:rPr>
      </w:pPr>
      <w:r>
        <w:rPr>
          <w:rFonts w:ascii="Arial" w:cs="Arial" w:eastAsia="Arial" w:hAnsi="Arial"/>
          <w:sz w:val="18"/>
          <w:szCs w:val="18"/>
          <w:color w:val="auto"/>
        </w:rPr>
        <w:t xml:space="preserve">As of December 31, 2016, the Company’s investment in JGP was $3,266, which is included in investments on the Company’s balance sheet. </w:t>
      </w:r>
      <w:r>
        <w:rPr>
          <w:rFonts w:ascii="Arial" w:cs="Arial" w:eastAsia="Arial" w:hAnsi="Arial"/>
          <w:sz w:val="18"/>
          <w:szCs w:val="18"/>
          <w:i w:val="1"/>
          <w:iCs w:val="1"/>
          <w:color w:val="auto"/>
        </w:rPr>
        <w:t>Delaware River Partners LLC</w:t>
      </w:r>
    </w:p>
    <w:p>
      <w:pPr>
        <w:spacing w:after="0" w:line="1"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On July 1, 2016, the Company, through Delaware River Partners LLC (“DRP”), a consolidated subsidiary, purchased the assets of Repauno Delaware Port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The Company currently holds a 90% economic interest and a 100% voting interests in DRP. DRP is solely reliant on the Company to finance its activities and therefore is a VIE. The Company concluded it was the primary beneficiary; and accordingly, DRP has been presented on a consolidated basis in the accompanying financial statements. The Company has the right to purchase an additional 8% economic interest from the non-controlling party after the second anniversary but prior to the fifth year anniversary of the acquisition of Repauno. At the time of the purchase, Company concluded that current 8% of the 10% interest held by the non-controlling party does not share in the risks or rewards of true equity; and, therefore $5,321 was recorded in other liabilities on the Company’s Consolidated Balance Sheets. The remaining 2% economic non-controlling interest was valued at $641 at the acquisition date.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 to Note 6 for details.</w:t>
      </w:r>
    </w:p>
    <w:p>
      <w:pPr>
        <w:spacing w:after="0" w:line="117"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encounters several significant types of economic risk including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6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—The Company considers all highly liquid short-term investments with a maturity of 90 days or less when purchased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cash equivalents.</w:t>
      </w:r>
    </w:p>
    <w:p>
      <w:pPr>
        <w:spacing w:after="0" w:line="6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of $65,441 and $21,610 as of December 31, 2016 and December 31, 2015, respectively, consists of prepaid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principal pursuant to the requirements of certain of the Company’s debt agreements (Note 9), and funds set aside for qualifying constructions projects at Jefferson Terminal.</w:t>
      </w:r>
    </w:p>
    <w:p>
      <w:pPr>
        <w:spacing w:after="0" w:line="7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Available-For-Sale Securities</w:t>
      </w:r>
      <w:r>
        <w:rPr>
          <w:rFonts w:ascii="Arial" w:cs="Arial" w:eastAsia="Arial" w:hAnsi="Arial"/>
          <w:sz w:val="18"/>
          <w:szCs w:val="18"/>
          <w:color w:val="auto"/>
        </w:rPr>
        <w:t>—The Company considers listed equity securities as available-for-sale securities recorded at fair value with unrealized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gains (losses) recorded in other comprehensive income (loss) and realized gains (losses) recorded in earnings. The Company’s basis on which the cost of the security sold or the amount reclassified out of other comprehensive income into earnings is determined using specific identification. Available-for-sale securities are included as a component of investments on the accompanying Consolidated Balance Sheets. At each balance sheet date, we evaluate our available for sale securities holdings with unrealized losses to determine if an other-than-temporary impairment has occurred. Refer to Note 7 and 10 for details.</w:t>
      </w:r>
    </w:p>
    <w:p>
      <w:pPr>
        <w:spacing w:after="0" w:line="3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Property, Plant and Equipment, Leasing Equipment and Depreciation</w:t>
      </w:r>
      <w:r>
        <w:rPr>
          <w:rFonts w:ascii="Arial" w:cs="Arial" w:eastAsia="Arial" w:hAnsi="Arial"/>
          <w:sz w:val="18"/>
          <w:szCs w:val="18"/>
          <w:color w:val="auto"/>
        </w:rPr>
        <w:t>—Property, plant and equipment and leasing equipment are stated at cost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(inclusive of capitalized acquisition costs, where applicable) and depreciated using the straight-line method, over estimated useful lives, to estimated residual values which are summarized as follows: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396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6"/>
                <w:szCs w:val="16"/>
                <w:b w:val="1"/>
                <w:bCs w:val="1"/>
                <w:color w:val="auto"/>
              </w:rPr>
              <w:t>Asset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Range of Estimated Useful Lives</w:t>
            </w:r>
          </w:p>
        </w:tc>
        <w:tc>
          <w:tcPr>
            <w:tcW w:w="33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b w:val="1"/>
                <w:bCs w:val="1"/>
                <w:color w:val="auto"/>
              </w:rPr>
              <w:t>Residual Value Estimates</w:t>
            </w:r>
          </w:p>
        </w:tc>
      </w:tr>
      <w:tr>
        <w:trPr>
          <w:trHeight w:val="213"/>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Aircraft</w:t>
            </w:r>
          </w:p>
        </w:tc>
        <w:tc>
          <w:tcPr>
            <w:tcW w:w="120" w:type="dxa"/>
            <w:vAlign w:val="bottom"/>
          </w:tcPr>
          <w:p>
            <w:pPr>
              <w:spacing w:after="0"/>
              <w:rPr>
                <w:sz w:val="18"/>
                <w:szCs w:val="18"/>
                <w:color w:val="auto"/>
              </w:rPr>
            </w:pPr>
          </w:p>
        </w:tc>
        <w:tc>
          <w:tcPr>
            <w:tcW w:w="33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color w:val="auto"/>
              </w:rPr>
              <w:t>25 years from date of manufacture</w:t>
            </w:r>
          </w:p>
        </w:tc>
        <w:tc>
          <w:tcPr>
            <w:tcW w:w="140" w:type="dxa"/>
            <w:vAlign w:val="bottom"/>
          </w:tcPr>
          <w:p>
            <w:pPr>
              <w:spacing w:after="0"/>
              <w:rPr>
                <w:sz w:val="18"/>
                <w:szCs w:val="18"/>
                <w:color w:val="auto"/>
              </w:rPr>
            </w:pPr>
          </w:p>
        </w:tc>
        <w:tc>
          <w:tcPr>
            <w:tcW w:w="3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Not to exceed 15% of manufacturer’s list price</w:t>
            </w:r>
          </w:p>
        </w:tc>
      </w:tr>
      <w:tr>
        <w:trPr>
          <w:trHeight w:val="206"/>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Pr>
          <w:p>
            <w:pPr>
              <w:ind w:left="40"/>
              <w:spacing w:after="0"/>
              <w:rPr>
                <w:sz w:val="20"/>
                <w:szCs w:val="20"/>
                <w:color w:val="auto"/>
              </w:rPr>
            </w:pPr>
            <w:r>
              <w:rPr>
                <w:rFonts w:ascii="Arial" w:cs="Arial" w:eastAsia="Arial" w:hAnsi="Arial"/>
                <w:sz w:val="16"/>
                <w:szCs w:val="16"/>
                <w:color w:val="auto"/>
              </w:rPr>
              <w:t>when new</w:t>
            </w: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2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Aircraft engines</w:t>
            </w: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2</w:t>
            </w:r>
          </w:p>
        </w:tc>
        <w:tc>
          <w:tcPr>
            <w:tcW w:w="33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- 6 years, based on maintenance adjusted</w:t>
            </w:r>
          </w:p>
        </w:tc>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Sum of engine core salvage value plus the</w:t>
            </w:r>
          </w:p>
        </w:tc>
      </w:tr>
      <w:tr>
        <w:trPr>
          <w:trHeight w:val="219"/>
        </w:trPr>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service life</w:t>
            </w:r>
          </w:p>
        </w:tc>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life limited parts</w:t>
            </w:r>
          </w:p>
        </w:tc>
      </w:tr>
      <w:tr>
        <w:trPr>
          <w:trHeight w:val="224"/>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Offshore energy vessels</w:t>
            </w:r>
          </w:p>
        </w:tc>
        <w:tc>
          <w:tcPr>
            <w:tcW w:w="3460" w:type="dxa"/>
            <w:vAlign w:val="bottom"/>
            <w:gridSpan w:val="4"/>
          </w:tcPr>
          <w:p>
            <w:pPr>
              <w:ind w:left="40"/>
              <w:spacing w:after="0"/>
              <w:rPr>
                <w:sz w:val="20"/>
                <w:szCs w:val="20"/>
                <w:color w:val="auto"/>
              </w:rPr>
            </w:pPr>
            <w:r>
              <w:rPr>
                <w:rFonts w:ascii="Arial" w:cs="Arial" w:eastAsia="Arial" w:hAnsi="Arial"/>
                <w:sz w:val="16"/>
                <w:szCs w:val="16"/>
                <w:color w:val="auto"/>
              </w:rPr>
              <w:t>25 years from date of manufacture</w:t>
            </w:r>
          </w:p>
        </w:tc>
        <w:tc>
          <w:tcPr>
            <w:tcW w:w="3340" w:type="dxa"/>
            <w:vAlign w:val="bottom"/>
          </w:tcPr>
          <w:p>
            <w:pPr>
              <w:ind w:left="40"/>
              <w:spacing w:after="0"/>
              <w:rPr>
                <w:sz w:val="20"/>
                <w:szCs w:val="20"/>
                <w:color w:val="auto"/>
              </w:rPr>
            </w:pPr>
            <w:r>
              <w:rPr>
                <w:rFonts w:ascii="Arial" w:cs="Arial" w:eastAsia="Arial" w:hAnsi="Arial"/>
                <w:sz w:val="16"/>
                <w:szCs w:val="16"/>
                <w:color w:val="auto"/>
              </w:rPr>
              <w:t>20% of new build cost</w:t>
            </w: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3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Railcars and locomotives</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40</w:t>
            </w: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- 50 years from date of manufacture</w:t>
            </w:r>
          </w:p>
        </w:tc>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Scrap value at end of useful life</w:t>
            </w:r>
          </w:p>
        </w:tc>
      </w:tr>
      <w:tr>
        <w:trPr>
          <w:trHeight w:val="224"/>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Track and track related assets</w:t>
            </w:r>
          </w:p>
        </w:tc>
        <w:tc>
          <w:tcPr>
            <w:tcW w:w="220" w:type="dxa"/>
            <w:vAlign w:val="bottom"/>
            <w:gridSpan w:val="2"/>
          </w:tcPr>
          <w:p>
            <w:pPr>
              <w:ind w:left="40"/>
              <w:spacing w:after="0"/>
              <w:rPr>
                <w:sz w:val="20"/>
                <w:szCs w:val="20"/>
                <w:color w:val="auto"/>
              </w:rPr>
            </w:pPr>
            <w:r>
              <w:rPr>
                <w:rFonts w:ascii="Arial" w:cs="Arial" w:eastAsia="Arial" w:hAnsi="Arial"/>
                <w:sz w:val="16"/>
                <w:szCs w:val="16"/>
                <w:color w:val="auto"/>
                <w:w w:val="89"/>
              </w:rPr>
              <w:t>15</w:t>
            </w: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- 50 years from date of manufacture</w:t>
            </w:r>
          </w:p>
        </w:tc>
        <w:tc>
          <w:tcPr>
            <w:tcW w:w="3340" w:type="dxa"/>
            <w:vAlign w:val="bottom"/>
          </w:tcPr>
          <w:p>
            <w:pPr>
              <w:ind w:left="40"/>
              <w:spacing w:after="0"/>
              <w:rPr>
                <w:sz w:val="20"/>
                <w:szCs w:val="20"/>
                <w:color w:val="auto"/>
              </w:rPr>
            </w:pPr>
            <w:r>
              <w:rPr>
                <w:rFonts w:ascii="Arial" w:cs="Arial" w:eastAsia="Arial" w:hAnsi="Arial"/>
                <w:sz w:val="16"/>
                <w:szCs w:val="16"/>
                <w:color w:val="auto"/>
              </w:rPr>
              <w:t>Scrap value at end of useful life</w:t>
            </w: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3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Buildings and site improvements</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20</w:t>
            </w: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- 30 years</w:t>
            </w:r>
          </w:p>
        </w:tc>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Scrap value at end of useful life</w:t>
            </w:r>
          </w:p>
        </w:tc>
      </w:tr>
      <w:tr>
        <w:trPr>
          <w:trHeight w:val="224"/>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Railroad equipment</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3</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- 15 years from date of manufacture</w:t>
            </w:r>
          </w:p>
        </w:tc>
        <w:tc>
          <w:tcPr>
            <w:tcW w:w="3340" w:type="dxa"/>
            <w:vAlign w:val="bottom"/>
          </w:tcPr>
          <w:p>
            <w:pPr>
              <w:ind w:left="40"/>
              <w:spacing w:after="0"/>
              <w:rPr>
                <w:sz w:val="20"/>
                <w:szCs w:val="20"/>
                <w:color w:val="auto"/>
              </w:rPr>
            </w:pPr>
            <w:r>
              <w:rPr>
                <w:rFonts w:ascii="Arial" w:cs="Arial" w:eastAsia="Arial" w:hAnsi="Arial"/>
                <w:sz w:val="16"/>
                <w:szCs w:val="16"/>
                <w:color w:val="auto"/>
              </w:rPr>
              <w:t>Scrap value at end of useful life</w:t>
            </w: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3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Crude oil terminal machinery and equipment</w:t>
            </w:r>
          </w:p>
        </w:tc>
        <w:tc>
          <w:tcPr>
            <w:tcW w:w="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89"/>
              </w:rPr>
              <w:t>15</w:t>
            </w: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- 25 years from date of manufacture</w:t>
            </w:r>
          </w:p>
        </w:tc>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Scrap value at end of useful life</w:t>
            </w:r>
          </w:p>
        </w:tc>
      </w:tr>
      <w:tr>
        <w:trPr>
          <w:trHeight w:val="224"/>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Vehicles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5</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- 7 years from date of manufacture</w:t>
            </w:r>
          </w:p>
        </w:tc>
        <w:tc>
          <w:tcPr>
            <w:tcW w:w="3340" w:type="dxa"/>
            <w:vAlign w:val="bottom"/>
          </w:tcPr>
          <w:p>
            <w:pPr>
              <w:ind w:left="40"/>
              <w:spacing w:after="0"/>
              <w:rPr>
                <w:sz w:val="20"/>
                <w:szCs w:val="20"/>
                <w:color w:val="auto"/>
              </w:rPr>
            </w:pPr>
            <w:r>
              <w:rPr>
                <w:rFonts w:ascii="Arial" w:cs="Arial" w:eastAsia="Arial" w:hAnsi="Arial"/>
                <w:sz w:val="16"/>
                <w:szCs w:val="16"/>
                <w:color w:val="auto"/>
              </w:rPr>
              <w:t>Scrap value at end of useful life</w:t>
            </w:r>
          </w:p>
        </w:tc>
      </w:tr>
      <w:tr>
        <w:trPr>
          <w:trHeight w:val="33"/>
        </w:trPr>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37"/>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3</w:t>
            </w:r>
          </w:p>
        </w:tc>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- 6 years from date of purchase</w:t>
            </w:r>
          </w:p>
        </w:tc>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None</w:t>
            </w:r>
          </w:p>
        </w:tc>
      </w:tr>
      <w:tr>
        <w:trPr>
          <w:trHeight w:val="224"/>
        </w:trPr>
        <w:tc>
          <w:tcPr>
            <w:tcW w:w="3960" w:type="dxa"/>
            <w:vAlign w:val="bottom"/>
            <w:gridSpan w:val="2"/>
          </w:tcPr>
          <w:p>
            <w:pPr>
              <w:ind w:left="20"/>
              <w:spacing w:after="0"/>
              <w:rPr>
                <w:sz w:val="20"/>
                <w:szCs w:val="20"/>
                <w:color w:val="auto"/>
              </w:rPr>
            </w:pPr>
            <w:r>
              <w:rPr>
                <w:rFonts w:ascii="Arial" w:cs="Arial" w:eastAsia="Arial" w:hAnsi="Arial"/>
                <w:sz w:val="16"/>
                <w:szCs w:val="16"/>
                <w:color w:val="auto"/>
              </w:rPr>
              <w:t>Computer hardware and software</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3</w:t>
            </w:r>
          </w:p>
        </w:tc>
        <w:tc>
          <w:tcPr>
            <w:tcW w:w="3320" w:type="dxa"/>
            <w:vAlign w:val="bottom"/>
            <w:gridSpan w:val="3"/>
          </w:tcPr>
          <w:p>
            <w:pPr>
              <w:ind w:left="20"/>
              <w:spacing w:after="0"/>
              <w:rPr>
                <w:sz w:val="20"/>
                <w:szCs w:val="20"/>
                <w:color w:val="auto"/>
              </w:rPr>
            </w:pPr>
            <w:r>
              <w:rPr>
                <w:rFonts w:ascii="Arial" w:cs="Arial" w:eastAsia="Arial" w:hAnsi="Arial"/>
                <w:sz w:val="16"/>
                <w:szCs w:val="16"/>
                <w:color w:val="auto"/>
              </w:rPr>
              <w:t>- 5 years from date of purchase</w:t>
            </w:r>
          </w:p>
        </w:tc>
        <w:tc>
          <w:tcPr>
            <w:tcW w:w="3340" w:type="dxa"/>
            <w:vAlign w:val="bottom"/>
          </w:tcPr>
          <w:p>
            <w:pPr>
              <w:ind w:left="40"/>
              <w:spacing w:after="0"/>
              <w:rPr>
                <w:sz w:val="20"/>
                <w:szCs w:val="20"/>
                <w:color w:val="auto"/>
              </w:rPr>
            </w:pPr>
            <w:r>
              <w:rPr>
                <w:rFonts w:ascii="Arial" w:cs="Arial" w:eastAsia="Arial" w:hAnsi="Arial"/>
                <w:sz w:val="16"/>
                <w:szCs w:val="16"/>
                <w:color w:val="auto"/>
              </w:rPr>
              <w:t>None</w:t>
            </w:r>
          </w:p>
        </w:tc>
      </w:tr>
    </w:tbl>
    <w:p>
      <w:pPr>
        <w:spacing w:after="0" w:line="12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Major improvements and modifications incurred in connection with the acquisition of property, plant and equipment and leasing equipment that are required to get the asset ready for initial service are capitalized and depreciated over the remaining life of the asset. Costs of major additions and betterments are capitalized and depreciation commences once it is placed into service. Interest costs directly related to and incurred during the construction period of property, plant and equipment are capitalized. Significant spare parts are depreciated in conjunction with the underlying property, plant and equipment asset when placed in service.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reviews its depreciation policies on a regular basis to determine whether changes have taken place that would suggest that a change in its depreciation policies, useful lives of its equipment or the assigned residual values is warranted.</w:t>
      </w:r>
    </w:p>
    <w:p>
      <w:pPr>
        <w:spacing w:after="0" w:line="6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planned major maintenance or component overhaul activities for aviation equipment off lease, the cost of such major maintenance or component overhaul event is capitalized and depreciated on a straight-line basis over the period until the next maintenance or component overhaul event is required.</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Company’s offshore energy vessels are required to be drydocked periodically for recertifications or major repairs and maintenance that cannot be performed while the vessels are operating. Normal repairs and maintenance are expensed as incurred. The Company capitalizes the costs associated with the drydockings and amortizes them on a straight-line basis over the period between drydockings, usually between 30 and 60 months.</w:t>
      </w:r>
    </w:p>
    <w:p>
      <w:pPr>
        <w:spacing w:after="0" w:line="79"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In accounting for leasing equipment, the Company makes estimates about the expected useful lives, residual values and the fair value of acquired in-place leases and acquired maintenance liabilities (for aviation equipment). In making these estimates, the Company relies upon observable market data for the same or similar types of equipment and, in the case of aviation equipment, its own estimates with respect to a lessee’s anticipated utilization of the aircraft or engine. When the Company acquires leasing equipment subject to an in-place lease, determining the fair value of the in-place lease requires the Company to make assumptions regarding the current fair values of leases for identical or similar equipment, in order to determine if the in-place lease is within a fair value range of current lease rates. If a lease is below or above the range of current lease rates, the resulting lease discount or premium is recognized as a lease intangible and amortized into lease income over the remaining term of the lease.</w:t>
      </w:r>
    </w:p>
    <w:p>
      <w:pPr>
        <w:spacing w:after="0" w:line="5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Capitalized Interest</w:t>
      </w:r>
      <w:r>
        <w:rPr>
          <w:rFonts w:ascii="Arial" w:cs="Arial" w:eastAsia="Arial" w:hAnsi="Arial"/>
          <w:sz w:val="18"/>
          <w:szCs w:val="18"/>
          <w:color w:val="auto"/>
        </w:rPr>
        <w:t>—The interest cost associated with major development, construction projects and tax exempt bonds is capitalized and included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cost of the project. Interest capitalization ceases once a project is substantially complete or no longer undergoing construction activities to prepare it for its intended use. The Company capitalized interest of $2,721, $2,128 and $3,534 during the years ended December 31, 2016, 2015 and 2014, respectively.</w:t>
      </w:r>
    </w:p>
    <w:p>
      <w:pPr>
        <w:spacing w:after="0" w:line="7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Repairs and Maintenance</w:t>
      </w:r>
      <w:r>
        <w:rPr>
          <w:rFonts w:ascii="Arial" w:cs="Arial" w:eastAsia="Arial" w:hAnsi="Arial"/>
          <w:sz w:val="18"/>
          <w:szCs w:val="18"/>
          <w:color w:val="auto"/>
        </w:rPr>
        <w:t>—Repair and maintenance costs that do not extend the lives of the assets are expensed as incurred. For the years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2015 and 2014, $3,659, $3,643 and $235, of repairs and maintenance expense, respectively, were recorded in operating expenses in the accompanying Consolidated Statements of Operations.</w:t>
      </w:r>
    </w:p>
    <w:p>
      <w:pPr>
        <w:spacing w:after="0" w:line="73"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b w:val="1"/>
          <w:bCs w:val="1"/>
          <w:i w:val="1"/>
          <w:iCs w:val="1"/>
          <w:color w:val="auto"/>
        </w:rPr>
        <w:t>Impairment of Long-Lived Assets</w:t>
      </w:r>
      <w:r>
        <w:rPr>
          <w:rFonts w:ascii="Arial" w:cs="Arial" w:eastAsia="Arial" w:hAnsi="Arial"/>
          <w:sz w:val="17"/>
          <w:szCs w:val="17"/>
          <w:color w:val="auto"/>
        </w:rPr>
        <w:t>—The Company performs a recoverability assessment of each of its long-lived assets whenever events or changes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circumstances, or indicators, indicate that the carrying amount or net book value of an asset may not be recoverable. Indicators may include, but are not limited to, a significant lease restructuring or early lease termination; significant traffic decline; or the introduction of newer technology aircraft, vessels, engines or railcars. When performing a recoverability assessment, the Company measures whether the estimated future undiscounted net cash flows expected to be generated by the asset exceeds its net book value. The undiscounted cash flows consist of cash flows from currently contracted leases and terminal services contracts, future projected leases, terminal service and freight rail rates, transition costs, estimated down time and estimated residual or scrap values. In the event that an asset does not meet the recoverability test, the carrying value of the asset will be adjusted to fair value resulting in an impairment charge.</w:t>
      </w:r>
    </w:p>
    <w:p>
      <w:pPr>
        <w:spacing w:after="0" w:line="7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Management develops the assumptions used in the recoverability analysis based on its knowledge of active contracts, current and future expectations of the global demand for a particular asset and historical experience in the leasing markets, as well as information received from third party industry sources. The factors considered in estimating the undiscounted cash flows are impacted by changes in future periods due to changes in contracted lease rates, terminal service, and freight rail rates, residual values, economic conditions, technology, demand for a particular asset type and other factors.</w:t>
      </w:r>
    </w:p>
    <w:p>
      <w:pPr>
        <w:spacing w:after="0" w:line="8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Security Deposits</w:t>
      </w:r>
      <w:r>
        <w:rPr>
          <w:rFonts w:ascii="Arial" w:cs="Arial" w:eastAsia="Arial" w:hAnsi="Arial"/>
          <w:sz w:val="18"/>
          <w:szCs w:val="18"/>
          <w:color w:val="auto"/>
        </w:rPr>
        <w:t>—The Company’s operating leases generally require the lessee to pay a security deposit or provide a letter of credit. Security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deposits are held until specified return dates stipulated in the lease or lease expiration.</w:t>
      </w:r>
    </w:p>
    <w:p>
      <w:pPr>
        <w:spacing w:after="0" w:line="6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Maintenance Payments</w:t>
      </w:r>
      <w:r>
        <w:rPr>
          <w:rFonts w:ascii="Arial" w:cs="Arial" w:eastAsia="Arial" w:hAnsi="Arial"/>
          <w:sz w:val="18"/>
          <w:szCs w:val="18"/>
          <w:color w:val="auto"/>
        </w:rPr>
        <w:t>—Typically, under an operating lease of aviation equipment, the lessee is responsible for performing all maintenance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required to make maintenance payments to the Company for heavy maintenance, overhaul or replacement of certain high-value components of the aircraft or engine. These maintenance payments are based on hours or cycles of utilization or on calendar time, depending on the component, and are generally required to be made monthly in arrears. If a lessee is making monthly maintenance payments, the Company would typically be obligated to reimburse the lessee for costs they incur for heavy maintenance, overhaul or replacement of certain high-value components to the extent of maintenance payments received in respect of the specific maintenance event, usually shortly following the completion of the relevant work.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records the portion of maintenance payments paid by the lessee that are expected to be reimbursed as maintenance deposit liabilities on the Consolidated Balance Sheet. Reimbursements made to the lessee upon the receipt of evidence of qualifying maintenance work are recorded against the maintenance deposit liability.</w:t>
      </w:r>
    </w:p>
    <w:p>
      <w:pPr>
        <w:spacing w:after="0" w:line="7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certain leases, the lessee or the Company may be obligated to make a payment to the other party at lease termination based on redelivery conditions stipulated at the inception of the lease. When the lessee is required to return the aircraft in an improved maintenance condition, the Company records a maintenance right asset, as a component of other assets, for the estimated value of the end-of-life maintenance payment at acquisition. The Company recognizes payments received as end-of-lease compensation adjustments, within lease revenue or as a reduction to the maintenance right asset, when payment is received or collectability is assured. In the event the Company is required to make payments at the end of the lease for redelivery conditions, amounts are accrued as additional maintenance liability and expensed when the Company is obligated and can reasonably estimate such payment.</w:t>
      </w:r>
    </w:p>
    <w:p>
      <w:pPr>
        <w:spacing w:after="0" w:line="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Lease Incentives and Amortization</w:t>
      </w:r>
      <w:r>
        <w:rPr>
          <w:rFonts w:ascii="Arial" w:cs="Arial" w:eastAsia="Arial" w:hAnsi="Arial"/>
          <w:sz w:val="18"/>
          <w:szCs w:val="18"/>
          <w:color w:val="auto"/>
        </w:rPr>
        <w:t>—Lease incentives, which include lease acquisition costs related to reconfiguration of the aircraft cabin,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lessee specific modifications and other direct costs, are capitalized and amortized as a reduction of lease income over the primary term of the lease, assuming no lease renewals.</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 xml:space="preserve">Goodwill </w:t>
      </w:r>
      <w:r>
        <w:rPr>
          <w:rFonts w:ascii="Arial" w:cs="Arial" w:eastAsia="Arial" w:hAnsi="Arial"/>
          <w:sz w:val="18"/>
          <w:szCs w:val="18"/>
          <w:color w:val="auto"/>
        </w:rPr>
        <w:t>—Goodwill includes the excess of the purchase price over the fair value of the net tangible and intangible assets associated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of CMQR and Jefferson Terminal. The carrying amount of goodwill is approximately $116,584 as of December 31, 2016 and December 31, 2015.</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reviews the carrying values of goodwill at least annually to assess impairment since these assets are not amortized. An 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w:t>
      </w:r>
    </w:p>
    <w:p>
      <w:pPr>
        <w:spacing w:after="0" w:line="7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measure an impairment loss. A qualitative analysis was not elected for the years ended December 31, 2016, December 31, 2015 and December 31, 2014.</w:t>
      </w:r>
    </w:p>
    <w:p>
      <w:pPr>
        <w:spacing w:after="0" w:line="79"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first step of an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certain factors including the Company’s assumptions about operating results, business plans, income projections, anticipated future cash flows and market data. If the estimated fair value of the reporting unit is less than the carrying amount, a second step must be completed in order to determine the amount of goodwill impairment that should be recorded, if any.</w:t>
      </w:r>
    </w:p>
    <w:p>
      <w:pPr>
        <w:spacing w:after="0" w:line="64"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For the purpose of performing the annual analysis, the Company’s two reporting units subject to the test are the Jefferson Terminal and Railroad reporting units. The Company estimates the fair value of the reporting units using an income approach, specifically a discounted cash flow analysis. This analysis requires the Company to make significant assumptions and estimates about the extent and timing of future cash flows, discount rates and growth rates. The estimates and assumptions used consider historical performance and are consistent with the assumptions used in determining future profit plans for the reporting units. The Company also utilizes market valuation models and other financial ratios, which require the Company to make certain assumptions and estimates regarding the applicability of those models to its assets and businesses.</w:t>
      </w:r>
    </w:p>
    <w:p>
      <w:pPr>
        <w:spacing w:after="0" w:line="5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Although the Company believes the estimates of fair value are reasonable, the determination of certain valuation inputs is subject to management’s judgment. Changes in these inputs could materially affect the results of the impairment review. If the forecasts of cash flows generated by the Jefferson Terminal and Railroad reporting units or other key inputs are negatively revised in the future, the estimated fair value of the Jefferson Terminal and Railroad reporting units would be adversely impacted, potentially leading to an impairment in the future that could materially affect the Company’s operating results. The Company performed a sensitivity analysis for goodwill impairment and determined that a hypothetical 5% decline in the fair value of each reporting unit as of October 1, 2016 would not result in an impairment of goodwill for either reporting unit.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2016, December 31, 2015 and December 31, 2014 there was no impairment of goodwill.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b w:val="1"/>
          <w:bCs w:val="1"/>
          <w:i w:val="1"/>
          <w:iCs w:val="1"/>
          <w:color w:val="auto"/>
        </w:rPr>
        <w:t>Intangibles and amortization</w:t>
      </w:r>
      <w:r>
        <w:rPr>
          <w:rFonts w:ascii="Arial" w:cs="Arial" w:eastAsia="Arial" w:hAnsi="Arial"/>
          <w:sz w:val="18"/>
          <w:szCs w:val="18"/>
          <w:color w:val="auto"/>
        </w:rPr>
        <w:t>—Intangibles include the value of acquired favorable and unfavorable leases and existing customer relationships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acquired in connection with the acquisitions of CMQR and Jefferson Terminal.</w:t>
      </w:r>
    </w:p>
    <w:p>
      <w:pPr>
        <w:spacing w:after="0" w:line="6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accounting for acquired leasing equipment, the Company makes estimates about the fair value of the acquired leases. In determining the fair value of these leases, the Company makes assumptions regarding the current fair values of leases for identical or similar equipment in order to determine if the acquired lease is within a fair value range of current lease rates. If a lease is below or above the range of current lease rates, the resulting lease discount or premium is recognized as a lease intangible and amortized into rental income over the remaining term of the lease. Acquired lease intangibles are amortized on a straight-line basis over the remaining lease terms, which ranged from 2 to 54 months as of December 31, 2016, and recorded as a component of equipment leasing revenues in the accompanying Consolidated Statements of Operations.</w:t>
      </w:r>
    </w:p>
    <w:p>
      <w:pPr>
        <w:spacing w:after="0" w:line="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Customer relationship intangible assets are amortized on a straight-line basis over their useful lives as the pattern in which the asset’s economic benefits are consumed cannot reliably be determined. Customer relationship intangible assets have useful lives ranging from 5 to 10 years, no estimated residual value, and amortization is recorded as a component of depreciation and amortization in the accompanying Consolidated Statements of Operations.</w:t>
      </w:r>
    </w:p>
    <w:p>
      <w:pPr>
        <w:spacing w:after="0" w:line="7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b w:val="1"/>
          <w:bCs w:val="1"/>
          <w:i w:val="1"/>
          <w:iCs w:val="1"/>
          <w:color w:val="auto"/>
        </w:rPr>
        <w:t>Deferred Financing Costs</w:t>
      </w:r>
      <w:r>
        <w:rPr>
          <w:rFonts w:ascii="Arial" w:cs="Arial" w:eastAsia="Arial" w:hAnsi="Arial"/>
          <w:sz w:val="18"/>
          <w:szCs w:val="18"/>
          <w:color w:val="auto"/>
        </w:rPr>
        <w:t>—Costs incurred in connection with obtaining long term financing are capitalized and amortized to interest expense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 of the underlying loans. Unamortized deferred financing costs of $6,489 and $4,836 as of December 31, 2016 and December 31, 2015, respectively, are recorded as a component of debt in the accompanying Consolidated Balance Sheets. Amortization expense of $2,576, $1,469 and $576 for the years ended December 31, 2016, 2015 and 2014, respectively, are included as a component of interest expense in the accompanying Consolidated Statements of Operations.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Equipment Leasing Revenues</w:t>
      </w:r>
    </w:p>
    <w:p>
      <w:pPr>
        <w:spacing w:after="0" w:line="12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Operating Leases</w:t>
      </w:r>
      <w:r>
        <w:rPr>
          <w:rFonts w:ascii="Arial" w:cs="Arial" w:eastAsia="Arial" w:hAnsi="Arial"/>
          <w:sz w:val="18"/>
          <w:szCs w:val="18"/>
          <w:color w:val="auto"/>
        </w:rPr>
        <w:t>—The Company leases equipment pursuant to net operating leases. Operating leases with fixed rentals and step rentals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on a straight-line basis over the term of the lease, assuming no renewals. Revenue is not recognized when collection is not reasonably assured. When collectability is not reasonably assured, the customer is placed on non-accrual status and revenue is recognized when cash payments are received.</w:t>
      </w:r>
    </w:p>
    <w:p>
      <w:pPr>
        <w:spacing w:after="0" w:line="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also recognizes maintenance revenue related to the portion of maintenance payments received from lessees of aviation equipment that are not expected to be reimbursed in connection with major maintenance events.</w:t>
      </w:r>
    </w:p>
    <w:p>
      <w:pPr>
        <w:spacing w:after="0" w:line="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b w:val="1"/>
          <w:bCs w:val="1"/>
          <w:i w:val="1"/>
          <w:iCs w:val="1"/>
          <w:color w:val="auto"/>
        </w:rPr>
        <w:t>Finance Lease</w:t>
      </w:r>
      <w:r>
        <w:rPr>
          <w:rFonts w:ascii="Arial" w:cs="Arial" w:eastAsia="Arial" w:hAnsi="Arial"/>
          <w:sz w:val="16"/>
          <w:szCs w:val="16"/>
          <w:color w:val="auto"/>
        </w:rPr>
        <w:t>—The Company holds one anchor handling tug supply vessel, subject to a finance lease, as of December 31, 2016. This lease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includes a lessee obligation to purchase the leased equipment at the end of the lease term, a bargain purchase option, or provides for minimum lease payments with a present value of 90% or more of the fair value of the leased equipment at the date of lease inception. Net investment in finance lease represents the minimum lease payments due from lessee, net of unearned income. The lease payments are segregated into principal and interest components similar to a loan. Unearned income is recognized on an effective interest method over the lease term and is recorded as finance lease income. The principal component of the lease payment is reflected as a reduction to the net investment in finance leases.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Infrastructure Revenues</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b w:val="1"/>
          <w:bCs w:val="1"/>
          <w:i w:val="1"/>
          <w:iCs w:val="1"/>
          <w:color w:val="auto"/>
        </w:rPr>
        <w:t>Freight Rail Revenues</w:t>
      </w:r>
      <w:r>
        <w:rPr>
          <w:rFonts w:ascii="Arial" w:cs="Arial" w:eastAsia="Arial" w:hAnsi="Arial"/>
          <w:sz w:val="17"/>
          <w:szCs w:val="17"/>
          <w:color w:val="auto"/>
        </w:rPr>
        <w:t>—Freight revenues are recognized proportionally as freight moves from origin to destination. Other miscellaneous revenues,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unloading and switching revenue, are recognized as the service is performed or contractual obligations are met.</w:t>
      </w:r>
    </w:p>
    <w:p>
      <w:pPr>
        <w:spacing w:after="0" w:line="14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Terminal Services Revenues</w:t>
      </w:r>
      <w:r>
        <w:rPr>
          <w:rFonts w:ascii="Arial" w:cs="Arial" w:eastAsia="Arial" w:hAnsi="Arial"/>
          <w:sz w:val="18"/>
          <w:szCs w:val="18"/>
          <w:color w:val="auto"/>
        </w:rPr>
        <w:t>—Terminal services revenues are recognized when services have been provided to the customer, the product has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delivered, the price is considered to be fixed or determinable and collectability is reasonably assured. Prepayments for services are deferred until the period in which the above criteria are met. Terminal services fees include services provided to third-party customers related to receipt and redelivery of crude oil products.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b w:val="1"/>
          <w:bCs w:val="1"/>
          <w:i w:val="1"/>
          <w:iCs w:val="1"/>
          <w:color w:val="auto"/>
        </w:rPr>
        <w:t>Concentration of Credit Risk</w:t>
      </w:r>
      <w:r>
        <w:rPr>
          <w:rFonts w:ascii="Arial" w:cs="Arial" w:eastAsia="Arial" w:hAnsi="Arial"/>
          <w:sz w:val="16"/>
          <w:szCs w:val="16"/>
          <w:color w:val="auto"/>
        </w:rPr>
        <w:t>—The Company is subject to concentrations of credit risk with respect to amounts due from customers on its finance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lease and operating leases. The Company attempts to limit its credit risk by performing ongoing credit evaluations. During the year ended December 31, 2016, the Company earned approximately 10% of its revenue from one customer in the Jefferson Terminal segment. During the year ended December 31, 2015, the Company earned approximately 21% of its revenue from one customer in the Offshore Energy segment and one customer in the Jefferson Terminal segment. During the year ended December 31, 2014, the Company earned approximately 39% of its revenue from three customers in the following segments: one in aviation leasing, one in shipping containers, and one in offshore energy.</w:t>
      </w:r>
    </w:p>
    <w:p>
      <w:pPr>
        <w:spacing w:after="0" w:line="5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December 31, 2016, accounts receivable from two customers in the Offshore Energy segment each represented 22% and 18% of total accounts receivable, net. As of December 31, 2015, accounts receivable from two customers in the Offshore Segment each represented 27% and 25% of total accounts receivable, net.</w:t>
      </w:r>
    </w:p>
    <w:p>
      <w:pPr>
        <w:spacing w:after="0" w:line="7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73"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Provision for Doubtful Accounts</w:t>
      </w:r>
      <w:r>
        <w:rPr>
          <w:rFonts w:ascii="Arial" w:cs="Arial" w:eastAsia="Arial" w:hAnsi="Arial"/>
          <w:sz w:val="16"/>
          <w:szCs w:val="16"/>
          <w:color w:val="auto"/>
        </w:rPr>
        <w:t>—The Company determines the provision for doubtful accounts based on its assessment of the collectability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on a customer-by-customer basis. The provision for doubtful accounts at December 31, 2016 and December 31, 2015 was $418 and $392, respectively. Bad debt expense was $158, $676, and $281 for the years ended December 31, 2016, 2015 and 2014, respectively.</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 Recognition</w:t>
      </w:r>
      <w:r>
        <w:rPr>
          <w:rFonts w:ascii="Arial" w:cs="Arial" w:eastAsia="Arial" w:hAnsi="Arial"/>
          <w:sz w:val="18"/>
          <w:szCs w:val="18"/>
          <w:color w:val="auto"/>
        </w:rPr>
        <w:t>—Expenses are recognized on an accrual basis as incurred.</w:t>
      </w:r>
    </w:p>
    <w:p>
      <w:pPr>
        <w:spacing w:after="0" w:line="117"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b w:val="1"/>
          <w:bCs w:val="1"/>
          <w:i w:val="1"/>
          <w:iCs w:val="1"/>
          <w:color w:val="auto"/>
        </w:rPr>
        <w:t>Acquisition and Transaction expenses</w:t>
      </w:r>
      <w:r>
        <w:rPr>
          <w:rFonts w:ascii="Arial" w:cs="Arial" w:eastAsia="Arial" w:hAnsi="Arial"/>
          <w:sz w:val="16"/>
          <w:szCs w:val="16"/>
          <w:color w:val="auto"/>
        </w:rPr>
        <w:t>—Acquisition and transaction expense is comprised of costs related to completed business combinations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terminated deal costs related to abandoned pursuits, including advisory, legal, accounting, valuation and other professional or consulting fees.</w:t>
      </w:r>
    </w:p>
    <w:p>
      <w:pPr>
        <w:spacing w:after="0" w:line="1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Comprehensive Income (Loss)</w:t>
      </w:r>
      <w:r>
        <w:rPr>
          <w:rFonts w:ascii="Arial" w:cs="Arial" w:eastAsia="Arial" w:hAnsi="Arial"/>
          <w:sz w:val="17"/>
          <w:szCs w:val="17"/>
          <w:color w:val="auto"/>
        </w:rPr>
        <w:t>—Comprehensive income (loss) is defined as the change in equity of a business enterprise during a period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the available-for-sale securities and derivatives accounted for as cash flow hedges.</w:t>
      </w:r>
    </w:p>
    <w:p>
      <w:pPr>
        <w:spacing w:after="0" w:line="6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Derivative Financial Instruments—</w:t>
      </w:r>
      <w:r>
        <w:rPr>
          <w:rFonts w:ascii="Arial" w:cs="Arial" w:eastAsia="Arial" w:hAnsi="Arial"/>
          <w:sz w:val="18"/>
          <w:szCs w:val="18"/>
          <w:color w:val="auto"/>
        </w:rPr>
        <w:t>In the normal course of business the Company may utilize interest rate derivatives to manage its exposure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the Company entered into one interest rate derivative designated as a cash flow hedge and one non-hedge derivative. The Company terminated both derivatives during the first quarter of 2016 when the related debt obligations were paid in full. For the interest rate derivative designated as a cash flow hedge, all remaining net gains or losses in accumulated other comprehensive income at the date of termination were reclassified into earnings during the year ended December 31, 2016.</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enter into speculative derivative transactions.</w:t>
      </w:r>
    </w:p>
    <w:p>
      <w:pPr>
        <w:spacing w:after="0" w:line="117"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b w:val="1"/>
          <w:bCs w:val="1"/>
          <w:i w:val="1"/>
          <w:iCs w:val="1"/>
          <w:color w:val="auto"/>
        </w:rPr>
        <w:t>Foreign Currency</w:t>
      </w:r>
      <w:r>
        <w:rPr>
          <w:rFonts w:ascii="Arial" w:cs="Arial" w:eastAsia="Arial" w:hAnsi="Arial"/>
          <w:sz w:val="17"/>
          <w:szCs w:val="17"/>
          <w:color w:val="auto"/>
        </w:rPr>
        <w:t>—The Company’s functional and reporting currency is the U.S. dollar. Purchases and sales of assets and income and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items denominated in foreign currencies are translated into U.S. dollar amounts on the respective dates of such transactions. Net realized foreign currency gains or losses relating to the differences between these recorded amounts and the U.S. dollar equivalent actually received or paid are reported as a component of operating expenses within the Consolidated Statement of Operations.</w:t>
      </w:r>
    </w:p>
    <w:p>
      <w:pPr>
        <w:spacing w:after="0" w:line="6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—A portion of the Company’s income earned by its corporate subsidiaries is subject to U.S. federal and state income taxation, taxed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prevailing rates. The remainder of the Company’s income is allocated directly to its partners and is not subject to a corporate level of taxation. Certain subsidiaries of the Company are subject to income tax in the foreign countries in which they conduct business.</w:t>
      </w:r>
    </w:p>
    <w:p>
      <w:pPr>
        <w:spacing w:after="0" w:line="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accounts for these taxes using the asset and liability method under which deferred tax assets and liabilities are recognized for the future tax consequences attributable to differences between the financial statement carrying amounts of existing assets and liabilities and their respective tax bases. A valuation allowance is established when management believes it is more likely than not that a deferred tax asset will not be realized.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files income tax returns in the U.S. federal jurisdiction, various state jurisdictions and in certain foreign jurisdictions. The income tax returns filed by the Company and its subsidiaries are subject to examination by the U.S. federal, state and foreign tax authorities. The Company recognizes tax benefits for uncertain tax positions only if it is more likely than not that the position is sustainable based on its technical merits. Interest and penalties on uncertain tax positions are included as a component of the provision for income taxes in the Consolidated Statements of Operations.</w:t>
      </w:r>
    </w:p>
    <w:p>
      <w:pPr>
        <w:spacing w:after="0" w:line="8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Other Assets—</w:t>
      </w:r>
      <w:r>
        <w:rPr>
          <w:rFonts w:ascii="Arial" w:cs="Arial" w:eastAsia="Arial" w:hAnsi="Arial"/>
          <w:sz w:val="18"/>
          <w:szCs w:val="18"/>
          <w:color w:val="auto"/>
        </w:rPr>
        <w:t>Other assets is primarily comprised of notes receivables of $22,469 and $19,468, leasing equipment purchase deposits of $13,701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$7,450, capitalized costs for potential asset acquisitions of $2,116 and $5,473, prepaid expenses of $3,440 and $1,818, and receivables of $21,501 and $0 as of December 31, 2016 and December 31, 2015, respectively.</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Dividends are recorded if and when declared by the Board of Directors. For the fourth quarter ended December 31, 2016,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declared a cash dividend of $0.33 per share, totaling $1.32 of dividends per share for the year ended December 31, 2016. For the fourth quarter ended December 31, 2015, the Board of Directors declared a cash dividend of $0.33 per share, totaling $0.48 of dividends per share for the year ended December 31, 2015.</w:t>
      </w:r>
    </w:p>
    <w:p>
      <w:pPr>
        <w:spacing w:after="0" w:line="79"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b w:val="1"/>
          <w:bCs w:val="1"/>
          <w:i w:val="1"/>
          <w:iCs w:val="1"/>
          <w:color w:val="auto"/>
        </w:rPr>
        <w:t>Recent Accounting Pronouncements</w:t>
      </w:r>
      <w:r>
        <w:rPr>
          <w:rFonts w:ascii="Arial" w:cs="Arial" w:eastAsia="Arial" w:hAnsi="Arial"/>
          <w:sz w:val="16"/>
          <w:szCs w:val="16"/>
          <w:color w:val="auto"/>
        </w:rPr>
        <w:t>—In August 2014, the Financial Accounting Standards Board (the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Update (“ASU”) 2014-15, </w:t>
      </w:r>
      <w:r>
        <w:rPr>
          <w:rFonts w:ascii="Arial" w:cs="Arial" w:eastAsia="Arial" w:hAnsi="Arial"/>
          <w:sz w:val="16"/>
          <w:szCs w:val="16"/>
          <w:i w:val="1"/>
          <w:iCs w:val="1"/>
          <w:color w:val="auto"/>
        </w:rPr>
        <w:t>Presentation of Financial Statements-Going Concern</w:t>
      </w:r>
      <w:r>
        <w:rPr>
          <w:rFonts w:ascii="Arial" w:cs="Arial" w:eastAsia="Arial" w:hAnsi="Arial"/>
          <w:sz w:val="16"/>
          <w:szCs w:val="16"/>
          <w:color w:val="auto"/>
        </w:rPr>
        <w:t>, 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is effective for annual periods ending after December 15, 2016. The adoption of this standard, during the fourth quarter of 2016, did not have a material impact on our financial statements.</w:t>
      </w:r>
    </w:p>
    <w:p>
      <w:pPr>
        <w:spacing w:after="0" w:line="5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adopted ASU 2015-02 as of January 1, 2016 and the adoption of this guidance did not have a material impact on the Company’s consolidated financial statements.</w:t>
      </w:r>
    </w:p>
    <w:p>
      <w:pPr>
        <w:spacing w:after="0" w:line="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Imputation of Interest: Simplifying the Presentation of Debt Issuance Costs</w:t>
      </w:r>
      <w:r>
        <w:rPr>
          <w:rFonts w:ascii="Arial" w:cs="Arial" w:eastAsia="Arial" w:hAnsi="Arial"/>
          <w:sz w:val="18"/>
          <w:szCs w:val="18"/>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adopted ASU 2015-03 as of January 1, 2016 and revised its consolidated balance sheets to present debt issuance costs as a direct deduction from debt rather than within other assets, for all periods presented. Refer to Note 9 for detail.</w:t>
      </w:r>
    </w:p>
    <w:p>
      <w:pPr>
        <w:spacing w:after="0" w:line="95" w:lineRule="exact"/>
        <w:rPr>
          <w:sz w:val="20"/>
          <w:szCs w:val="20"/>
          <w:color w:val="auto"/>
        </w:rPr>
      </w:pPr>
    </w:p>
    <w:p>
      <w:pPr>
        <w:jc w:val="both"/>
        <w:ind w:left="660"/>
        <w:spacing w:after="0" w:line="287" w:lineRule="auto"/>
        <w:rPr>
          <w:sz w:val="20"/>
          <w:szCs w:val="20"/>
          <w:color w:val="auto"/>
        </w:rPr>
      </w:pPr>
      <w:r>
        <w:rPr>
          <w:rFonts w:ascii="Arial" w:cs="Arial" w:eastAsia="Arial" w:hAnsi="Arial"/>
          <w:sz w:val="17"/>
          <w:szCs w:val="17"/>
          <w:color w:val="auto"/>
        </w:rPr>
        <w:t xml:space="preserve">In August 2015, the FASB issued ASU 2015-15, </w:t>
      </w:r>
      <w:r>
        <w:rPr>
          <w:rFonts w:ascii="Arial" w:cs="Arial" w:eastAsia="Arial" w:hAnsi="Arial"/>
          <w:sz w:val="17"/>
          <w:szCs w:val="17"/>
          <w:i w:val="1"/>
          <w:iCs w:val="1"/>
          <w:color w:val="auto"/>
        </w:rPr>
        <w:t>Interest - 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Associated With Line-Of-Credit Arrangements </w:t>
      </w:r>
      <w:r>
        <w:rPr>
          <w:rFonts w:ascii="Arial" w:cs="Arial" w:eastAsia="Arial" w:hAnsi="Arial"/>
          <w:sz w:val="17"/>
          <w:szCs w:val="17"/>
          <w:color w:val="auto"/>
        </w:rPr>
        <w:t>(“ASU 2015-15”). ASU 2015-15 provides further guidance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or subsequent measurement of debt issuance costs related to line-of-credit arrangements. ASU 2015-15 allows companies to defer and present debt issuance costs as an asset or as a direct deduction from the carrying amount of that debt liability and subsequently amortize the deferred debt issuance costs ratably over the term of the line-of-credit arrangement, regardless of whether there are any outstanding borrowings of the line-of-credit arrangement. The guidance is effective for reporting periods beginning after December 15, 2015 and interim periods within those fiscal years with early adoption permitted. The Company adopted ASU 2015-15 as of January 1, 2016 and revised its consolidated balance sheets to present debt issuance costs related to debt drawn under a line-of-credit arrangements as a direct deduction from debt rather than within other assets, for all periods presented.</w:t>
      </w:r>
    </w:p>
    <w:p>
      <w:pPr>
        <w:spacing w:after="0" w:line="57"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Simplifying the Accounting for Measurement-Period Adjustments</w:t>
      </w:r>
      <w:r>
        <w:rPr>
          <w:rFonts w:ascii="Arial" w:cs="Arial" w:eastAsia="Arial" w:hAnsi="Arial"/>
          <w:sz w:val="16"/>
          <w:szCs w:val="16"/>
          <w:color w:val="auto"/>
        </w:rPr>
        <w:t xml:space="preserve"> (“ASU 2015-16”)</w:t>
      </w:r>
      <w:r>
        <w:rPr>
          <w:rFonts w:ascii="Arial" w:cs="Arial" w:eastAsia="Arial" w:hAnsi="Arial"/>
          <w:sz w:val="16"/>
          <w:szCs w:val="16"/>
          <w:i w:val="1"/>
          <w:iCs w:val="1"/>
          <w:color w:val="auto"/>
        </w:rPr>
        <w:t>.</w:t>
      </w:r>
      <w:r>
        <w:rPr>
          <w:rFonts w:ascii="Arial" w:cs="Arial" w:eastAsia="Arial" w:hAnsi="Arial"/>
          <w:sz w:val="16"/>
          <w:szCs w:val="16"/>
          <w:color w:val="auto"/>
        </w:rPr>
        <w:t xml:space="preserve"> ASU 2015-16 requires an acquirer in a business combination to recognize adjustments to the initial purchase accounting that are identified during the measurement period in the reporting period in which the adjustment amounts are determined. The amendments in this update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and interim reporting periods beginning after December 15, 2015. The Company adopted ASU 2015-16 as of January 1, 2016 and the adoption of this guidance did not have a material impact on the Company’s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5" w:lineRule="auto"/>
        <w:rPr>
          <w:sz w:val="20"/>
          <w:szCs w:val="20"/>
          <w:color w:val="auto"/>
        </w:rPr>
      </w:pPr>
      <w:r>
        <w:rPr>
          <w:rFonts w:ascii="Arial" w:cs="Arial" w:eastAsia="Arial" w:hAnsi="Arial"/>
          <w:sz w:val="16"/>
          <w:szCs w:val="16"/>
          <w:b w:val="1"/>
          <w:bCs w:val="1"/>
          <w:i w:val="1"/>
          <w:iCs w:val="1"/>
          <w:color w:val="auto"/>
        </w:rPr>
        <w:t>Unadopted Accounting Pronouncements</w:t>
      </w:r>
      <w:r>
        <w:rPr>
          <w:rFonts w:ascii="Arial" w:cs="Arial" w:eastAsia="Arial" w:hAnsi="Arial"/>
          <w:sz w:val="16"/>
          <w:szCs w:val="16"/>
          <w:color w:val="auto"/>
        </w:rPr>
        <w:t>—In May 2014, the FASB issued ASU 2014-09,</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252525"/>
        </w:rPr>
        <w:t>Revenues from Contracts with Customers (Topic 606)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252525"/>
        </w:rPr>
        <w:t>(</w:t>
      </w:r>
      <w:r>
        <w:rPr>
          <w:rFonts w:ascii="Arial" w:cs="Arial" w:eastAsia="Arial" w:hAnsi="Arial"/>
          <w:sz w:val="16"/>
          <w:szCs w:val="16"/>
          <w:color w:val="000000"/>
        </w:rPr>
        <w:t>“ASU 2014-09”</w:t>
      </w:r>
      <w:r>
        <w:rPr>
          <w:rFonts w:ascii="Arial" w:cs="Arial" w:eastAsia="Arial" w:hAnsi="Arial"/>
          <w:sz w:val="16"/>
          <w:szCs w:val="16"/>
          <w:color w:val="252525"/>
        </w:rPr>
        <w:t>)</w:t>
      </w:r>
      <w:r>
        <w:rPr>
          <w:rFonts w:ascii="Arial" w:cs="Arial" w:eastAsia="Arial" w:hAnsi="Arial"/>
          <w:sz w:val="16"/>
          <w:szCs w:val="16"/>
          <w:i w:val="1"/>
          <w:iCs w:val="1"/>
          <w:color w:val="252525"/>
        </w:rPr>
        <w:t>.</w:t>
      </w:r>
      <w:r>
        <w:rPr>
          <w:rFonts w:ascii="Arial" w:cs="Arial" w:eastAsia="Arial" w:hAnsi="Arial"/>
          <w:sz w:val="16"/>
          <w:szCs w:val="16"/>
          <w:color w:val="252525"/>
        </w:rPr>
        <w:t xml:space="preserve"> ASU 2014-09 requires </w:t>
      </w:r>
      <w:r>
        <w:rPr>
          <w:rFonts w:ascii="Arial" w:cs="Arial" w:eastAsia="Arial" w:hAnsi="Arial"/>
          <w:sz w:val="16"/>
          <w:szCs w:val="16"/>
          <w:color w:val="000000"/>
        </w:rPr>
        <w:t>that a company recognize revenue when it transfers promised goods or services to customers in an amount</w:t>
      </w:r>
      <w:r>
        <w:rPr>
          <w:rFonts w:ascii="Arial" w:cs="Arial" w:eastAsia="Arial" w:hAnsi="Arial"/>
          <w:sz w:val="16"/>
          <w:szCs w:val="16"/>
          <w:color w:val="252525"/>
        </w:rPr>
        <w:t xml:space="preserve"> </w:t>
      </w:r>
      <w:r>
        <w:rPr>
          <w:rFonts w:ascii="Arial" w:cs="Arial" w:eastAsia="Arial" w:hAnsi="Arial"/>
          <w:sz w:val="16"/>
          <w:szCs w:val="16"/>
          <w:color w:val="000000"/>
        </w:rPr>
        <w:t xml:space="preserve">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Additionally, during 2016, the FASB issued ASU 2016-08, </w:t>
      </w:r>
      <w:r>
        <w:rPr>
          <w:rFonts w:ascii="Arial" w:cs="Arial" w:eastAsia="Arial" w:hAnsi="Arial"/>
          <w:sz w:val="16"/>
          <w:szCs w:val="16"/>
          <w:i w:val="1"/>
          <w:iCs w:val="1"/>
          <w:color w:val="000000"/>
        </w:rPr>
        <w:t>Revenue from Contracts with</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Customers, Principal versus Agent Considerations, </w:t>
      </w:r>
      <w:r>
        <w:rPr>
          <w:rFonts w:ascii="Arial" w:cs="Arial" w:eastAsia="Arial" w:hAnsi="Arial"/>
          <w:sz w:val="16"/>
          <w:szCs w:val="16"/>
          <w:color w:val="000000"/>
        </w:rPr>
        <w:t>ASU 2016-10,</w:t>
      </w:r>
      <w:r>
        <w:rPr>
          <w:rFonts w:ascii="Arial" w:cs="Arial" w:eastAsia="Arial" w:hAnsi="Arial"/>
          <w:sz w:val="16"/>
          <w:szCs w:val="16"/>
          <w:i w:val="1"/>
          <w:iCs w:val="1"/>
          <w:color w:val="000000"/>
        </w:rPr>
        <w:t xml:space="preserve"> Revenue from Contracts with Customers, Identifying Performance Obligations and Licensing </w:t>
      </w:r>
      <w:r>
        <w:rPr>
          <w:rFonts w:ascii="Arial" w:cs="Arial" w:eastAsia="Arial" w:hAnsi="Arial"/>
          <w:sz w:val="16"/>
          <w:szCs w:val="16"/>
          <w:color w:val="000000"/>
        </w:rPr>
        <w:t>and ASU 2016-12,</w:t>
      </w:r>
      <w:r>
        <w:rPr>
          <w:rFonts w:ascii="Arial" w:cs="Arial" w:eastAsia="Arial" w:hAnsi="Arial"/>
          <w:sz w:val="16"/>
          <w:szCs w:val="16"/>
          <w:i w:val="1"/>
          <w:iCs w:val="1"/>
          <w:color w:val="000000"/>
        </w:rPr>
        <w:t xml:space="preserve"> Revenue from Contracts with Customers, Narrow-Scope Improvements and Practical Expedients</w:t>
      </w:r>
      <w:r>
        <w:rPr>
          <w:rFonts w:ascii="Arial" w:cs="Arial" w:eastAsia="Arial" w:hAnsi="Arial"/>
          <w:sz w:val="16"/>
          <w:szCs w:val="16"/>
          <w:color w:val="000000"/>
        </w:rPr>
        <w:t>, ASU 2016-20,</w:t>
      </w:r>
      <w:r>
        <w:rPr>
          <w:rFonts w:ascii="Arial" w:cs="Arial" w:eastAsia="Arial" w:hAnsi="Arial"/>
          <w:sz w:val="16"/>
          <w:szCs w:val="16"/>
          <w:i w:val="1"/>
          <w:iCs w:val="1"/>
          <w:color w:val="000000"/>
        </w:rPr>
        <w:t xml:space="preserve"> Technical Corrections and Improvements to Topic 606, Revenue from Contracts with Customers</w:t>
      </w:r>
      <w:r>
        <w:rPr>
          <w:rFonts w:ascii="Arial" w:cs="Arial" w:eastAsia="Arial" w:hAnsi="Arial"/>
          <w:sz w:val="16"/>
          <w:szCs w:val="16"/>
          <w:color w:val="000000"/>
        </w:rPr>
        <w:t>, which clarify the guidance on reporting revenue as</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a principal versus agent, identifying and disclosing performance obligations, accounting for intellectual property licenses, and assessing collectibility, present sales tax, treating noncash consideration. The Company’s evaluation of the impact of the new guidance on its consolidated financial statements is ongoing. The Company’s implementation efforts include the identification of revenue within the scope of the guidance, the evaluation of those revenue contracts, education and discussions with the Company’s control functions. The Company continues to evaluate the timing of recognition for various revenues, however, since a substantial portion of the Company’s revenue is recognized from its leasing contracts, subject to ASU 2016-02 </w:t>
      </w:r>
      <w:r>
        <w:rPr>
          <w:rFonts w:ascii="Arial" w:cs="Arial" w:eastAsia="Arial" w:hAnsi="Arial"/>
          <w:sz w:val="16"/>
          <w:szCs w:val="16"/>
          <w:i w:val="1"/>
          <w:iCs w:val="1"/>
          <w:color w:val="000000"/>
        </w:rPr>
        <w:t>Leases,</w:t>
      </w:r>
      <w:r>
        <w:rPr>
          <w:rFonts w:ascii="Arial" w:cs="Arial" w:eastAsia="Arial" w:hAnsi="Arial"/>
          <w:sz w:val="16"/>
          <w:szCs w:val="16"/>
          <w:color w:val="000000"/>
        </w:rPr>
        <w:t xml:space="preserve"> these have been excluded from the evaluation.</w:t>
      </w:r>
    </w:p>
    <w:p>
      <w:pPr>
        <w:spacing w:after="0" w:line="178"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Company’s evaluation of the impact of the new guidance on its consolidated financial statements is ongoing. The Company is currently identifying the lease arrangements within the scope of the new guidance, and evaluating the impact of the lease arrangements.</w:t>
      </w:r>
    </w:p>
    <w:p>
      <w:pPr>
        <w:spacing w:after="0" w:line="16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 (Topic 330)</w:t>
      </w:r>
      <w:r>
        <w:rPr>
          <w:rFonts w:ascii="Arial" w:cs="Arial" w:eastAsia="Arial" w:hAnsi="Arial"/>
          <w:sz w:val="18"/>
          <w:szCs w:val="18"/>
          <w:color w:val="auto"/>
        </w:rPr>
        <w:t xml:space="preserve"> (“ASU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standard will be effective for fiscal years beginning after December 15, 2016, with earlier adoption permitted. The Company is currently evaluating the impact of adopting this new guidance on its consolidated financial statements.</w:t>
      </w:r>
    </w:p>
    <w:p>
      <w:pPr>
        <w:spacing w:after="0" w:line="85"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requires (i) equity investments, except those accounted for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or those that result in consolidation of the investee, to be measured at fair value with changes in fair value recognized in net income,</w:t>
      </w:r>
    </w:p>
    <w:p>
      <w:pPr>
        <w:jc w:val="both"/>
        <w:ind w:left="660" w:hanging="4"/>
        <w:spacing w:after="0" w:line="252" w:lineRule="auto"/>
        <w:tabs>
          <w:tab w:leader="none" w:pos="9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19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In March 2016, the FASB issued ASU 2016-06, </w:t>
      </w:r>
      <w:r>
        <w:rPr>
          <w:rFonts w:ascii="Arial" w:cs="Arial" w:eastAsia="Arial" w:hAnsi="Arial"/>
          <w:sz w:val="18"/>
          <w:szCs w:val="18"/>
          <w:i w:val="1"/>
          <w:iCs w:val="1"/>
          <w:color w:val="auto"/>
        </w:rPr>
        <w:t>Contingent put and call options in debt instruments</w:t>
      </w:r>
      <w:r>
        <w:rPr>
          <w:rFonts w:ascii="Arial" w:cs="Arial" w:eastAsia="Arial" w:hAnsi="Arial"/>
          <w:sz w:val="18"/>
          <w:szCs w:val="18"/>
          <w:color w:val="auto"/>
        </w:rPr>
        <w:t xml:space="preserve"> (“ASU 2016-06”). ASU 2016-06 simplifies the embedded derivative analysis for debt instruments containing contingent call or put options. ASU 2016-06 will be effective fiscal years beginning after December 15, 2016, and interim periods within those fiscal years, with early adoption permitted. The Company believes the impact of adopting this new guidance on its consolidated financial statements will be immaterial.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will be effective beginning in the first quarter of 2017, with early adoption permitted. The Company believes the impact of adopting this new guidance on its consolidated financial statements will be immaterial.</w:t>
      </w:r>
    </w:p>
    <w:p>
      <w:pPr>
        <w:spacing w:after="0" w:line="173"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In May 2016, the FASB issued ASU 2016-11, </w:t>
      </w:r>
      <w:r>
        <w:rPr>
          <w:rFonts w:ascii="Arial" w:cs="Arial" w:eastAsia="Arial" w:hAnsi="Arial"/>
          <w:sz w:val="17"/>
          <w:szCs w:val="17"/>
          <w:i w:val="1"/>
          <w:iCs w:val="1"/>
          <w:color w:val="auto"/>
        </w:rPr>
        <w:t>Revenue Recognition (Topic 605) and Derivatives and Hedging (Topic 815): Rescission of SEC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Guidance Because of Accounting Standards Updates 2014-09 and 2014-16 Pursuant to Staff Announcements at the March 3, 2016 EITF Meeting. </w:t>
      </w:r>
      <w:r>
        <w:rPr>
          <w:rFonts w:ascii="Arial" w:cs="Arial" w:eastAsia="Arial" w:hAnsi="Arial"/>
          <w:sz w:val="17"/>
          <w:szCs w:val="17"/>
          <w:color w:val="auto"/>
        </w:rPr>
        <w:t>The Company is currently evaluating the impact of adopting this new guidance on its consolidated financial statements.</w:t>
      </w:r>
    </w:p>
    <w:p>
      <w:pPr>
        <w:spacing w:after="0" w:line="166"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w:t>
      </w:r>
      <w:r>
        <w:rPr>
          <w:rFonts w:ascii="Arial" w:cs="Arial" w:eastAsia="Arial" w:hAnsi="Arial"/>
          <w:sz w:val="16"/>
          <w:szCs w:val="16"/>
          <w:i w:val="1"/>
          <w:iCs w:val="1"/>
          <w:color w:val="auto"/>
        </w:rPr>
        <w:t xml:space="preserve">. </w:t>
      </w:r>
      <w:r>
        <w:rPr>
          <w:rFonts w:ascii="Arial" w:cs="Arial" w:eastAsia="Arial" w:hAnsi="Arial"/>
          <w:sz w:val="16"/>
          <w:szCs w:val="16"/>
          <w:color w:val="auto"/>
        </w:rPr>
        <w:t>For assets held at amortized cost basis, ASU 2016-13 eliminates the probable initial recognition threshold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16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w:t>
      </w:r>
      <w:r>
        <w:rPr>
          <w:rFonts w:ascii="Arial" w:cs="Arial" w:eastAsia="Arial" w:hAnsi="Arial"/>
          <w:sz w:val="18"/>
          <w:szCs w:val="18"/>
          <w:i w:val="1"/>
          <w:iCs w:val="1"/>
          <w:color w:val="auto"/>
        </w:rPr>
        <w:t>.</w:t>
      </w:r>
      <w:r>
        <w:rPr>
          <w:rFonts w:ascii="Arial" w:cs="Arial" w:eastAsia="Arial" w:hAnsi="Arial"/>
          <w:sz w:val="18"/>
          <w:szCs w:val="18"/>
          <w:color w:val="auto"/>
        </w:rPr>
        <w:t xml:space="preserve"> 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2016-15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197"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 xml:space="preserve">Income Taxes (Topic 740): Intra-Entity Transfers of Assets Other Than Inventory (“ASU 2016-16”). </w:t>
      </w:r>
      <w:r>
        <w:rPr>
          <w:rFonts w:ascii="Arial" w:cs="Arial" w:eastAsia="Arial" w:hAnsi="Arial"/>
          <w:sz w:val="17"/>
          <w:szCs w:val="17"/>
          <w:color w:val="auto"/>
        </w:rPr>
        <w:t>ASU 2016-16 prohibits the recognition of current and deferred income taxes for an intra-entity asset transfer until the asset has been sold to 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or for an intra-entity transfer of inventory. ASU 2016-16 will be effective for annual reporting periods beginning after December 15, 2017, and interim periods within those annual reporting periods. Early adoption is permitted, including adoption in an interim period. The Company is currently evaluating the impact of adopting this new guidance on its consolidated financial statements.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 xml:space="preserve">In October 2016, the FASB issued ASU 2016-17, </w:t>
      </w:r>
      <w:r>
        <w:rPr>
          <w:rFonts w:ascii="Arial" w:cs="Arial" w:eastAsia="Arial" w:hAnsi="Arial"/>
          <w:sz w:val="16"/>
          <w:szCs w:val="16"/>
          <w:i w:val="1"/>
          <w:iCs w:val="1"/>
          <w:color w:val="auto"/>
        </w:rPr>
        <w:t>Consolidation (Topic 810): Interests Held through Related Parties That Are under Common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(“ASU 2016-17”). ASU 2016-17 </w:t>
      </w:r>
      <w:r>
        <w:rPr>
          <w:rFonts w:ascii="Arial" w:cs="Arial" w:eastAsia="Arial" w:hAnsi="Arial"/>
          <w:sz w:val="16"/>
          <w:szCs w:val="16"/>
          <w:color w:val="auto"/>
        </w:rPr>
        <w:t>amends the consolidation guidance on how a reporting entity that is the single decision maker of a VIE</w:t>
      </w:r>
      <w:r>
        <w:rPr>
          <w:rFonts w:ascii="Arial" w:cs="Arial" w:eastAsia="Arial" w:hAnsi="Arial"/>
          <w:sz w:val="16"/>
          <w:szCs w:val="16"/>
          <w:i w:val="1"/>
          <w:iCs w:val="1"/>
          <w:color w:val="auto"/>
        </w:rPr>
        <w:t xml:space="preserve"> </w:t>
      </w:r>
      <w:r>
        <w:rPr>
          <w:rFonts w:ascii="Arial" w:cs="Arial" w:eastAsia="Arial" w:hAnsi="Arial"/>
          <w:sz w:val="16"/>
          <w:szCs w:val="16"/>
          <w:color w:val="auto"/>
        </w:rPr>
        <w:t>should treat indirect interests in the entity held through related parties that are under common control with the reporting entity when determining whether it is the primary beneficiary of that VIE. Under the amendments, a single decision maker is not required to consider indirect interests held through related parties that are under common control with the single decision maker to be the equivalent of direct interests in their entirety. Instead, a single decision maker is required to include those interests on a proportionate basis consistent with indirect interests held through other related parties. ASU 2016-17 will be effective for fiscal years beginning after December 15, 2016, and interim periods within those fiscal years. Early adoption is permitted, including adoption in an interim period. The Company does not expect the adoption of this guidance, beginning in fiscal year 2017, to have an impact on its consolidated financial statements as its interests in VIEs are not held by related parties under common control.</w:t>
      </w:r>
    </w:p>
    <w:p>
      <w:pPr>
        <w:spacing w:after="0" w:line="167"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ASU 2016-18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16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805)(“ASU 2017-01”)</w:t>
      </w:r>
      <w:r>
        <w:rPr>
          <w:rFonts w:ascii="Arial" w:cs="Arial" w:eastAsia="Arial" w:hAnsi="Arial"/>
          <w:sz w:val="16"/>
          <w:szCs w:val="16"/>
          <w:color w:val="auto"/>
        </w:rPr>
        <w:t>. ASU 2017-01 clarifying the definition of a business with the objective of adding guidance to assist entities with evaluating whether transactions should be accounted for as acquisitions (or disposals) of businesses or assets. ASU 2017-01 will be effective for fiscal years beginning after December 15, 2017, and interim periods within those fiscal years. The Company is currently evaluating the impact of adopting this new guidance on its consolidated financial statements.</w:t>
      </w:r>
    </w:p>
    <w:p>
      <w:pPr>
        <w:spacing w:after="0" w:line="154"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 xml:space="preserve">In January 2017, the FASB issued ASU 2017-03, </w:t>
      </w:r>
      <w:r>
        <w:rPr>
          <w:rFonts w:ascii="Arial" w:cs="Arial" w:eastAsia="Arial" w:hAnsi="Arial"/>
          <w:sz w:val="17"/>
          <w:szCs w:val="17"/>
          <w:i w:val="1"/>
          <w:iCs w:val="1"/>
          <w:color w:val="auto"/>
        </w:rPr>
        <w:t>Accounting Changes and Error Corrections (Topic 250) and Investments—Equity Method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Joint Ventures (Topic 323) (“ASU 2017-03”). </w:t>
      </w:r>
      <w:r>
        <w:rPr>
          <w:rFonts w:ascii="Arial" w:cs="Arial" w:eastAsia="Arial" w:hAnsi="Arial"/>
          <w:sz w:val="17"/>
          <w:szCs w:val="17"/>
          <w:color w:val="auto"/>
        </w:rPr>
        <w:t>ASU 2017-03 adds and amends SEC paragraphs pursuant to the SEC Staff Announcements at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September 22, 2016 and November 17, 2016 Emerging Issues Task Force (EITF) meetings. The September announcement is about the disclosure of the impact that recently issued accounting standards will have on the financial statements of a registrant when such standards are adopted in a future period. The November announcement made amendments to conform the SEC Observer Comment on Accounting for Tax Benefits Resulting from Investments in Qualified Affordable Housing Projects to the guidance issued in ASU 2014-01,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323): Accounting for Investments in Qualified Affordable Housing Projects. </w:t>
      </w:r>
      <w:r>
        <w:rPr>
          <w:rFonts w:ascii="Arial" w:cs="Arial" w:eastAsia="Arial" w:hAnsi="Arial"/>
          <w:sz w:val="17"/>
          <w:szCs w:val="17"/>
          <w:color w:val="auto"/>
        </w:rPr>
        <w:t>The Company is currently evaluating the impact of adopting this</w:t>
      </w:r>
      <w:r>
        <w:rPr>
          <w:rFonts w:ascii="Arial" w:cs="Arial" w:eastAsia="Arial" w:hAnsi="Arial"/>
          <w:sz w:val="17"/>
          <w:szCs w:val="17"/>
          <w:i w:val="1"/>
          <w:iCs w:val="1"/>
          <w:color w:val="auto"/>
        </w:rPr>
        <w:t xml:space="preserve"> </w:t>
      </w:r>
      <w:r>
        <w:rPr>
          <w:rFonts w:ascii="Arial" w:cs="Arial" w:eastAsia="Arial" w:hAnsi="Arial"/>
          <w:sz w:val="17"/>
          <w:szCs w:val="17"/>
          <w:color w:val="auto"/>
        </w:rPr>
        <w:t>new guidance on its consolidated financial statements.</w:t>
      </w:r>
    </w:p>
    <w:p>
      <w:pPr>
        <w:spacing w:after="0" w:line="17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(“ASU 2017-04”). </w:t>
      </w:r>
      <w:r>
        <w:rPr>
          <w:rFonts w:ascii="Arial" w:cs="Arial" w:eastAsia="Arial" w:hAnsi="Arial"/>
          <w:sz w:val="18"/>
          <w:szCs w:val="18"/>
          <w:color w:val="auto"/>
        </w:rPr>
        <w:t>ASU 2017-04 addresses concerns over the cost and complexity of the two-step goodwill impairment test by removing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The Company is currently evaluating the impact of adopting this new guidance on its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9440" w:hanging="652"/>
        <w:spacing w:after="0" w:line="378" w:lineRule="auto"/>
        <w:tabs>
          <w:tab w:leader="none" w:pos="6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i w:val="1"/>
          <w:iCs w:val="1"/>
          <w:color w:val="auto"/>
        </w:rPr>
        <w:t>CMQR</w:t>
      </w:r>
    </w:p>
    <w:p>
      <w:pPr>
        <w:jc w:val="both"/>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The Company, through its subsidiaries, acquired certain assets and assumed certain liabilities of Montreal, Maine and Atlantic Railway Ltd. (“MM&amp;A-U.S.”) and Montreal, Maine and Atlantic Canada Co (“MM&amp;A-Canada”) for an aggregate purchase price of approximately $15.2 million, including assumed liabilities of approximately $3.2 million. The acquisitions were accounted for as business combinations pursuant to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and the results of operations of the acquired businesses of MM&amp;A-U.S. and MM&amp;A-Canada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consolidated financial statements of the Company since their respective dates of acquisition. The closing of MM&amp;A-U.S. and MM&amp;A-Canada occurred on May 15, 2014 and June 30, 2014, respectively. Subsequent to the acquisitions, the acquired businesses were renamed as CMQR. CMQR is headquartered in Maine and owns and operates approximately 500 miles of track in the US and Canada. CMQR is reported within the Railroad segment. The Company viewed the acquisitions of MM&amp;A-U.S. and MM&amp;A-Canada as an opportunity to gain entry into the railroad industry.</w:t>
      </w:r>
    </w:p>
    <w:p>
      <w:pPr>
        <w:spacing w:after="0" w:line="8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in the year ended December 31, 2014, measurement period adjustments as of the acquisition date were made to the valuation of fixed assets acquired and employee and environmental liabilities assumed consisting of an increase to fixed assets of $679, an increase to assumed employee liabilities of $232, an increase to assumed environmental liabilities of $680, and additional goodwill recorded of $233. The measurement period adjustments impacted depreciation expense by $30 in the year ended December 31, 2014. There were no additional measurement period adjustments during the year ended December 31, 2015.</w:t>
      </w:r>
    </w:p>
    <w:p>
      <w:pPr>
        <w:spacing w:after="0" w:line="80"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property, plant and equipment acquired in connection with CMQR is being depreciated based on estimated remaining useful lives from the date of acquisition, which are 4 years for buildings, 2-5 years for track and track related assets, 4-6 years for railroad equipment, 2 years for vehicles and 5 years for freight cars and locomotives, as all of the acquired assets were near the end of their useful lives at the time of acquisition.</w:t>
      </w:r>
    </w:p>
    <w:p>
      <w:pPr>
        <w:spacing w:after="0" w:line="3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purchase, the Company incurred general and administrative expenses and employee severance expenses of approximately $392, included within Operating Expenses, in the Consolidated Statement of Operations for the year ended December 31, 2014. The goodwill recognized is comprised primarily of an assembled workforce and is deductible for tax purposes.</w:t>
      </w:r>
    </w:p>
    <w:p>
      <w:pPr>
        <w:spacing w:after="0" w:line="7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JEFFERSON TERMINAL</w:t>
      </w:r>
    </w:p>
    <w:p>
      <w:pPr>
        <w:spacing w:after="0" w:line="117"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through its subsidiaries, acquired certain assets and assumed certain liabilities of Jefferson Refinery, LLC, Port of Beaumont Petroleum Transload Terminal I, LLC, and Port of Beaumont Petroleum Transload Terminal II, LLC (collectively “Jefferson Terminal”). Jefferson Terminal is comprised of complementary energy logistics assets and is headquartered in The Woodlands, Texas. Its principal operations are to engage in the business of terminalling, storage, throughput and transloading of crude oil and petroleum products. Prior to the acquisition, a subsidiary of the Company had several term loan agreements with Jefferson Refinery, LLC (“Pre-Existing Debt Relationships”) of $97.6 million. The acquisition of Jefferson Terminal was consummated on August 27, 2014. The Company viewed the acquisition of Jefferson Terminal as an opportunity to gain entry into this industry.</w:t>
      </w:r>
    </w:p>
    <w:p>
      <w:pPr>
        <w:spacing w:after="0" w:line="81"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Jefferson Terminal was purchased for an aggregate purchase price of approximately $608.3 million, including assumed liabilities of $522.5 million (of which $97.6 million relates to Pre-Existing Debt Relationships) and equity consideration of $38.2 million. The Company purchased a 60% interest in Jefferson Terminal with the remaining 40% interest in Jefferson Terminal owned by a portion of the retaining shareholders and a private equity fund sponsored by Fortress, each holding an interest of approximately 20% at the acquisition date and accounted for as non-controlling interests in the accompanying consolidated financial statements. In connection with the acquisition, a $100 million loan was also obtained (Note 9).</w:t>
      </w:r>
    </w:p>
    <w:p>
      <w:pPr>
        <w:spacing w:after="0" w:line="50"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acquisition was accounted for as a business combination under ASC 805 and the results of operations of the acquired business of Jefferson Terminal have been included in the consolidated financial statements since the date of acquisition. The goodwill recognized is attributable to strategic opportunities and expected future cash flows of the business and approximately $45 million of goodwill is expected to be deductible by a subsidiary of the Company for tax purposes. Property, plant and equipment acquired in connection with Jefferson Terminal is being depreciated based on estimated remaining useful lives from the date of acquisition.</w:t>
      </w:r>
    </w:p>
    <w:p>
      <w:pPr>
        <w:spacing w:after="0" w:line="80"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Subsequent to the acquisition, in the year ended December 31, 2015, measurement period adjustments as of the acquisition date were made to decrease construction in progress within property, plant, and equipment, net by $947, increase intangible assets, net by $128, increase goodwill by $1,358, increase accounts payable and accrued liabilities assumed by $390 and increase other liabilities assumed by $149.</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fair values assigned to acquired assets and assumed liabilities of CMQR and Jefferson Terminal at their respective dates of acquisition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CMQR</w:t>
            </w:r>
          </w:p>
        </w:tc>
        <w:tc>
          <w:tcPr>
            <w:tcW w:w="400" w:type="dxa"/>
            <w:vAlign w:val="bottom"/>
          </w:tcPr>
          <w:p>
            <w:pPr>
              <w:spacing w:after="0"/>
              <w:rPr>
                <w:sz w:val="17"/>
                <w:szCs w:val="17"/>
                <w:color w:val="auto"/>
              </w:rPr>
            </w:pPr>
          </w:p>
        </w:tc>
        <w:tc>
          <w:tcPr>
            <w:tcW w:w="1640" w:type="dxa"/>
            <w:vAlign w:val="bottom"/>
          </w:tcPr>
          <w:p>
            <w:pPr>
              <w:jc w:val="right"/>
              <w:ind w:right="619"/>
              <w:spacing w:after="0"/>
              <w:rPr>
                <w:sz w:val="20"/>
                <w:szCs w:val="20"/>
                <w:color w:val="auto"/>
              </w:rPr>
            </w:pPr>
            <w:r>
              <w:rPr>
                <w:rFonts w:ascii="Arial" w:cs="Arial" w:eastAsia="Arial" w:hAnsi="Arial"/>
                <w:sz w:val="16"/>
                <w:szCs w:val="16"/>
                <w:b w:val="1"/>
                <w:bCs w:val="1"/>
                <w:color w:val="auto"/>
              </w:rPr>
              <w:t>Jefferson</w:t>
            </w:r>
          </w:p>
        </w:tc>
        <w:tc>
          <w:tcPr>
            <w:tcW w:w="0" w:type="dxa"/>
            <w:vAlign w:val="bottom"/>
          </w:tcPr>
          <w:p>
            <w:pPr>
              <w:spacing w:after="0"/>
              <w:rPr>
                <w:sz w:val="1"/>
                <w:szCs w:val="1"/>
                <w:color w:val="auto"/>
              </w:rPr>
            </w:pPr>
          </w:p>
        </w:tc>
      </w:tr>
      <w:tr>
        <w:trPr>
          <w:trHeight w:val="102"/>
        </w:trPr>
        <w:tc>
          <w:tcPr>
            <w:tcW w:w="7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64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Terminal</w:t>
            </w: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4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190,811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Land and site improvements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9,573</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Track</w:t>
            </w:r>
          </w:p>
        </w:tc>
        <w:tc>
          <w:tcPr>
            <w:tcW w:w="44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4,952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Buildings and improvements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2,139</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Crude oil terminal machinery and equipment</w:t>
            </w:r>
          </w:p>
        </w:tc>
        <w:tc>
          <w:tcPr>
            <w:tcW w:w="4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47,286</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Railroad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Furniture and fixtures</w:t>
            </w:r>
          </w:p>
        </w:tc>
        <w:tc>
          <w:tcPr>
            <w:tcW w:w="4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Computer hardware and software</w:t>
            </w:r>
          </w:p>
        </w:tc>
        <w:tc>
          <w:tcPr>
            <w:tcW w:w="4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Turnout and other track materials</w:t>
            </w:r>
          </w:p>
        </w:tc>
        <w:tc>
          <w:tcPr>
            <w:tcW w:w="44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1,415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Vehicles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Railcars and locomotives</w:t>
            </w:r>
          </w:p>
        </w:tc>
        <w:tc>
          <w:tcPr>
            <w:tcW w:w="44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 in progress</w:t>
            </w:r>
          </w:p>
        </w:tc>
        <w:tc>
          <w:tcPr>
            <w:tcW w:w="4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85,276</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Prepaids and other deposits</w:t>
            </w:r>
          </w:p>
        </w:tc>
        <w:tc>
          <w:tcPr>
            <w:tcW w:w="44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6,102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Tendered bonds</w:t>
            </w:r>
          </w:p>
        </w:tc>
        <w:tc>
          <w:tcPr>
            <w:tcW w:w="4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115,000</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Customer lists and customer contracts</w:t>
            </w:r>
          </w:p>
        </w:tc>
        <w:tc>
          <w:tcPr>
            <w:tcW w:w="44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35,513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115,991</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4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15,224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608,300</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7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Employee-related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Environmental remediation liabilities</w:t>
            </w:r>
          </w:p>
        </w:tc>
        <w:tc>
          <w:tcPr>
            <w:tcW w:w="4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(1,333)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Real estate taxes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4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(56,540)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Term loan</w:t>
            </w:r>
          </w:p>
        </w:tc>
        <w:tc>
          <w:tcPr>
            <w:tcW w:w="4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(93,995)</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Bonds Payable</w:t>
            </w:r>
          </w:p>
        </w:tc>
        <w:tc>
          <w:tcPr>
            <w:tcW w:w="4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(348,788)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Note Payable</w:t>
            </w:r>
          </w:p>
        </w:tc>
        <w:tc>
          <w:tcPr>
            <w:tcW w:w="4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(21,297)</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44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(522,522)</w:t>
            </w:r>
          </w:p>
        </w:tc>
        <w:tc>
          <w:tcPr>
            <w:tcW w:w="0" w:type="dxa"/>
            <w:vAlign w:val="bottom"/>
          </w:tcPr>
          <w:p>
            <w:pPr>
              <w:spacing w:after="0"/>
              <w:rPr>
                <w:sz w:val="1"/>
                <w:szCs w:val="1"/>
                <w:color w:val="auto"/>
              </w:rPr>
            </w:pPr>
          </w:p>
        </w:tc>
      </w:tr>
      <w:tr>
        <w:trPr>
          <w:trHeight w:val="244"/>
        </w:trPr>
        <w:tc>
          <w:tcPr>
            <w:tcW w:w="7200" w:type="dxa"/>
            <w:vAlign w:val="bottom"/>
          </w:tcPr>
          <w:p>
            <w:pPr>
              <w:ind w:left="40"/>
              <w:spacing w:after="0"/>
              <w:rPr>
                <w:sz w:val="20"/>
                <w:szCs w:val="20"/>
                <w:color w:val="auto"/>
              </w:rPr>
            </w:pPr>
            <w:r>
              <w:rPr>
                <w:rFonts w:ascii="Arial" w:cs="Arial" w:eastAsia="Arial" w:hAnsi="Arial"/>
                <w:sz w:val="16"/>
                <w:szCs w:val="16"/>
                <w:b w:val="1"/>
                <w:bCs w:val="1"/>
                <w:color w:val="auto"/>
              </w:rPr>
              <w:t>Net assets acquired</w:t>
            </w: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12,058</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85,778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2014, goodwill additions of $593 and $115,991 were attributed to the Railroad and Jefferson Terminal reportable segments, respectively.</w:t>
      </w:r>
    </w:p>
    <w:p>
      <w:pPr>
        <w:spacing w:after="0" w:line="62"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The fair values assigned to intangible assets were determined through the use of the replacement cost method and the income approach, specifically the multi-period excess earnings method. Both valuation methods rely on management’s judgments, including the cost to recreate the customer relationships, expected future cash flows resulting from existing customer relationships, customer attrition rates, contributory effects of other assets utilized in the business, and peer group cost of capital as well as other factors. The valuation of tangible assets was derived using a combination of the income approach, the market approach and the cost approach. Significant judgments used in valuing tangible assets include estimated reproduction or replacement cost, useful lives of assets and estimated selling prices. The valuation of assumed liabilities, including bonds payable, was derived using the market approach, using quoted values as available and the income approach, comparing the stated interest rate on certain credit agreements to the market interest rate. The valuation of equity interests conveyed to retaining shareholders was derived using the market approach, as agreed between the parties, representing the cash that would have been offered on an arm’s length basis, on the acquisition date.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420"/>
          </w:cols>
          <w:pgMar w:left="240" w:top="121"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60"/>
        <w:spacing w:after="0" w:line="281" w:lineRule="auto"/>
        <w:rPr>
          <w:sz w:val="20"/>
          <w:szCs w:val="20"/>
          <w:color w:val="auto"/>
        </w:rPr>
      </w:pPr>
      <w:r>
        <w:rPr>
          <w:rFonts w:ascii="Arial" w:cs="Arial" w:eastAsia="Arial" w:hAnsi="Arial"/>
          <w:sz w:val="17"/>
          <w:szCs w:val="17"/>
          <w:b w:val="1"/>
          <w:bCs w:val="1"/>
          <w:i w:val="1"/>
          <w:iCs w:val="1"/>
          <w:color w:val="auto"/>
        </w:rPr>
        <w:t>Supplementary Pro Forma Information</w:t>
      </w:r>
      <w:r>
        <w:rPr>
          <w:rFonts w:ascii="Arial" w:cs="Arial" w:eastAsia="Arial" w:hAnsi="Arial"/>
          <w:sz w:val="17"/>
          <w:szCs w:val="17"/>
          <w:b w:val="1"/>
          <w:bCs w:val="1"/>
          <w:color w:val="auto"/>
        </w:rPr>
        <w:t>—</w:t>
      </w:r>
      <w:r>
        <w:rPr>
          <w:rFonts w:ascii="Arial" w:cs="Arial" w:eastAsia="Arial" w:hAnsi="Arial"/>
          <w:sz w:val="17"/>
          <w:szCs w:val="17"/>
          <w:color w:val="auto"/>
        </w:rPr>
        <w:t>The unaudited pro forma information has been derived from our historical consolidated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and has been prepared to give effect to the acquisitions, assuming that the acquisitions of CMQR and Jefferson Terminal occurred on January 1, 2013. The unaudited pro forma pre-tax net income (loss) for the year ended December 31, 2014 has been adjusted to reflect the additional depreciation and amortization that would have resulted from changes in the estimated fair value of assets and liabilities.</w:t>
      </w:r>
    </w:p>
    <w:p>
      <w:pPr>
        <w:spacing w:after="0" w:line="115"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8820" w:type="dxa"/>
            <w:vAlign w:val="bottom"/>
          </w:tcPr>
          <w:p>
            <w:pPr>
              <w:spacing w:after="0"/>
              <w:rPr>
                <w:sz w:val="17"/>
                <w:szCs w:val="17"/>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Year Ended December 31,</w:t>
            </w:r>
          </w:p>
        </w:tc>
      </w:tr>
      <w:tr>
        <w:trPr>
          <w:trHeight w:val="210"/>
        </w:trPr>
        <w:tc>
          <w:tcPr>
            <w:tcW w:w="8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88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Pro Forma</w:t>
            </w:r>
            <w:r>
              <w:rPr>
                <w:rFonts w:ascii="Arial" w:cs="Arial" w:eastAsia="Arial" w:hAnsi="Arial"/>
                <w:sz w:val="16"/>
                <w:szCs w:val="16"/>
                <w:color w:val="auto"/>
              </w:rPr>
              <w:t>—</w:t>
            </w:r>
            <w:r>
              <w:rPr>
                <w:rFonts w:ascii="Arial" w:cs="Arial" w:eastAsia="Arial" w:hAnsi="Arial"/>
                <w:sz w:val="16"/>
                <w:szCs w:val="16"/>
                <w:b w:val="1"/>
                <w:bCs w:val="1"/>
                <w:color w:val="auto"/>
              </w:rPr>
              <w:t>CMQR</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24"/>
        </w:trPr>
        <w:tc>
          <w:tcPr>
            <w:tcW w:w="8820" w:type="dxa"/>
            <w:vAlign w:val="bottom"/>
          </w:tcPr>
          <w:p>
            <w:pPr>
              <w:ind w:left="380"/>
              <w:spacing w:after="0"/>
              <w:rPr>
                <w:sz w:val="20"/>
                <w:szCs w:val="20"/>
                <w:color w:val="auto"/>
              </w:rPr>
            </w:pPr>
            <w:r>
              <w:rPr>
                <w:rFonts w:ascii="Arial" w:cs="Arial" w:eastAsia="Arial" w:hAnsi="Arial"/>
                <w:sz w:val="16"/>
                <w:szCs w:val="16"/>
                <w:color w:val="auto"/>
              </w:rPr>
              <w:t>Revenues</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63,528</w:t>
            </w:r>
          </w:p>
        </w:tc>
      </w:tr>
      <w:tr>
        <w:trPr>
          <w:trHeight w:val="33"/>
        </w:trPr>
        <w:tc>
          <w:tcPr>
            <w:tcW w:w="8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Pre-tax net income</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w:t>
            </w:r>
          </w:p>
        </w:tc>
      </w:tr>
      <w:tr>
        <w:trPr>
          <w:trHeight w:val="237"/>
        </w:trPr>
        <w:tc>
          <w:tcPr>
            <w:tcW w:w="8820" w:type="dxa"/>
            <w:vAlign w:val="bottom"/>
          </w:tcPr>
          <w:p>
            <w:pPr>
              <w:ind w:left="20"/>
              <w:spacing w:after="0"/>
              <w:rPr>
                <w:sz w:val="20"/>
                <w:szCs w:val="20"/>
                <w:color w:val="auto"/>
              </w:rPr>
            </w:pPr>
            <w:r>
              <w:rPr>
                <w:rFonts w:ascii="Arial" w:cs="Arial" w:eastAsia="Arial" w:hAnsi="Arial"/>
                <w:sz w:val="16"/>
                <w:szCs w:val="16"/>
                <w:b w:val="1"/>
                <w:bCs w:val="1"/>
                <w:color w:val="auto"/>
              </w:rPr>
              <w:t>Pro Forma</w:t>
            </w:r>
            <w:r>
              <w:rPr>
                <w:rFonts w:ascii="Arial" w:cs="Arial" w:eastAsia="Arial" w:hAnsi="Arial"/>
                <w:sz w:val="16"/>
                <w:szCs w:val="16"/>
                <w:color w:val="auto"/>
              </w:rPr>
              <w:t>—</w:t>
            </w:r>
            <w:r>
              <w:rPr>
                <w:rFonts w:ascii="Arial" w:cs="Arial" w:eastAsia="Arial" w:hAnsi="Arial"/>
                <w:sz w:val="16"/>
                <w:szCs w:val="16"/>
                <w:b w:val="1"/>
                <w:bCs w:val="1"/>
                <w:color w:val="auto"/>
              </w:rPr>
              <w:t>Jefferson Terminal</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3"/>
        </w:trPr>
        <w:tc>
          <w:tcPr>
            <w:tcW w:w="8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60,577</w:t>
            </w:r>
          </w:p>
        </w:tc>
      </w:tr>
      <w:tr>
        <w:trPr>
          <w:trHeight w:val="224"/>
        </w:trPr>
        <w:tc>
          <w:tcPr>
            <w:tcW w:w="8820" w:type="dxa"/>
            <w:vAlign w:val="bottom"/>
          </w:tcPr>
          <w:p>
            <w:pPr>
              <w:ind w:left="380"/>
              <w:spacing w:after="0"/>
              <w:rPr>
                <w:sz w:val="20"/>
                <w:szCs w:val="20"/>
                <w:color w:val="auto"/>
              </w:rPr>
            </w:pPr>
            <w:r>
              <w:rPr>
                <w:rFonts w:ascii="Arial" w:cs="Arial" w:eastAsia="Arial" w:hAnsi="Arial"/>
                <w:sz w:val="16"/>
                <w:szCs w:val="16"/>
                <w:color w:val="auto"/>
              </w:rPr>
              <w:t>Pre-tax net loss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(46,906)</w:t>
            </w:r>
          </w:p>
        </w:tc>
      </w:tr>
    </w:tbl>
    <w:p>
      <w:pPr>
        <w:spacing w:after="0" w:line="12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Pro forma results do not include any anticipated synergies or other anticipated benefits of the acquisition. Accordingly, the unaudited pro forma financial information is not necessarily indicative or either future results of operations or results that might have been achieved had the acquisition occurred on January 1, 2013.</w:t>
      </w:r>
    </w:p>
    <w:p>
      <w:pPr>
        <w:spacing w:after="0" w:line="18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During the year ended December 31, 2014, for CMQR and Jefferson Terminal, the Company recognized $9,969 and $2,652, respectively, in revenues and $11,957 and $15,768, respectively, of loss before income taxes, which includes acquisition and transaction related expenses of $5,646 and $5,494, respectively, included within acquisition and transaction expenses in the Consolidated Statement of Operations.</w:t>
      </w:r>
    </w:p>
    <w:p>
      <w:pPr>
        <w:spacing w:after="0" w:line="53"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LEASING EQUIPMENT,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Leasing equipment, net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2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849,565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681,212</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1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(84,110)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(44,531)</w:t>
            </w:r>
          </w:p>
        </w:tc>
      </w:tr>
      <w:tr>
        <w:trPr>
          <w:trHeight w:val="33"/>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Leasing equipment, net</w:t>
            </w:r>
          </w:p>
        </w:tc>
        <w:tc>
          <w:tcPr>
            <w:tcW w:w="1320" w:type="dxa"/>
            <w:vAlign w:val="bottom"/>
            <w:tcBorders>
              <w:bottom w:val="single" w:sz="8" w:color="auto"/>
            </w:tcBorders>
            <w:shd w:val="clear" w:color="auto" w:fill="CCEEFF"/>
          </w:tcPr>
          <w:p>
            <w:pPr>
              <w:jc w:val="right"/>
              <w:ind w:right="11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765,455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636,681</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year ended December 31, 2016, the Company acquired nine aircraft and twenty-eight commercial jet engines, and sold one aircraft and four commercial jet engines. Depreciation expense for leasing equipment for the years ended December 31, 2016, 2015 and 2014 was $43,886, $30,624 and $12,683, respectively.</w:t>
      </w:r>
    </w:p>
    <w:p>
      <w:pPr>
        <w:spacing w:after="0" w:line="69"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Finance leases, net are summarized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Pr>
          <w:p>
            <w:pPr>
              <w:spacing w:after="0"/>
              <w:rPr>
                <w:sz w:val="18"/>
                <w:szCs w:val="18"/>
                <w:color w:val="auto"/>
              </w:rPr>
            </w:pPr>
          </w:p>
        </w:tc>
      </w:tr>
      <w:tr>
        <w:trPr>
          <w:trHeight w:val="47"/>
        </w:trPr>
        <w:tc>
          <w:tcPr>
            <w:tcW w:w="72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17"/>
        </w:trPr>
        <w:tc>
          <w:tcPr>
            <w:tcW w:w="72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47"/>
        </w:trPr>
        <w:tc>
          <w:tcPr>
            <w:tcW w:w="72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18,022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102,369</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1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(8,305)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(19,848)</w:t>
            </w:r>
          </w:p>
        </w:tc>
      </w:tr>
      <w:tr>
        <w:trPr>
          <w:trHeight w:val="33"/>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Finance leases, net</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82,521</w:t>
            </w: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During the first quarter of 2016, the Company completed the sale of approximately 42,000 shipping containers that were subject to direct finance leases for a modest gain.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 future minimum lease payments to be received under finance leases for the remainder of the lease terms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33"/>
        </w:trPr>
        <w:tc>
          <w:tcPr>
            <w:tcW w:w="9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2018</w:t>
            </w:r>
          </w:p>
        </w:tc>
        <w:tc>
          <w:tcPr>
            <w:tcW w:w="48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2,008</w:t>
            </w:r>
          </w:p>
        </w:tc>
      </w:tr>
      <w:tr>
        <w:trPr>
          <w:trHeight w:val="33"/>
        </w:trPr>
        <w:tc>
          <w:tcPr>
            <w:tcW w:w="9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2020</w:t>
            </w:r>
          </w:p>
        </w:tc>
        <w:tc>
          <w:tcPr>
            <w:tcW w:w="48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2,013</w:t>
            </w:r>
          </w:p>
        </w:tc>
      </w:tr>
      <w:tr>
        <w:trPr>
          <w:trHeight w:val="33"/>
        </w:trPr>
        <w:tc>
          <w:tcPr>
            <w:tcW w:w="9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8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7,977</w:t>
            </w:r>
          </w:p>
        </w:tc>
      </w:tr>
      <w:tr>
        <w:trPr>
          <w:trHeight w:val="33"/>
        </w:trPr>
        <w:tc>
          <w:tcPr>
            <w:tcW w:w="93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18,022</w:t>
            </w:r>
          </w:p>
        </w:tc>
      </w:tr>
      <w:tr>
        <w:trPr>
          <w:trHeight w:val="20"/>
        </w:trPr>
        <w:tc>
          <w:tcPr>
            <w:tcW w:w="9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6360" w:hanging="652"/>
        <w:spacing w:after="0" w:line="445" w:lineRule="auto"/>
        <w:tabs>
          <w:tab w:leader="none" w:pos="6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net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2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tcPr>
          <w:p>
            <w:pPr>
              <w:spacing w:after="0"/>
              <w:rPr>
                <w:sz w:val="18"/>
                <w:szCs w:val="18"/>
                <w:color w:val="auto"/>
              </w:rPr>
            </w:pPr>
          </w:p>
        </w:tc>
      </w:tr>
      <w:tr>
        <w:trPr>
          <w:trHeight w:val="3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jc w:val="right"/>
              <w:ind w:right="79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779"/>
              <w:spacing w:after="0"/>
              <w:rPr>
                <w:sz w:val="20"/>
                <w:szCs w:val="20"/>
                <w:color w:val="auto"/>
              </w:rPr>
            </w:pPr>
            <w:r>
              <w:rPr>
                <w:rFonts w:ascii="Arial" w:cs="Arial" w:eastAsia="Arial" w:hAnsi="Arial"/>
                <w:sz w:val="16"/>
                <w:szCs w:val="16"/>
                <w:b w:val="1"/>
                <w:bCs w:val="1"/>
                <w:color w:val="auto"/>
              </w:rPr>
              <w:t>2015</w:t>
            </w:r>
          </w:p>
        </w:tc>
      </w:tr>
      <w:tr>
        <w:trPr>
          <w:trHeight w:val="33"/>
        </w:trPr>
        <w:tc>
          <w:tcPr>
            <w:tcW w:w="7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Land, site improvements and rights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57,617</w:t>
            </w:r>
          </w:p>
        </w:tc>
        <w:tc>
          <w:tcPr>
            <w:tcW w:w="100" w:type="dxa"/>
            <w:vAlign w:val="bottom"/>
          </w:tcPr>
          <w:p>
            <w:pPr>
              <w:spacing w:after="0"/>
              <w:rPr>
                <w:sz w:val="20"/>
                <w:szCs w:val="20"/>
                <w:color w:val="auto"/>
              </w:rPr>
            </w:pPr>
          </w:p>
        </w:tc>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19,492</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49,605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55,927</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Buildings and improvements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2,750</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236,652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210,857</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Track and track related assets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22,948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17,159</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Railroad equipment</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Railcars and locomotives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2,909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1,720</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Computer hardware and software</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Furniture and fixtures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5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w:t>
            </w:r>
          </w:p>
        </w:tc>
      </w:tr>
      <w:tr>
        <w:trPr>
          <w:trHeight w:val="217"/>
        </w:trPr>
        <w:tc>
          <w:tcPr>
            <w:tcW w:w="7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375,350</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310,064</w:t>
            </w: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5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(13,215)</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Spare parts</w:t>
            </w:r>
          </w:p>
        </w:tc>
        <w:tc>
          <w:tcPr>
            <w:tcW w:w="50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2,833</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2,829</w:t>
            </w: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352,181</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299,678</w:t>
            </w: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During the year ended December 31, 2016, additional property, plant and equipment of $65,780 was acquired, consisting primarily of the purchase of land, construction in progress, crude oil machinery and equipment, and railcars and locomotives.</w:t>
      </w:r>
    </w:p>
    <w:p>
      <w:pPr>
        <w:spacing w:after="0" w:line="62"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On July 1, 2016, the Company, through one of its consolidated subsidiaries, purchased the assets of Repauno for a cash purchase price of approximately $24,000. These amounts consist primarily of land, a storage cavern, riparian rights for the acquired land, site improvements and rights. As part of the transaction, additional amounts of $13,991 were capitalized for costs directly related to the purchase, including costs for legal advice, exploratory diligence, and regulatory permitting costs in an effort to close the transaction and pre-acquisition services provided by our third party shareholder in exchange for a minority interest. As of December 31, 2016, Repauno is part of the Corporate segment.</w:t>
      </w:r>
    </w:p>
    <w:p>
      <w:pPr>
        <w:spacing w:after="0" w:line="64"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During the year ended December 31, 2016, disposals of property, plant and equipment totaled $490. During the year ended December 31, 2015, disposals of property, plant and equipment totaled $893, mainly related to railroad equipment, vehicles, and furniture and fixtures. Depreciation expense for property, plant and equipment was $12,726, $11,099, and $2,107 for the years ended December 31, 2016, 2015, and 2014,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ownership interests and carrying values of the Company’s investments: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4"/>
          </w:tcPr>
          <w:p>
            <w:pPr>
              <w:jc w:val="right"/>
              <w:ind w:right="1459"/>
              <w:spacing w:after="0"/>
              <w:rPr>
                <w:sz w:val="20"/>
                <w:szCs w:val="20"/>
                <w:color w:val="auto"/>
              </w:rPr>
            </w:pPr>
            <w:r>
              <w:rPr>
                <w:rFonts w:ascii="Arial" w:cs="Arial" w:eastAsia="Arial" w:hAnsi="Arial"/>
                <w:sz w:val="16"/>
                <w:szCs w:val="16"/>
                <w:b w:val="1"/>
                <w:bCs w:val="1"/>
                <w:color w:val="auto"/>
              </w:rPr>
              <w:t>Carrying Value</w:t>
            </w:r>
          </w:p>
        </w:tc>
      </w:tr>
      <w:tr>
        <w:trPr>
          <w:trHeight w:val="33"/>
        </w:trPr>
        <w:tc>
          <w:tcPr>
            <w:tcW w:w="26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c>
          <w:tcPr>
            <w:tcW w:w="230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Investment</w:t>
            </w:r>
          </w:p>
        </w:tc>
        <w:tc>
          <w:tcPr>
            <w:tcW w:w="2300" w:type="dxa"/>
            <w:vAlign w:val="bottom"/>
            <w:gridSpan w:val="2"/>
          </w:tcPr>
          <w:p>
            <w:pPr>
              <w:ind w:left="300"/>
              <w:spacing w:after="0"/>
              <w:rPr>
                <w:sz w:val="20"/>
                <w:szCs w:val="20"/>
                <w:color w:val="auto"/>
              </w:rPr>
            </w:pPr>
            <w:r>
              <w:rPr>
                <w:rFonts w:ascii="Arial" w:cs="Arial" w:eastAsia="Arial" w:hAnsi="Arial"/>
                <w:sz w:val="16"/>
                <w:szCs w:val="16"/>
                <w:b w:val="1"/>
                <w:bCs w:val="1"/>
                <w:color w:val="auto"/>
              </w:rPr>
              <w:t>Ownership Percentage</w:t>
            </w:r>
          </w:p>
        </w:tc>
        <w:tc>
          <w:tcPr>
            <w:tcW w:w="220" w:type="dxa"/>
            <w:vAlign w:val="bottom"/>
          </w:tcPr>
          <w:p>
            <w:pPr>
              <w:spacing w:after="0"/>
              <w:rPr>
                <w:sz w:val="20"/>
                <w:szCs w:val="20"/>
                <w:color w:val="auto"/>
              </w:rPr>
            </w:pPr>
          </w:p>
        </w:tc>
        <w:tc>
          <w:tcPr>
            <w:tcW w:w="192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 2016</w:t>
            </w:r>
          </w:p>
        </w:tc>
        <w:tc>
          <w:tcPr>
            <w:tcW w:w="24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2015</w:t>
            </w:r>
          </w:p>
        </w:tc>
      </w:tr>
      <w:tr>
        <w:trPr>
          <w:trHeight w:val="33"/>
        </w:trPr>
        <w:tc>
          <w:tcPr>
            <w:tcW w:w="264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Listed securities</w:t>
            </w:r>
          </w:p>
        </w:tc>
        <w:tc>
          <w:tcPr>
            <w:tcW w:w="23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Available-for-sale</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Advanced Engine Repair JV</w:t>
            </w:r>
          </w:p>
        </w:tc>
        <w:tc>
          <w:tcPr>
            <w:tcW w:w="23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Equity method</w:t>
            </w:r>
          </w:p>
        </w:tc>
        <w:tc>
          <w:tcPr>
            <w:tcW w:w="2180" w:type="dxa"/>
            <w:vAlign w:val="bottom"/>
          </w:tcPr>
          <w:p>
            <w:pPr>
              <w:jc w:val="center"/>
              <w:spacing w:after="0"/>
              <w:rPr>
                <w:sz w:val="20"/>
                <w:szCs w:val="20"/>
                <w:color w:val="auto"/>
              </w:rPr>
            </w:pPr>
            <w:r>
              <w:rPr>
                <w:rFonts w:ascii="Arial" w:cs="Arial" w:eastAsia="Arial" w:hAnsi="Arial"/>
                <w:sz w:val="16"/>
                <w:szCs w:val="16"/>
                <w:color w:val="auto"/>
                <w:w w:val="93"/>
              </w:rPr>
              <w:t>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15,000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JGP Energy Partners LLC</w:t>
            </w:r>
          </w:p>
        </w:tc>
        <w:tc>
          <w:tcPr>
            <w:tcW w:w="2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Equity method</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Intermodal Finance I, Ltd.</w:t>
            </w:r>
          </w:p>
        </w:tc>
        <w:tc>
          <w:tcPr>
            <w:tcW w:w="23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Equity method</w:t>
            </w:r>
          </w:p>
        </w:tc>
        <w:tc>
          <w:tcPr>
            <w:tcW w:w="2180" w:type="dxa"/>
            <w:vAlign w:val="bottom"/>
          </w:tcPr>
          <w:p>
            <w:pPr>
              <w:jc w:val="center"/>
              <w:spacing w:after="0"/>
              <w:rPr>
                <w:sz w:val="20"/>
                <w:szCs w:val="20"/>
                <w:color w:val="auto"/>
              </w:rPr>
            </w:pPr>
            <w:r>
              <w:rPr>
                <w:rFonts w:ascii="Arial" w:cs="Arial" w:eastAsia="Arial" w:hAnsi="Arial"/>
                <w:sz w:val="16"/>
                <w:szCs w:val="16"/>
                <w:color w:val="auto"/>
                <w:w w:val="93"/>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4,082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10,675</w:t>
            </w:r>
          </w:p>
        </w:tc>
      </w:tr>
      <w:tr>
        <w:trPr>
          <w:trHeight w:val="33"/>
        </w:trPr>
        <w:tc>
          <w:tcPr>
            <w:tcW w:w="26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26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10,675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Available-for-sale securities</w:t>
      </w:r>
    </w:p>
    <w:p>
      <w:pPr>
        <w:spacing w:after="0" w:line="121"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December 2016, the Company invested $10,500 in equity securities of an international oil and gas drilling contractor. As of December 31, 2016, the total fair value of the investment was $17,630. For the year ended December 31, 2016, the Company had an unrealized gain of $7,130. The Company did not recognize any other-than-temporary impairments for the year ended December 31, 2016.</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Equity Method Investments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Advanced Engine Repair JV</w:t>
      </w:r>
    </w:p>
    <w:p>
      <w:pPr>
        <w:spacing w:after="0" w:line="11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December 2016, the Company invested $15,000 for 25% interest in an advanced engine repair joint venture. The Company will initially focus on developing new costs savings programs for engine repairs. The primary financial activities for the joint venture relate to member contributions and therefore its summary financial information has not been presented.</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JGP</w:t>
      </w:r>
    </w:p>
    <w:p>
      <w:pPr>
        <w:spacing w:after="0" w:line="117"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2016, the Company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The Company concluded it is not the primary beneficiary of JGP as the members share equally in the risks and rewards and decision making authority of the entity; therefore, the Company does not consolidate JGP and instead accounts for this investment in accordance with the equity method. The primary financial activities for JGP relate to member investments and therefore JGP summary financial information has not been presented. The Company’s proportionate share of equity in losses was $18 for the year ended December 31, 2016.</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Intermodal Finance I, Ltd.</w:t>
      </w:r>
    </w:p>
    <w:p>
      <w:pPr>
        <w:spacing w:after="0" w:line="11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2012, the Company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 Company does not have unilateral rights over this investment; therefore, the Company does not consolidate Intermodal but accounts for this investment in accordance with the equity method. The Company does not have a variable interest in this investment as none of the criteria of ASC 810-10-15-14 were met.</w:t>
      </w:r>
    </w:p>
    <w:p>
      <w:pPr>
        <w:spacing w:after="0" w:line="8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December 31, 2016, Intermodal owns a portfolio of multiple finance leases, representing five customers and comprising approximately 52,000 shipping containers, as well as a portfolio of approximately 24,000 shipping containers subject to multiple operating leases. During the years ended December 31, 2016 and 2015, Intermodal Finance I, Ltd. recorded an asset impairment charge of $6,016 and $20,604, respectively, which resulted from certain operating leases not being renewed and containers being returned at a faster pace than expected. The Company's proportionate share of the impairment charge was $3,068 and $10,508 based on its 51% ownership percentage for the years ended December 31, 2016 and 2015, respectively. The Company’s proportionate share of equity in (losses) earnings was $(5,974), $(6,956), $6,093 for the years ended December 31, 2016, 2015, and 2014, respectively.</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audited consolidated financial statements of Intermodal as of and for the years ended December 31, 2016, 2015, and 2014, are presented herein.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LIABILITIES,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intangible assets and liabilities,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2016</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Railroad</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26,605</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26,605</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(14,998)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11,607</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11,607</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35,738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(8,391)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Acquired customer relationships, net</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27,347</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11,607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27,242</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38,954</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Acquired unfavorable lease intangibles,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5"/>
          </w:tcPr>
          <w:p>
            <w:pPr>
              <w:ind w:left="320"/>
              <w:spacing w:after="0"/>
              <w:rPr>
                <w:sz w:val="20"/>
                <w:szCs w:val="20"/>
                <w:color w:val="auto"/>
              </w:rPr>
            </w:pPr>
            <w:r>
              <w:rPr>
                <w:rFonts w:ascii="Arial" w:cs="Arial" w:eastAsia="Arial" w:hAnsi="Arial"/>
                <w:sz w:val="16"/>
                <w:szCs w:val="16"/>
                <w:b w:val="1"/>
                <w:bCs w:val="1"/>
                <w:color w:val="auto"/>
              </w:rPr>
              <w:t>December 31, 2015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240" w:type="dxa"/>
            <w:vAlign w:val="bottom"/>
          </w:tcPr>
          <w:p>
            <w:pPr>
              <w:spacing w:after="0"/>
              <w:rPr>
                <w:sz w:val="18"/>
                <w:szCs w:val="18"/>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Railroad</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22,881</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22,881</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(9,697)</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13,184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35,738</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(4,793)</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Acquired customer relationships, net</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30,945</w:t>
            </w: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13,184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30,795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44,129</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Less: 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Intangible liabilities relate to unfavorable lease intangibles and are included as a component of other liabilities in the accompanying Consolidated Balance Sheets.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of intangible assets and liabilities is recorded in the Consolidated Statements of Operations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Classification in Consolidated Statements</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1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of Operations</w:t>
            </w: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w w:val="90"/>
              </w:rPr>
              <w:t>Year Ended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ind w:left="560"/>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Lease intangibles</w:t>
            </w:r>
          </w:p>
        </w:tc>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leasing revenues</w:t>
            </w:r>
          </w:p>
        </w:tc>
        <w:tc>
          <w:tcPr>
            <w:tcW w:w="1360" w:type="dxa"/>
            <w:vAlign w:val="bottom"/>
            <w:tcBorders>
              <w:bottom w:val="single" w:sz="8" w:color="CCEEFF"/>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4"/>
              </w:rPr>
              <w:t>4,979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Customer relationships</w:t>
            </w:r>
          </w:p>
        </w:tc>
        <w:tc>
          <w:tcPr>
            <w:tcW w:w="3100" w:type="dxa"/>
            <w:vAlign w:val="bottom"/>
            <w:gridSpan w:val="2"/>
          </w:tcPr>
          <w:p>
            <w:pPr>
              <w:ind w:left="4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w w:val="84"/>
              </w:rPr>
              <w:t>3,598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3,585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1,208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w:t>
            </w:r>
          </w:p>
        </w:tc>
        <w:tc>
          <w:tcPr>
            <w:tcW w:w="218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4"/>
              </w:rPr>
              <w:t>8,577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0" w:type="dxa"/>
            <w:vAlign w:val="bottom"/>
          </w:tcPr>
          <w:p>
            <w:pPr>
              <w:spacing w:after="0"/>
              <w:rPr>
                <w:sz w:val="24"/>
                <w:szCs w:val="24"/>
                <w:color w:val="auto"/>
              </w:rPr>
            </w:pPr>
          </w:p>
        </w:tc>
        <w:tc>
          <w:tcPr>
            <w:tcW w:w="6640" w:type="dxa"/>
            <w:vAlign w:val="bottom"/>
            <w:gridSpan w:val="4"/>
          </w:tcPr>
          <w:p>
            <w:pPr>
              <w:ind w:left="220"/>
              <w:spacing w:after="0"/>
              <w:rPr>
                <w:sz w:val="20"/>
                <w:szCs w:val="20"/>
                <w:color w:val="auto"/>
              </w:rPr>
            </w:pPr>
            <w:r>
              <w:rPr>
                <w:rFonts w:ascii="Arial" w:cs="Arial" w:eastAsia="Arial" w:hAnsi="Arial"/>
                <w:sz w:val="18"/>
                <w:szCs w:val="18"/>
                <w:color w:val="auto"/>
                <w:w w:val="91"/>
              </w:rPr>
              <w:t>As of December 31, 2016, estimated net annual amortization of intangibles is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ind w:left="58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218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ind w:left="40"/>
              <w:spacing w:after="0"/>
              <w:rPr>
                <w:sz w:val="20"/>
                <w:szCs w:val="20"/>
                <w:color w:val="auto"/>
              </w:rPr>
            </w:pPr>
            <w:r>
              <w:rPr>
                <w:rFonts w:ascii="Arial" w:cs="Arial" w:eastAsia="Arial" w:hAnsi="Arial"/>
                <w:sz w:val="16"/>
                <w:szCs w:val="16"/>
                <w:color w:val="auto"/>
              </w:rPr>
              <w:t>2018</w:t>
            </w:r>
          </w:p>
        </w:tc>
        <w:tc>
          <w:tcPr>
            <w:tcW w:w="2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7,176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218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5,569</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40" w:type="dxa"/>
            <w:vAlign w:val="bottom"/>
          </w:tcPr>
          <w:p>
            <w:pPr>
              <w:ind w:left="40"/>
              <w:spacing w:after="0"/>
              <w:rPr>
                <w:sz w:val="20"/>
                <w:szCs w:val="20"/>
                <w:color w:val="auto"/>
              </w:rPr>
            </w:pPr>
            <w:r>
              <w:rPr>
                <w:rFonts w:ascii="Arial" w:cs="Arial" w:eastAsia="Arial" w:hAnsi="Arial"/>
                <w:sz w:val="16"/>
                <w:szCs w:val="16"/>
                <w:color w:val="auto"/>
              </w:rPr>
              <w:t>2020</w:t>
            </w:r>
          </w:p>
        </w:tc>
        <w:tc>
          <w:tcPr>
            <w:tcW w:w="21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4,223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218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620" w:type="dxa"/>
            <w:vAlign w:val="bottom"/>
            <w:gridSpan w:val="2"/>
          </w:tcPr>
          <w:p>
            <w:pPr>
              <w:ind w:left="40"/>
              <w:spacing w:after="0"/>
              <w:rPr>
                <w:sz w:val="20"/>
                <w:szCs w:val="20"/>
                <w:color w:val="auto"/>
              </w:rPr>
            </w:pPr>
            <w:r>
              <w:rPr>
                <w:rFonts w:ascii="Arial" w:cs="Arial" w:eastAsia="Arial" w:hAnsi="Arial"/>
                <w:sz w:val="16"/>
                <w:szCs w:val="16"/>
                <w:color w:val="auto"/>
              </w:rPr>
              <w:t>Thereafter</w:t>
            </w:r>
          </w:p>
        </w:tc>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w:t>
            </w:r>
          </w:p>
        </w:tc>
        <w:tc>
          <w:tcPr>
            <w:tcW w:w="218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38,075</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w:t>
            </w:r>
          </w:p>
        </w:tc>
        <w:tc>
          <w:tcPr>
            <w:tcW w:w="218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b w:val="1"/>
                <w:bCs w:val="1"/>
                <w:color w:val="auto"/>
              </w:rPr>
              <w:t>DEBT, NET</w:t>
            </w: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40" w:type="dxa"/>
            <w:vAlign w:val="bottom"/>
            <w:vMerge w:val="continue"/>
          </w:tcPr>
          <w:p>
            <w:pPr>
              <w:spacing w:after="0"/>
              <w:rPr>
                <w:sz w:val="24"/>
                <w:szCs w:val="24"/>
                <w:color w:val="auto"/>
              </w:rPr>
            </w:pPr>
          </w:p>
        </w:tc>
        <w:tc>
          <w:tcPr>
            <w:tcW w:w="2180" w:type="dxa"/>
            <w:vAlign w:val="bottom"/>
            <w:vMerge w:val="continue"/>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0" w:type="dxa"/>
            <w:vAlign w:val="bottom"/>
          </w:tcPr>
          <w:p>
            <w:pPr>
              <w:spacing w:after="0"/>
              <w:rPr>
                <w:sz w:val="24"/>
                <w:szCs w:val="24"/>
                <w:color w:val="auto"/>
              </w:rPr>
            </w:pPr>
          </w:p>
        </w:tc>
        <w:tc>
          <w:tcPr>
            <w:tcW w:w="5280" w:type="dxa"/>
            <w:vAlign w:val="bottom"/>
            <w:gridSpan w:val="3"/>
          </w:tcPr>
          <w:p>
            <w:pPr>
              <w:ind w:left="220"/>
              <w:spacing w:after="0"/>
              <w:rPr>
                <w:sz w:val="20"/>
                <w:szCs w:val="20"/>
                <w:color w:val="auto"/>
              </w:rPr>
            </w:pPr>
            <w:r>
              <w:rPr>
                <w:rFonts w:ascii="Arial" w:cs="Arial" w:eastAsia="Arial" w:hAnsi="Arial"/>
                <w:sz w:val="18"/>
                <w:szCs w:val="18"/>
                <w:color w:val="auto"/>
              </w:rPr>
              <w:t>The Company’s debt, net is summarized as follows:</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ind w:right="199"/>
              <w:spacing w:after="0"/>
              <w:rPr>
                <w:sz w:val="20"/>
                <w:szCs w:val="20"/>
                <w:color w:val="auto"/>
              </w:rPr>
            </w:pPr>
            <w:r>
              <w:rPr>
                <w:rFonts w:ascii="Arial" w:cs="Arial" w:eastAsia="Arial" w:hAnsi="Arial"/>
                <w:sz w:val="16"/>
                <w:szCs w:val="16"/>
                <w:b w:val="1"/>
                <w:bCs w:val="1"/>
                <w:color w:val="auto"/>
                <w:w w:val="92"/>
              </w:rPr>
              <w:t>December 31, 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Loans payable</w:t>
            </w: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620" w:type="dxa"/>
            <w:vAlign w:val="bottom"/>
            <w:gridSpan w:val="2"/>
            <w:vMerge w:val="continue"/>
          </w:tcPr>
          <w:p>
            <w:pPr>
              <w:spacing w:after="0"/>
              <w:rPr>
                <w:sz w:val="20"/>
                <w:szCs w:val="20"/>
                <w:color w:val="auto"/>
              </w:rPr>
            </w:pP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Container Loan #1</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34,761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Container Loan #2</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11,338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FTAI Pride Credit Agreement</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67,188</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CMQR Credit Agreement</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12,625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5280" w:type="dxa"/>
            <w:vAlign w:val="bottom"/>
            <w:gridSpan w:val="3"/>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spacing w:after="0"/>
              <w:rPr>
                <w:sz w:val="23"/>
                <w:szCs w:val="23"/>
                <w:color w:val="auto"/>
              </w:rPr>
            </w:pPr>
          </w:p>
        </w:tc>
        <w:tc>
          <w:tcPr>
            <w:tcW w:w="52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Jefferson Terminal Credit Agreement</w:t>
            </w:r>
          </w:p>
        </w:tc>
        <w:tc>
          <w:tcPr>
            <w:tcW w:w="1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98,750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Total loans payable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73,562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221,444</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20" w:type="dxa"/>
            <w:vAlign w:val="bottom"/>
            <w:gridSpan w:val="2"/>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Bonds payable</w:t>
            </w: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640" w:type="dxa"/>
            <w:vAlign w:val="bottom"/>
            <w:gridSpan w:val="4"/>
          </w:tcPr>
          <w:p>
            <w:pPr>
              <w:ind w:left="60"/>
              <w:spacing w:after="0"/>
              <w:rPr>
                <w:sz w:val="20"/>
                <w:szCs w:val="20"/>
                <w:color w:val="auto"/>
              </w:rPr>
            </w:pPr>
            <w:r>
              <w:rPr>
                <w:rFonts w:ascii="Arial" w:cs="Arial" w:eastAsia="Arial" w:hAnsi="Arial"/>
                <w:sz w:val="16"/>
                <w:szCs w:val="16"/>
                <w:color w:val="auto"/>
                <w:w w:val="91"/>
              </w:rPr>
              <w:t>Series 2012 Bonds (including unamortized premium of $1,697 and $1,751 at December 31, 2016 and</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5280" w:type="dxa"/>
            <w:vAlign w:val="bottom"/>
            <w:gridSpan w:val="3"/>
          </w:tcPr>
          <w:p>
            <w:pPr>
              <w:ind w:left="60"/>
              <w:spacing w:after="0"/>
              <w:rPr>
                <w:sz w:val="20"/>
                <w:szCs w:val="20"/>
                <w:color w:val="auto"/>
              </w:rPr>
            </w:pPr>
            <w:r>
              <w:rPr>
                <w:rFonts w:ascii="Arial" w:cs="Arial" w:eastAsia="Arial" w:hAnsi="Arial"/>
                <w:sz w:val="16"/>
                <w:szCs w:val="16"/>
                <w:color w:val="auto"/>
              </w:rPr>
              <w:t>December 31, 2015, respectively)</w:t>
            </w: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45,887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47,261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Series 2016 Bonds</w:t>
            </w:r>
          </w:p>
        </w:tc>
        <w:tc>
          <w:tcPr>
            <w:tcW w:w="2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144,200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40" w:type="dxa"/>
            <w:vAlign w:val="bottom"/>
          </w:tcPr>
          <w:p>
            <w:pPr>
              <w:spacing w:after="0"/>
              <w:rPr>
                <w:sz w:val="18"/>
                <w:szCs w:val="18"/>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Total bonds payable</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190,087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47,261</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20" w:type="dxa"/>
            <w:vAlign w:val="bottom"/>
            <w:gridSpan w:val="4"/>
          </w:tcPr>
          <w:p>
            <w:pPr>
              <w:spacing w:after="0"/>
              <w:rPr>
                <w:sz w:val="2"/>
                <w:szCs w:val="2"/>
                <w:color w:val="auto"/>
              </w:rPr>
            </w:pPr>
          </w:p>
        </w:tc>
        <w:tc>
          <w:tcPr>
            <w:tcW w:w="1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Note payable to non-controlling interest</w:t>
            </w:r>
          </w:p>
        </w:tc>
        <w:tc>
          <w:tcPr>
            <w:tcW w:w="1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5280" w:type="dxa"/>
            <w:vAlign w:val="bottom"/>
            <w:gridSpan w:val="3"/>
          </w:tcPr>
          <w:p>
            <w:pPr>
              <w:ind w:left="60"/>
              <w:spacing w:after="0"/>
              <w:rPr>
                <w:sz w:val="20"/>
                <w:szCs w:val="20"/>
                <w:color w:val="auto"/>
              </w:rPr>
            </w:pPr>
            <w:r>
              <w:rPr>
                <w:rFonts w:ascii="Arial" w:cs="Arial" w:eastAsia="Arial" w:hAnsi="Arial"/>
                <w:sz w:val="16"/>
                <w:szCs w:val="16"/>
                <w:color w:val="auto"/>
              </w:rPr>
              <w:t>Note payable to non-controlling interest</w:t>
            </w: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CCEEFF"/>
            </w:tcBorders>
          </w:tcPr>
          <w:p>
            <w:pPr>
              <w:spacing w:after="0"/>
              <w:rPr>
                <w:sz w:val="2"/>
                <w:szCs w:val="2"/>
                <w:color w:val="auto"/>
              </w:rPr>
            </w:pPr>
          </w:p>
        </w:tc>
        <w:tc>
          <w:tcPr>
            <w:tcW w:w="5280" w:type="dxa"/>
            <w:vAlign w:val="bottom"/>
            <w:tcBorders>
              <w:bottom w:val="single" w:sz="8" w:color="CCEEFF"/>
            </w:tcBorders>
            <w:gridSpan w:val="3"/>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Total note payable to non-controlling interest</w:t>
            </w:r>
          </w:p>
        </w:tc>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2,352</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0" w:type="dxa"/>
            <w:vAlign w:val="bottom"/>
            <w:tcBorders>
              <w:bottom w:val="single" w:sz="8" w:color="CCEEFF"/>
            </w:tcBorders>
          </w:tcPr>
          <w:p>
            <w:pPr>
              <w:spacing w:after="0"/>
              <w:rPr>
                <w:sz w:val="23"/>
                <w:szCs w:val="23"/>
                <w:color w:val="auto"/>
              </w:rPr>
            </w:pPr>
          </w:p>
        </w:tc>
        <w:tc>
          <w:tcPr>
            <w:tcW w:w="2180" w:type="dxa"/>
            <w:vAlign w:val="bottom"/>
            <w:tcBorders>
              <w:bottom w:val="single" w:sz="8" w:color="CCEEFF"/>
            </w:tcBorders>
          </w:tcPr>
          <w:p>
            <w:pPr>
              <w:spacing w:after="0"/>
              <w:rPr>
                <w:sz w:val="23"/>
                <w:szCs w:val="23"/>
                <w:color w:val="auto"/>
              </w:rPr>
            </w:pPr>
          </w:p>
        </w:tc>
        <w:tc>
          <w:tcPr>
            <w:tcW w:w="29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218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266,001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271,057</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2180" w:type="dxa"/>
            <w:vAlign w:val="bottom"/>
          </w:tcPr>
          <w:p>
            <w:pPr>
              <w:ind w:left="60"/>
              <w:spacing w:after="0"/>
              <w:rPr>
                <w:sz w:val="20"/>
                <w:szCs w:val="20"/>
                <w:color w:val="auto"/>
              </w:rPr>
            </w:pPr>
            <w:r>
              <w:rPr>
                <w:rFonts w:ascii="Arial" w:cs="Arial" w:eastAsia="Arial" w:hAnsi="Arial"/>
                <w:sz w:val="16"/>
                <w:szCs w:val="16"/>
                <w:color w:val="auto"/>
              </w:rPr>
              <w:t>Less: Debt issuance costs</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(6,489)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(4,836)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net</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259,512</w:t>
            </w:r>
          </w:p>
        </w:tc>
        <w:tc>
          <w:tcPr>
            <w:tcW w:w="8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266,221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gridSpan w:val="2"/>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3"/>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due within one year</w:t>
            </w: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8,078</w:t>
            </w:r>
          </w:p>
        </w:tc>
        <w:tc>
          <w:tcPr>
            <w:tcW w:w="80" w:type="dxa"/>
            <w:vAlign w:val="bottom"/>
            <w:shd w:val="clear" w:color="auto" w:fill="CCEEFF"/>
          </w:tcPr>
          <w:p>
            <w:pPr>
              <w:spacing w:after="0"/>
              <w:rPr>
                <w:sz w:val="21"/>
                <w:szCs w:val="21"/>
                <w:color w:val="auto"/>
              </w:rPr>
            </w:pPr>
          </w:p>
        </w:tc>
        <w:tc>
          <w:tcPr>
            <w:tcW w:w="2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420"/>
          </w:cols>
          <w:pgMar w:left="240" w:top="121"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b w:val="1"/>
          <w:bCs w:val="1"/>
          <w:i w:val="1"/>
          <w:iCs w:val="1"/>
          <w:color w:val="auto"/>
        </w:rPr>
        <w:t>Container Loan #1</w:t>
      </w:r>
      <w:r>
        <w:rPr>
          <w:rFonts w:ascii="Arial" w:cs="Arial" w:eastAsia="Arial" w:hAnsi="Arial"/>
          <w:sz w:val="18"/>
          <w:szCs w:val="18"/>
          <w:color w:val="auto"/>
        </w:rPr>
        <w:t>—On December 27, 2012, a subsidiary of the Company entered into a Credit Agreement (“Container Loan #1”) with a bank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initial aggregate amount of approximately $55,991 in connection with the acquisition of a portfolio of shipping containers subject to finance leases. During the first quarter of 2016, all amounts outstanding under Container Loan #1 and the Swap were paid in full using the proceeds from the sale of the underlying assets, and such agreements were terminated.</w:t>
      </w:r>
    </w:p>
    <w:p>
      <w:pPr>
        <w:spacing w:after="0" w:line="79"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b w:val="1"/>
          <w:bCs w:val="1"/>
          <w:i w:val="1"/>
          <w:iCs w:val="1"/>
          <w:color w:val="auto"/>
        </w:rPr>
        <w:t>Container Loan #2</w:t>
      </w:r>
      <w:r>
        <w:rPr>
          <w:rFonts w:ascii="Arial" w:cs="Arial" w:eastAsia="Arial" w:hAnsi="Arial"/>
          <w:sz w:val="17"/>
          <w:szCs w:val="17"/>
          <w:color w:val="auto"/>
        </w:rPr>
        <w:t>—On August 15, 2013, a subsidiary of the Company entered into a Credit Agreement (“Container Loan #2”) with a bank for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 aggregate amount of approximately $21,548 in connection with the acquisition of a portfolio of shipping containers subject to finance leases. Container Loan #2 required quarterly payments of interest and scheduled principal payments through its maturity on August 28, 2018 and could be prepaid without penalty at any time. In connection with Container Loan #2, the Company entered into an interest rate cap agreement (the “Cap”) on September 20, 2013, with respect to 50% of the portion of the outstanding balance of Container Loan #2, not designated as a cash flow hedge, which capped LIBOR at 2.5%. During the first quarter of 2016, all amounts outstanding under Container Loan #2 and the Cap were paid in full using the proceeds from the sale of the underlying assets, and such agreements were terminated.</w:t>
      </w:r>
    </w:p>
    <w:p>
      <w:pPr>
        <w:spacing w:after="0" w:line="7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FTAI Pride Credit Agreement</w:t>
      </w:r>
      <w:r>
        <w:rPr>
          <w:rFonts w:ascii="Arial" w:cs="Arial" w:eastAsia="Arial" w:hAnsi="Arial"/>
          <w:sz w:val="17"/>
          <w:szCs w:val="17"/>
          <w:color w:val="auto"/>
        </w:rPr>
        <w:t>—On September 15, 2014, FTAI Pride, LLC, (“FTAI Pride”) a subsidiary of the Company entered into a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and charter. Borrowings under the FTAI Pride Credit Agreement bear interest at the LIBOR rate plus a spread of 4.50%.</w:t>
      </w:r>
    </w:p>
    <w:p>
      <w:pPr>
        <w:spacing w:after="0" w:line="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73"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b w:val="1"/>
          <w:bCs w:val="1"/>
          <w:i w:val="1"/>
          <w:iCs w:val="1"/>
          <w:color w:val="auto"/>
        </w:rPr>
        <w:t>CMQR Credit Agreement</w:t>
      </w:r>
      <w:r>
        <w:rPr>
          <w:rFonts w:ascii="Arial" w:cs="Arial" w:eastAsia="Arial" w:hAnsi="Arial"/>
          <w:sz w:val="17"/>
          <w:szCs w:val="17"/>
          <w:color w:val="auto"/>
        </w:rPr>
        <w:t>—On March 28, 2016, CMQR amended its credit agreement (the “CMQR Credit Agreement”) with a financial institution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 revolving line of credit to increase the aggregate amount from $10,000 to $20,000 and to extend the maturity date to September 18, 2018.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December 31, 2016 was 3.21%.</w:t>
      </w:r>
    </w:p>
    <w:p>
      <w:pPr>
        <w:spacing w:after="0" w:line="6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CMQR Credit Agreement is also indirectly supported by Fortress Transportation and Infrastructure Investors LLC (the “Sponsor”). In the event of a default under the credit agreement, CMQR’s lenders can cause CMQR to call up to a total of $29 million in capital from the Sponsor, and in the event of CMQR’s bankruptcy, the lenders can put the debt back to the Sponsor. The CMQR Credit Agreement contains affirmative and negative covenants which limit certain actions of CMQR.</w:t>
      </w:r>
    </w:p>
    <w:p>
      <w:pPr>
        <w:spacing w:after="0" w:line="79"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b w:val="1"/>
          <w:bCs w:val="1"/>
          <w:i w:val="1"/>
          <w:iCs w:val="1"/>
          <w:color w:val="auto"/>
        </w:rPr>
        <w:t>Jefferson Terminal Credit Agreement</w:t>
      </w:r>
      <w:r>
        <w:rPr>
          <w:rFonts w:ascii="Arial" w:cs="Arial" w:eastAsia="Arial" w:hAnsi="Arial"/>
          <w:sz w:val="17"/>
          <w:szCs w:val="17"/>
          <w:color w:val="auto"/>
        </w:rPr>
        <w:t>—On August 27, 2014, a subsidiary of the Company entered into a credit agreement (the “Jefferson Terminal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pacing w:after="0" w:line="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b w:val="1"/>
          <w:bCs w:val="1"/>
          <w:i w:val="1"/>
          <w:iCs w:val="1"/>
          <w:color w:val="auto"/>
        </w:rPr>
        <w:t>Series 2012 Bonds</w:t>
      </w:r>
      <w:r>
        <w:rPr>
          <w:rFonts w:ascii="Arial" w:cs="Arial" w:eastAsia="Arial" w:hAnsi="Arial"/>
          <w:sz w:val="18"/>
          <w:szCs w:val="18"/>
          <w:color w:val="auto"/>
        </w:rPr>
        <w:t>—On August 1, 2012, Jefferson County Development Corporation issued $46,875 of tax-exempt industrial bonds (“Series 2012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62"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b w:val="1"/>
          <w:bCs w:val="1"/>
          <w:i w:val="1"/>
          <w:iCs w:val="1"/>
          <w:color w:val="auto"/>
        </w:rPr>
        <w:t>Series 2016 Bonds</w:t>
      </w:r>
      <w:r>
        <w:rPr>
          <w:rFonts w:ascii="Arial" w:cs="Arial" w:eastAsia="Arial" w:hAnsi="Arial"/>
          <w:sz w:val="17"/>
          <w:szCs w:val="17"/>
          <w:color w:val="auto"/>
        </w:rPr>
        <w:t>—On March 7, 2016, the Port of Beaumont Navigation District of Jefferson County, Texas (the “District”) issued $144,200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Dock and 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7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8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therein, as well as maintenance of a minimum total asset value of Aviation Assets and minimum total equity of the Company. In connection with the above, and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71"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71"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b w:val="1"/>
          <w:bCs w:val="1"/>
          <w:i w:val="1"/>
          <w:iCs w:val="1"/>
          <w:color w:val="auto"/>
        </w:rPr>
        <w:t>Note Payable to Non-Controlling Interest</w:t>
      </w:r>
      <w:r>
        <w:rPr>
          <w:rFonts w:ascii="Arial" w:cs="Arial" w:eastAsia="Arial" w:hAnsi="Arial"/>
          <w:sz w:val="16"/>
          <w:szCs w:val="16"/>
          <w:color w:val="auto"/>
        </w:rPr>
        <w:t>—In May 2013, in connection with the capitalization of a consolidated subsidiary, the Company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 of the non-controlling interest loaned approximately $18,275 and $3,225, respectively, to the entity in proportion to their respective ownership percentages of 85% and 15%. The loans bear interest at an annual rate of 5% and require monthly payments of principal and interest through their final maturity in May 2021. The loan amount funded by the Company and related interest have been eliminated in consolidation.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was in compliance with all debt covenants as of December 31, 2016.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As of December 31, 2016, scheduled principal repayments under the Company’s debt agreements for the next five years and thereafter are summarized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b w:val="1"/>
                <w:bCs w:val="1"/>
                <w:color w:val="auto"/>
              </w:rPr>
              <w:t>Thereafter</w:t>
            </w: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FTAI Pride Credit Agreement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CCEEFF"/>
            </w:tcBorders>
            <w:gridSpan w:val="3"/>
            <w:shd w:val="clear" w:color="auto" w:fill="CCEEFF"/>
          </w:tcPr>
          <w:p>
            <w:pPr>
              <w:ind w:left="600"/>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CMQR Credit Agreement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12,625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3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12,625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Jefferson Bonds Payable (excluding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unamortized premium of $1,697)</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1,425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146,010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35,780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188,390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6"/>
              </w:rPr>
              <w:t>Note payable to non-controlling interest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2,352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1"/>
              </w:rPr>
              <w:t>Total principal payments on loans and</w:t>
            </w:r>
          </w:p>
        </w:tc>
        <w:tc>
          <w:tcPr>
            <w:tcW w:w="2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8,078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20,823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50,510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146,413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35,780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264,304</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bonds payable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9" w:lineRule="exact"/>
        <w:rPr>
          <w:rFonts w:ascii="Arial" w:cs="Arial" w:eastAsia="Arial" w:hAnsi="Arial"/>
          <w:sz w:val="18"/>
          <w:szCs w:val="18"/>
          <w:b w:val="1"/>
          <w:bCs w:val="1"/>
          <w:color w:val="auto"/>
        </w:rPr>
      </w:pPr>
    </w:p>
    <w:p>
      <w:pPr>
        <w:ind w:left="1360" w:hanging="704"/>
        <w:spacing w:after="0"/>
        <w:tabs>
          <w:tab w:leader="none" w:pos="13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its own assumptions about how market participants price the asset or liability.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30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 approach—Uses prices and other relevant information generated by market transactions involving identical or comparable assets or liabilities.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Income approach—Uses valuation techniques to convert future amounts to a single present amount based on current market expectations about those future amounts.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Cost approach—Based on the amount that currently would be required to replace the service capacity of an asset (replacement cost).</w:t>
      </w:r>
    </w:p>
    <w:p>
      <w:pPr>
        <w:spacing w:after="0" w:line="1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following tables set forth the Company’s financial assets measured at fair value on a recurring basis as of December 31, 2016 and December 31, 2015, by level within the fair value hierarchy. Assets measured at fair value are classified in their entirety based on the lowest level of input that is significant to their fair value measurement.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20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 2016</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December 31, 2016</w:t>
            </w: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Valuation Technique</w:t>
            </w: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68,055</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68,055</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Available-for-sale securities</w:t>
            </w:r>
          </w:p>
        </w:tc>
        <w:tc>
          <w:tcPr>
            <w:tcW w:w="2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17,630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17,630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151,126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151,126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200" w:type="dxa"/>
            <w:vAlign w:val="bottom"/>
            <w:gridSpan w:val="6"/>
          </w:tcPr>
          <w:p>
            <w:pPr>
              <w:jc w:val="center"/>
              <w:ind w:left="19"/>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December 31, 2015</w:t>
            </w: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December 31, 2015</w:t>
            </w: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Valuation Technique</w:t>
            </w: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Level 2</w:t>
            </w: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381,703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381,703</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Market</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Derivative assets</w:t>
            </w:r>
          </w:p>
        </w:tc>
        <w:tc>
          <w:tcPr>
            <w:tcW w:w="2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403,414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403,313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2016 and December 31, 2015, the Company had no liabilities that were measured at fair value on a recurring basis.</w:t>
      </w:r>
    </w:p>
    <w:p>
      <w:pPr>
        <w:spacing w:after="0" w:line="11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 Publicly traded securities with sufficient trading volume are fair valued by management using quoted prices for identical instruments in active markets and are therefore classified as Level 1 within the fair value hierarchy.</w:t>
      </w:r>
    </w:p>
    <w:p>
      <w:pPr>
        <w:spacing w:after="0" w:line="4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Except as discussed below, the Company’s financial instruments other than cash and cash equivalents, restricted cash and available-for-sale securities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7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notes receivable at December 31, 2016 and December 31, 2015, which is included as a component of other assets on the accompanying Consolidated Balance Sheets, consist of a $3,725 loan bearing interest at 12.0% made to the Company’s joint venture partner in MT 6015 (Note 2) which is collateralized by other property owned by the joint venture partner. At December 31, 2016 and December 31, 2015, the Company’s notes receivable also included a $17,935 and $14,869, respectively, loan bearing interest at 10% related to a terminal site under development, collateralized by property at that site. The fair value of these notes receivable approximate carrying value and are classified as Level 3 within the fair value hierarchy.</w:t>
      </w:r>
    </w:p>
    <w:p>
      <w:pPr>
        <w:spacing w:after="0" w:line="85"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fair value of Series 2012 bonds, reported in debt, net on the Consolidated Balance Sheets, was approximately $46,488 and $49,268, respectively, at December 31, 2016 and December 31, 2015, based upon market prices for similar municipal securities. The fair value of Series 2016 bonds, reported in debt, net on the Consolidated Balance Sheets, was approximately $149,575 at December 31, 2016 based upon market prices for similar municipal securities. The fair values of all other items reported as debt, net in the Consolidated Balance Sheet approximate their carrying values due to their bearing market rates of interest, and are classified as Level 2 within the fair value hierarchy.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189"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580" w:type="dxa"/>
            <w:vAlign w:val="bottom"/>
            <w:gridSpan w:val="12"/>
          </w:tcPr>
          <w:p>
            <w:pPr>
              <w:ind w:left="540"/>
              <w:spacing w:after="0"/>
              <w:rPr>
                <w:sz w:val="20"/>
                <w:szCs w:val="20"/>
                <w:color w:val="auto"/>
              </w:rPr>
            </w:pPr>
            <w:r>
              <w:rPr>
                <w:rFonts w:ascii="Arial" w:cs="Arial" w:eastAsia="Arial" w:hAnsi="Arial"/>
                <w:sz w:val="16"/>
                <w:szCs w:val="16"/>
                <w:b w:val="1"/>
                <w:bCs w:val="1"/>
                <w:color w:val="auto"/>
              </w:rPr>
              <w:t>Year Ended December 31, 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5"/>
          </w:tcPr>
          <w:p>
            <w:pPr>
              <w:ind w:left="40"/>
              <w:spacing w:after="0"/>
              <w:rPr>
                <w:sz w:val="20"/>
                <w:szCs w:val="20"/>
                <w:color w:val="auto"/>
              </w:rPr>
            </w:pPr>
            <w:r>
              <w:rPr>
                <w:rFonts w:ascii="Arial" w:cs="Arial" w:eastAsia="Arial" w:hAnsi="Arial"/>
                <w:sz w:val="16"/>
                <w:szCs w:val="16"/>
                <w:b w:val="1"/>
                <w:bCs w:val="1"/>
                <w:color w:val="auto"/>
                <w:w w:val="90"/>
              </w:rPr>
              <w:t>Equipment Leasing</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8"/>
          </w:tcPr>
          <w:p>
            <w:pPr>
              <w:ind w:left="50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4"/>
              </w:rPr>
              <w:t>Jefferson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66,024</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3,712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69,736</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28,697</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1,610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2,723</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w:t>
            </w:r>
          </w:p>
        </w:tc>
        <w:tc>
          <w:tcPr>
            <w:tcW w:w="20" w:type="dxa"/>
            <w:vAlign w:val="bottom"/>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 equipment leasing</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95,408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5,328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101,949</w:t>
            </w:r>
          </w:p>
        </w:tc>
        <w:tc>
          <w:tcPr>
            <w:tcW w:w="2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ind w:left="680"/>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30,837</w:t>
            </w:r>
          </w:p>
        </w:tc>
        <w:tc>
          <w:tcPr>
            <w:tcW w:w="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6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15,902</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46,771</w:t>
            </w:r>
          </w:p>
        </w:tc>
        <w:tc>
          <w:tcPr>
            <w:tcW w:w="2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95,408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5,328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1,213</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15,902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30,837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148,720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80" w:type="dxa"/>
            <w:vAlign w:val="bottom"/>
            <w:gridSpan w:val="12"/>
          </w:tcPr>
          <w:p>
            <w:pPr>
              <w:ind w:left="540"/>
              <w:spacing w:after="0"/>
              <w:rPr>
                <w:sz w:val="20"/>
                <w:szCs w:val="20"/>
                <w:color w:val="auto"/>
              </w:rPr>
            </w:pPr>
            <w:r>
              <w:rPr>
                <w:rFonts w:ascii="Arial" w:cs="Arial" w:eastAsia="Arial" w:hAnsi="Arial"/>
                <w:sz w:val="16"/>
                <w:szCs w:val="16"/>
                <w:b w:val="1"/>
                <w:bCs w:val="1"/>
                <w:color w:val="auto"/>
              </w:rPr>
              <w:t>Year Ended December 31, 2015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8"/>
          </w:tcPr>
          <w:p>
            <w:pPr>
              <w:ind w:left="52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4"/>
              </w:rPr>
              <w:t>Jefferson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18"/>
                <w:szCs w:val="18"/>
                <w:color w:val="auto"/>
              </w:rPr>
            </w:pPr>
          </w:p>
        </w:tc>
        <w:tc>
          <w:tcPr>
            <w:tcW w:w="11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Containers</w:t>
            </w:r>
          </w:p>
        </w:tc>
        <w:tc>
          <w:tcPr>
            <w:tcW w:w="18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ind w:left="8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42,924</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21,959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64,883</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8,747</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4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20" w:type="dxa"/>
            <w:vAlign w:val="bottom"/>
            <w:tcBorders>
              <w:bottom w:val="single" w:sz="8" w:color="CCEEFF"/>
            </w:tcBorders>
            <w:shd w:val="clear" w:color="auto" w:fill="CCEEFF"/>
          </w:tcPr>
          <w:p>
            <w:pPr>
              <w:spacing w:after="0"/>
              <w:rPr>
                <w:sz w:val="23"/>
                <w:szCs w:val="23"/>
                <w:color w:val="auto"/>
              </w:rPr>
            </w:pPr>
          </w:p>
        </w:tc>
      </w:tr>
      <w:tr>
        <w:trPr>
          <w:trHeight w:val="196"/>
        </w:trPr>
        <w:tc>
          <w:tcPr>
            <w:tcW w:w="20" w:type="dxa"/>
            <w:vAlign w:val="bottom"/>
          </w:tcPr>
          <w:p>
            <w:pPr>
              <w:spacing w:after="0"/>
              <w:rPr>
                <w:sz w:val="17"/>
                <w:szCs w:val="17"/>
                <w:color w:val="auto"/>
              </w:rPr>
            </w:pPr>
          </w:p>
        </w:tc>
        <w:tc>
          <w:tcPr>
            <w:tcW w:w="272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740" w:type="dxa"/>
            <w:vAlign w:val="bottom"/>
            <w:gridSpan w:val="2"/>
          </w:tcPr>
          <w:p>
            <w:pPr>
              <w:ind w:left="48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61,330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7,182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92,743</w:t>
            </w:r>
          </w:p>
        </w:tc>
        <w:tc>
          <w:tcPr>
            <w:tcW w:w="20" w:type="dxa"/>
            <w:vAlign w:val="bottom"/>
          </w:tcPr>
          <w:p>
            <w:pPr>
              <w:spacing w:after="0"/>
              <w:rPr>
                <w:sz w:val="18"/>
                <w:szCs w:val="18"/>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52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4,620</w:t>
            </w:r>
          </w:p>
        </w:tc>
        <w:tc>
          <w:tcPr>
            <w:tcW w:w="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2740" w:type="dxa"/>
            <w:vAlign w:val="bottom"/>
            <w:gridSpan w:val="2"/>
          </w:tcPr>
          <w:p>
            <w:pPr>
              <w:ind w:left="52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13,655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ind w:left="7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13,655</w:t>
            </w:r>
          </w:p>
        </w:tc>
        <w:tc>
          <w:tcPr>
            <w:tcW w:w="20" w:type="dxa"/>
            <w:vAlign w:val="bottom"/>
          </w:tcPr>
          <w:p>
            <w:pPr>
              <w:spacing w:after="0"/>
              <w:rPr>
                <w:sz w:val="20"/>
                <w:szCs w:val="20"/>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43,825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61,330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24,231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7,182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18,275</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25,550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136,568</w:t>
            </w:r>
          </w:p>
        </w:tc>
        <w:tc>
          <w:tcPr>
            <w:tcW w:w="20" w:type="dxa"/>
            <w:vAlign w:val="bottom"/>
            <w:tcBorders>
              <w:top w:val="single" w:sz="8" w:color="auto"/>
              <w:bottom w:val="single" w:sz="8" w:color="auto"/>
            </w:tcBorders>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1"/>
              </w:rPr>
              <w:t>Year Ended December 31, 2014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6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6"/>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ind w:left="480"/>
              <w:spacing w:after="0"/>
              <w:rPr>
                <w:sz w:val="20"/>
                <w:szCs w:val="20"/>
                <w:color w:val="auto"/>
              </w:rPr>
            </w:pPr>
            <w:r>
              <w:rPr>
                <w:rFonts w:ascii="Arial" w:cs="Arial" w:eastAsia="Arial" w:hAnsi="Arial"/>
                <w:sz w:val="16"/>
                <w:szCs w:val="16"/>
                <w:b w:val="1"/>
                <w:bCs w:val="1"/>
                <w:color w:val="auto"/>
              </w:rPr>
              <w:t>Infrastructure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2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Jefferson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5"/>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Terminal</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14,991</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12,690</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27,681</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5,964</w:t>
            </w:r>
          </w:p>
        </w:tc>
      </w:tr>
      <w:tr>
        <w:trPr>
          <w:trHeight w:val="237"/>
        </w:trPr>
        <w:tc>
          <w:tcPr>
            <w:tcW w:w="296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8,297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10,013</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r>
      <w:tr>
        <w:trPr>
          <w:trHeight w:val="217"/>
        </w:trPr>
        <w:tc>
          <w:tcPr>
            <w:tcW w:w="2960" w:type="dxa"/>
            <w:vAlign w:val="bottom"/>
          </w:tcPr>
          <w:p>
            <w:pPr>
              <w:ind w:left="480"/>
              <w:spacing w:after="0"/>
              <w:rPr>
                <w:sz w:val="20"/>
                <w:szCs w:val="20"/>
                <w:color w:val="auto"/>
              </w:rPr>
            </w:pPr>
            <w:r>
              <w:rPr>
                <w:rFonts w:ascii="Arial" w:cs="Arial" w:eastAsia="Arial" w:hAnsi="Arial"/>
                <w:sz w:val="16"/>
                <w:szCs w:val="16"/>
                <w:b w:val="1"/>
                <w:bCs w:val="1"/>
                <w:color w:val="auto"/>
                <w:w w:val="95"/>
              </w:rPr>
              <w:t>Total equipment leasing revenues</w:t>
            </w: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20,958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14,630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43,984</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296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1,325</w:t>
            </w:r>
          </w:p>
        </w:tc>
      </w:tr>
      <w:tr>
        <w:trPr>
          <w:trHeight w:val="3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r>
      <w:tr>
        <w:trPr>
          <w:trHeight w:val="237"/>
        </w:trPr>
        <w:tc>
          <w:tcPr>
            <w:tcW w:w="296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2,652</w:t>
            </w:r>
          </w:p>
        </w:tc>
      </w:tr>
      <w:tr>
        <w:trPr>
          <w:trHeight w:val="33"/>
        </w:trPr>
        <w:tc>
          <w:tcPr>
            <w:tcW w:w="2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2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13,946</w:t>
            </w:r>
          </w:p>
        </w:tc>
      </w:tr>
      <w:tr>
        <w:trPr>
          <w:trHeight w:val="244"/>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20,958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14,630</w:t>
            </w:r>
          </w:p>
        </w:tc>
        <w:tc>
          <w:tcPr>
            <w:tcW w:w="1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9,969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57,930</w:t>
            </w:r>
          </w:p>
        </w:tc>
      </w:tr>
      <w:tr>
        <w:trPr>
          <w:trHeight w:val="20"/>
        </w:trPr>
        <w:tc>
          <w:tcPr>
            <w:tcW w:w="2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Presented below are the contracted minimum future annual revenues to be received under existing operating leases across several market sectors as of December 31,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auto"/>
              </w:rPr>
              <w:t>Total</w:t>
            </w:r>
          </w:p>
        </w:tc>
      </w:tr>
      <w:tr>
        <w:trPr>
          <w:trHeight w:val="33"/>
        </w:trPr>
        <w:tc>
          <w:tcPr>
            <w:tcW w:w="9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65,301</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2018</w:t>
            </w:r>
          </w:p>
        </w:tc>
        <w:tc>
          <w:tcPr>
            <w:tcW w:w="46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49,321</w:t>
            </w:r>
          </w:p>
        </w:tc>
      </w:tr>
      <w:tr>
        <w:trPr>
          <w:trHeight w:val="33"/>
        </w:trPr>
        <w:tc>
          <w:tcPr>
            <w:tcW w:w="9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30,102</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2020</w:t>
            </w:r>
          </w:p>
        </w:tc>
        <w:tc>
          <w:tcPr>
            <w:tcW w:w="46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17,778</w:t>
            </w:r>
          </w:p>
        </w:tc>
      </w:tr>
      <w:tr>
        <w:trPr>
          <w:trHeight w:val="33"/>
        </w:trPr>
        <w:tc>
          <w:tcPr>
            <w:tcW w:w="9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8,983</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6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2,310</w:t>
            </w:r>
          </w:p>
        </w:tc>
      </w:tr>
      <w:tr>
        <w:trPr>
          <w:trHeight w:val="33"/>
        </w:trPr>
        <w:tc>
          <w:tcPr>
            <w:tcW w:w="94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173,795</w:t>
            </w:r>
          </w:p>
        </w:tc>
      </w:tr>
      <w:tr>
        <w:trPr>
          <w:trHeight w:val="20"/>
        </w:trPr>
        <w:tc>
          <w:tcPr>
            <w:tcW w:w="9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78"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December 31, 2016, the Incentive Plan provides for the issuance of up to 30 million shares. The Company accounts for equity-based compensation expense in accordance with Accounting Standards Codification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and is reported within operating expenses and general and administrative in the Consolidated Statements of Operations.</w:t>
      </w:r>
    </w:p>
    <w:p>
      <w:pPr>
        <w:spacing w:after="0" w:line="7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Consolidated Statements of Operations includes the following expense (income) related to its stock-based compensation arrangements: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6"/>
            <w:vMerge w:val="restart"/>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Remaining Expense To Be</w:t>
            </w: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780" w:type="dxa"/>
            <w:vAlign w:val="bottom"/>
            <w:gridSpan w:val="6"/>
            <w:vMerge w:val="continue"/>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Recognized, If All Vesting</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5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Conditions Are Met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Shares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24,703</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Common Units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1,206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24,792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June 2015, the Company issued an aggregate of 15,000 stock options (5,000 options each) to its three independent directors pursuant to the Incentive Plan with a grant date fair value of $24 which immediately vested upon grant and expire after 10 years. The fair value of each stock option was estimated on the date of grant using a Black-Scholes option valuation model using the following assumptions: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7960" w:type="dxa"/>
            <w:vAlign w:val="bottom"/>
            <w:gridSpan w:val="9"/>
          </w:tcPr>
          <w:p>
            <w:pPr>
              <w:ind w:left="120"/>
              <w:spacing w:after="0"/>
              <w:rPr>
                <w:sz w:val="20"/>
                <w:szCs w:val="20"/>
                <w:color w:val="auto"/>
              </w:rPr>
            </w:pPr>
            <w:r>
              <w:rPr>
                <w:rFonts w:ascii="Arial" w:cs="Arial" w:eastAsia="Arial" w:hAnsi="Arial"/>
                <w:sz w:val="16"/>
                <w:szCs w:val="16"/>
                <w:color w:val="auto"/>
                <w:w w:val="96"/>
              </w:rPr>
              <w:t>Due to the lack of historical data for the Company’s own stock, the Company has based its expected volatility on a</w:t>
            </w:r>
          </w:p>
        </w:tc>
        <w:tc>
          <w:tcPr>
            <w:tcW w:w="1240" w:type="dxa"/>
            <w:vAlign w:val="bottom"/>
          </w:tcPr>
          <w:p>
            <w:pPr>
              <w:jc w:val="center"/>
              <w:ind w:right="59"/>
              <w:spacing w:after="0"/>
              <w:rPr>
                <w:sz w:val="20"/>
                <w:szCs w:val="20"/>
                <w:color w:val="auto"/>
              </w:rPr>
            </w:pPr>
            <w:r>
              <w:rPr>
                <w:rFonts w:ascii="Arial" w:cs="Arial" w:eastAsia="Arial" w:hAnsi="Arial"/>
                <w:sz w:val="16"/>
                <w:szCs w:val="16"/>
                <w:color w:val="auto"/>
                <w:w w:val="93"/>
              </w:rPr>
              <w:t>28%</w:t>
            </w:r>
          </w:p>
        </w:tc>
      </w:tr>
      <w:tr>
        <w:trPr>
          <w:trHeight w:val="206"/>
        </w:trPr>
        <w:tc>
          <w:tcPr>
            <w:tcW w:w="2220" w:type="dxa"/>
            <w:vAlign w:val="bottom"/>
          </w:tcPr>
          <w:p>
            <w:pPr>
              <w:spacing w:after="0"/>
              <w:rPr>
                <w:sz w:val="17"/>
                <w:szCs w:val="17"/>
                <w:color w:val="auto"/>
              </w:rPr>
            </w:pPr>
          </w:p>
        </w:tc>
        <w:tc>
          <w:tcPr>
            <w:tcW w:w="5120" w:type="dxa"/>
            <w:vAlign w:val="bottom"/>
            <w:gridSpan w:val="3"/>
          </w:tcPr>
          <w:p>
            <w:pPr>
              <w:ind w:left="120"/>
              <w:spacing w:after="0"/>
              <w:rPr>
                <w:sz w:val="20"/>
                <w:szCs w:val="20"/>
                <w:color w:val="auto"/>
              </w:rPr>
            </w:pPr>
            <w:r>
              <w:rPr>
                <w:rFonts w:ascii="Arial" w:cs="Arial" w:eastAsia="Arial" w:hAnsi="Arial"/>
                <w:sz w:val="16"/>
                <w:szCs w:val="16"/>
                <w:color w:val="auto"/>
              </w:rPr>
              <w:t>representative peer group with similar business characteristics.</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3"/>
        </w:trPr>
        <w:tc>
          <w:tcPr>
            <w:tcW w:w="2220" w:type="dxa"/>
            <w:vAlign w:val="bottom"/>
          </w:tcPr>
          <w:p>
            <w:pPr>
              <w:spacing w:after="0"/>
              <w:rPr>
                <w:sz w:val="2"/>
                <w:szCs w:val="2"/>
                <w:color w:val="auto"/>
              </w:rPr>
            </w:pPr>
          </w:p>
        </w:tc>
        <w:tc>
          <w:tcPr>
            <w:tcW w:w="5000" w:type="dxa"/>
            <w:vAlign w:val="bottom"/>
            <w:gridSpan w:val="2"/>
          </w:tcPr>
          <w:p>
            <w:pPr>
              <w:spacing w:after="0"/>
              <w:rPr>
                <w:sz w:val="2"/>
                <w:szCs w:val="2"/>
                <w:color w:val="auto"/>
              </w:rPr>
            </w:pPr>
          </w:p>
        </w:tc>
        <w:tc>
          <w:tcPr>
            <w:tcW w:w="140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2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 free interest rate</w:t>
            </w:r>
          </w:p>
        </w:tc>
        <w:tc>
          <w:tcPr>
            <w:tcW w:w="7960" w:type="dxa"/>
            <w:vAlign w:val="bottom"/>
            <w:gridSpan w:val="9"/>
            <w:shd w:val="clear" w:color="auto" w:fill="CCEEFF"/>
          </w:tcPr>
          <w:p>
            <w:pPr>
              <w:ind w:left="120"/>
              <w:spacing w:after="0"/>
              <w:rPr>
                <w:sz w:val="20"/>
                <w:szCs w:val="20"/>
                <w:color w:val="auto"/>
              </w:rPr>
            </w:pPr>
            <w:r>
              <w:rPr>
                <w:rFonts w:ascii="Arial" w:cs="Arial" w:eastAsia="Arial" w:hAnsi="Arial"/>
                <w:sz w:val="16"/>
                <w:szCs w:val="16"/>
                <w:color w:val="auto"/>
                <w:w w:val="98"/>
              </w:rPr>
              <w:t>The risk-free rate is determined using the implied yield currently available on U.S. government bonds with a term</w:t>
            </w:r>
          </w:p>
        </w:tc>
        <w:tc>
          <w:tcPr>
            <w:tcW w:w="124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w w:val="93"/>
              </w:rPr>
              <w:t>2.4%</w:t>
            </w:r>
          </w:p>
        </w:tc>
      </w:tr>
      <w:tr>
        <w:trPr>
          <w:trHeight w:val="219"/>
        </w:trPr>
        <w:tc>
          <w:tcPr>
            <w:tcW w:w="222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3"/>
              </w:rPr>
              <w:t>consistent with the expected term on the date of grant.</w:t>
            </w: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r>
      <w:tr>
        <w:trPr>
          <w:trHeight w:val="224"/>
        </w:trPr>
        <w:tc>
          <w:tcPr>
            <w:tcW w:w="2220" w:type="dxa"/>
            <w:vAlign w:val="bottom"/>
          </w:tcPr>
          <w:p>
            <w:pPr>
              <w:ind w:left="40"/>
              <w:spacing w:after="0"/>
              <w:rPr>
                <w:sz w:val="20"/>
                <w:szCs w:val="20"/>
                <w:color w:val="auto"/>
              </w:rPr>
            </w:pPr>
            <w:r>
              <w:rPr>
                <w:rFonts w:ascii="Arial" w:cs="Arial" w:eastAsia="Arial" w:hAnsi="Arial"/>
                <w:sz w:val="16"/>
                <w:szCs w:val="16"/>
                <w:color w:val="auto"/>
              </w:rPr>
              <w:t>Expected dividend yield</w:t>
            </w:r>
          </w:p>
        </w:tc>
        <w:tc>
          <w:tcPr>
            <w:tcW w:w="6500" w:type="dxa"/>
            <w:vAlign w:val="bottom"/>
            <w:gridSpan w:val="6"/>
          </w:tcPr>
          <w:p>
            <w:pPr>
              <w:ind w:left="120"/>
              <w:spacing w:after="0"/>
              <w:rPr>
                <w:sz w:val="20"/>
                <w:szCs w:val="20"/>
                <w:color w:val="auto"/>
              </w:rPr>
            </w:pPr>
            <w:r>
              <w:rPr>
                <w:rFonts w:ascii="Arial" w:cs="Arial" w:eastAsia="Arial" w:hAnsi="Arial"/>
                <w:sz w:val="16"/>
                <w:szCs w:val="16"/>
                <w:color w:val="auto"/>
              </w:rPr>
              <w:t>The expected dividend yield is based on management’s current expected dividend rate.</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59"/>
              <w:spacing w:after="0"/>
              <w:rPr>
                <w:sz w:val="20"/>
                <w:szCs w:val="20"/>
                <w:color w:val="auto"/>
              </w:rPr>
            </w:pPr>
            <w:r>
              <w:rPr>
                <w:rFonts w:ascii="Arial" w:cs="Arial" w:eastAsia="Arial" w:hAnsi="Arial"/>
                <w:sz w:val="16"/>
                <w:szCs w:val="16"/>
                <w:color w:val="auto"/>
                <w:w w:val="92"/>
              </w:rPr>
              <w:t>6.50%</w:t>
            </w:r>
          </w:p>
        </w:tc>
      </w:tr>
      <w:tr>
        <w:trPr>
          <w:trHeight w:val="33"/>
        </w:trPr>
        <w:tc>
          <w:tcPr>
            <w:tcW w:w="2220" w:type="dxa"/>
            <w:vAlign w:val="bottom"/>
          </w:tcPr>
          <w:p>
            <w:pPr>
              <w:spacing w:after="0"/>
              <w:rPr>
                <w:sz w:val="2"/>
                <w:szCs w:val="2"/>
                <w:color w:val="auto"/>
              </w:rPr>
            </w:pPr>
          </w:p>
        </w:tc>
        <w:tc>
          <w:tcPr>
            <w:tcW w:w="5000" w:type="dxa"/>
            <w:vAlign w:val="bottom"/>
            <w:gridSpan w:val="2"/>
          </w:tcPr>
          <w:p>
            <w:pPr>
              <w:spacing w:after="0"/>
              <w:rPr>
                <w:sz w:val="2"/>
                <w:szCs w:val="2"/>
                <w:color w:val="auto"/>
              </w:rPr>
            </w:pPr>
          </w:p>
        </w:tc>
        <w:tc>
          <w:tcPr>
            <w:tcW w:w="1400" w:type="dxa"/>
            <w:vAlign w:val="bottom"/>
            <w:gridSpan w:val="3"/>
          </w:tcPr>
          <w:p>
            <w:pPr>
              <w:spacing w:after="0"/>
              <w:rPr>
                <w:sz w:val="2"/>
                <w:szCs w:val="2"/>
                <w:color w:val="auto"/>
              </w:rPr>
            </w:pPr>
          </w:p>
        </w:tc>
        <w:tc>
          <w:tcPr>
            <w:tcW w:w="24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term</w:t>
            </w:r>
          </w:p>
        </w:tc>
        <w:tc>
          <w:tcPr>
            <w:tcW w:w="6640" w:type="dxa"/>
            <w:vAlign w:val="bottom"/>
            <w:tcBorders>
              <w:bottom w:val="single" w:sz="8" w:color="CCEEFF"/>
            </w:tcBorders>
            <w:gridSpan w:val="7"/>
            <w:shd w:val="clear" w:color="auto" w:fill="CCEEFF"/>
          </w:tcPr>
          <w:p>
            <w:pPr>
              <w:ind w:left="120"/>
              <w:spacing w:after="0"/>
              <w:rPr>
                <w:sz w:val="20"/>
                <w:szCs w:val="20"/>
                <w:color w:val="auto"/>
              </w:rPr>
            </w:pPr>
            <w:r>
              <w:rPr>
                <w:rFonts w:ascii="Arial" w:cs="Arial" w:eastAsia="Arial" w:hAnsi="Arial"/>
                <w:sz w:val="16"/>
                <w:szCs w:val="16"/>
                <w:color w:val="auto"/>
                <w:w w:val="90"/>
              </w:rPr>
              <w:t>Expected term used represents the period of time the options granted are expected to be outstanding.</w:t>
            </w: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5 years</w:t>
            </w:r>
          </w:p>
        </w:tc>
      </w:tr>
      <w:tr>
        <w:trPr>
          <w:trHeight w:val="459"/>
        </w:trPr>
        <w:tc>
          <w:tcPr>
            <w:tcW w:w="2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Average Exercise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Price</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Term</w:t>
            </w:r>
          </w:p>
        </w:tc>
      </w:tr>
      <w:tr>
        <w:trPr>
          <w:trHeight w:val="210"/>
        </w:trPr>
        <w:tc>
          <w:tcPr>
            <w:tcW w:w="2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Options</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(per share)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Intrinsic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596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 options outstanding at January 1, 2016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37"/>
        </w:trPr>
        <w:tc>
          <w:tcPr>
            <w:tcW w:w="2220" w:type="dxa"/>
            <w:vAlign w:val="bottom"/>
          </w:tcPr>
          <w:p>
            <w:pPr>
              <w:ind w:left="280"/>
              <w:spacing w:after="0"/>
              <w:rPr>
                <w:sz w:val="20"/>
                <w:szCs w:val="20"/>
                <w:color w:val="auto"/>
              </w:rPr>
            </w:pPr>
            <w:r>
              <w:rPr>
                <w:rFonts w:ascii="Arial" w:cs="Arial" w:eastAsia="Arial" w:hAnsi="Arial"/>
                <w:sz w:val="16"/>
                <w:szCs w:val="16"/>
                <w:color w:val="auto"/>
              </w:rPr>
              <w:t>Granted</w:t>
            </w:r>
          </w:p>
        </w:tc>
        <w:tc>
          <w:tcPr>
            <w:tcW w:w="37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2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37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7"/>
        </w:trPr>
        <w:tc>
          <w:tcPr>
            <w:tcW w:w="2220" w:type="dxa"/>
            <w:vAlign w:val="bottom"/>
          </w:tcPr>
          <w:p>
            <w:pPr>
              <w:ind w:left="280"/>
              <w:spacing w:after="0"/>
              <w:rPr>
                <w:sz w:val="20"/>
                <w:szCs w:val="20"/>
                <w:color w:val="auto"/>
              </w:rPr>
            </w:pPr>
            <w:r>
              <w:rPr>
                <w:rFonts w:ascii="Arial" w:cs="Arial" w:eastAsia="Arial" w:hAnsi="Arial"/>
                <w:sz w:val="16"/>
                <w:szCs w:val="16"/>
                <w:color w:val="auto"/>
              </w:rPr>
              <w:t>Forfeited and canceled</w:t>
            </w:r>
          </w:p>
        </w:tc>
        <w:tc>
          <w:tcPr>
            <w:tcW w:w="37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596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Stock options outstanding and exercisable as of December 31, 2016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96"/>
              </w:rPr>
              <w:t>8.40</w:t>
            </w:r>
          </w:p>
        </w:tc>
      </w:tr>
      <w:tr>
        <w:trPr>
          <w:trHeight w:val="324"/>
        </w:trPr>
        <w:tc>
          <w:tcPr>
            <w:tcW w:w="2220" w:type="dxa"/>
            <w:vAlign w:val="bottom"/>
          </w:tcPr>
          <w:p>
            <w:pPr>
              <w:ind w:left="660"/>
              <w:spacing w:after="0"/>
              <w:rPr>
                <w:sz w:val="20"/>
                <w:szCs w:val="20"/>
                <w:color w:val="auto"/>
              </w:rPr>
            </w:pPr>
            <w:r>
              <w:rPr>
                <w:rFonts w:ascii="Arial" w:cs="Arial" w:eastAsia="Arial" w:hAnsi="Arial"/>
                <w:sz w:val="18"/>
                <w:szCs w:val="18"/>
                <w:i w:val="1"/>
                <w:iCs w:val="1"/>
                <w:color w:val="auto"/>
              </w:rPr>
              <w:t>Restricted Shares</w:t>
            </w:r>
          </w:p>
        </w:tc>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2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Average Exercise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03"/>
        </w:trPr>
        <w:tc>
          <w:tcPr>
            <w:tcW w:w="22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Restricted</w:t>
            </w:r>
          </w:p>
        </w:tc>
        <w:tc>
          <w:tcPr>
            <w:tcW w:w="180" w:type="dxa"/>
            <w:vAlign w:val="bottom"/>
          </w:tcPr>
          <w:p>
            <w:pPr>
              <w:spacing w:after="0"/>
              <w:rPr>
                <w:sz w:val="17"/>
                <w:szCs w:val="17"/>
                <w:color w:val="auto"/>
              </w:rPr>
            </w:pPr>
          </w:p>
        </w:tc>
        <w:tc>
          <w:tcPr>
            <w:tcW w:w="1200" w:type="dxa"/>
            <w:vAlign w:val="bottom"/>
            <w:gridSpan w:val="2"/>
          </w:tcPr>
          <w:p>
            <w:pPr>
              <w:ind w:left="26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Aggregate Value</w:t>
            </w: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Term</w:t>
            </w:r>
          </w:p>
        </w:tc>
      </w:tr>
      <w:tr>
        <w:trPr>
          <w:trHeight w:val="210"/>
        </w:trPr>
        <w:tc>
          <w:tcPr>
            <w:tcW w:w="22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(per share)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596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Restricted shares outstanding at January 1, 2016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1,291,878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24,675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w w:val="96"/>
              </w:rPr>
              <w:t>1.67</w:t>
            </w:r>
          </w:p>
        </w:tc>
      </w:tr>
      <w:tr>
        <w:trPr>
          <w:trHeight w:val="237"/>
        </w:trPr>
        <w:tc>
          <w:tcPr>
            <w:tcW w:w="2220" w:type="dxa"/>
            <w:vAlign w:val="bottom"/>
          </w:tcPr>
          <w:p>
            <w:pPr>
              <w:ind w:left="280"/>
              <w:spacing w:after="0"/>
              <w:rPr>
                <w:sz w:val="20"/>
                <w:szCs w:val="20"/>
                <w:color w:val="auto"/>
              </w:rPr>
            </w:pPr>
            <w:r>
              <w:rPr>
                <w:rFonts w:ascii="Arial" w:cs="Arial" w:eastAsia="Arial" w:hAnsi="Arial"/>
                <w:sz w:val="16"/>
                <w:szCs w:val="16"/>
                <w:color w:val="auto"/>
              </w:rPr>
              <w:t>Granted</w:t>
            </w:r>
          </w:p>
        </w:tc>
        <w:tc>
          <w:tcPr>
            <w:tcW w:w="37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52,388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942</w:t>
            </w:r>
          </w:p>
        </w:tc>
        <w:tc>
          <w:tcPr>
            <w:tcW w:w="120" w:type="dxa"/>
            <w:vAlign w:val="bottom"/>
          </w:tcPr>
          <w:p>
            <w:pPr>
              <w:spacing w:after="0"/>
              <w:rPr>
                <w:sz w:val="20"/>
                <w:szCs w:val="20"/>
                <w:color w:val="auto"/>
              </w:rPr>
            </w:pPr>
          </w:p>
        </w:tc>
        <w:tc>
          <w:tcPr>
            <w:tcW w:w="1240" w:type="dxa"/>
            <w:vAlign w:val="bottom"/>
          </w:tcPr>
          <w:p>
            <w:pPr>
              <w:ind w:left="920"/>
              <w:spacing w:after="0"/>
              <w:rPr>
                <w:sz w:val="20"/>
                <w:szCs w:val="20"/>
                <w:color w:val="auto"/>
              </w:rPr>
            </w:pPr>
            <w:r>
              <w:rPr>
                <w:rFonts w:ascii="Arial" w:cs="Arial" w:eastAsia="Arial" w:hAnsi="Arial"/>
                <w:sz w:val="16"/>
                <w:szCs w:val="16"/>
                <w:color w:val="auto"/>
                <w:w w:val="96"/>
              </w:rPr>
              <w:t>4.00</w:t>
            </w:r>
          </w:p>
        </w:tc>
      </w:tr>
      <w:tr>
        <w:trPr>
          <w:trHeight w:val="33"/>
        </w:trPr>
        <w:tc>
          <w:tcPr>
            <w:tcW w:w="22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vested</w:t>
            </w:r>
          </w:p>
        </w:tc>
        <w:tc>
          <w:tcPr>
            <w:tcW w:w="37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N/A</w:t>
            </w:r>
          </w:p>
        </w:tc>
      </w:tr>
      <w:tr>
        <w:trPr>
          <w:trHeight w:val="237"/>
        </w:trPr>
        <w:tc>
          <w:tcPr>
            <w:tcW w:w="2220" w:type="dxa"/>
            <w:vAlign w:val="bottom"/>
          </w:tcPr>
          <w:p>
            <w:pPr>
              <w:ind w:left="280"/>
              <w:spacing w:after="0"/>
              <w:rPr>
                <w:sz w:val="20"/>
                <w:szCs w:val="20"/>
                <w:color w:val="auto"/>
              </w:rPr>
            </w:pPr>
            <w:r>
              <w:rPr>
                <w:rFonts w:ascii="Arial" w:cs="Arial" w:eastAsia="Arial" w:hAnsi="Arial"/>
                <w:sz w:val="16"/>
                <w:szCs w:val="16"/>
                <w:color w:val="auto"/>
                <w:w w:val="95"/>
              </w:rPr>
              <w:t>Less: forfeited and canceled</w:t>
            </w:r>
          </w:p>
        </w:tc>
        <w:tc>
          <w:tcPr>
            <w:tcW w:w="374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20,939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240" w:type="dxa"/>
            <w:vAlign w:val="bottom"/>
          </w:tcPr>
          <w:p>
            <w:pPr>
              <w:ind w:left="940"/>
              <w:spacing w:after="0"/>
              <w:rPr>
                <w:sz w:val="20"/>
                <w:szCs w:val="20"/>
                <w:color w:val="auto"/>
              </w:rPr>
            </w:pPr>
            <w:r>
              <w:rPr>
                <w:rFonts w:ascii="Arial" w:cs="Arial" w:eastAsia="Arial" w:hAnsi="Arial"/>
                <w:sz w:val="16"/>
                <w:szCs w:val="16"/>
                <w:color w:val="auto"/>
              </w:rPr>
              <w:t>N/A</w:t>
            </w:r>
          </w:p>
        </w:tc>
      </w:tr>
      <w:tr>
        <w:trPr>
          <w:trHeight w:val="33"/>
        </w:trPr>
        <w:tc>
          <w:tcPr>
            <w:tcW w:w="5960" w:type="dxa"/>
            <w:vAlign w:val="bottom"/>
            <w:tcBorders>
              <w:bottom w:val="single" w:sz="8" w:color="CCEEFF"/>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Restricted shares outstanding and exercisable as of December 31,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1,302,388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24,817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w w:val="96"/>
              </w:rPr>
              <w:t>0.74</w:t>
            </w:r>
          </w:p>
        </w:tc>
      </w:tr>
      <w:tr>
        <w:trPr>
          <w:trHeight w:val="20"/>
        </w:trPr>
        <w:tc>
          <w:tcPr>
            <w:tcW w:w="2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 granted equity based compensation awards in a subsidiary consisting of 1.3 million restricted shares in exchange for services. The first award for 1.25 million restricted shares had a grant date fair value of $23,879. The fair value was determined on the grant date, August 27, 2014, using the market approach assuming no forfeitures. The shares vest in three tranches over three years, subject to continued employment and achievement of three separate performance conditions based on EBITDA for that subsidiary. The compensation expense will be recognized ratably over the remaining service period when it is probable that the performance conditions will be achieved and expires in August 2017. During the year ended December 31, 2016, the achievement of all performance conditions was deemed not probable and, accordingly, the $4,402 expense previously recognized was reversed in operating expenses in the Consolidated Statement of Operations.</w:t>
      </w:r>
    </w:p>
    <w:p>
      <w:pPr>
        <w:spacing w:after="0" w:line="70"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The second award of 42,000 restricted shares had a grant day fair value of $800 using the market approach and assuming no forfeited awards. The award vests over four years, provided the employee remains employed by the Company. During the first quarter of 2016, the employee terminated his employment, at which time 50% of the award was vested and 50% was forfeited per the terms of the agreement with the employee. In lieu of delivering the vested shares, the Company paid $200 in cash to the former employee in accordance with the amended terms of the agreement during the second quarter of 2016, effectively terminating and canceling the awards.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1420"/>
          </w:cols>
          <w:pgMar w:left="240" w:top="121" w:right="2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third award of 52,388 restricted shares had a grant date fair value of $942. The fair value was determined on the grant date, November 9, 2016, using the discounted cash flows model. The shares vest over four years, subject to continued employment through June 2020. The compensation expense will be recognized ratably through the fourth anniversary of the employee’s start date. During the year ended December 31, 2016, no shares were vested.</w:t>
      </w:r>
    </w:p>
    <w:p>
      <w:pPr>
        <w:spacing w:after="0" w:line="7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third award is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Common Units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5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r>
      <w:tr>
        <w:trPr>
          <w:trHeight w:val="203"/>
        </w:trPr>
        <w:tc>
          <w:tcPr>
            <w:tcW w:w="5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Average Exercise</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203"/>
        </w:trPr>
        <w:tc>
          <w:tcPr>
            <w:tcW w:w="5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Price</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Aggregate Value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Term</w:t>
            </w:r>
          </w:p>
        </w:tc>
      </w:tr>
      <w:tr>
        <w:trPr>
          <w:trHeight w:val="210"/>
        </w:trPr>
        <w:tc>
          <w:tcPr>
            <w:tcW w:w="596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6"/>
                <w:szCs w:val="16"/>
                <w:b w:val="1"/>
                <w:bCs w:val="1"/>
                <w:color w:val="auto"/>
              </w:rPr>
              <w:t>Common Units</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(per share)</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(in thousands)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r>
      <w:tr>
        <w:trPr>
          <w:trHeight w:val="33"/>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units outstanding at January 1, 2016</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733,333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0.72</w:t>
            </w:r>
          </w:p>
        </w:tc>
      </w:tr>
      <w:tr>
        <w:trPr>
          <w:trHeight w:val="237"/>
        </w:trPr>
        <w:tc>
          <w:tcPr>
            <w:tcW w:w="596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vested</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N/A</w:t>
            </w:r>
          </w:p>
        </w:tc>
      </w:tr>
      <w:tr>
        <w:trPr>
          <w:trHeight w:val="237"/>
        </w:trPr>
        <w:tc>
          <w:tcPr>
            <w:tcW w:w="5960" w:type="dxa"/>
            <w:vAlign w:val="bottom"/>
          </w:tcPr>
          <w:p>
            <w:pPr>
              <w:ind w:left="380"/>
              <w:spacing w:after="0"/>
              <w:rPr>
                <w:sz w:val="20"/>
                <w:szCs w:val="20"/>
                <w:color w:val="auto"/>
              </w:rPr>
            </w:pPr>
            <w:r>
              <w:rPr>
                <w:rFonts w:ascii="Arial" w:cs="Arial" w:eastAsia="Arial" w:hAnsi="Arial"/>
                <w:sz w:val="16"/>
                <w:szCs w:val="16"/>
                <w:color w:val="auto"/>
              </w:rPr>
              <w:t>Less: forfeited and canceled</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N/A</w:t>
            </w:r>
          </w:p>
        </w:tc>
      </w:tr>
      <w:tr>
        <w:trPr>
          <w:trHeight w:val="33"/>
        </w:trPr>
        <w:tc>
          <w:tcPr>
            <w:tcW w:w="59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units outstanding and exercisable as of December 31, 2016</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0.77</w:t>
            </w: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 2014 and 2015, the Company granted equity based compensation in a subsidiary consisting of common units in exchange for services assuming no forfeited amounts. The awards have varying terms, ranging between 16 and 36 months, and vest subject to continued employment through each respective vesting date. The awards are equity based with compensation expense recognized ratably over the vesting periods.</w:t>
      </w:r>
    </w:p>
    <w:p>
      <w:pPr>
        <w:spacing w:after="0" w:line="3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69"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current and deferred components of the income tax provision (benefit) included in the Consolidated Statements of Operations are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Year Ended December 31,</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3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5360" w:type="dxa"/>
            <w:vAlign w:val="bottom"/>
          </w:tcPr>
          <w:p>
            <w:pPr>
              <w:spacing w:after="0"/>
              <w:rPr>
                <w:sz w:val="20"/>
                <w:szCs w:val="20"/>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69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5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280"/>
              <w:spacing w:after="0"/>
              <w:rPr>
                <w:sz w:val="20"/>
                <w:szCs w:val="20"/>
                <w:color w:val="auto"/>
              </w:rPr>
            </w:pPr>
            <w:r>
              <w:rPr>
                <w:rFonts w:ascii="Arial" w:cs="Arial" w:eastAsia="Arial" w:hAnsi="Arial"/>
                <w:sz w:val="16"/>
                <w:szCs w:val="16"/>
                <w:color w:val="auto"/>
              </w:rPr>
              <w:t>Federal</w:t>
            </w:r>
          </w:p>
        </w:tc>
        <w:tc>
          <w:tcPr>
            <w:tcW w:w="13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0"/>
                <w:szCs w:val="20"/>
                <w:color w:val="auto"/>
              </w:rPr>
            </w:pPr>
          </w:p>
        </w:tc>
        <w:tc>
          <w:tcPr>
            <w:tcW w:w="460" w:type="dxa"/>
            <w:vAlign w:val="bottom"/>
          </w:tcPr>
          <w:p>
            <w:pPr>
              <w:ind w:left="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700</w:t>
            </w:r>
          </w:p>
        </w:tc>
      </w:tr>
      <w:tr>
        <w:trPr>
          <w:trHeight w:val="33"/>
        </w:trPr>
        <w:tc>
          <w:tcPr>
            <w:tcW w:w="5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 and local</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r>
      <w:tr>
        <w:trPr>
          <w:trHeight w:val="237"/>
        </w:trPr>
        <w:tc>
          <w:tcPr>
            <w:tcW w:w="5360" w:type="dxa"/>
            <w:vAlign w:val="bottom"/>
          </w:tcPr>
          <w:p>
            <w:pPr>
              <w:ind w:left="280"/>
              <w:spacing w:after="0"/>
              <w:rPr>
                <w:sz w:val="20"/>
                <w:szCs w:val="20"/>
                <w:color w:val="auto"/>
              </w:rPr>
            </w:pPr>
            <w:r>
              <w:rPr>
                <w:rFonts w:ascii="Arial" w:cs="Arial" w:eastAsia="Arial" w:hAnsi="Arial"/>
                <w:sz w:val="16"/>
                <w:szCs w:val="16"/>
                <w:color w:val="auto"/>
              </w:rPr>
              <w:t>Foreign</w:t>
            </w:r>
          </w:p>
        </w:tc>
        <w:tc>
          <w:tcPr>
            <w:tcW w:w="1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provision</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r>
      <w:tr>
        <w:trPr>
          <w:trHeight w:val="318"/>
        </w:trPr>
        <w:tc>
          <w:tcPr>
            <w:tcW w:w="53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37"/>
        </w:trPr>
        <w:tc>
          <w:tcPr>
            <w:tcW w:w="5360" w:type="dxa"/>
            <w:vAlign w:val="bottom"/>
          </w:tcPr>
          <w:p>
            <w:pPr>
              <w:ind w:left="280"/>
              <w:spacing w:after="0"/>
              <w:rPr>
                <w:sz w:val="20"/>
                <w:szCs w:val="20"/>
                <w:color w:val="auto"/>
              </w:rPr>
            </w:pPr>
            <w:r>
              <w:rPr>
                <w:rFonts w:ascii="Arial" w:cs="Arial" w:eastAsia="Arial" w:hAnsi="Arial"/>
                <w:sz w:val="16"/>
                <w:szCs w:val="16"/>
                <w:color w:val="auto"/>
              </w:rPr>
              <w:t>Federal</w:t>
            </w:r>
          </w:p>
        </w:tc>
        <w:tc>
          <w:tcPr>
            <w:tcW w:w="1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158</w:t>
            </w:r>
          </w:p>
        </w:tc>
      </w:tr>
      <w:tr>
        <w:trPr>
          <w:trHeight w:val="33"/>
        </w:trPr>
        <w:tc>
          <w:tcPr>
            <w:tcW w:w="5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 and local</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r>
      <w:tr>
        <w:trPr>
          <w:trHeight w:val="237"/>
        </w:trPr>
        <w:tc>
          <w:tcPr>
            <w:tcW w:w="5360" w:type="dxa"/>
            <w:vAlign w:val="bottom"/>
          </w:tcPr>
          <w:p>
            <w:pPr>
              <w:ind w:left="280"/>
              <w:spacing w:after="0"/>
              <w:rPr>
                <w:sz w:val="20"/>
                <w:szCs w:val="20"/>
                <w:color w:val="auto"/>
              </w:rPr>
            </w:pPr>
            <w:r>
              <w:rPr>
                <w:rFonts w:ascii="Arial" w:cs="Arial" w:eastAsia="Arial" w:hAnsi="Arial"/>
                <w:sz w:val="16"/>
                <w:szCs w:val="16"/>
                <w:color w:val="auto"/>
              </w:rPr>
              <w:t>Foreign</w:t>
            </w:r>
          </w:p>
        </w:tc>
        <w:tc>
          <w:tcPr>
            <w:tcW w:w="136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5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provision</w:t>
            </w:r>
          </w:p>
        </w:tc>
        <w:tc>
          <w:tcPr>
            <w:tcW w:w="13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w:t>
            </w:r>
          </w:p>
        </w:tc>
      </w:tr>
      <w:tr>
        <w:trPr>
          <w:trHeight w:val="318"/>
        </w:trPr>
        <w:tc>
          <w:tcPr>
            <w:tcW w:w="536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874</w:t>
            </w:r>
          </w:p>
        </w:tc>
      </w:tr>
      <w:tr>
        <w:trPr>
          <w:trHeight w:val="20"/>
        </w:trPr>
        <w:tc>
          <w:tcPr>
            <w:tcW w:w="5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difference between the Company’s reported provision for income taxes and the U.S. federal statutory rate of 35% is as follows:</w:t>
      </w:r>
    </w:p>
    <w:p>
      <w:pPr>
        <w:spacing w:after="0" w:line="293"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37465</wp:posOffset>
            </wp:positionV>
            <wp:extent cx="3944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gridSpan w:val="2"/>
          </w:tcPr>
          <w:p>
            <w:pPr>
              <w:ind w:left="6040"/>
              <w:spacing w:after="0"/>
              <w:rPr>
                <w:sz w:val="20"/>
                <w:szCs w:val="20"/>
                <w:color w:val="auto"/>
              </w:rPr>
            </w:pPr>
            <w:r>
              <w:rPr>
                <w:rFonts w:ascii="Arial" w:cs="Arial" w:eastAsia="Arial" w:hAnsi="Arial"/>
                <w:sz w:val="16"/>
                <w:szCs w:val="16"/>
                <w:b w:val="1"/>
                <w:bCs w:val="1"/>
                <w:color w:val="auto"/>
              </w:rPr>
              <w:t>2016</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jc w:val="right"/>
              <w:ind w:right="7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2000" w:type="dxa"/>
            <w:vAlign w:val="bottom"/>
          </w:tcPr>
          <w:p>
            <w:pPr>
              <w:jc w:val="right"/>
              <w:ind w:right="759"/>
              <w:spacing w:after="0"/>
              <w:rPr>
                <w:sz w:val="20"/>
                <w:szCs w:val="20"/>
                <w:color w:val="auto"/>
              </w:rPr>
            </w:pPr>
            <w:r>
              <w:rPr>
                <w:rFonts w:ascii="Arial" w:cs="Arial" w:eastAsia="Arial" w:hAnsi="Arial"/>
                <w:sz w:val="16"/>
                <w:szCs w:val="16"/>
                <w:b w:val="1"/>
                <w:bCs w:val="1"/>
                <w:color w:val="auto"/>
              </w:rPr>
              <w:t>2014</w:t>
            </w:r>
          </w:p>
        </w:tc>
      </w:tr>
      <w:tr>
        <w:trPr>
          <w:trHeight w:val="33"/>
        </w:trPr>
        <w:tc>
          <w:tcPr>
            <w:tcW w:w="5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federal tax at statutory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w:t>
            </w: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Income not subject to tax</w:t>
            </w:r>
          </w:p>
        </w:tc>
        <w:tc>
          <w:tcPr>
            <w:tcW w:w="680" w:type="dxa"/>
            <w:vAlign w:val="bottom"/>
          </w:tcPr>
          <w:p>
            <w:pPr>
              <w:jc w:val="right"/>
              <w:spacing w:after="0"/>
              <w:rPr>
                <w:sz w:val="20"/>
                <w:szCs w:val="20"/>
                <w:color w:val="auto"/>
              </w:rPr>
            </w:pPr>
            <w:r>
              <w:rPr>
                <w:rFonts w:ascii="Arial" w:cs="Arial" w:eastAsia="Arial" w:hAnsi="Arial"/>
                <w:sz w:val="16"/>
                <w:szCs w:val="16"/>
                <w:color w:val="auto"/>
              </w:rPr>
              <w:t>7.9 %</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25.2 %</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(241.2)%</w:t>
            </w:r>
          </w:p>
        </w:tc>
      </w:tr>
      <w:tr>
        <w:trPr>
          <w:trHeight w:val="33"/>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State and local taxes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Foreign taxes</w:t>
            </w:r>
          </w:p>
        </w:tc>
        <w:tc>
          <w:tcPr>
            <w:tcW w:w="68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6"/>
                <w:szCs w:val="16"/>
                <w:color w:val="auto"/>
              </w:rPr>
              <w:t>Change in valuation allowance</w:t>
            </w:r>
          </w:p>
        </w:tc>
        <w:tc>
          <w:tcPr>
            <w:tcW w:w="68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228.8 %</w:t>
            </w:r>
          </w:p>
        </w:tc>
      </w:tr>
      <w:tr>
        <w:trPr>
          <w:trHeight w:val="33"/>
        </w:trPr>
        <w:tc>
          <w:tcPr>
            <w:tcW w:w="5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6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23.0 %</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6520" w:type="dxa"/>
            <w:vAlign w:val="bottom"/>
            <w:gridSpan w:val="2"/>
          </w:tcPr>
          <w:p>
            <w:pPr>
              <w:ind w:left="660"/>
              <w:spacing w:after="0"/>
              <w:rPr>
                <w:sz w:val="20"/>
                <w:szCs w:val="20"/>
                <w:color w:val="auto"/>
              </w:rPr>
            </w:pPr>
            <w:r>
              <w:rPr>
                <w:rFonts w:ascii="Arial" w:cs="Arial" w:eastAsia="Arial" w:hAnsi="Arial"/>
                <w:sz w:val="18"/>
                <w:szCs w:val="18"/>
                <w:color w:val="auto"/>
                <w:w w:val="93"/>
              </w:rPr>
              <w:t>Significant components of our deferred tax assets and liabilities are as follows: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3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operating loss carryforwards</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42,337</w:t>
            </w:r>
          </w:p>
        </w:tc>
        <w:tc>
          <w:tcPr>
            <w:tcW w:w="10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24,234</w:t>
            </w: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1,767</w:t>
            </w: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4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8,334</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4,038</w:t>
            </w: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2,712</w:t>
            </w: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deferred tax assets</w:t>
            </w:r>
          </w:p>
        </w:tc>
        <w:tc>
          <w:tcPr>
            <w:tcW w:w="1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53,717</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32,751</w:t>
            </w: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valuation allowance</w:t>
            </w:r>
          </w:p>
        </w:tc>
        <w:tc>
          <w:tcPr>
            <w:tcW w:w="1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(42,270)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(24,786)</w:t>
            </w: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Net deferred tax assets</w:t>
            </w:r>
          </w:p>
        </w:tc>
        <w:tc>
          <w:tcPr>
            <w:tcW w:w="1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11,447</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7,965</w:t>
            </w:r>
          </w:p>
        </w:tc>
      </w:tr>
      <w:tr>
        <w:trPr>
          <w:trHeight w:val="33"/>
        </w:trPr>
        <w:tc>
          <w:tcPr>
            <w:tcW w:w="7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Fixed assets</w:t>
            </w:r>
          </w:p>
        </w:tc>
        <w:tc>
          <w:tcPr>
            <w:tcW w:w="1240" w:type="dxa"/>
            <w:vAlign w:val="bottom"/>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11,816</w:t>
            </w:r>
          </w:p>
        </w:tc>
        <w:tc>
          <w:tcPr>
            <w:tcW w:w="100" w:type="dxa"/>
            <w:vAlign w:val="bottom"/>
          </w:tcPr>
          <w:p>
            <w:pPr>
              <w:spacing w:after="0"/>
              <w:rPr>
                <w:sz w:val="20"/>
                <w:szCs w:val="20"/>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8,357</w:t>
            </w:r>
          </w:p>
        </w:tc>
      </w:tr>
      <w:tr>
        <w:trPr>
          <w:trHeight w:val="33"/>
        </w:trPr>
        <w:tc>
          <w:tcPr>
            <w:tcW w:w="74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assets (liabilities)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0"/>
        </w:trPr>
        <w:tc>
          <w:tcPr>
            <w:tcW w:w="7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Current and deferred tax assets and liabilities are reported in other assets and other liabilities, respectively, in the Consolidated Balance Sheet.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The Company has analyzed its deferred tax assets and has determined, based on the weight of available evidence, that it is more likely than not that a significant portion will not be realized. Accordingly, valuation allowances have been recognized as of December 31, 2016 and December 31, 2015 of $42,270 and $24,786, respectively, related to certain deductible temporary differences and net operating loss carryforwards.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the valuation allowance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42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 at beginning of period</w:t>
            </w:r>
          </w:p>
        </w:tc>
        <w:tc>
          <w:tcPr>
            <w:tcW w:w="4280" w:type="dxa"/>
            <w:vAlign w:val="bottom"/>
            <w:tcBorders>
              <w:bottom w:val="single" w:sz="8" w:color="CCEEFF"/>
            </w:tcBorders>
            <w:gridSpan w:val="2"/>
            <w:shd w:val="clear" w:color="auto" w:fill="CCEEFF"/>
          </w:tcPr>
          <w:p>
            <w:pPr>
              <w:jc w:val="right"/>
              <w:ind w:right="107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24,786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8,675</w:t>
            </w:r>
          </w:p>
        </w:tc>
        <w:tc>
          <w:tcPr>
            <w:tcW w:w="0" w:type="dxa"/>
            <w:vAlign w:val="bottom"/>
          </w:tcPr>
          <w:p>
            <w:pPr>
              <w:spacing w:after="0"/>
              <w:rPr>
                <w:sz w:val="1"/>
                <w:szCs w:val="1"/>
                <w:color w:val="auto"/>
              </w:rPr>
            </w:pPr>
          </w:p>
        </w:tc>
      </w:tr>
      <w:tr>
        <w:trPr>
          <w:trHeight w:val="237"/>
        </w:trPr>
        <w:tc>
          <w:tcPr>
            <w:tcW w:w="4420" w:type="dxa"/>
            <w:vAlign w:val="bottom"/>
          </w:tcPr>
          <w:p>
            <w:pPr>
              <w:ind w:left="240"/>
              <w:spacing w:after="0"/>
              <w:rPr>
                <w:sz w:val="20"/>
                <w:szCs w:val="20"/>
                <w:color w:val="auto"/>
              </w:rPr>
            </w:pPr>
            <w:r>
              <w:rPr>
                <w:rFonts w:ascii="Arial" w:cs="Arial" w:eastAsia="Arial" w:hAnsi="Arial"/>
                <w:sz w:val="16"/>
                <w:szCs w:val="16"/>
                <w:color w:val="auto"/>
              </w:rPr>
              <w:t>Increase to valuation allowance attributable to:</w:t>
            </w:r>
          </w:p>
        </w:tc>
        <w:tc>
          <w:tcPr>
            <w:tcW w:w="3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Current year loss</w:t>
            </w:r>
          </w:p>
        </w:tc>
        <w:tc>
          <w:tcPr>
            <w:tcW w:w="30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17,484</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16,111</w:t>
            </w:r>
          </w:p>
        </w:tc>
        <w:tc>
          <w:tcPr>
            <w:tcW w:w="0" w:type="dxa"/>
            <w:vAlign w:val="bottom"/>
          </w:tcPr>
          <w:p>
            <w:pPr>
              <w:spacing w:after="0"/>
              <w:rPr>
                <w:sz w:val="1"/>
                <w:szCs w:val="1"/>
                <w:color w:val="auto"/>
              </w:rPr>
            </w:pPr>
          </w:p>
        </w:tc>
      </w:tr>
      <w:tr>
        <w:trPr>
          <w:trHeight w:val="244"/>
        </w:trPr>
        <w:tc>
          <w:tcPr>
            <w:tcW w:w="4420" w:type="dxa"/>
            <w:vAlign w:val="bottom"/>
          </w:tcPr>
          <w:p>
            <w:pPr>
              <w:ind w:left="40"/>
              <w:spacing w:after="0"/>
              <w:rPr>
                <w:sz w:val="20"/>
                <w:szCs w:val="20"/>
                <w:color w:val="auto"/>
              </w:rPr>
            </w:pPr>
            <w:r>
              <w:rPr>
                <w:rFonts w:ascii="Arial" w:cs="Arial" w:eastAsia="Arial" w:hAnsi="Arial"/>
                <w:sz w:val="16"/>
                <w:szCs w:val="16"/>
                <w:color w:val="auto"/>
              </w:rPr>
              <w:t>Valuation allowance at end of period</w:t>
            </w:r>
          </w:p>
        </w:tc>
        <w:tc>
          <w:tcPr>
            <w:tcW w:w="302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42,270</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24,786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020" w:type="dxa"/>
            <w:vAlign w:val="bottom"/>
            <w:vMerge w:val="restart"/>
          </w:tcPr>
          <w:p>
            <w:pPr>
              <w:jc w:val="right"/>
              <w:ind w:right="1516"/>
              <w:spacing w:after="0"/>
              <w:rPr>
                <w:sz w:val="20"/>
                <w:szCs w:val="20"/>
                <w:color w:val="auto"/>
              </w:rPr>
            </w:pPr>
            <w:r>
              <w:rPr>
                <w:rFonts w:ascii="Arial" w:cs="Arial" w:eastAsia="Arial" w:hAnsi="Arial"/>
                <w:sz w:val="18"/>
                <w:szCs w:val="18"/>
                <w:color w:val="auto"/>
              </w:rPr>
              <w:t>122</w:t>
            </w: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As of December 31, 2016 and 2015, certain corporate subsidiaries of the Company had U.S. federal net operating loss carryforwards of approximately $106,838 and $62,014, respectively, and $104,263 and $60,646, respectively, of various state and local net operating loss carryforwards that are available to offset future taxable income, if and when it arises. These net operating loss carryforwards begin to expire in the year 2034. As of December 31, 2016 and 2015, the Company also had net operating loss carryforwards for Canadian federal and provincial income taxes of $7,893 and $6,672, respectively, which will begin to expire in the year 2034. As of December 31, 2016 and 2015, the Company also had net operating loss carryforwards for Irish income tax purposes of $18,453 and $900, which can be carried forward indefinitely against future business income. The utilization of the net operating loss carryforwards to reduce future income taxes will depend on the corporate subsidiaries’ ability to generate sufficient taxable income prior to the expiration of the carryforward period. In addition, the maximum annual use of net operating loss carryforwards may be limited in certain situations after changes in stock ownership occur.</w:t>
      </w:r>
    </w:p>
    <w:p>
      <w:pPr>
        <w:spacing w:after="0" w:line="7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and for the period ended December 31, 2016,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2013. The Company does not believe that it is reasonably possible that the total amount of unrecognized tax benefits will significantly change within 12 months of the reporting date.</w:t>
      </w:r>
    </w:p>
    <w:p>
      <w:pPr>
        <w:spacing w:after="0" w:line="76"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 AND AFFILIATE TRANSACTIONS</w:t>
      </w:r>
    </w:p>
    <w:p>
      <w:pPr>
        <w:spacing w:after="0" w:line="12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IPO, the Company entered into the Management Agreement which replaced its then-existing management agreement as a private fund. Additionally, the Company has entered into certain incentive allocation arrangements with Master GP, which owns 0.05% of the Partnership and is the general partner of the Partnership.</w:t>
      </w:r>
    </w:p>
    <w:p>
      <w:pPr>
        <w:spacing w:after="0" w:line="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Pre-IPO Management Agreement</w:t>
      </w:r>
    </w:p>
    <w:p>
      <w:pPr>
        <w:spacing w:after="0" w:line="117"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therein. During the years ended December 31, 2015 and 2014, pre-IPO management fees were $3,873 and $5,463, respectively.</w:t>
      </w:r>
    </w:p>
    <w:p>
      <w:pPr>
        <w:spacing w:after="0" w:line="70"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affiliates of the Manager were entitled to receive an amount not to exceed $1 million per annum to cover legal, compliance, operational, tax, accounting, insurance, transfer agent and informational technology services (“Specified General and Administrative Expenses”) performed by employees of such affiliates on behalf of the Company or the Onshore Fund and the Offshore Fund. No expenses were reimbursed to the Manager or its affiliates for any period prior to the IPO.</w:t>
      </w:r>
    </w:p>
    <w:p>
      <w:pPr>
        <w:spacing w:after="0" w:line="78"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Prior to the IPO, the Master GP was entitled to an incentive return (the “Incentive Return”) generally equal to 10% of the Partnership’s profits (before certain taxes), as defined, subject to: i) an 8% cumulative preferred return payable to the Onshore Fund and Offshore Fund investors and ii) a clawback provision which requires amounts previously distributed as Incentive Return to be returned to the Company for the benefit of the Onshore Fund and Offshore Fund investors (after adjusting for tax in accordance with the partnership agreement) if, upon the termination of the Company, the amounts ultimately distributed to the Master GP exceed its allocable amount.</w:t>
      </w:r>
    </w:p>
    <w:p>
      <w:pPr>
        <w:spacing w:after="0" w:line="80"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Incentive Return was distributable to the Master GP from Distributable Proceeds of the Partnership (as defined) as they were distributed. Accordingly, an Incentive Return would have been paid to the Master GP in connection with a particular investment if and when such investment generated proceeds in excess of the capital called with respect to such investment, plus an 8% cumulative preferred return on such investment and on all previously liquidated investments. If, upon the termination of the Partnership, the aggregate amount paid to the Master GP as Incentive Return exceeded the amount actually due after taking into account the aggregate return to the Onshore Fund and the Offshore Fund investors, the excess was required to be returned by the Master GP (“clawed back”, after adjusting for tax in accordance with the Company agreements) to the Company for benefit of the Fund Investors.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Immediately prior to the consummation of the IPO, the Master GP contributed its rights to previously undistributed incentive return pursuant to the Partnership Agreement in exchange for limited partnership interests in each of the Onshore Fund and Offshore Fund equal to the amount of any such undistributed incentive returns.</w:t>
      </w:r>
    </w:p>
    <w:p>
      <w:pPr>
        <w:spacing w:after="0" w:line="7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Certain employees of an affiliate of the Manager are or may become entitled to receive profit sharing arrangements from the Master GP, pursuant to which they receive a portion of the Master GP’s Incentive Return. The Company is not required to reimburse the Master GP for such amounts. During the years ended December 31, 2015, 2014, and 2013, the Master GP did not incur any amounts payable to these employees under such profit sharing arrangements attributable to the operations of the Company.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Post-IPO Management Agreement and Other Incentive Allocation</w:t>
      </w:r>
    </w:p>
    <w:p>
      <w:pPr>
        <w:spacing w:after="0" w:line="11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Manager is entitled to a management fee, incentive allocations (comprised of income incentive allocation and capital gains incentive allocation, defined below)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the year ended December 31, 2016 and 2015 were $16,742 and $11,145, respectively.</w:t>
      </w:r>
    </w:p>
    <w:p>
      <w:pPr>
        <w:spacing w:after="0" w:line="80"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70"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 for such quarter (8% annualized); (2) 100% of pre-incentive allocation net income with respect to that portion of such pre-incentive allocation net income, if any, that is equal to or exceeds 2% but does not exceed 2.2223% for such quarter; and (3) 10% of the amount of pre-incentive allocation net income, if any, that exceeds 2.2223% for such quarter. These calculations will be prorated for any period of less than three months. No Income Incentive Allocation was due to the Master GP for the years ended December 31, 2016 and 2015.</w:t>
      </w:r>
    </w:p>
    <w:p>
      <w:pPr>
        <w:spacing w:after="0" w:line="84"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years ended December 31, 2016 and 2015.</w:t>
      </w:r>
    </w:p>
    <w:p>
      <w:pPr>
        <w:spacing w:after="0" w:line="64"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1"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year ended December 31, 2016 and 2015, expense reimbursement of $7,301 and $4,119 was recorded in general and administrative expenses, respectively, and $4,783 and $2,181 was recorded in acquisition and transaction expenses, respectively, in the Consolidated Statements of Operations.</w:t>
      </w:r>
    </w:p>
    <w:p>
      <w:pPr>
        <w:spacing w:after="0" w:line="70"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57"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84"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December 31, 2016 and 2015, no amounts were recorded as a receivable from the Manager. As of December 31, 2016 and 2015, amounts due to the Manager or its affiliates of $1,697 and $994, excluding accrued management fees, respectively, are included within accounts payable and accrued liabilities on the Consolidated Balance Sheets. As of December 31, 2016 and 2015, amounts due to the Manager or its affiliates of $1,347 and $1,506, respectively, related to accrued management fees, are included within accounts payable and accrued liabilities on the Consolidated Balance Sheets.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Affiliate Transactions</w:t>
      </w:r>
    </w:p>
    <w:p>
      <w:pPr>
        <w:spacing w:after="0" w:line="117"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December 31, 2016 and December 31, 2015,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December 31, 2016 and December 31, 2015 was $74,904 and $71,321, respectively. For the years ended December 31, 2016, 2015, and 2014, the amount of this non-controlling interest share of net loss was $7,647, $7,950, and $3,068, respectively.</w:t>
      </w:r>
    </w:p>
    <w:p>
      <w:pPr>
        <w:spacing w:after="0" w:line="80"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connection with the Capital Call Agreement related to the Series 2016 Bonds discussed in Note 9, the Company and an affiliate of its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will be amortized as interest expense to the earlier of the redemption date or February 13, 2020.</w:t>
      </w:r>
    </w:p>
    <w:p>
      <w:pPr>
        <w:spacing w:after="0" w:line="59"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Corporate consists primarily of unallocated Company level general and administrative expenses, management fees and the recent purchase of Repauno, which consisted primarily of land, a storage cavern, and riparian rights.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80"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5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certain information for each reportable segment of the Company: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For the Year Ended December 31, 2016</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20"/>
              <w:spacing w:after="0"/>
              <w:rPr>
                <w:sz w:val="20"/>
                <w:szCs w:val="20"/>
                <w:color w:val="auto"/>
              </w:rPr>
            </w:pPr>
            <w:r>
              <w:rPr>
                <w:rFonts w:ascii="Arial" w:cs="Arial" w:eastAsia="Arial" w:hAnsi="Arial"/>
                <w:sz w:val="16"/>
                <w:szCs w:val="16"/>
                <w:b w:val="1"/>
                <w:bCs w:val="1"/>
                <w:color w:val="auto"/>
              </w:rPr>
              <w:t>Year ended December 31,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95,408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101,949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46,771</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95,408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15,902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30,837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148,720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66,169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12,314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16,742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60,210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18,957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180,708</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and finance leases,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5,356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(8,342)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(40,330)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(20,534)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59,004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1"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(Loss) to net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right"/>
              <w:ind w:right="179"/>
              <w:spacing w:after="0"/>
              <w:rPr>
                <w:sz w:val="20"/>
                <w:szCs w:val="20"/>
                <w:color w:val="auto"/>
              </w:rPr>
            </w:pPr>
            <w:r>
              <w:rPr>
                <w:rFonts w:ascii="Arial" w:cs="Arial" w:eastAsia="Arial" w:hAnsi="Arial"/>
                <w:sz w:val="16"/>
                <w:szCs w:val="16"/>
                <w:b w:val="1"/>
                <w:bCs w:val="1"/>
                <w:color w:val="auto"/>
              </w:rPr>
              <w:t>Year ended December 31, 2016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Arial" w:cs="Arial" w:eastAsia="Arial" w:hAnsi="Arial"/>
                <w:sz w:val="16"/>
                <w:szCs w:val="16"/>
                <w:b w:val="1"/>
                <w:bCs w:val="1"/>
                <w:color w:val="auto"/>
              </w:rPr>
              <w:t>Infrastructure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58,768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(8,632)</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losses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(5,992)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2,905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(6,316)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20"/>
              <w:spacing w:after="0"/>
              <w:rPr>
                <w:sz w:val="20"/>
                <w:szCs w:val="20"/>
                <w:color w:val="auto"/>
              </w:rPr>
            </w:pPr>
            <w:r>
              <w:rPr>
                <w:rFonts w:ascii="Arial" w:cs="Arial" w:eastAsia="Arial" w:hAnsi="Arial"/>
                <w:sz w:val="16"/>
                <w:szCs w:val="16"/>
                <w:b w:val="1"/>
                <w:bCs w:val="1"/>
                <w:color w:val="auto"/>
              </w:rPr>
              <w:t>Year ended December 31, 2016</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12,344</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12,344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47,354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30,508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30,756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95,408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148,720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Year Ended December 31,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61,330</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24,231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7,182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92,743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43,825</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61,330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24,231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7,182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136,568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15,018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45,308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19,311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161,681</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losses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Gain (loss) on sale of equipment and finance leases,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(28,631)</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(17,376)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(16,805)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37,336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9,627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(28,268)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(Loss) to net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37,777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7,787</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losses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(3,552)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(5,683)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10,969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10,969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39,960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15,071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35,079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49,679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61,330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24,231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25,550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136,568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1"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For the Year Ended December 31,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20,958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14,630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43,984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13,946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20,958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14,630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9,969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57,930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11,450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5,463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15,998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68,013</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and finance leases,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 impairment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13,875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17,402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16,912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7,780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1"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(Loss) to net loss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300"/>
              <w:spacing w:after="0"/>
              <w:rPr>
                <w:sz w:val="20"/>
                <w:szCs w:val="20"/>
                <w:color w:val="auto"/>
              </w:rPr>
            </w:pPr>
            <w:r>
              <w:rPr>
                <w:rFonts w:ascii="Arial" w:cs="Arial" w:eastAsia="Arial" w:hAnsi="Arial"/>
                <w:sz w:val="16"/>
                <w:szCs w:val="16"/>
                <w:b w:val="1"/>
                <w:bCs w:val="1"/>
                <w:color w:val="auto"/>
              </w:rPr>
              <w:t>Year Ended December 31,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17,136</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20,657</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(11,450)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7,780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based on location of customer,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ind w:right="99"/>
              <w:spacing w:after="0"/>
              <w:rPr>
                <w:sz w:val="20"/>
                <w:szCs w:val="20"/>
                <w:color w:val="auto"/>
              </w:rPr>
            </w:pPr>
            <w:r>
              <w:rPr>
                <w:rFonts w:ascii="Arial" w:cs="Arial" w:eastAsia="Arial" w:hAnsi="Arial"/>
                <w:sz w:val="16"/>
                <w:szCs w:val="16"/>
                <w:b w:val="1"/>
                <w:bCs w:val="1"/>
                <w:color w:val="auto"/>
              </w:rPr>
              <w:t>Year Ended December 31, 2014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Infrastructure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7,818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7,818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16,753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8,240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5,432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13,672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19,594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20,958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9,969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57,930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Balance Sheet and location of long-lived assets</w:t>
      </w:r>
    </w:p>
    <w:p>
      <w:pPr>
        <w:spacing w:after="0" w:line="121"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following tables sets forth summarized balance sheet information and the geographic location of property, plant and equipment and leasing equipment, net as of December 31, 2016 and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840"/>
              <w:spacing w:after="0"/>
              <w:rPr>
                <w:sz w:val="20"/>
                <w:szCs w:val="20"/>
                <w:color w:val="auto"/>
              </w:rPr>
            </w:pPr>
            <w:r>
              <w:rPr>
                <w:rFonts w:ascii="Arial" w:cs="Arial" w:eastAsia="Arial" w:hAnsi="Arial"/>
                <w:sz w:val="16"/>
                <w:szCs w:val="16"/>
                <w:b w:val="1"/>
                <w:bCs w:val="1"/>
                <w:color w:val="auto"/>
                <w:w w:val="94"/>
              </w:rPr>
              <w:t>December 31, 2016</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625,680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220,544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534,638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40,428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121,689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1,547,312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62,655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184,702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12,155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259,512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66,002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205,536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24,971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381,632</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3,325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104,087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111,868</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550,691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154,542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1,165,680</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625,680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220,544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534,638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121,689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1,547,312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ind w:left="840"/>
              <w:spacing w:after="0"/>
              <w:rPr>
                <w:sz w:val="20"/>
                <w:szCs w:val="20"/>
                <w:color w:val="auto"/>
              </w:rPr>
            </w:pPr>
            <w:r>
              <w:rPr>
                <w:rFonts w:ascii="Arial" w:cs="Arial" w:eastAsia="Arial" w:hAnsi="Arial"/>
                <w:sz w:val="16"/>
                <w:szCs w:val="16"/>
                <w:b w:val="1"/>
                <w:bCs w:val="1"/>
                <w:color w:val="auto"/>
                <w:w w:val="94"/>
              </w:rPr>
              <w:t>December 31, 2016</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51,136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51,136</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382,134</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225,934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225,934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56,456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450,311</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8,121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8,121</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Total property, plant and equipment and leasing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554,282</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169,499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319,503</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29,866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44,486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1,117,636</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840"/>
              <w:spacing w:after="0"/>
              <w:rPr>
                <w:sz w:val="20"/>
                <w:szCs w:val="20"/>
                <w:color w:val="auto"/>
              </w:rPr>
            </w:pPr>
            <w:r>
              <w:rPr>
                <w:rFonts w:ascii="Arial" w:cs="Arial" w:eastAsia="Arial" w:hAnsi="Arial"/>
                <w:sz w:val="16"/>
                <w:szCs w:val="16"/>
                <w:b w:val="1"/>
                <w:bCs w:val="1"/>
                <w:color w:val="auto"/>
                <w:w w:val="94"/>
              </w:rPr>
              <w:t>December 31, 2015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213,946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85,917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483,346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33,936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384,128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68,675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142,835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266,221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50,873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159,570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354,119</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7,692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113,514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124,403</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392,659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139,718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323,776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380,046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1,290,686</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443,532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85,917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483,346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384,128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1,644,805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5"/>
          </w:tcPr>
          <w:p>
            <w:pPr>
              <w:ind w:left="840"/>
              <w:spacing w:after="0"/>
              <w:rPr>
                <w:sz w:val="20"/>
                <w:szCs w:val="20"/>
                <w:color w:val="auto"/>
              </w:rPr>
            </w:pPr>
            <w:r>
              <w:rPr>
                <w:rFonts w:ascii="Arial" w:cs="Arial" w:eastAsia="Arial" w:hAnsi="Arial"/>
                <w:sz w:val="16"/>
                <w:szCs w:val="16"/>
                <w:b w:val="1"/>
                <w:bCs w:val="1"/>
                <w:color w:val="auto"/>
                <w:w w:val="94"/>
              </w:rPr>
              <w:t>December 31, 2015</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ind w:left="42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60" w:type="dxa"/>
            <w:vAlign w:val="bottom"/>
          </w:tcPr>
          <w:p>
            <w:pPr>
              <w:spacing w:after="0"/>
              <w:rPr>
                <w:sz w:val="18"/>
                <w:szCs w:val="1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180" w:type="dxa"/>
            <w:vAlign w:val="bottom"/>
          </w:tcPr>
          <w:p>
            <w:pPr>
              <w:spacing w:after="0"/>
              <w:rPr>
                <w:sz w:val="18"/>
                <w:szCs w:val="18"/>
                <w:color w:val="auto"/>
              </w:rPr>
            </w:pPr>
          </w:p>
        </w:tc>
        <w:tc>
          <w:tcPr>
            <w:tcW w:w="8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and leasing</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56,927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56,927</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228,502</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130,632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135,442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266,074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380,408</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4,448</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Total property, plant and equipment and leasing</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419,321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174,580</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317,766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24,692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936,359</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78"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completed its IPO on May 20, 2015 in which its previous beneficial owners, the Fortress Worldwide Transportation and Infrastructure Investors LP and Fortress Worldwide Transportation and Infrastructure Offshore LP, immediately prior to the consummation of the IPO, received shares in proportion to their respective ownership percentages. As a result, the Company has retrospectively presented the shares outstanding for all prior periods presented.</w:t>
      </w:r>
    </w:p>
    <w:p>
      <w:pPr>
        <w:spacing w:after="0" w:line="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calculation of basic and diluted EPS is presented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ind w:left="60"/>
              <w:spacing w:after="0"/>
              <w:rPr>
                <w:sz w:val="20"/>
                <w:szCs w:val="20"/>
                <w:color w:val="auto"/>
              </w:rPr>
            </w:pPr>
            <w:r>
              <w:rPr>
                <w:rFonts w:ascii="Arial" w:cs="Arial" w:eastAsia="Arial" w:hAnsi="Arial"/>
                <w:sz w:val="16"/>
                <w:szCs w:val="16"/>
                <w:b w:val="1"/>
                <w:bCs w:val="1"/>
                <w:color w:val="auto"/>
                <w:w w:val="99"/>
              </w:rPr>
              <w:t>Year Ended December 31,</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47"/>
        </w:trPr>
        <w:tc>
          <w:tcPr>
            <w:tcW w:w="538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31"/>
        </w:trPr>
        <w:tc>
          <w:tcPr>
            <w:tcW w:w="5380" w:type="dxa"/>
            <w:vAlign w:val="bottom"/>
          </w:tcPr>
          <w:p>
            <w:pPr>
              <w:ind w:left="40"/>
              <w:spacing w:after="0"/>
              <w:rPr>
                <w:sz w:val="20"/>
                <w:szCs w:val="20"/>
                <w:color w:val="auto"/>
              </w:rPr>
            </w:pPr>
            <w:r>
              <w:rPr>
                <w:rFonts w:ascii="Arial" w:cs="Arial" w:eastAsia="Arial" w:hAnsi="Arial"/>
                <w:sz w:val="16"/>
                <w:szCs w:val="16"/>
                <w:i w:val="1"/>
                <w:iCs w:val="1"/>
                <w:color w:val="auto"/>
              </w:rPr>
              <w:t>(in thousands, except share and per share data)</w:t>
            </w:r>
          </w:p>
        </w:tc>
        <w:tc>
          <w:tcPr>
            <w:tcW w:w="460" w:type="dxa"/>
            <w:vAlign w:val="bottom"/>
          </w:tcPr>
          <w:p>
            <w:pPr>
              <w:spacing w:after="0"/>
              <w:rPr>
                <w:sz w:val="20"/>
                <w:szCs w:val="20"/>
                <w:color w:val="auto"/>
              </w:rPr>
            </w:pPr>
          </w:p>
        </w:tc>
        <w:tc>
          <w:tcPr>
            <w:tcW w:w="1500" w:type="dxa"/>
            <w:vAlign w:val="bottom"/>
          </w:tcPr>
          <w:p>
            <w:pPr>
              <w:jc w:val="right"/>
              <w:ind w:right="7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53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attributable to shareholders</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(20,064)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7,780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4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75,738,698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67,039,439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53,502,873</w:t>
            </w:r>
          </w:p>
        </w:tc>
      </w:tr>
      <w:tr>
        <w:trPr>
          <w:trHeight w:val="33"/>
        </w:trPr>
        <w:tc>
          <w:tcPr>
            <w:tcW w:w="5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4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75,738,698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67,039,439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53,502,873</w:t>
            </w:r>
          </w:p>
        </w:tc>
      </w:tr>
      <w:tr>
        <w:trPr>
          <w:trHeight w:val="324"/>
        </w:trPr>
        <w:tc>
          <w:tcPr>
            <w:tcW w:w="5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EPS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r>
      <w:tr>
        <w:trPr>
          <w:trHeight w:val="33"/>
        </w:trPr>
        <w:tc>
          <w:tcPr>
            <w:tcW w:w="5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14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420"/>
          </w:cols>
          <w:pgMar w:left="240" w:top="121" w:right="239" w:bottom="1147"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year ended December 31, 2016, 8,082 shares have been excluded from the calculation of Diluted EPS because the impact would be anti-dilutive.</w:t>
      </w:r>
    </w:p>
    <w:p>
      <w:pPr>
        <w:spacing w:after="0" w:line="58"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lessees have asserted that they are entitled to certain reimbursable expenses or adjustments per the terms of the related charter agreement. Although the Company believes it has strong defenses against these claims, the range of potential damages is $0 to $10,306. No amount has been recorded for this matter in the Company’s consolidated financial statements as of December 31, 2016,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69"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also entered into an arrangement with its non-controlling interest holder of Repauno, whereby the non-controlling interest holder may receive additional payments contingent upon the achievement of certain service conditions, not to exceed $15,000 (Note 6). The Company will account for such amounts when and if such service conditions are achieved.</w:t>
      </w:r>
    </w:p>
    <w:p>
      <w:pPr>
        <w:spacing w:after="0" w:line="7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Several of the Company’s subsidiaries are lessees under various operating and capital leases. Total rent expense for operating leases was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Year Ended December 31,</w:t>
            </w: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2014</w:t>
            </w:r>
          </w:p>
        </w:tc>
      </w:tr>
      <w:tr>
        <w:trPr>
          <w:trHeight w:val="33"/>
        </w:trPr>
        <w:tc>
          <w:tcPr>
            <w:tcW w:w="5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53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Rent expense</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4,953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w:t>
            </w:r>
          </w:p>
        </w:tc>
      </w:tr>
      <w:tr>
        <w:trPr>
          <w:trHeight w:val="33"/>
        </w:trPr>
        <w:tc>
          <w:tcPr>
            <w:tcW w:w="5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2016, minimum future rental payments under operating and capital leases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480" w:type="dxa"/>
            <w:vAlign w:val="bottom"/>
          </w:tcPr>
          <w:p>
            <w:pPr>
              <w:ind w:left="40"/>
              <w:spacing w:after="0"/>
              <w:rPr>
                <w:sz w:val="20"/>
                <w:szCs w:val="20"/>
                <w:color w:val="auto"/>
              </w:rPr>
            </w:pPr>
            <w:r>
              <w:rPr>
                <w:rFonts w:ascii="Arial" w:cs="Arial" w:eastAsia="Arial" w:hAnsi="Arial"/>
                <w:sz w:val="16"/>
                <w:szCs w:val="16"/>
                <w:color w:val="auto"/>
              </w:rPr>
              <w:t>2017</w:t>
            </w:r>
          </w:p>
        </w:tc>
        <w:tc>
          <w:tcPr>
            <w:tcW w:w="760" w:type="dxa"/>
            <w:vAlign w:val="bottom"/>
          </w:tcPr>
          <w:p>
            <w:pPr>
              <w:jc w:val="right"/>
              <w:ind w:right="55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6,511</w:t>
            </w:r>
          </w:p>
        </w:tc>
      </w:tr>
      <w:tr>
        <w:trPr>
          <w:trHeight w:val="33"/>
        </w:trPr>
        <w:tc>
          <w:tcPr>
            <w:tcW w:w="9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7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5,825</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2019</w:t>
            </w:r>
          </w:p>
        </w:tc>
        <w:tc>
          <w:tcPr>
            <w:tcW w:w="7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5,407</w:t>
            </w:r>
          </w:p>
        </w:tc>
      </w:tr>
      <w:tr>
        <w:trPr>
          <w:trHeight w:val="33"/>
        </w:trPr>
        <w:tc>
          <w:tcPr>
            <w:tcW w:w="9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7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4,722</w:t>
            </w: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2021</w:t>
            </w:r>
          </w:p>
        </w:tc>
        <w:tc>
          <w:tcPr>
            <w:tcW w:w="76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3,920</w:t>
            </w:r>
          </w:p>
        </w:tc>
      </w:tr>
      <w:tr>
        <w:trPr>
          <w:trHeight w:val="33"/>
        </w:trPr>
        <w:tc>
          <w:tcPr>
            <w:tcW w:w="9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73,279</w:t>
            </w:r>
          </w:p>
        </w:tc>
      </w:tr>
      <w:tr>
        <w:trPr>
          <w:trHeight w:val="244"/>
        </w:trPr>
        <w:tc>
          <w:tcPr>
            <w:tcW w:w="94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99,664</w:t>
            </w:r>
          </w:p>
        </w:tc>
      </w:tr>
      <w:tr>
        <w:trPr>
          <w:trHeight w:val="20"/>
        </w:trPr>
        <w:tc>
          <w:tcPr>
            <w:tcW w:w="9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unaudited summary information of the Company's quarterly operations.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5"/>
          </w:tcPr>
          <w:p>
            <w:pPr>
              <w:ind w:left="66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47"/>
        </w:trPr>
        <w:tc>
          <w:tcPr>
            <w:tcW w:w="40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40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12"/>
                <w:szCs w:val="1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2"/>
                <w:szCs w:val="12"/>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2"/>
                <w:szCs w:val="12"/>
                <w:color w:val="auto"/>
              </w:rPr>
            </w:pPr>
          </w:p>
        </w:tc>
        <w:tc>
          <w:tcPr>
            <w:tcW w:w="12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08"/>
        </w:trPr>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00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31,453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33,195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41,726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42,346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148,720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180,708</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(8,342)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(19,878)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(40,330)</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(20,056)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(40,598)</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interests in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rPr>
              <w:t>consolidated subsidiaries</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(20,534)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attributable to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75,727,369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75,730,165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75,746,200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75,750,943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75,738,698</w:t>
            </w:r>
          </w:p>
        </w:tc>
        <w:tc>
          <w:tcPr>
            <w:tcW w:w="0" w:type="dxa"/>
            <w:vAlign w:val="bottom"/>
          </w:tcPr>
          <w:p>
            <w:pPr>
              <w:spacing w:after="0"/>
              <w:rPr>
                <w:sz w:val="1"/>
                <w:szCs w:val="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75,727,369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75,730,165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75,746,200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75,750,943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75,738,698</w:t>
            </w:r>
          </w:p>
        </w:tc>
        <w:tc>
          <w:tcPr>
            <w:tcW w:w="0" w:type="dxa"/>
            <w:vAlign w:val="bottom"/>
          </w:tcPr>
          <w:p>
            <w:pPr>
              <w:spacing w:after="0"/>
              <w:rPr>
                <w:sz w:val="1"/>
                <w:szCs w:val="1"/>
                <w:color w:val="auto"/>
              </w:rPr>
            </w:pPr>
          </w:p>
        </w:tc>
      </w:tr>
      <w:tr>
        <w:trPr>
          <w:trHeight w:val="608"/>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Year Ended</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share and per share data)</w:t>
            </w:r>
          </w:p>
        </w:tc>
        <w:tc>
          <w:tcPr>
            <w:tcW w:w="22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6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0"/>
                <w:szCs w:val="20"/>
                <w:color w:val="auto"/>
              </w:rPr>
            </w:pPr>
          </w:p>
        </w:tc>
        <w:tc>
          <w:tcPr>
            <w:tcW w:w="120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4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vMerge w:val="continue"/>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33,973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33,564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35,233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33,798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136,568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161,681</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(2,932)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(28,045)</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color w:val="auto"/>
              </w:rPr>
              <w:t>Provision (benefit) for income taxes</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(28,631)</w:t>
            </w:r>
          </w:p>
        </w:tc>
        <w:tc>
          <w:tcPr>
            <w:tcW w:w="0" w:type="dxa"/>
            <w:vAlign w:val="bottom"/>
          </w:tcPr>
          <w:p>
            <w:pPr>
              <w:spacing w:after="0"/>
              <w:rPr>
                <w:sz w:val="1"/>
                <w:szCs w:val="1"/>
                <w:color w:val="auto"/>
              </w:rPr>
            </w:pPr>
          </w:p>
        </w:tc>
      </w:tr>
      <w:tr>
        <w:trPr>
          <w:trHeight w:val="220"/>
        </w:trPr>
        <w:tc>
          <w:tcPr>
            <w:tcW w:w="4000" w:type="dxa"/>
            <w:vAlign w:val="bottom"/>
          </w:tcPr>
          <w:p>
            <w:pPr>
              <w:ind w:left="20"/>
              <w:spacing w:after="0"/>
              <w:rPr>
                <w:sz w:val="20"/>
                <w:szCs w:val="20"/>
                <w:color w:val="auto"/>
              </w:rPr>
            </w:pPr>
            <w:r>
              <w:rPr>
                <w:rFonts w:ascii="Arial" w:cs="Arial" w:eastAsia="Arial" w:hAnsi="Arial"/>
                <w:sz w:val="16"/>
                <w:szCs w:val="16"/>
                <w:color w:val="auto"/>
              </w:rPr>
              <w:t>Net loss attributable to non-controlling interests in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0"/>
              <w:spacing w:after="0"/>
              <w:rPr>
                <w:sz w:val="20"/>
                <w:szCs w:val="20"/>
                <w:color w:val="auto"/>
              </w:rPr>
            </w:pPr>
            <w:r>
              <w:rPr>
                <w:rFonts w:ascii="Arial" w:cs="Arial" w:eastAsia="Arial" w:hAnsi="Arial"/>
                <w:sz w:val="16"/>
                <w:szCs w:val="16"/>
                <w:color w:val="auto"/>
              </w:rPr>
              <w:t>consolidated subsidiaries</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(4,318)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(16,805)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shareholders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5,448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62,879,023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75,718,183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75,718,183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67,039,439</w:t>
            </w:r>
          </w:p>
        </w:tc>
        <w:tc>
          <w:tcPr>
            <w:tcW w:w="0" w:type="dxa"/>
            <w:vAlign w:val="bottom"/>
          </w:tcPr>
          <w:p>
            <w:pPr>
              <w:spacing w:after="0"/>
              <w:rPr>
                <w:sz w:val="1"/>
                <w:szCs w:val="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Diluted</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53,502,873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62,879,023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75,718,183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75,718,183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67,039,439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400"/>
          </w:cols>
          <w:pgMar w:left="240" w:top="121" w:right="259" w:bottom="1440" w:gutter="0" w:footer="0" w:header="0"/>
          <w:type w:val="continuous"/>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xml:space="preserve">On January 23, 2017, Company entered into an unsecured credit agreement under which the Company, through its wholly owned subsidiaries, including the Partnership and WWTAI Finance Ltd., an exempted company incorporated with limited liability under the laws of Bermuda, borrowed </w:t>
      </w:r>
      <w:r>
        <w:rPr>
          <w:rFonts w:ascii="Arial" w:cs="Arial" w:eastAsia="Arial" w:hAnsi="Arial"/>
          <w:sz w:val="15"/>
          <w:szCs w:val="15"/>
          <w:color w:val="auto"/>
        </w:rPr>
        <w:t xml:space="preserve">$100,000 </w:t>
      </w:r>
      <w:r>
        <w:rPr>
          <w:rFonts w:ascii="Arial" w:cs="Arial" w:eastAsia="Arial" w:hAnsi="Arial"/>
          <w:sz w:val="17"/>
          <w:szCs w:val="17"/>
          <w:color w:val="auto"/>
        </w:rPr>
        <w:t>in term loans denominated in U.S. dollars (the “Term Loans”). The proceeds of the Term Loans will be used for general corporate purposes,</w:t>
      </w:r>
      <w:r>
        <w:rPr>
          <w:rFonts w:ascii="Arial" w:cs="Arial" w:eastAsia="Arial" w:hAnsi="Arial"/>
          <w:sz w:val="15"/>
          <w:szCs w:val="15"/>
          <w:color w:val="auto"/>
        </w:rPr>
        <w:t xml:space="preserve"> </w:t>
      </w:r>
      <w:r>
        <w:rPr>
          <w:rFonts w:ascii="Arial" w:cs="Arial" w:eastAsia="Arial" w:hAnsi="Arial"/>
          <w:sz w:val="17"/>
          <w:szCs w:val="17"/>
          <w:color w:val="auto"/>
        </w:rPr>
        <w:t xml:space="preserve">including future acquisitions by the Company and its subsidiaries of certain aviation and infrastructure assets. The Term Loans currently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 year extension, and require amortization payments in the amount of </w:t>
      </w:r>
      <w:r>
        <w:rPr>
          <w:rFonts w:ascii="Arial" w:cs="Arial" w:eastAsia="Arial" w:hAnsi="Arial"/>
          <w:sz w:val="15"/>
          <w:szCs w:val="15"/>
          <w:color w:val="auto"/>
        </w:rPr>
        <w:t>$250</w:t>
      </w:r>
      <w:r>
        <w:rPr>
          <w:rFonts w:ascii="Arial" w:cs="Arial" w:eastAsia="Arial" w:hAnsi="Arial"/>
          <w:sz w:val="17"/>
          <w:szCs w:val="17"/>
          <w:color w:val="auto"/>
        </w:rPr>
        <w:t xml:space="preserve"> on the last day of each fiscal quarter beginning on March 31, 2017. Refer to the Company’s Form 8-K which was filed with the Securities and Exchange Commission on January 27, 2017 for additional detail.</w:t>
      </w:r>
    </w:p>
    <w:p>
      <w:pPr>
        <w:spacing w:after="0" w:line="73"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February 23, 2017, the Company’s Board of Directors declared a cash dividend on its common shares of $0.33 per share for the quarter ended December 31, 2016, payable on March 20, 2017 to the holders of record on March 10,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1" w:right="239" w:bottom="1440" w:gutter="0" w:footer="0" w:header="0"/>
        </w:sectPr>
      </w:pPr>
    </w:p>
    <w:bookmarkStart w:id="137" w:name="page138"/>
    <w:bookmarkEnd w:id="137"/>
    <w:p>
      <w:pPr>
        <w:ind w:left="4480"/>
        <w:spacing w:after="0"/>
        <w:rPr>
          <w:sz w:val="20"/>
          <w:szCs w:val="20"/>
          <w:color w:val="auto"/>
        </w:rPr>
      </w:pPr>
      <w:r>
        <w:rPr>
          <w:rFonts w:ascii="Arial" w:cs="Arial" w:eastAsia="Arial" w:hAnsi="Arial"/>
          <w:sz w:val="18"/>
          <w:szCs w:val="18"/>
          <w:b w:val="1"/>
          <w:bCs w:val="1"/>
          <w:color w:val="auto"/>
        </w:rPr>
        <w:t>Report of Independent Auditors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Management of Intermodal Finance I Ltd. and Subsidiaries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financial statements of Intermodal Finance I Ltd. and Subsidiaries, which comprise the consolidated balance sheet as of December 31, 2016, and the related consolidated statements of operations, comprehensive (loss) income, changes in members’ equity and cash flows for the year then ended, and the related notes to the consolidated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Intermodal Finance I Ltd. and Subsidiaries at December 31, 2016, and the consolidated results of their operations and their cash flows for the years then ended in conformity with U.S. generally accepted accounting principles.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Note 2 to the consolidated financial statements, the Company revised its consolidated balance sheets to present debt issuance costs as a direct deduction from debt rather than within other assets, for all periods presented as a result of the adoption of the amendments to the FASB Accounting Standards Codification resulting from Accounting Standards Update No. 2015-03, “Imputation of Interest: Simplifying the Presentation of Debt Issuance Costs,” effective December 15, 2015.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Information</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audit was conducted for the purpose of forming an opinion on the consolidated financial statements as a whole. The accompanying consolidating information contained in the Other Financial Information section is presented for purposes of additional analysis and is not a required part of the financial statements. Such information is the responsibility of management and was derived from and relates directly to the underlying accounting and other records used to prepare the financial statements. The consolidating information has been subjected to the auditing procedures applied in the audit of the consolidated financial statements and certain additional procedures, including comparing and reconciling such information directly to the underlying accounting and other records used to prepare the financial statements or to the financial statements themselves, and other additional procedures in accordance with auditing standards generally accepted in the United States. In our opinion, the information is fairly stated, in all material respects, in relation to the financial statements as a whole.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580"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Report of Independent Auditors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Management of Intermodal Finance I Ltd:</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audited the consolidated financial statements of Intermodal Finance I Ltd. and its subsidiaries, which comprise the consolidated balance sheet as of December 31, 2015 and the related consolidated statements of operations, comprehensive (loss) income, members’ equity and cash flows for each of the two years in the period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Consolidated Financial Statements</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responsibility is to express an opinion on the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Intermodal Finance I Ltd. and its subsidiaries as of December 31, 2015 and the results of their operations and their cash flows for each of the two years in the period ended December 31, 2015, in accordance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audit was conducted for the purpose of forming an opinion on the consolidated financial statements taken as a whole. The consolidating information contained in the Other Financial Information section is the responsibility of management and was derived from and relates directly to the underlying accounting and other records used to prepare the consolidated financial statements. The consolidating information has been subjected to the auditing procedures applied in the audit of the consolidated financial statements and certain additional procedures, including comparing and reconciling such information directly to the underlying accounting and other records used to prepare the consolidated financial statements or to the consolidated financial statements themselves and other additional procedures, in accordance with auditing standards generally accepted in the United States of America. In our opinion, the consolidating information is fairly stated, in all material respects, in relation to the consolidated financial statements taken as a whole. The consolidating information is presented for purposes of additional analysis of the consolidated financial statements rather than to present the financial position or results of operations of the individual companies and is not a required part of the consolidated financial statements. Accordingly, we do not express an opinion on the financial position or results of operations of the individual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March 8, 2016, except for the change in presentation of debt issuance costs as discussed in Note 4 to the consolidated financial statements, as to which the date is February 24, 2017</w:t>
      </w:r>
    </w:p>
    <w:p>
      <w:pPr>
        <w:sectPr>
          <w:pgSz w:w="11900" w:h="16838" w:orient="portrait"/>
          <w:cols w:equalWidth="0" w:num="1">
            <w:col w:w="11420"/>
          </w:cols>
          <w:pgMar w:left="240" w:top="364"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4,249</w:t>
            </w:r>
          </w:p>
        </w:tc>
        <w:tc>
          <w:tcPr>
            <w:tcW w:w="10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4,796</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2,117</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1,814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1,153</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Leasing assets, net of accumulated depreciation of $8,398 and $7,305, respectively</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19,007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47,735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Finance Leases, net</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17,270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34,261</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8"/>
              </w:rPr>
              <w:t>43,470</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90,093</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Management fees payable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payable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Accrued interest payable to affiliates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payable, net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32,485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64,504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Loans payable to affiliates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18,080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18,487</w:t>
            </w:r>
          </w:p>
        </w:tc>
      </w:tr>
      <w:tr>
        <w:trPr>
          <w:trHeight w:val="33"/>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Syndication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458</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8"/>
              </w:rPr>
              <w:t>52,702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86,804</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Members’ (deficit) equity</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(9,232)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3,289</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members’ equity</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8"/>
              </w:rPr>
              <w:t>43,470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90,093</w:t>
            </w:r>
          </w:p>
        </w:tc>
      </w:tr>
      <w:tr>
        <w:trPr>
          <w:trHeight w:val="20"/>
        </w:trPr>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364"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Revenues</w:t>
            </w: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leasing revenue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7,506</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Finance revenue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7,951</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20,331</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Direct operating expenses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5,815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4,477</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Interest expense-affiliates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General and administrative expense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Bad debt expense</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17,769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29,553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9,772</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(expenses) income</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income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Gain on early termination of finance lease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debt extinguishment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(Loss) on disposal of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(5,225)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(loss) income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(12,081)</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(14,050)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11,402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420"/>
          </w:cols>
          <w:pgMar w:left="240" w:top="364" w:right="239"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ind w:right="534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(LOSS) INCOME </w:t>
      </w:r>
      <w:r>
        <w:rPr>
          <w:rFonts w:ascii="Arial" w:cs="Arial" w:eastAsia="Arial" w:hAnsi="Arial"/>
          <w:sz w:val="18"/>
          <w:szCs w:val="18"/>
          <w:color w:val="auto"/>
        </w:rPr>
        <w:t>(dollar amounts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60" w:type="dxa"/>
            <w:vAlign w:val="bottom"/>
            <w:gridSpan w:val="4"/>
          </w:tcPr>
          <w:p>
            <w:pPr>
              <w:ind w:left="80"/>
              <w:spacing w:after="0"/>
              <w:rPr>
                <w:sz w:val="20"/>
                <w:szCs w:val="20"/>
                <w:color w:val="auto"/>
              </w:rPr>
            </w:pPr>
            <w:r>
              <w:rPr>
                <w:rFonts w:ascii="Arial" w:cs="Arial" w:eastAsia="Arial" w:hAnsi="Arial"/>
                <w:sz w:val="16"/>
                <w:szCs w:val="16"/>
                <w:b w:val="1"/>
                <w:bCs w:val="1"/>
                <w:color w:val="auto"/>
                <w:w w:val="94"/>
              </w:rPr>
              <w:t>Year Ended December 31,</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(12,081)</w:t>
            </w:r>
          </w:p>
        </w:tc>
        <w:tc>
          <w:tcPr>
            <w:tcW w:w="5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11,402</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(12,081)</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(14,050)</w:t>
            </w: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11,402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364"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20" w:type="dxa"/>
            <w:vAlign w:val="bottom"/>
            <w:gridSpan w:val="4"/>
          </w:tcPr>
          <w:p>
            <w:pP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from operating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Net (loss) income</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0"/>
              </w:rPr>
              <w:t>(12,081)</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(14,050)</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11,402</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6,093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3,936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2,693</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(Gain) on early termination of finance lease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Loss on disposal of equipment</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5,225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equipment held for lease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Bad debt expense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221</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 payable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309</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6400" w:type="dxa"/>
            <w:vAlign w:val="bottom"/>
          </w:tcPr>
          <w:p>
            <w:pPr>
              <w:ind w:left="280"/>
              <w:spacing w:after="0"/>
              <w:rPr>
                <w:sz w:val="20"/>
                <w:szCs w:val="20"/>
                <w:color w:val="auto"/>
              </w:rPr>
            </w:pPr>
            <w:r>
              <w:rPr>
                <w:rFonts w:ascii="Arial" w:cs="Arial" w:eastAsia="Arial" w:hAnsi="Arial"/>
                <w:sz w:val="16"/>
                <w:szCs w:val="16"/>
                <w:color w:val="auto"/>
              </w:rPr>
              <w:t>Management fees payable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5,721</w:t>
            </w: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11,203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13,286</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Principal collections on direct finance leases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16,886</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40,082</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Proceeds from early termination of finance lease</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20,335</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disposal of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11,051</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996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1,115</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investing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28,933</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29,834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61,532</w:t>
            </w:r>
          </w:p>
        </w:tc>
      </w:tr>
      <w:tr>
        <w:trPr>
          <w:trHeight w:val="270"/>
        </w:trPr>
        <w:tc>
          <w:tcPr>
            <w:tcW w:w="6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used in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Principal repayments on term loan</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(32,360)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(32,163)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(36,325)</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Principal repayments on loans payable to affiliates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(8,634)</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Principal repayments on syndication liabilities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(1,994)</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(4,609)</w:t>
            </w:r>
          </w:p>
        </w:tc>
      </w:tr>
      <w:tr>
        <w:trPr>
          <w:trHeight w:val="33"/>
        </w:trPr>
        <w:tc>
          <w:tcPr>
            <w:tcW w:w="6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financing fee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Capital distributions</w:t>
            </w:r>
          </w:p>
        </w:tc>
        <w:tc>
          <w:tcPr>
            <w:tcW w:w="10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(24,674)</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(35,201)</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(74,257)</w:t>
            </w:r>
          </w:p>
        </w:tc>
      </w:tr>
      <w:tr>
        <w:trPr>
          <w:trHeight w:val="270"/>
        </w:trPr>
        <w:tc>
          <w:tcPr>
            <w:tcW w:w="6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year</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4,796</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5,214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4,653</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4,249</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5,214</w:t>
            </w:r>
          </w:p>
        </w:tc>
      </w:tr>
      <w:tr>
        <w:trPr>
          <w:trHeight w:val="270"/>
        </w:trPr>
        <w:tc>
          <w:tcPr>
            <w:tcW w:w="6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1000" w:type="dxa"/>
            <w:vAlign w:val="bottom"/>
          </w:tcPr>
          <w:p>
            <w:pPr>
              <w:jc w:val="right"/>
              <w:ind w:right="7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2,009</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4,782</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364"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9019"/>
          </w:cols>
          <w:pgMar w:left="1440" w:top="828" w:right="1440"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INTERMODAL FINANCE I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WWTAI</w:t>
            </w:r>
          </w:p>
        </w:tc>
        <w:tc>
          <w:tcPr>
            <w:tcW w:w="320" w:type="dxa"/>
            <w:vAlign w:val="bottom"/>
          </w:tcPr>
          <w:p>
            <w:pPr>
              <w:spacing w:after="0"/>
              <w:rPr>
                <w:sz w:val="17"/>
                <w:szCs w:val="17"/>
                <w:color w:val="auto"/>
              </w:rPr>
            </w:pPr>
          </w:p>
        </w:tc>
        <w:tc>
          <w:tcPr>
            <w:tcW w:w="1520" w:type="dxa"/>
            <w:vAlign w:val="bottom"/>
            <w:gridSpan w:val="2"/>
          </w:tcPr>
          <w:p>
            <w:pPr>
              <w:ind w:left="240"/>
              <w:spacing w:after="0"/>
              <w:rPr>
                <w:sz w:val="20"/>
                <w:szCs w:val="20"/>
                <w:color w:val="auto"/>
              </w:rPr>
            </w:pPr>
            <w:r>
              <w:rPr>
                <w:rFonts w:ascii="Arial" w:cs="Arial" w:eastAsia="Arial" w:hAnsi="Arial"/>
                <w:sz w:val="16"/>
                <w:szCs w:val="16"/>
                <w:b w:val="1"/>
                <w:bCs w:val="1"/>
                <w:color w:val="auto"/>
              </w:rPr>
              <w:t>Deutsche</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Container HoldCo Ltd</w:t>
            </w:r>
          </w:p>
        </w:tc>
        <w:tc>
          <w:tcPr>
            <w:tcW w:w="32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6"/>
                <w:szCs w:val="16"/>
                <w:b w:val="1"/>
                <w:bCs w:val="1"/>
                <w:color w:val="auto"/>
              </w:rPr>
              <w:t>Bank AG</w:t>
            </w:r>
          </w:p>
        </w:tc>
        <w:tc>
          <w:tcPr>
            <w:tcW w:w="380" w:type="dxa"/>
            <w:vAlign w:val="bottom"/>
          </w:tcPr>
          <w:p>
            <w:pPr>
              <w:spacing w:after="0"/>
              <w:rPr>
                <w:sz w:val="18"/>
                <w:szCs w:val="18"/>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w:t>
            </w:r>
          </w:p>
        </w:tc>
      </w:tr>
      <w:tr>
        <w:trPr>
          <w:trHeight w:val="33"/>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 at December 31, 2014</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20,560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Capital distributions</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(1,643)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(3,221)</w:t>
            </w:r>
          </w:p>
        </w:tc>
      </w:tr>
      <w:tr>
        <w:trPr>
          <w:trHeight w:val="33"/>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Net loss for the period</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(6,884)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(14,050)</w:t>
            </w:r>
          </w:p>
        </w:tc>
      </w:tr>
      <w:tr>
        <w:trPr>
          <w:trHeight w:val="33"/>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Total comprehensive loss</w:t>
            </w: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(14,050)</w:t>
            </w:r>
          </w:p>
        </w:tc>
      </w:tr>
      <w:tr>
        <w:trPr>
          <w:trHeight w:val="33"/>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 at December 31, 2015</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1"/>
        </w:trPr>
        <w:tc>
          <w:tcPr>
            <w:tcW w:w="6060" w:type="dxa"/>
            <w:vAlign w:val="bottom"/>
          </w:tcPr>
          <w:p>
            <w:pPr>
              <w:ind w:left="40"/>
              <w:spacing w:after="0"/>
              <w:rPr>
                <w:sz w:val="20"/>
                <w:szCs w:val="20"/>
                <w:color w:val="auto"/>
              </w:rPr>
            </w:pPr>
            <w:r>
              <w:rPr>
                <w:rFonts w:ascii="Arial" w:cs="Arial" w:eastAsia="Arial" w:hAnsi="Arial"/>
                <w:sz w:val="16"/>
                <w:szCs w:val="16"/>
                <w:color w:val="auto"/>
              </w:rPr>
              <w:t>Capital distributions</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33"/>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Net loss for the period</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(6,161)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(12,081)</w:t>
            </w:r>
          </w:p>
        </w:tc>
      </w:tr>
      <w:tr>
        <w:trPr>
          <w:trHeight w:val="33"/>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income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060" w:type="dxa"/>
            <w:vAlign w:val="bottom"/>
          </w:tcPr>
          <w:p>
            <w:pPr>
              <w:ind w:left="180"/>
              <w:spacing w:after="0"/>
              <w:rPr>
                <w:sz w:val="20"/>
                <w:szCs w:val="20"/>
                <w:color w:val="auto"/>
              </w:rPr>
            </w:pPr>
            <w:r>
              <w:rPr>
                <w:rFonts w:ascii="Arial" w:cs="Arial" w:eastAsia="Arial" w:hAnsi="Arial"/>
                <w:sz w:val="16"/>
                <w:szCs w:val="16"/>
                <w:color w:val="auto"/>
              </w:rPr>
              <w:t>Total comprehensive loss</w:t>
            </w: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(5,920)</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(12,081)</w:t>
            </w:r>
          </w:p>
        </w:tc>
      </w:tr>
      <w:tr>
        <w:trPr>
          <w:trHeight w:val="33"/>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 at December 31, 2016</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(9,232)</w:t>
            </w: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364" w:right="239" w:bottom="1440" w:gutter="0" w:footer="0" w:header="0"/>
        </w:sectPr>
      </w:pPr>
    </w:p>
    <w:bookmarkStart w:id="145" w:name="page146"/>
    <w:bookmarkEnd w:id="145"/>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Intermodal Finance I Ltd. (“Intermodal Finance”) is a Cayman Islands limited liability company which was formed on August 21, 2012 for the object and purpose of, directly or indirectly, investing in portfolios of shipping containers subject to operating leases or direct financing leases, and engaging in all activities incidental hereto.</w:t>
      </w:r>
    </w:p>
    <w:p>
      <w:pPr>
        <w:spacing w:after="0" w:line="73"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members of Intermodal Finance are WWTAI Container HoldCo Ltd., with a 51% interest, and Deutsche Bank AG, Cayman Islands Branch, with a 49% interest. Intermodal Finance shall continue in existence until such time as its members determine upon its winding up and dissolution. Intermodal Finance commenced operations on September 5, 2012.</w:t>
      </w:r>
    </w:p>
    <w:p>
      <w:pPr>
        <w:spacing w:after="0" w:line="69" w:lineRule="exact"/>
        <w:rPr>
          <w:rFonts w:ascii="Arial" w:cs="Arial" w:eastAsia="Arial" w:hAnsi="Arial"/>
          <w:sz w:val="18"/>
          <w:szCs w:val="18"/>
          <w:b w:val="1"/>
          <w:bCs w:val="1"/>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accompanying consolidated financial statements are prepared in accordance with U.S.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(“GAAP”) and include the accounts of Intermodal Finance and its subsidiaries. Intermodal Finance consolidates those entities which it has an investment of 50% or more and in which it has control over significant operating decisions, as well as variable interest entities in which Intermodal Finance is the primary beneficiary. All significant intercompany transactions and balances have been eliminated.</w:t>
      </w:r>
    </w:p>
    <w:p>
      <w:pPr>
        <w:spacing w:after="0" w:line="63"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Intermodal Finance holds a variable interest in WWTAI Container 1 Ltd (“Container 1”), an entity which holds an investment in four direct finance leases, and has determined that it is the primary beneficiary of Container 1. Accordingly, Intermodal Finance consolidates Container 1 (collectively, the “Company”).</w:t>
      </w:r>
    </w:p>
    <w:p>
      <w:pPr>
        <w:spacing w:after="0" w:line="73" w:lineRule="exact"/>
        <w:rPr>
          <w:rFonts w:ascii="Arial" w:cs="Arial" w:eastAsia="Arial" w:hAnsi="Arial"/>
          <w:sz w:val="18"/>
          <w:szCs w:val="18"/>
          <w:b w:val="1"/>
          <w:bCs w:val="1"/>
          <w:color w:val="auto"/>
        </w:rPr>
      </w:pPr>
    </w:p>
    <w:p>
      <w:pPr>
        <w:jc w:val="both"/>
        <w:ind w:left="660"/>
        <w:spacing w:after="0" w:line="31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38"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may encounter two significant types of economic risk: credit risk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risk. Credit risk is the risk of default on leases, loans, securities or derivatives, as applicable, which results from the inability or unwillingness of a lessee, borrower, or derivative counterparty to make required or expected payments. Market risk reflects changes in the value of leasing assets (including residual value estimates), loans, securities or derivatives, as applicable, due to changes in interest rates or other market factors, including the value of the collateral underlying loans and the valuation of equity and debt securities. The Company conducts operations outside of the United States; such international operations are subject to risks, such as unexpected changes in regulatory requirements, heightened risk of political and economic instability, potentially adverse tax consequences and the burden of complying with foreign laws.</w:t>
      </w:r>
    </w:p>
    <w:p>
      <w:pPr>
        <w:spacing w:after="0" w:line="59" w:lineRule="exact"/>
        <w:rPr>
          <w:rFonts w:ascii="Arial" w:cs="Arial" w:eastAsia="Arial" w:hAnsi="Arial"/>
          <w:sz w:val="18"/>
          <w:szCs w:val="18"/>
          <w:b w:val="1"/>
          <w:bCs w:val="1"/>
          <w:color w:val="auto"/>
        </w:rPr>
      </w:pPr>
    </w:p>
    <w:p>
      <w:pPr>
        <w:ind w:left="660" w:right="20"/>
        <w:spacing w:after="0" w:line="308"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Cash and Cash Equivalents</w:t>
      </w:r>
      <w:r>
        <w:rPr>
          <w:rFonts w:ascii="Arial" w:cs="Arial" w:eastAsia="Arial" w:hAnsi="Arial"/>
          <w:sz w:val="17"/>
          <w:szCs w:val="17"/>
          <w:color w:val="auto"/>
        </w:rPr>
        <w:t>—The Company considers all highly liquid short-term investments with a maturity of 90 days or less when purchased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cash equivalents. Substantially all of the Company’s amounts on deposit with major financial institutions exceed insured limits.</w:t>
      </w:r>
    </w:p>
    <w:p>
      <w:pPr>
        <w:spacing w:after="0" w:line="3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consists of cash held in segregated accounts pursuant to the requirements of the Company’s Term Loan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(Note 4).</w:t>
      </w:r>
    </w:p>
    <w:p>
      <w:pPr>
        <w:spacing w:after="0" w:line="62"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Deferred Costs and Amortization</w:t>
      </w:r>
      <w:r>
        <w:rPr>
          <w:rFonts w:ascii="Arial" w:cs="Arial" w:eastAsia="Arial" w:hAnsi="Arial"/>
          <w:sz w:val="18"/>
          <w:szCs w:val="18"/>
          <w:color w:val="auto"/>
        </w:rPr>
        <w:t>—Deferred financing costs incurred in connection with the Term Loan are amortized over the seven year term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underlying loan. Amortization expense for the years ended December 31, 2016, 2015 and 2014 was approximately $278, $277 and $277, respectively.</w:t>
      </w:r>
    </w:p>
    <w:p>
      <w:pPr>
        <w:spacing w:after="0" w:line="73"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Deferred costs also include a commission paid to a third party in connection with the acquisition and leaseback of a portfolio of shipping containers. This commission is being amortized using the straight line method over the term of the underlying lease. Amortization expense for the years ended December 31, 2016, 2015 and 2014 was approximately $63, $217 and $248, respectively.</w:t>
      </w:r>
    </w:p>
    <w:p>
      <w:pPr>
        <w:spacing w:after="0" w:line="73"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Direct Finance Leases</w:t>
      </w:r>
      <w:r>
        <w:rPr>
          <w:rFonts w:ascii="Arial" w:cs="Arial" w:eastAsia="Arial" w:hAnsi="Arial"/>
          <w:sz w:val="18"/>
          <w:szCs w:val="18"/>
          <w:color w:val="auto"/>
        </w:rPr>
        <w:t>—Direct finance leases are recorded at the aggregated future minimum lease payments, including any bargain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economically compelled purchase options granted to the customer, less unearned income.</w:t>
      </w:r>
    </w:p>
    <w:p>
      <w:pPr>
        <w:spacing w:after="0" w:line="62"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Leasing Equipment</w:t>
      </w:r>
      <w:r>
        <w:rPr>
          <w:rFonts w:ascii="Arial" w:cs="Arial" w:eastAsia="Arial" w:hAnsi="Arial"/>
          <w:sz w:val="18"/>
          <w:szCs w:val="18"/>
          <w:color w:val="auto"/>
        </w:rPr>
        <w:t>—Shipping containers held for lease are stated at initial cost and are depreciated on a straight-line basis to an estimated residual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over a 15 year useful life from date of manufacture. The shipping containers owned by the Company are being depreciated over remaining useful lives ranging from 0.5 to 1.5 years. Depreciation expense for the years ended December 31, 2016, 2015 and 2014 was approximately $5,752, $3,442 and $2,168, respectively.</w:t>
      </w:r>
    </w:p>
    <w:p>
      <w:pPr>
        <w:spacing w:after="0" w:line="7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repair and maintenance costs that do not extend the lives of the assets as incurred and includes them as a component of direct operating expenses in the consolidated statement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72" w:right="239" w:bottom="1440" w:gutter="0" w:footer="0" w:header="0"/>
        </w:sectPr>
      </w:pPr>
    </w:p>
    <w:bookmarkStart w:id="146" w:name="page147"/>
    <w:bookmarkEnd w:id="146"/>
    <w:p>
      <w:pPr>
        <w:jc w:val="both"/>
        <w:spacing w:after="0" w:line="254" w:lineRule="auto"/>
        <w:rPr>
          <w:sz w:val="20"/>
          <w:szCs w:val="20"/>
          <w:color w:val="auto"/>
        </w:rPr>
      </w:pPr>
      <w:r>
        <w:rPr>
          <w:rFonts w:ascii="Arial" w:cs="Arial" w:eastAsia="Arial" w:hAnsi="Arial"/>
          <w:sz w:val="18"/>
          <w:szCs w:val="18"/>
          <w:color w:val="auto"/>
        </w:rPr>
        <w:t>The Company performs a recoverability assessment of shipping container portfolios at least annually. In addition, a recoverability assessment is performed whenever events or changes in circumstances, or indicators, indicate that the carrying amount or net book value of an asset may not be recoverable. Indicators may include, but are not limited to, a decline in demand for the types of equipment owned by the Company, or other indicators of obsolescence. When performing a recoverability assessment, the Company measures whether the estimated future undiscounted net cash flows expected to be generated by the equipment exceed its net book value. The undiscounted cash flows consist of cash flows from currently contracted leases, future projected lease rates, transition costs, estimated down time and estimated residual or scrap values for the equipment. In the event that the equipment does not meet the recoverability test, the carrying value of the equipment will be adjusted to fair value resulting in an impairment charge.</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of the Company develops the assumptions used in the recoverability analysis based on its knowledge of active lease contracts, current and future expectations of the global demand for a particular container type and historical experience in the container leasing market, as well as information received from third party industry sources. The factors considered in estimating the undiscounted cash flows are impacted by changes in future periods due to changes in contracted lease rates, residual values, economic conditions, technology, demand for a particular container type and other factors. In the event that the portfolio does not meet the recoverability test, the carrying value will be adjusted to fair value based on a discounted cash flow analysis, resulting in an impairment charge.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31, 2016 and September 30, 2015, Intermodal Finance I, Ltd. recorded an impairment charge of $6,016 and $20,604, respectively, which resulted from certain operating leases not being renewed and containers being returned at a faster pace than expected. Additionally, due to challenging market conditions for shipping containers, a limited number of the returned containers were sold at values lower than previously estimated.</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leases shipping containers pursuant to operating leases. Operating leases with fixed rentals and step rentals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recognized on a straight-line basis over the term of the initial lease, assuming no renewals.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determines the provision for doubtful accounts based on its assessment of the collectability of its receivables on a customer-by-customer basis and places a likelihood of default percentage on each delinquent account individually. Changes in economic conditions may require a re-assessment of the risk and could result in increases or decreases in the allowance for doubtful accounts. At December 31, 2016, 2015 and 2014, there were no provisions for doubtful accounts on the Company’s accounts receivable.</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also holds a portfolio of direct finance lease receivables. In most instances, the leases include a bargain purchase option to purchase the leased equipment at the end of the lease term. Net investment in direct finance leases represents the receivables due from lessees, net of unearned income. The lease payments are segregated into principal and interest components similar to a loan. Unearned income is recognized on an effective interest method over the life of the lease term and is recorded as finance revenue in the consolidated statement of operations. The principal component of the lease payment is reflected as a reduction to the net investment in direct finance leases.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Recognition</w:t>
      </w:r>
      <w:r>
        <w:rPr>
          <w:rFonts w:ascii="Arial" w:cs="Arial" w:eastAsia="Arial" w:hAnsi="Arial"/>
          <w:sz w:val="18"/>
          <w:szCs w:val="18"/>
          <w:color w:val="auto"/>
        </w:rPr>
        <w:t>—The Company recognizes expenses as incurred on an accrual basis.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Comprehensive Income</w:t>
      </w:r>
      <w:r>
        <w:rPr>
          <w:rFonts w:ascii="Arial" w:cs="Arial" w:eastAsia="Arial" w:hAnsi="Arial"/>
          <w:sz w:val="18"/>
          <w:szCs w:val="18"/>
          <w:color w:val="auto"/>
        </w:rPr>
        <w:t>—Comprehensive income consists of net income and other gains and losses, net of tax, if any, affecting shareholders’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under GAAP, are excluded from net income. Such amounts include the changes in the fair value of derivative instruments, reclassification into the earnings of amounts previously deferred relating to the derivative instruments and foreign currency translation gains and losses. For the years ended December 31, 2016, 2015, and 2014, there were no differences between the Company’s comprehensive income and the net income as presented in the consolidated statement of operations.</w:t>
      </w:r>
    </w:p>
    <w:p>
      <w:pPr>
        <w:spacing w:after="0" w:line="8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Foreign Currency</w:t>
      </w:r>
      <w:r>
        <w:rPr>
          <w:rFonts w:ascii="Arial" w:cs="Arial" w:eastAsia="Arial" w:hAnsi="Arial"/>
          <w:sz w:val="16"/>
          <w:szCs w:val="16"/>
          <w:color w:val="auto"/>
        </w:rPr>
        <w:t>—The Company’s functional and reporting currency is the U.S. dollar. Purchases and sales of assets and income and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denominated in foreign currencies are translated into U.S. dollar amounts on the respective dates of such transactions. Differences between these recorded amounts and the U.S. dollar equivalent actually received or paid are reported as net realized foreign currency gains or losses.</w:t>
      </w:r>
    </w:p>
    <w:p>
      <w:pPr>
        <w:spacing w:after="0" w:line="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Federal Income Taxes</w:t>
      </w:r>
      <w:r>
        <w:rPr>
          <w:rFonts w:ascii="Arial" w:cs="Arial" w:eastAsia="Arial" w:hAnsi="Arial"/>
          <w:sz w:val="18"/>
          <w:szCs w:val="18"/>
          <w:color w:val="auto"/>
        </w:rPr>
        <w:t>—No income taxes have been provided for in these consolidated financial statements as each investor in the Company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individually responsible for reporting income or loss based upon its respective share of the Company’s income and expenses as reported for income tax purposes.</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uncertain tax positions that would require recognition in the consolidated financial statements. The Company files income tax returns in the U.S. federal jurisdiction and various state jurisdictions. The income tax returns filed by the Company are subject to examination by the U.S. Federal and state tax authorities.</w:t>
      </w:r>
    </w:p>
    <w:p>
      <w:pPr>
        <w:spacing w:after="0" w:line="20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0760"/>
          </w:cols>
          <w:pgMar w:left="900" w:top="476" w:right="239" w:bottom="1440" w:gutter="0" w:footer="0" w:header="0"/>
        </w:sectPr>
      </w:pPr>
    </w:p>
    <w:bookmarkStart w:id="147" w:name="page148"/>
    <w:bookmarkEnd w:id="147"/>
    <w:p>
      <w:pPr>
        <w:jc w:val="both"/>
        <w:spacing w:after="0" w:line="279" w:lineRule="auto"/>
        <w:rPr>
          <w:sz w:val="20"/>
          <w:szCs w:val="20"/>
          <w:color w:val="auto"/>
        </w:rPr>
      </w:pPr>
      <w:r>
        <w:rPr>
          <w:rFonts w:ascii="Arial" w:cs="Arial" w:eastAsia="Arial" w:hAnsi="Arial"/>
          <w:sz w:val="17"/>
          <w:szCs w:val="17"/>
          <w:b w:val="1"/>
          <w:bCs w:val="1"/>
          <w:i w:val="1"/>
          <w:iCs w:val="1"/>
          <w:color w:val="auto"/>
        </w:rPr>
        <w:t>Distributions and Allocations to Members</w:t>
      </w:r>
      <w:r>
        <w:rPr>
          <w:rFonts w:ascii="Arial" w:cs="Arial" w:eastAsia="Arial" w:hAnsi="Arial"/>
          <w:sz w:val="17"/>
          <w:szCs w:val="17"/>
          <w:color w:val="auto"/>
        </w:rPr>
        <w:t>—Distributions to members are recorded when paid or, in the case of an in-kind distribution,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distributed. The character of distributions made during the reporting period may differ from their ultimate characterization for federal income tax purposes due to book/tax differences in the character of income and expense recognition. Distributions and allocations are determined with respect to each member, as defined by and in accordance with the operating agreement.</w:t>
      </w:r>
    </w:p>
    <w:p>
      <w:pPr>
        <w:spacing w:after="0" w:line="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Concentration of Credit Risk</w:t>
      </w:r>
      <w:r>
        <w:rPr>
          <w:rFonts w:ascii="Arial" w:cs="Arial" w:eastAsia="Arial" w:hAnsi="Arial"/>
          <w:sz w:val="16"/>
          <w:szCs w:val="16"/>
          <w:color w:val="auto"/>
        </w:rPr>
        <w:t>—The Company is subject to concentrations of credit risk with respect to amounts due from customers on its direct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finance leases and operating leases. The Company attempts to limit its credit risk by performing ongoing credit evaluations. The Company’s three largest customers represented approximately 17%, 3% (direct finance lease customers) and 77% (operating lease customer) of revenues for the year ended December 31, 2016; 15%, 4% (direct finance lease customers) and 74% (operating lease customer) of revenues for the year ended December 31, 2015; and 15%, 16% (direct finance lease customers) and 58% (operating lease customer) of revenues for the year ended December 31, 2014.</w:t>
      </w:r>
    </w:p>
    <w:p>
      <w:pPr>
        <w:spacing w:after="0" w:line="5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Based on the in-place operating lease contract at December 31, 2016, 2015 and 2014, the maximum amount of loss the Company would incur if the operating lease customer failed completely to perform according to the terms of the lease would be approximately $2,545, $8,431 and $13,479 million, respectively. As it relates to the Company’s direct finance lease portfolio, the three largest customers account for approximately 70%, 22%, and 5%, 68%, 14% and 11% and 56%, 14% and 11%, of the outstanding principal at December 31, 2016, 2015 and 2014, respectively. If any of these customers were to default, the Company would seek to recover the equipment securing the lease, with a view towards either selling or re-leasing the equipment. To date, the Company has not experienced any losses related to direct finance leases and does not expect future uncollectible amounts related to the principal balances receivable.</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Deterioration in credit quality of several of the Company’s major customers could have an adverse effect on its consolidated financial position and operating results. Management does not believe significant risk exists in connection with the Company’s concentrations of credit as of December 31, 2016, 2015 and 2014.</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—In August 2014, the FASB issued ASU 2014-15,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Presentation of Financial Statements-Going Concern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requires management of an entity to evaluate whether there are conditions or events, considered in the aggregate, that raise substantial doubt about the entity’s ability to continue as a going concern within one year after the date that the financial statements are issued or available to be issued. This update is effective for annual periods ending after December 15, 2016. The adoption of this standard did not have a material impact on our financial statements.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2015, the Financial Accounting Standards Board (the “FASB”) issued Accounting Standards Update (“ASU”) 2015-02, </w:t>
      </w:r>
      <w:r>
        <w:rPr>
          <w:rFonts w:ascii="Arial" w:cs="Arial" w:eastAsia="Arial" w:hAnsi="Arial"/>
          <w:sz w:val="18"/>
          <w:szCs w:val="18"/>
          <w:i w:val="1"/>
          <w:iCs w:val="1"/>
          <w:color w:val="auto"/>
        </w:rPr>
        <w:t>Amendments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Consolidation Analysis </w:t>
      </w:r>
      <w:r>
        <w:rPr>
          <w:rFonts w:ascii="Arial" w:cs="Arial" w:eastAsia="Arial" w:hAnsi="Arial"/>
          <w:sz w:val="18"/>
          <w:szCs w:val="18"/>
          <w:color w:val="auto"/>
        </w:rPr>
        <w:t>(“ASU 2015-02”). ASU 2015-02 amends the consolidation guidance for VIEs and general partners’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has adopted ASU 2015-02 as of January 1, 2016 and the adoption of this guidance did not have a material impact on the Company’s consolidated financial statements.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Imputation of Interest: Simplifying the Presentation of Debt Issuance Costs</w:t>
      </w:r>
      <w:r>
        <w:rPr>
          <w:rFonts w:ascii="Arial" w:cs="Arial" w:eastAsia="Arial" w:hAnsi="Arial"/>
          <w:sz w:val="18"/>
          <w:szCs w:val="18"/>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has adopted ASU 2015-03 as of January 1, 2016 and revised its consolidated balance sheets to present debt issuance costs as a direct deduction from debt rather than within other assets, for all periods presented.</w:t>
      </w:r>
    </w:p>
    <w:p>
      <w:pPr>
        <w:spacing w:after="0" w:line="9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 xml:space="preserve">In August 2015, the FASB issued ASU 2015-15, </w:t>
      </w:r>
      <w:r>
        <w:rPr>
          <w:rFonts w:ascii="Arial" w:cs="Arial" w:eastAsia="Arial" w:hAnsi="Arial"/>
          <w:sz w:val="17"/>
          <w:szCs w:val="17"/>
          <w:i w:val="1"/>
          <w:iCs w:val="1"/>
          <w:color w:val="auto"/>
        </w:rPr>
        <w:t>Interest - Imputation of Interest (Subtopic 835-30): Presentation and Subsequent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Debt Issuance Costs Associated With Line-Of-Credit Arrangements </w:t>
      </w:r>
      <w:r>
        <w:rPr>
          <w:rFonts w:ascii="Arial" w:cs="Arial" w:eastAsia="Arial" w:hAnsi="Arial"/>
          <w:sz w:val="17"/>
          <w:szCs w:val="17"/>
          <w:color w:val="auto"/>
        </w:rPr>
        <w:t>(“ASU 2015-15”). ASU 2015-15 provides further guidance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or subsequent measurement of debt issuance costs related to term loan arrangements. ASU 2015-15 allows companies to defer and present debt issuance costs as an asset or as a direct deduction from the carrying amount of that debt liability and subsequently amortize the deferred debt issuance costs ratably over the term of the term loan arrangement, regardless of whether there are any outstanding borrowings of the term loan arrangement. The guidance is effective for reporting periods beginning after December 15, 2015 and interim periods within those fiscal years with early adoption permitted. The Company has adopted ASU 2015-15 as of January</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0760"/>
          </w:cols>
          <w:pgMar w:left="900" w:top="476" w:right="239" w:bottom="1440" w:gutter="0" w:footer="0" w:header="0"/>
        </w:sectPr>
      </w:pPr>
    </w:p>
    <w:bookmarkStart w:id="148" w:name="page149"/>
    <w:bookmarkEnd w:id="148"/>
    <w:p>
      <w:pPr>
        <w:jc w:val="both"/>
        <w:ind w:left="660"/>
        <w:spacing w:after="0" w:line="277" w:lineRule="auto"/>
        <w:rPr>
          <w:sz w:val="20"/>
          <w:szCs w:val="20"/>
          <w:color w:val="auto"/>
        </w:rPr>
      </w:pPr>
      <w:r>
        <w:rPr>
          <w:rFonts w:ascii="Arial" w:cs="Arial" w:eastAsia="Arial" w:hAnsi="Arial"/>
          <w:sz w:val="18"/>
          <w:szCs w:val="18"/>
          <w:color w:val="auto"/>
        </w:rPr>
        <w:t>1, 2016 and revised its consolidated balance sheets to present debt issuance costs related to debt drawn under a term loan arrangements as a direct deduction from debt rather than within other assets, for all periods presented.</w:t>
      </w:r>
    </w:p>
    <w:p>
      <w:pPr>
        <w:spacing w:after="0" w:line="62"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b w:val="1"/>
          <w:bCs w:val="1"/>
          <w:i w:val="1"/>
          <w:iCs w:val="1"/>
          <w:color w:val="auto"/>
        </w:rPr>
        <w:t>Unadopted Accounting Pronouncements</w:t>
      </w:r>
      <w:r>
        <w:rPr>
          <w:rFonts w:ascii="Arial" w:cs="Arial" w:eastAsia="Arial" w:hAnsi="Arial"/>
          <w:sz w:val="16"/>
          <w:szCs w:val="16"/>
          <w:color w:val="auto"/>
        </w:rPr>
        <w:t>—The FASB has recently issued or discussed a number of proposed standards on such topics as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instruments and hedging. Some of the proposed changes are significant and could have a material impact on the Company’s financial reporting. The Company has not yet fully evaluated the potential impact of these proposals, but will make such an evaluation as the standards are finalized.</w:t>
      </w:r>
    </w:p>
    <w:p>
      <w:pPr>
        <w:spacing w:after="0" w:line="39"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August 2015, the FASB issued ASU 2015-14, </w:t>
      </w:r>
      <w:r>
        <w:rPr>
          <w:rFonts w:ascii="Arial" w:cs="Arial" w:eastAsia="Arial" w:hAnsi="Arial"/>
          <w:sz w:val="17"/>
          <w:szCs w:val="17"/>
          <w:i w:val="1"/>
          <w:iCs w:val="1"/>
          <w:color w:val="auto"/>
        </w:rPr>
        <w:t>Revenue from Contracts with Customers (Topic 606): Deferral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Date, </w:t>
      </w:r>
      <w:r>
        <w:rPr>
          <w:rFonts w:ascii="Arial" w:cs="Arial" w:eastAsia="Arial" w:hAnsi="Arial"/>
          <w:sz w:val="17"/>
          <w:szCs w:val="17"/>
          <w:color w:val="auto"/>
        </w:rPr>
        <w:t>to defer the effective date of ASU 2014-09 by one year, making it effective for annual reporting periods beginning after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15, 2018 while also providing for early adoption but not before the original effective date. The Company is currently evaluating the impact of adopting this new guidance on its consolidated financial statements.</w:t>
      </w:r>
    </w:p>
    <w:p>
      <w:pPr>
        <w:spacing w:after="0" w:line="70"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requires (i) equity investments, except those accounted for under the equity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of accounting or those that result in consolidation of the investee, to be measured at fair value with changes in fair value recognized in net income,</w:t>
      </w:r>
    </w:p>
    <w:p>
      <w:pPr>
        <w:jc w:val="both"/>
        <w:ind w:left="660" w:hanging="4"/>
        <w:spacing w:after="0" w:line="252" w:lineRule="auto"/>
        <w:tabs>
          <w:tab w:leader="none" w:pos="9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86"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w:t>
      </w:r>
      <w:r>
        <w:rPr>
          <w:rFonts w:ascii="Arial" w:cs="Arial" w:eastAsia="Arial" w:hAnsi="Arial"/>
          <w:sz w:val="17"/>
          <w:szCs w:val="17"/>
          <w:color w:val="auto"/>
        </w:rPr>
        <w:t>“ASU 2016-02”</w:t>
      </w:r>
      <w:r>
        <w:rPr>
          <w:rFonts w:ascii="Arial" w:cs="Arial" w:eastAsia="Arial" w:hAnsi="Arial"/>
          <w:sz w:val="17"/>
          <w:szCs w:val="17"/>
          <w:i w:val="1"/>
          <w:iCs w:val="1"/>
          <w:color w:val="auto"/>
        </w:rPr>
        <w:t>)</w:t>
      </w:r>
      <w:r>
        <w:rPr>
          <w:rFonts w:ascii="Arial" w:cs="Arial" w:eastAsia="Arial" w:hAnsi="Arial"/>
          <w:sz w:val="17"/>
          <w:szCs w:val="17"/>
          <w:color w:val="auto"/>
        </w:rPr>
        <w:t>.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 is currently evaluating the impact of adopting this new guidance on its consolidated financial statements.</w:t>
      </w:r>
    </w:p>
    <w:p>
      <w:pPr>
        <w:spacing w:after="0" w:line="60"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SHIPPING CONTAINER PORTFOLIOS</w:t>
      </w:r>
    </w:p>
    <w:p>
      <w:pPr>
        <w:spacing w:after="0" w:line="12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Direct Finance Lease Portfolio</w:t>
      </w:r>
      <w:r>
        <w:rPr>
          <w:rFonts w:ascii="Arial" w:cs="Arial" w:eastAsia="Arial" w:hAnsi="Arial"/>
          <w:sz w:val="17"/>
          <w:szCs w:val="17"/>
          <w:color w:val="auto"/>
        </w:rPr>
        <w:t>-On September 5, 2012, the Company acquired a portfolio of 28 direct finance leases (“DFL’s”) representing 10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customers and comprising approximately 97,500 shipping containers for a net purchase price of $165,149. At the date of acquisition, the DFL’s had remaining terms ranging from 5 months to 5.33 years. At the date of acquisition, the remaining outstanding balance of the DFL’s was approximately $202,800, of which four of the DFL’s were subject to non-recourse syndication liabilities to third parties having an aggregate outstanding balance of approximately $21,800 (Note 5). In accordance with </w:t>
      </w:r>
      <w:r>
        <w:rPr>
          <w:rFonts w:ascii="Arial" w:cs="Arial" w:eastAsia="Arial" w:hAnsi="Arial"/>
          <w:sz w:val="17"/>
          <w:szCs w:val="17"/>
          <w:i w:val="1"/>
          <w:iCs w:val="1"/>
          <w:color w:val="auto"/>
        </w:rPr>
        <w:t>ASC 805, Business Combinations</w:t>
      </w:r>
      <w:r>
        <w:rPr>
          <w:rFonts w:ascii="Arial" w:cs="Arial" w:eastAsia="Arial" w:hAnsi="Arial"/>
          <w:sz w:val="17"/>
          <w:szCs w:val="17"/>
          <w:color w:val="auto"/>
        </w:rPr>
        <w:t>, the Company allocated the purchase price to the acquired assets and assumed liabilities based upon their relative fair values,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DFL receivables</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184,681</w:t>
            </w:r>
          </w:p>
        </w:tc>
      </w:tr>
      <w:tr>
        <w:trPr>
          <w:trHeight w:val="224"/>
        </w:trPr>
        <w:tc>
          <w:tcPr>
            <w:tcW w:w="9840" w:type="dxa"/>
            <w:vAlign w:val="bottom"/>
          </w:tcPr>
          <w:p>
            <w:pPr>
              <w:ind w:left="40"/>
              <w:spacing w:after="0"/>
              <w:rPr>
                <w:sz w:val="20"/>
                <w:szCs w:val="20"/>
                <w:color w:val="auto"/>
              </w:rPr>
            </w:pPr>
            <w:r>
              <w:rPr>
                <w:rFonts w:ascii="Arial" w:cs="Arial" w:eastAsia="Arial" w:hAnsi="Arial"/>
                <w:sz w:val="16"/>
                <w:szCs w:val="16"/>
                <w:color w:val="auto"/>
              </w:rPr>
              <w:t>Cash</w:t>
            </w:r>
          </w:p>
        </w:tc>
        <w:tc>
          <w:tcPr>
            <w:tcW w:w="5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471</w:t>
            </w:r>
          </w:p>
        </w:tc>
      </w:tr>
      <w:tr>
        <w:trPr>
          <w:trHeight w:val="33"/>
        </w:trPr>
        <w:tc>
          <w:tcPr>
            <w:tcW w:w="9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24"/>
        </w:trPr>
        <w:tc>
          <w:tcPr>
            <w:tcW w:w="9840" w:type="dxa"/>
            <w:vAlign w:val="bottom"/>
          </w:tcPr>
          <w:p>
            <w:pPr>
              <w:ind w:left="40"/>
              <w:spacing w:after="0"/>
              <w:rPr>
                <w:sz w:val="20"/>
                <w:szCs w:val="20"/>
                <w:color w:val="auto"/>
              </w:rPr>
            </w:pPr>
            <w:r>
              <w:rPr>
                <w:rFonts w:ascii="Arial" w:cs="Arial" w:eastAsia="Arial" w:hAnsi="Arial"/>
                <w:sz w:val="16"/>
                <w:szCs w:val="16"/>
                <w:color w:val="auto"/>
              </w:rPr>
              <w:t>Syndication liabilities</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(19,532)</w:t>
            </w:r>
          </w:p>
        </w:tc>
      </w:tr>
      <w:tr>
        <w:trPr>
          <w:trHeight w:val="33"/>
        </w:trPr>
        <w:tc>
          <w:tcPr>
            <w:tcW w:w="9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9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165,149</w:t>
            </w:r>
          </w:p>
        </w:tc>
      </w:tr>
      <w:tr>
        <w:trPr>
          <w:trHeight w:val="33"/>
        </w:trPr>
        <w:tc>
          <w:tcPr>
            <w:tcW w:w="9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September 2014, one of the DFL lessees completed an early buy-out of its obligations under three DFL’s for a payment of $20,335. Such amount exceeded the carrying values of these DFL’s by $917, which has been recorded as a gain on early termination of finance lease in the accompanying consolidated statement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76" w:right="239" w:bottom="1440" w:gutter="0" w:footer="0" w:header="0"/>
        </w:sectPr>
      </w:pPr>
    </w:p>
    <w:bookmarkStart w:id="149" w:name="page150"/>
    <w:bookmarkEnd w:id="149"/>
    <w:p>
      <w:pPr>
        <w:ind w:left="660"/>
        <w:spacing w:after="0"/>
        <w:rPr>
          <w:sz w:val="20"/>
          <w:szCs w:val="20"/>
          <w:color w:val="auto"/>
        </w:rPr>
      </w:pPr>
      <w:r>
        <w:rPr>
          <w:rFonts w:ascii="Arial" w:cs="Arial" w:eastAsia="Arial" w:hAnsi="Arial"/>
          <w:sz w:val="18"/>
          <w:szCs w:val="18"/>
          <w:color w:val="auto"/>
        </w:rPr>
        <w:t>The components of the Company’s net investment in direct financing leases are comprised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Minimum lease payments</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18,744</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38,323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Less: Unearned income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(4,062)</w:t>
            </w:r>
          </w:p>
        </w:tc>
      </w:tr>
      <w:tr>
        <w:trPr>
          <w:trHeight w:val="33"/>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investment in direct finance leases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3"/>
              </w:rPr>
              <w:t>17,270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34,261</w:t>
            </w:r>
          </w:p>
        </w:tc>
      </w:tr>
      <w:tr>
        <w:trPr>
          <w:trHeight w:val="33"/>
        </w:trPr>
        <w:tc>
          <w:tcPr>
            <w:tcW w:w="8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2016, future minimum lease payments to be received under direct finance leases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40" w:type="dxa"/>
            <w:vAlign w:val="bottom"/>
          </w:tcPr>
          <w:p>
            <w:pPr>
              <w:ind w:left="40"/>
              <w:spacing w:after="0"/>
              <w:rPr>
                <w:sz w:val="20"/>
                <w:szCs w:val="20"/>
                <w:color w:val="auto"/>
              </w:rPr>
            </w:pPr>
            <w:r>
              <w:rPr>
                <w:rFonts w:ascii="Arial" w:cs="Arial" w:eastAsia="Arial" w:hAnsi="Arial"/>
                <w:sz w:val="16"/>
                <w:szCs w:val="16"/>
                <w:color w:val="auto"/>
              </w:rPr>
              <w:t>Year Ending December 31,</w:t>
            </w:r>
          </w:p>
        </w:tc>
        <w:tc>
          <w:tcPr>
            <w:tcW w:w="300" w:type="dxa"/>
            <w:vAlign w:val="bottom"/>
          </w:tcPr>
          <w:p>
            <w:pPr>
              <w:spacing w:after="0"/>
              <w:rPr>
                <w:sz w:val="18"/>
                <w:szCs w:val="18"/>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33"/>
        </w:trPr>
        <w:tc>
          <w:tcPr>
            <w:tcW w:w="98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11,110</w:t>
            </w:r>
          </w:p>
        </w:tc>
      </w:tr>
      <w:tr>
        <w:trPr>
          <w:trHeight w:val="237"/>
        </w:trPr>
        <w:tc>
          <w:tcPr>
            <w:tcW w:w="9840" w:type="dxa"/>
            <w:vAlign w:val="bottom"/>
          </w:tcPr>
          <w:p>
            <w:pPr>
              <w:ind w:left="40"/>
              <w:spacing w:after="0"/>
              <w:rPr>
                <w:sz w:val="20"/>
                <w:szCs w:val="20"/>
                <w:color w:val="auto"/>
              </w:rPr>
            </w:pPr>
            <w:r>
              <w:rPr>
                <w:rFonts w:ascii="Arial" w:cs="Arial" w:eastAsia="Arial" w:hAnsi="Arial"/>
                <w:sz w:val="16"/>
                <w:szCs w:val="16"/>
                <w:color w:val="auto"/>
              </w:rPr>
              <w:t>2018</w:t>
            </w:r>
          </w:p>
        </w:tc>
        <w:tc>
          <w:tcPr>
            <w:tcW w:w="3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6,002</w:t>
            </w:r>
          </w:p>
        </w:tc>
      </w:tr>
      <w:tr>
        <w:trPr>
          <w:trHeight w:val="33"/>
        </w:trPr>
        <w:tc>
          <w:tcPr>
            <w:tcW w:w="9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1,632</w:t>
            </w:r>
          </w:p>
        </w:tc>
      </w:tr>
      <w:tr>
        <w:trPr>
          <w:trHeight w:val="217"/>
        </w:trPr>
        <w:tc>
          <w:tcPr>
            <w:tcW w:w="98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18,744</w:t>
            </w:r>
          </w:p>
        </w:tc>
      </w:tr>
    </w:tbl>
    <w:p>
      <w:pPr>
        <w:spacing w:after="0" w:line="127"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b w:val="1"/>
          <w:bCs w:val="1"/>
          <w:i w:val="1"/>
          <w:iCs w:val="1"/>
          <w:color w:val="auto"/>
        </w:rPr>
        <w:t>Operating Lease Portfolio</w:t>
      </w:r>
      <w:r>
        <w:rPr>
          <w:rFonts w:ascii="Arial" w:cs="Arial" w:eastAsia="Arial" w:hAnsi="Arial"/>
          <w:sz w:val="16"/>
          <w:szCs w:val="16"/>
          <w:color w:val="auto"/>
        </w:rPr>
        <w:t>-On December 17, 2012, the Company acquired a portfolio of approximately 38,300 shipping containers for a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 of approximately $78,600 and simultaneously leased them back to the seller pursuant to nine separate operating leases having terms ranging from 27 months to 42 months. Pursuant to ASC 805-50, the entire purchase price was allocated to the underlying shipping containers. As of December 31, 2016 the nine operating leases had expired, the assets continue to earn per diems until the point at which they are returned.</w:t>
      </w:r>
    </w:p>
    <w:p>
      <w:pPr>
        <w:spacing w:after="0" w:line="42"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Term Loan Payable</w:t>
      </w:r>
    </w:p>
    <w:p>
      <w:pPr>
        <w:spacing w:after="0" w:line="117" w:lineRule="exact"/>
        <w:rPr>
          <w:rFonts w:ascii="Arial" w:cs="Arial" w:eastAsia="Arial" w:hAnsi="Arial"/>
          <w:sz w:val="18"/>
          <w:szCs w:val="18"/>
          <w:b w:val="1"/>
          <w:bCs w:val="1"/>
          <w:color w:val="auto"/>
        </w:rPr>
      </w:pPr>
    </w:p>
    <w:p>
      <w:pPr>
        <w:jc w:val="both"/>
        <w:ind w:left="6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September 5, 2012, the Company entered in to a Term Loan Agreement (the “Term Loan”) with Deutsche Bank AG, Cayman Islands Branch (the “Lender”) for an initial aggregate amount of $125,000 in connection with the acquisition of a portfolio of shipping containers subject to direct finance leases. On December 17, 2012 the Term Loan was amended to provide for an additional borrowing of $53,000 which was used in connection with the acquisition of a portfolio of shipping containers subject to operating leases. Borrowings under the Term Loan bear interest at either</w:t>
      </w:r>
    </w:p>
    <w:p>
      <w:pPr>
        <w:spacing w:after="0" w:line="1"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 LIBOR plus 3% or (ii) a Base Rate (equal to the higher of the Prime Rate or the Federal Funds Rate, plus 0.50%) plus a spread of 0.25%. In addition, an administrative agent fee calculated at a rate of 0.50% per annum is also payable. In April 2013, the administrative agent fee rate was reduced to 0.25%. In October 2014, the LIBOR spread was reduced to 2.75%. All borrowings under the Term Loan as of December 31, 2016 and 2015 were LIBOR based borrowings and the interest rate at December 31, 2016 and 2015 was approximately 3.33% and 2.97%, respectively (exclusive of the administrative agent fee). The Term Loan is secured by the Company’s interest in the shipping containers and related direct finance leases and operating lease agreements. Interest expense on the Term Loan for year ended December 31, 2016, 2015 and 2014 was $1,643, $2,459 and $3,758, respectively, exclusive of administrative agent fees of $128, $210 and $304, respectively.</w:t>
      </w:r>
    </w:p>
    <w:p>
      <w:pPr>
        <w:spacing w:after="0" w:line="73"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Pursuant to the Term Loan agreement, amounts realized by the Company from its operations during each Collection Period, as defined, are accumulated as restricted cash in a Collection Account for disbursement according to payment priorities specified in the Term Loan agreement. Payments of principal and interest on the Term Loans will be made solely to the extent there are funds available and will be paid in accordance with the priorities specified in the Term Loan agreement. Residual amounts remaining in the Collection Account after payment of required obligations are released to the Company. During the year ended December 31, 2016, repayments under the Term Loan totaled $32,360, further repayments are dependent solely on the cash available subject to the priority of payments.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Class B Term Loan Payable to Affiliates</w:t>
      </w:r>
    </w:p>
    <w:p>
      <w:pPr>
        <w:spacing w:after="0" w:line="11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On September 5, 2012, the Company entered in to a Class B Term Loan Agreement (the "Class B Loan”) with its members, pursuant to which it borrowed an initial aggregate amount of $25,000 in connection with the acquisition of a portfolio of shipping containers subject to direct finance leases. On December 17, 2012 the Class B Loan was amended to provide for an additional borrowing of approximately $15,100 which was used in connection with the acquisition of a portfolio of shipping containers subject to operating leases. Borrowings under the Class B Loan are unsecured and bear interest at a rate of 2%. Interest expense on the Class B Loan for the years ended December 31, 2016, 2015 and 2014 was approximately $368, $411 and $545, respectively. Payments of principal and interest on the Class B Loan will be made solely to the extent there are sufficient funds available after satisfaction of senior payment priorities as delineated in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76" w:right="239" w:bottom="1440" w:gutter="0" w:footer="0" w:header="0"/>
        </w:sectPr>
      </w:pPr>
    </w:p>
    <w:bookmarkStart w:id="150" w:name="page151"/>
    <w:bookmarkEnd w:id="150"/>
    <w:p>
      <w:pPr>
        <w:ind w:left="660"/>
        <w:spacing w:after="0" w:line="277" w:lineRule="auto"/>
        <w:rPr>
          <w:sz w:val="20"/>
          <w:szCs w:val="20"/>
          <w:color w:val="auto"/>
        </w:rPr>
      </w:pPr>
      <w:r>
        <w:rPr>
          <w:rFonts w:ascii="Arial" w:cs="Arial" w:eastAsia="Arial" w:hAnsi="Arial"/>
          <w:sz w:val="18"/>
          <w:szCs w:val="18"/>
          <w:color w:val="auto"/>
        </w:rPr>
        <w:t>Term Loan agreement. During the year ended December 31, 2016, repayments under the Class B Loan totaled $407, further repayments are dependent solely on the cash available after the satisfaction of the senior payments.</w:t>
      </w:r>
    </w:p>
    <w:p>
      <w:pPr>
        <w:spacing w:after="0" w:line="58"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SYNDICATION LIABILITIES</w:t>
      </w:r>
    </w:p>
    <w:p>
      <w:pPr>
        <w:spacing w:after="0" w:line="12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acquisition of the DFL’s in September 2012, the Company assumed syndication liabilities to third parties relating to four of the acquired DFL contracts. At acquisition, the syndication liabilities had remaining terms equal to the remaining terms of the associated DFL contracts, which ranged from 28 months to 42 months. The acquisition date fair value ascribed to these obligations was approximately $19,500. Interest on the syndication liabilities is recognized using the effective interest method at rates which range from 2.30% to 4.44%. Interest expense recognized on the syndication liabilities amounted to approximately $305, $342 and $561 during the year ended December 31, 2016, 2015 and 2014. The obligations pursuant to these arrangements are non-recourse to the Company and the sole source of payment for these obligations is the cash flows generated from the underlying DFL contracts.</w:t>
      </w:r>
    </w:p>
    <w:p>
      <w:pPr>
        <w:spacing w:after="0" w:line="81"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September 2014, in connection with the early termination of three DFL’s, the Company settled the associated liabilities related to the syndication holder in those DFL contracts and extinguished the liabilities at their nominal value of approximately $2,136. The amount paid exceeded the carrying value by approximately $119, accordingly such amount has been reflected in the accompanying statement of operations as a loss on extinguishment of debt.</w:t>
      </w:r>
    </w:p>
    <w:p>
      <w:pPr>
        <w:spacing w:after="0" w:line="7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Scheduled repayments of the syndication liabilities for the remaining terms of the associated DFL contracts summarized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6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w:t>
            </w:r>
          </w:p>
        </w:tc>
      </w:tr>
      <w:tr>
        <w:trPr>
          <w:trHeight w:val="217"/>
        </w:trPr>
        <w:tc>
          <w:tcPr>
            <w:tcW w:w="974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66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1,207</w:t>
            </w:r>
          </w:p>
        </w:tc>
      </w:tr>
    </w:tbl>
    <w:p>
      <w:pPr>
        <w:spacing w:after="0" w:line="123"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121"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has engaged Container Leasing International LLC (the “Manager”) to manage and administer its DFL portfolio pursuant to a management agreement having an initial term of 10 years and providing for three additional extension terms of one-year each. Pursuant to the management agreement, the Manager receives (i) a base monthly fee equal to 1.5% of payments received on the DFL contracts and is entitled to receive additional fees, as applicable, equal to (a) 5% of the sum of net sales proceeds and casualty proceeds for containers which have been sold or lost and (b) a recovery fee of 25 dollars for each container recovered by the Manager following the occurrence of a lessee default under a DFL contract and (ii) a base monthly fee equal to (a) 4% of the Net Operating Income, as defined, of the containers subject to operating leases and an additional fee of 5% of the net sales proceeds from the sale or disposal of containers subject to operating leases.</w:t>
      </w:r>
    </w:p>
    <w:p>
      <w:pPr>
        <w:spacing w:after="0" w:line="65" w:lineRule="exact"/>
        <w:rPr>
          <w:rFonts w:ascii="Arial" w:cs="Arial" w:eastAsia="Arial" w:hAnsi="Arial"/>
          <w:sz w:val="18"/>
          <w:szCs w:val="18"/>
          <w:b w:val="1"/>
          <w:bCs w:val="1"/>
          <w:color w:val="auto"/>
        </w:rPr>
      </w:pPr>
    </w:p>
    <w:p>
      <w:pPr>
        <w:ind w:left="660" w:hanging="652"/>
        <w:spacing w:after="0"/>
        <w:tabs>
          <w:tab w:leader="none" w:pos="6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jc w:val="both"/>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assessing the fair value of financial instruments, the Company applies the provisions included in ASC 820 “</w:t>
      </w:r>
      <w:r>
        <w:rPr>
          <w:rFonts w:ascii="Arial" w:cs="Arial" w:eastAsia="Arial" w:hAnsi="Arial"/>
          <w:sz w:val="16"/>
          <w:szCs w:val="16"/>
          <w:i w:val="1"/>
          <w:iCs w:val="1"/>
          <w:color w:val="auto"/>
        </w:rPr>
        <w:t>Fair Value Measurements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Disclosures.</w:t>
      </w:r>
      <w:r>
        <w:rPr>
          <w:rFonts w:ascii="Arial" w:cs="Arial" w:eastAsia="Arial" w:hAnsi="Arial"/>
          <w:sz w:val="16"/>
          <w:szCs w:val="16"/>
          <w:color w:val="auto"/>
        </w:rPr>
        <w:t>” ASC 820 provides that fair value is a market-based measurement, not an entity-specific measurement. It further clarifies that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is an exit price, representing the price that would be received to sell an asset or paid to transfer a liability in the principal or most advantageous market in an orderly transaction between market participants on the measurement date. ASC 820 requires the use of valuation techniques to measure fair value that maximize the use of observable inputs and minimize use of unobservable inputs. These inputs are prioritized as follows:</w:t>
      </w:r>
    </w:p>
    <w:p>
      <w:pPr>
        <w:spacing w:after="0" w:line="77" w:lineRule="exact"/>
        <w:rPr>
          <w:rFonts w:ascii="Arial" w:cs="Arial" w:eastAsia="Arial" w:hAnsi="Arial"/>
          <w:sz w:val="18"/>
          <w:szCs w:val="18"/>
          <w:b w:val="1"/>
          <w:bCs w:val="1"/>
          <w:color w:val="auto"/>
        </w:rPr>
      </w:pPr>
    </w:p>
    <w:p>
      <w:pPr>
        <w:ind w:left="1360" w:hanging="380"/>
        <w:spacing w:after="0"/>
        <w:tabs>
          <w:tab w:leader="none" w:pos="13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jc w:val="both"/>
        <w:ind w:left="1300" w:right="20" w:hanging="320"/>
        <w:spacing w:after="0" w:line="286" w:lineRule="auto"/>
        <w:tabs>
          <w:tab w:leader="none" w:pos="1300" w:val="left"/>
        </w:tabs>
        <w:numPr>
          <w:ilvl w:val="1"/>
          <w:numId w:val="78"/>
        </w:numPr>
        <w:rPr>
          <w:rFonts w:ascii="Arial" w:cs="Arial" w:eastAsia="Arial" w:hAnsi="Arial"/>
          <w:sz w:val="17"/>
          <w:szCs w:val="17"/>
          <w:color w:val="auto"/>
        </w:rPr>
      </w:pPr>
      <w:r>
        <w:rPr>
          <w:rFonts w:ascii="Arial" w:cs="Arial" w:eastAsia="Arial" w:hAnsi="Arial"/>
          <w:sz w:val="17"/>
          <w:szCs w:val="17"/>
          <w:color w:val="auto"/>
        </w:rPr>
        <w:t>Level 2: Inputs other than quoted prices included within Level 1 that are observable for the asset or liability, either directly or indirectly. Level 2 inputs include quoted prices for similar assets or liabilities in active markets and inputs other than quoted prices that are observable for the asset or liability, such as interest rates and yield curves that are observable at commonly quoted intervals.</w:t>
      </w:r>
    </w:p>
    <w:p>
      <w:pPr>
        <w:spacing w:after="0" w:line="57"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internal development of assumptions about how market participants price the asset or liability.</w:t>
      </w:r>
    </w:p>
    <w:p>
      <w:pPr>
        <w:spacing w:after="0" w:line="6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Company’s financial instruments consist principally of cash and cash equivalents, restricted cash, accounts receivable, accounts payable and accrued liabilities, term loan payable and syndication liabilities. The fair value of cash and cash equivalents, restricted cash, accounts receivable and accounts payable and accrued liabilities approximates their carrying values because of their short term nature.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76" w:right="239" w:bottom="1440" w:gutter="0" w:footer="0" w:header="0"/>
        </w:sectPr>
      </w:pPr>
    </w:p>
    <w:bookmarkStart w:id="151" w:name="page152"/>
    <w:bookmarkEnd w:id="151"/>
    <w:p>
      <w:pPr>
        <w:ind w:left="652"/>
        <w:spacing w:after="0" w:line="277" w:lineRule="auto"/>
        <w:rPr>
          <w:sz w:val="20"/>
          <w:szCs w:val="20"/>
          <w:color w:val="auto"/>
        </w:rPr>
      </w:pPr>
      <w:r>
        <w:rPr>
          <w:rFonts w:ascii="Arial" w:cs="Arial" w:eastAsia="Arial" w:hAnsi="Arial"/>
          <w:sz w:val="18"/>
          <w:szCs w:val="18"/>
          <w:color w:val="auto"/>
        </w:rPr>
        <w:t>The fair value of the term loan payable is based on inputs classified as Level 2 in the fair value hierarchy and approximates its carrying value because such loan bears interest at a floating market rate for similar types of loans.</w:t>
      </w:r>
    </w:p>
    <w:p>
      <w:pPr>
        <w:spacing w:after="0" w:line="58" w:lineRule="exact"/>
        <w:rPr>
          <w:sz w:val="20"/>
          <w:szCs w:val="20"/>
          <w:color w:val="auto"/>
        </w:rPr>
      </w:pPr>
    </w:p>
    <w:p>
      <w:pPr>
        <w:ind w:left="652" w:hanging="652"/>
        <w:spacing w:after="0"/>
        <w:tabs>
          <w:tab w:leader="none" w:pos="652"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5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evaluated whether any material events have occurred subsequent to the balance sheet date through February 24, 2017 the date the consolidated financial statements were available to be issued.</w:t>
      </w:r>
    </w:p>
    <w:p>
      <w:pPr>
        <w:spacing w:after="0" w:line="200" w:lineRule="exact"/>
        <w:rPr>
          <w:sz w:val="20"/>
          <w:szCs w:val="20"/>
          <w:color w:val="auto"/>
        </w:rPr>
      </w:pPr>
    </w:p>
    <w:p>
      <w:pPr>
        <w:spacing w:after="0" w:line="3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12"/>
          </w:cols>
          <w:pgMar w:left="248" w:top="476" w:right="2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FINANCIAL INFORMATION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9019"/>
          </w:cols>
          <w:pgMar w:left="1440" w:top="1440" w:right="1440"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Consolidating Balance Sheet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Intermodal</w:t>
            </w:r>
          </w:p>
        </w:tc>
        <w:tc>
          <w:tcPr>
            <w:tcW w:w="180" w:type="dxa"/>
            <w:vAlign w:val="bottom"/>
          </w:tcPr>
          <w:p>
            <w:pPr>
              <w:spacing w:after="0"/>
              <w:rPr>
                <w:sz w:val="17"/>
                <w:szCs w:val="17"/>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rPr>
              <w:t>WWTAI</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8"/>
                <w:szCs w:val="8"/>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5"/>
              </w:rPr>
              <w:t>Intermodal</w:t>
            </w: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7"/>
              </w:rPr>
              <w:t>Finance I Ltd</w:t>
            </w:r>
          </w:p>
        </w:tc>
        <w:tc>
          <w:tcPr>
            <w:tcW w:w="180" w:type="dxa"/>
            <w:vAlign w:val="bottom"/>
          </w:tcPr>
          <w:p>
            <w:pPr>
              <w:spacing w:after="0"/>
              <w:rPr>
                <w:sz w:val="9"/>
                <w:szCs w:val="9"/>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5"/>
              </w:rPr>
              <w:t>Container I Ltd</w:t>
            </w:r>
          </w:p>
        </w:tc>
        <w:tc>
          <w:tcPr>
            <w:tcW w:w="1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5"/>
              </w:rPr>
              <w:t>Finance I Ltd</w:t>
            </w: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38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4,249</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1,814</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Leasing equipment, net of accumulated depreciation of $8,398</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19,007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19,007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in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17,270</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from affiliates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41,846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15,289</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43,470</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Management fees payable</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Accrued interest payable to affiliates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payable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32,485</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Loans payable to affiliates</w:t>
            </w:r>
          </w:p>
        </w:tc>
        <w:tc>
          <w:tcPr>
            <w:tcW w:w="16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18,080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18,080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Syndication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to affiliate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51,078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15,289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52,702</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(9,232)</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41,846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43,470</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369"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Consolidating Balance Sheet</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5"/>
              </w:rPr>
              <w:t>Intermodal</w:t>
            </w:r>
          </w:p>
        </w:tc>
        <w:tc>
          <w:tcPr>
            <w:tcW w:w="180" w:type="dxa"/>
            <w:vAlign w:val="bottom"/>
          </w:tcPr>
          <w:p>
            <w:pPr>
              <w:spacing w:after="0"/>
              <w:rPr>
                <w:sz w:val="17"/>
                <w:szCs w:val="17"/>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WWTAI</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95"/>
        </w:trPr>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8"/>
                <w:szCs w:val="8"/>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5"/>
              </w:rPr>
              <w:t>Intermodal</w:t>
            </w: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5"/>
              </w:rPr>
              <w:t>Finance I Ltd</w:t>
            </w:r>
          </w:p>
        </w:tc>
        <w:tc>
          <w:tcPr>
            <w:tcW w:w="180" w:type="dxa"/>
            <w:vAlign w:val="bottom"/>
          </w:tcPr>
          <w:p>
            <w:pPr>
              <w:spacing w:after="0"/>
              <w:rPr>
                <w:sz w:val="9"/>
                <w:szCs w:val="9"/>
                <w:color w:val="auto"/>
              </w:rPr>
            </w:pPr>
          </w:p>
        </w:tc>
        <w:tc>
          <w:tcPr>
            <w:tcW w:w="154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7"/>
              </w:rPr>
              <w:t>Container I Ltd</w:t>
            </w:r>
          </w:p>
        </w:tc>
        <w:tc>
          <w:tcPr>
            <w:tcW w:w="16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5"/>
              </w:rPr>
              <w:t>Finance I Ltd</w:t>
            </w:r>
          </w:p>
        </w:tc>
        <w:tc>
          <w:tcPr>
            <w:tcW w:w="0" w:type="dxa"/>
            <w:vAlign w:val="bottom"/>
          </w:tcPr>
          <w:p>
            <w:pPr>
              <w:spacing w:after="0"/>
              <w:rPr>
                <w:sz w:val="1"/>
                <w:szCs w:val="1"/>
                <w:color w:val="auto"/>
              </w:rPr>
            </w:pPr>
          </w:p>
        </w:tc>
      </w:tr>
      <w:tr>
        <w:trPr>
          <w:trHeight w:val="108"/>
        </w:trPr>
        <w:tc>
          <w:tcPr>
            <w:tcW w:w="5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538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Arial" w:cs="Arial" w:eastAsia="Arial" w:hAnsi="Arial"/>
                <w:sz w:val="16"/>
                <w:szCs w:val="16"/>
                <w:color w:val="auto"/>
              </w:rPr>
              <w:t>Leasing equipment, net of accumulated depreciation of $7,305</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47,735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47,735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 direct finance leases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23,548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34,261</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from affiliates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23,599</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86,892</w:t>
            </w: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26,800</w:t>
            </w: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(23,599)</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90,093</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Arial" w:cs="Arial" w:eastAsia="Arial" w:hAnsi="Arial"/>
                <w:sz w:val="16"/>
                <w:szCs w:val="16"/>
                <w:color w:val="auto"/>
              </w:rPr>
              <w:t>Management fees payable</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payable</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Arial" w:cs="Arial" w:eastAsia="Arial" w:hAnsi="Arial"/>
                <w:sz w:val="16"/>
                <w:szCs w:val="16"/>
                <w:color w:val="auto"/>
              </w:rPr>
              <w:t>Accrued interest payable to affiliates</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Term loan payable</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64,504</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64,504</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Arial" w:cs="Arial" w:eastAsia="Arial" w:hAnsi="Arial"/>
                <w:sz w:val="16"/>
                <w:szCs w:val="16"/>
                <w:color w:val="auto"/>
              </w:rPr>
              <w:t>Loans payable to affiliates</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18,487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18,487</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Syndication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3,201</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3,201</w:t>
            </w:r>
          </w:p>
        </w:tc>
        <w:tc>
          <w:tcPr>
            <w:tcW w:w="0" w:type="dxa"/>
            <w:vAlign w:val="bottom"/>
          </w:tcPr>
          <w:p>
            <w:pPr>
              <w:spacing w:after="0"/>
              <w:rPr>
                <w:sz w:val="1"/>
                <w:szCs w:val="1"/>
                <w:color w:val="auto"/>
              </w:rPr>
            </w:pPr>
          </w:p>
        </w:tc>
      </w:tr>
      <w:tr>
        <w:trPr>
          <w:trHeight w:val="224"/>
        </w:trPr>
        <w:tc>
          <w:tcPr>
            <w:tcW w:w="538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Due to affiliate</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23,599</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83,603</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26,800</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(23,599)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86,804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244"/>
        </w:trPr>
        <w:tc>
          <w:tcPr>
            <w:tcW w:w="5380" w:type="dxa"/>
            <w:vAlign w:val="bottom"/>
          </w:tcPr>
          <w:p>
            <w:pPr>
              <w:ind w:left="40"/>
              <w:spacing w:after="0"/>
              <w:rPr>
                <w:sz w:val="20"/>
                <w:szCs w:val="20"/>
                <w:color w:val="auto"/>
              </w:rPr>
            </w:pPr>
            <w:r>
              <w:rPr>
                <w:rFonts w:ascii="Arial" w:cs="Arial" w:eastAsia="Arial" w:hAnsi="Arial"/>
                <w:sz w:val="16"/>
                <w:szCs w:val="16"/>
                <w:color w:val="auto"/>
              </w:rPr>
              <w:t>Total liabilities and members’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86,892</w:t>
            </w:r>
          </w:p>
        </w:tc>
        <w:tc>
          <w:tcPr>
            <w:tcW w:w="1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26,800</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(23,599)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90,093</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368"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2016</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Intermodal</w:t>
            </w: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WWTAI</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Finance</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Container</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Intermodal</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 Ltd</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 Ltd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Finance I Ltd</w:t>
            </w:r>
          </w:p>
        </w:tc>
        <w:tc>
          <w:tcPr>
            <w:tcW w:w="0" w:type="dxa"/>
            <w:vAlign w:val="bottom"/>
          </w:tcPr>
          <w:p>
            <w:pPr>
              <w:spacing w:after="0"/>
              <w:rPr>
                <w:sz w:val="1"/>
                <w:szCs w:val="1"/>
                <w:color w:val="auto"/>
              </w:rPr>
            </w:pPr>
          </w:p>
        </w:tc>
      </w:tr>
      <w:tr>
        <w:trPr>
          <w:trHeight w:val="33"/>
        </w:trPr>
        <w:tc>
          <w:tcPr>
            <w:tcW w:w="596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leasing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Finance revenue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2,210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Participation income-affiliate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9,217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9,716</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Management fee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5,815</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6,016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Participation expense-affiliate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596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17,270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17,769</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40"/>
              <w:spacing w:after="0"/>
              <w:rPr>
                <w:sz w:val="20"/>
                <w:szCs w:val="20"/>
                <w:color w:val="auto"/>
              </w:rPr>
            </w:pPr>
            <w:r>
              <w:rPr>
                <w:rFonts w:ascii="Arial" w:cs="Arial" w:eastAsia="Arial" w:hAnsi="Arial"/>
                <w:sz w:val="16"/>
                <w:szCs w:val="16"/>
                <w:color w:val="auto"/>
              </w:rPr>
              <w:t>OTHER (LOSS)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rPr>
              <w:t>Loss on disposal of equipment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(5,225)</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0" w:type="dxa"/>
            <w:vAlign w:val="bottom"/>
          </w:tcPr>
          <w:p>
            <w:pPr>
              <w:spacing w:after="0"/>
              <w:rPr>
                <w:sz w:val="1"/>
                <w:szCs w:val="1"/>
                <w:color w:val="auto"/>
              </w:rPr>
            </w:pPr>
          </w:p>
        </w:tc>
      </w:tr>
      <w:tr>
        <w:trPr>
          <w:trHeight w:val="270"/>
        </w:trPr>
        <w:tc>
          <w:tcPr>
            <w:tcW w:w="59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368"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2015</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Intermodal</w:t>
            </w:r>
          </w:p>
        </w:tc>
        <w:tc>
          <w:tcPr>
            <w:tcW w:w="16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WWTAI</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Finance</w:t>
            </w:r>
          </w:p>
        </w:tc>
        <w:tc>
          <w:tcPr>
            <w:tcW w:w="16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Container</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Intermodal</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 Ltd</w:t>
            </w: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 Ltd</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Finance I Ltd</w:t>
            </w:r>
          </w:p>
        </w:tc>
        <w:tc>
          <w:tcPr>
            <w:tcW w:w="0" w:type="dxa"/>
            <w:vAlign w:val="bottom"/>
          </w:tcPr>
          <w:p>
            <w:pPr>
              <w:spacing w:after="0"/>
              <w:rPr>
                <w:sz w:val="1"/>
                <w:szCs w:val="1"/>
                <w:color w:val="auto"/>
              </w:rPr>
            </w:pPr>
          </w:p>
        </w:tc>
      </w:tr>
      <w:tr>
        <w:trPr>
          <w:trHeight w:val="33"/>
        </w:trPr>
        <w:tc>
          <w:tcPr>
            <w:tcW w:w="598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leasing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11,877</w:t>
            </w: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Finance revenue</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2,655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Participation income-affiliate</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9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15,447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2,655</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16,022</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EXPENSES</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Management fee</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992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3,659</w:t>
            </w: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2,735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3,077</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471</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Impairment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20,604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20,604</w:t>
            </w: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Participation expense-affiliate</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2,080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28,978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2,655</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29,553</w:t>
            </w:r>
          </w:p>
        </w:tc>
        <w:tc>
          <w:tcPr>
            <w:tcW w:w="0" w:type="dxa"/>
            <w:vAlign w:val="bottom"/>
          </w:tcPr>
          <w:p>
            <w:pPr>
              <w:spacing w:after="0"/>
              <w:rPr>
                <w:sz w:val="1"/>
                <w:szCs w:val="1"/>
                <w:color w:val="auto"/>
              </w:rPr>
            </w:pPr>
          </w:p>
        </w:tc>
      </w:tr>
      <w:tr>
        <w:trPr>
          <w:trHeight w:val="270"/>
        </w:trPr>
        <w:tc>
          <w:tcPr>
            <w:tcW w:w="5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(LOSS)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disposal of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r>
        <w:trPr>
          <w:trHeight w:val="217"/>
        </w:trPr>
        <w:tc>
          <w:tcPr>
            <w:tcW w:w="5980" w:type="dxa"/>
            <w:vAlign w:val="bottom"/>
          </w:tcPr>
          <w:p>
            <w:pPr>
              <w:ind w:left="40"/>
              <w:spacing w:after="0"/>
              <w:rPr>
                <w:sz w:val="20"/>
                <w:szCs w:val="20"/>
                <w:color w:val="auto"/>
              </w:rPr>
            </w:pPr>
            <w:r>
              <w:rPr>
                <w:rFonts w:ascii="Arial" w:cs="Arial" w:eastAsia="Arial" w:hAnsi="Arial"/>
                <w:sz w:val="16"/>
                <w:szCs w:val="16"/>
                <w:color w:val="auto"/>
              </w:rPr>
              <w:t>Total other (loss)</w:t>
            </w: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33"/>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5980" w:type="dxa"/>
            <w:vAlign w:val="bottom"/>
          </w:tcPr>
          <w:p>
            <w:pPr>
              <w:ind w:left="4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(14,050)</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(14,050)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368"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color w:val="auto"/>
        </w:rPr>
        <w:t>Intermodal Finance I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Intermodal</w:t>
            </w: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WWTAI</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Consolidated</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Finance</w:t>
            </w:r>
          </w:p>
        </w:tc>
        <w:tc>
          <w:tcPr>
            <w:tcW w:w="12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Container</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Intermodal</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 Ltd</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 Ltd</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Finance I Ltd</w:t>
            </w:r>
          </w:p>
        </w:tc>
        <w:tc>
          <w:tcPr>
            <w:tcW w:w="0" w:type="dxa"/>
            <w:vAlign w:val="bottom"/>
          </w:tcPr>
          <w:p>
            <w:pPr>
              <w:spacing w:after="0"/>
              <w:rPr>
                <w:sz w:val="1"/>
                <w:szCs w:val="1"/>
                <w:color w:val="auto"/>
              </w:rPr>
            </w:pPr>
          </w:p>
        </w:tc>
      </w:tr>
      <w:tr>
        <w:trPr>
          <w:trHeight w:val="33"/>
        </w:trPr>
        <w:tc>
          <w:tcPr>
            <w:tcW w:w="4180" w:type="dxa"/>
            <w:vAlign w:val="bottom"/>
            <w:vMerge w:val="restart"/>
          </w:tcPr>
          <w:p>
            <w:pPr>
              <w:ind w:left="40"/>
              <w:spacing w:after="0"/>
              <w:rPr>
                <w:sz w:val="20"/>
                <w:szCs w:val="20"/>
                <w:color w:val="auto"/>
              </w:rPr>
            </w:pPr>
            <w:r>
              <w:rPr>
                <w:rFonts w:ascii="Arial" w:cs="Arial" w:eastAsia="Arial" w:hAnsi="Arial"/>
                <w:sz w:val="16"/>
                <w:szCs w:val="16"/>
                <w:color w:val="auto"/>
              </w:rPr>
              <w:t>REVENUES</w:t>
            </w:r>
          </w:p>
        </w:tc>
        <w:tc>
          <w:tcPr>
            <w:tcW w:w="2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80" w:type="dxa"/>
            <w:vAlign w:val="bottom"/>
            <w:vMerge w:val="continue"/>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leasing revenue</w:t>
            </w:r>
          </w:p>
        </w:tc>
        <w:tc>
          <w:tcPr>
            <w:tcW w:w="2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12,380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12,380</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Finance revenue</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4,444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7,951</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Participation income-affiliate</w:t>
            </w:r>
          </w:p>
        </w:tc>
        <w:tc>
          <w:tcPr>
            <w:tcW w:w="2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8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2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20,124</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20,331</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EXPENSES</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Direct operating expenses</w:t>
            </w:r>
          </w:p>
        </w:tc>
        <w:tc>
          <w:tcPr>
            <w:tcW w:w="2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Management fee</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4,035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4,477</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expense-affiliates</w:t>
            </w:r>
          </w:p>
        </w:tc>
        <w:tc>
          <w:tcPr>
            <w:tcW w:w="2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General and administrative expense</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Participation expense-affiliate</w:t>
            </w:r>
          </w:p>
        </w:tc>
        <w:tc>
          <w:tcPr>
            <w:tcW w:w="2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180" w:type="dxa"/>
            <w:vAlign w:val="bottom"/>
          </w:tcPr>
          <w:p>
            <w:pPr>
              <w:ind w:left="40"/>
              <w:spacing w:after="0"/>
              <w:rPr>
                <w:sz w:val="20"/>
                <w:szCs w:val="20"/>
                <w:color w:val="auto"/>
              </w:rPr>
            </w:pPr>
            <w:r>
              <w:rPr>
                <w:rFonts w:ascii="Arial" w:cs="Arial" w:eastAsia="Arial" w:hAnsi="Arial"/>
                <w:sz w:val="16"/>
                <w:szCs w:val="16"/>
                <w:color w:val="auto"/>
              </w:rPr>
              <w:t>Total expenses</w:t>
            </w:r>
          </w:p>
        </w:tc>
        <w:tc>
          <w:tcPr>
            <w:tcW w:w="2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9,051</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9,772</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2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24"/>
        </w:trPr>
        <w:tc>
          <w:tcPr>
            <w:tcW w:w="4180" w:type="dxa"/>
            <w:vAlign w:val="bottom"/>
          </w:tcPr>
          <w:p>
            <w:pPr>
              <w:ind w:left="40"/>
              <w:spacing w:after="0"/>
              <w:rPr>
                <w:sz w:val="20"/>
                <w:szCs w:val="20"/>
                <w:color w:val="auto"/>
              </w:rPr>
            </w:pPr>
            <w:r>
              <w:rPr>
                <w:rFonts w:ascii="Arial" w:cs="Arial" w:eastAsia="Arial" w:hAnsi="Arial"/>
                <w:sz w:val="16"/>
                <w:szCs w:val="16"/>
                <w:color w:val="auto"/>
              </w:rPr>
              <w:t>Gain on early termination of finance lease</w:t>
            </w:r>
          </w:p>
        </w:tc>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debt extinguishment</w:t>
            </w:r>
          </w:p>
        </w:tc>
        <w:tc>
          <w:tcPr>
            <w:tcW w:w="2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7"/>
        </w:trPr>
        <w:tc>
          <w:tcPr>
            <w:tcW w:w="418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2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33"/>
        </w:trPr>
        <w:tc>
          <w:tcPr>
            <w:tcW w:w="4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8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1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11,402</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11,402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140" w:type="dxa"/>
            <w:vAlign w:val="bottom"/>
            <w:vMerge w:val="restart"/>
          </w:tcPr>
          <w:p>
            <w:pPr>
              <w:jc w:val="right"/>
              <w:ind w:right="396"/>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As of the end of the period covered by this report, an evaluation was carried out under the supervision and with the participation of the Company’s management, including its Chief Executive Officer and interim Chief Financial Officer, of the effectiveness of its disclosure controls and procedures (as defined in Rule 13a-15(e) under the Securities Exchange Act of 1934 (the “Exchange Act”)). Based upon that evaluation, the Company’s Chief Executive Officer and interim Chief Financial Officer have concluded that these disclosure controls and procedures were effective as of and for the period covered by this report.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Internal Control over Financial Reporting</w:t>
      </w:r>
    </w:p>
    <w:p>
      <w:pPr>
        <w:spacing w:after="0" w:line="225"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Management's Annual Report on Internal Control over Financial Reporting and Report of Independent Registered Public Accounting Firm</w:t>
      </w:r>
    </w:p>
    <w:p>
      <w:pPr>
        <w:spacing w:after="0" w:line="24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pertain to the maintenance of records that, in reasonable detail, accurately and fairly reflect our transactions and our dispositions of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and use or disposition of our assets that could have a material effect on the financial statements.</w:t>
      </w:r>
    </w:p>
    <w:p>
      <w:pPr>
        <w:spacing w:after="0" w:line="8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2016. In making this assessment, management used the criteria set forth by the Committee of Sponsoring Organizations of the Treadway Commission in Internal Control - Integrated Framework (2013). Based on management’s assessment using this framework, management concluded that, as of December 31, 2016, our internal control over financial reporting was effective.</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regarding internal control over financial reporting. Management’s report was not subject to attestation by our independent registered public accounting firm as we continued to qualify as an Emerging Growth Company status under the JOBS Act for the year ending December 31, 2016, which permits us to provide only management’s report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PART III—OTHER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Incorporated by reference to our definitive proxy statement for the 2017 annual meeting of shareholders to be filed with the Securities and Exchange Commission pursuant to Regulation 14A Exchange Act, within 120 days after the fiscal year ended December 31,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Incorporated by reference to our definitive proxy statement for the 2017 annual meeting of shareholders to be filed with the Securities and Exchange Commission pursuant to Regulation 14A Exchange Act, within 120 days after the fiscal year ended December 31,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73"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Incorporated by reference to our definitive proxy statement for the 2017 annual meeting of shareholders to be filed with the Securities and Exchange Commission pursuant to Regulation 14A Exchange Act, within 120 days after the fiscal year ended December 31,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Incorporated by reference to our definitive proxy statement for the 2017 annual meeting of shareholders to be filed with the Securities and Exchange Commission pursuant to Regulation 14A Exchange Act, within 120 days after the fiscal year ended December 31, 2016.</w:t>
      </w:r>
    </w:p>
    <w:p>
      <w:pPr>
        <w:spacing w:after="0" w:line="5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Incorporated by reference to our definitive proxy statement for the 2017 annual meeting of shareholders to be filed with the Securities and Exchange Commission pursuant to Regulation 14A Exchange Act, within 120 days after the fiscal year ended December 31, 2016.</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Index to Exhibits immediately following the signature page of this this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FORTRESS TRANSPORTATION AND INFRASTRUCTURE INVESTORS LLC</w:t>
      </w:r>
    </w:p>
    <w:p>
      <w:pPr>
        <w:spacing w:after="0" w:line="171" w:lineRule="exact"/>
        <w:rPr>
          <w:sz w:val="20"/>
          <w:szCs w:val="20"/>
          <w:color w:val="auto"/>
        </w:rPr>
      </w:pPr>
    </w:p>
    <w:p>
      <w:pPr>
        <w:ind w:left="540" w:right="1700" w:hanging="499"/>
        <w:spacing w:after="0" w:line="290" w:lineRule="auto"/>
        <w:tabs>
          <w:tab w:leader="none" w:pos="520" w:val="left"/>
        </w:tabs>
        <w:rPr>
          <w:sz w:val="20"/>
          <w:szCs w:val="20"/>
          <w:color w:val="auto"/>
        </w:rPr>
      </w:pPr>
      <w:r>
        <w:rPr>
          <w:rFonts w:ascii="Arial" w:cs="Arial" w:eastAsia="Arial" w:hAnsi="Arial"/>
          <w:sz w:val="18"/>
          <w:szCs w:val="18"/>
          <w:color w:val="auto"/>
        </w:rPr>
        <w:t>By:</w:t>
        <w:tab/>
        <w:t>/s/ Joseph P. Adams, Jr. Date: February 24, 2017 Joseph P. Adams, Jr.</w:t>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40"/>
              <w:spacing w:after="0"/>
              <w:rPr>
                <w:sz w:val="20"/>
                <w:szCs w:val="20"/>
                <w:color w:val="auto"/>
              </w:rPr>
            </w:pPr>
            <w:r>
              <w:rPr>
                <w:rFonts w:ascii="Arial" w:cs="Arial" w:eastAsia="Arial" w:hAnsi="Arial"/>
                <w:sz w:val="18"/>
                <w:szCs w:val="18"/>
                <w:color w:val="auto"/>
              </w:rPr>
              <w:t>/s/ Joseph P. Adams, Jr.</w:t>
            </w:r>
          </w:p>
        </w:tc>
        <w:tc>
          <w:tcPr>
            <w:tcW w:w="2440" w:type="dxa"/>
            <w:vAlign w:val="bottom"/>
          </w:tcPr>
          <w:p>
            <w:pPr>
              <w:ind w:left="1000"/>
              <w:spacing w:after="0"/>
              <w:rPr>
                <w:sz w:val="20"/>
                <w:szCs w:val="20"/>
                <w:color w:val="auto"/>
              </w:rPr>
            </w:pPr>
            <w:r>
              <w:rPr>
                <w:rFonts w:ascii="Arial" w:cs="Arial" w:eastAsia="Arial" w:hAnsi="Arial"/>
                <w:sz w:val="18"/>
                <w:szCs w:val="18"/>
                <w:color w:val="auto"/>
              </w:rPr>
              <w:t>Date:</w:t>
            </w:r>
          </w:p>
        </w:tc>
        <w:tc>
          <w:tcPr>
            <w:tcW w:w="2120" w:type="dxa"/>
            <w:vAlign w:val="bottom"/>
          </w:tcPr>
          <w:p>
            <w:pPr>
              <w:ind w:left="800"/>
              <w:spacing w:after="0"/>
              <w:rPr>
                <w:sz w:val="20"/>
                <w:szCs w:val="20"/>
                <w:color w:val="auto"/>
              </w:rPr>
            </w:pPr>
            <w:r>
              <w:rPr>
                <w:rFonts w:ascii="Arial" w:cs="Arial" w:eastAsia="Arial" w:hAnsi="Arial"/>
                <w:sz w:val="18"/>
                <w:szCs w:val="18"/>
                <w:color w:val="auto"/>
                <w:w w:val="88"/>
              </w:rPr>
              <w:t>February 24, 2017</w:t>
            </w:r>
          </w:p>
        </w:tc>
      </w:tr>
      <w:tr>
        <w:trPr>
          <w:trHeight w:val="27"/>
        </w:trPr>
        <w:tc>
          <w:tcPr>
            <w:tcW w:w="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Joseph P. Adams, Jr.</w:t>
            </w:r>
          </w:p>
        </w:tc>
        <w:tc>
          <w:tcPr>
            <w:tcW w:w="24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c>
          <w:tcPr>
            <w:tcW w:w="24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70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40"/>
              <w:spacing w:after="0"/>
              <w:rPr>
                <w:sz w:val="20"/>
                <w:szCs w:val="20"/>
                <w:color w:val="auto"/>
              </w:rPr>
            </w:pPr>
            <w:r>
              <w:rPr>
                <w:rFonts w:ascii="Arial" w:cs="Arial" w:eastAsia="Arial" w:hAnsi="Arial"/>
                <w:sz w:val="18"/>
                <w:szCs w:val="18"/>
                <w:color w:val="auto"/>
              </w:rPr>
              <w:t>/s/ Scott Christopher</w:t>
            </w:r>
          </w:p>
        </w:tc>
        <w:tc>
          <w:tcPr>
            <w:tcW w:w="2440" w:type="dxa"/>
            <w:vAlign w:val="bottom"/>
          </w:tcPr>
          <w:p>
            <w:pPr>
              <w:ind w:left="1000"/>
              <w:spacing w:after="0"/>
              <w:rPr>
                <w:sz w:val="20"/>
                <w:szCs w:val="20"/>
                <w:color w:val="auto"/>
              </w:rPr>
            </w:pPr>
            <w:r>
              <w:rPr>
                <w:rFonts w:ascii="Arial" w:cs="Arial" w:eastAsia="Arial" w:hAnsi="Arial"/>
                <w:sz w:val="18"/>
                <w:szCs w:val="18"/>
                <w:color w:val="auto"/>
              </w:rPr>
              <w:t>Date:</w:t>
            </w:r>
          </w:p>
        </w:tc>
        <w:tc>
          <w:tcPr>
            <w:tcW w:w="2120" w:type="dxa"/>
            <w:vAlign w:val="bottom"/>
          </w:tcPr>
          <w:p>
            <w:pPr>
              <w:ind w:left="800"/>
              <w:spacing w:after="0"/>
              <w:rPr>
                <w:sz w:val="20"/>
                <w:szCs w:val="20"/>
                <w:color w:val="auto"/>
              </w:rPr>
            </w:pPr>
            <w:r>
              <w:rPr>
                <w:rFonts w:ascii="Arial" w:cs="Arial" w:eastAsia="Arial" w:hAnsi="Arial"/>
                <w:sz w:val="18"/>
                <w:szCs w:val="18"/>
                <w:color w:val="auto"/>
                <w:w w:val="88"/>
              </w:rPr>
              <w:t>February 24, 2017</w:t>
            </w:r>
          </w:p>
        </w:tc>
      </w:tr>
      <w:tr>
        <w:trPr>
          <w:trHeight w:val="27"/>
        </w:trPr>
        <w:tc>
          <w:tcPr>
            <w:tcW w:w="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Scott Christopher</w:t>
            </w:r>
          </w:p>
        </w:tc>
        <w:tc>
          <w:tcPr>
            <w:tcW w:w="24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Interim Chief Financial Officer and</w:t>
            </w:r>
          </w:p>
        </w:tc>
        <w:tc>
          <w:tcPr>
            <w:tcW w:w="24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270"/>
        </w:trPr>
        <w:tc>
          <w:tcPr>
            <w:tcW w:w="460" w:type="dxa"/>
            <w:vAlign w:val="bottom"/>
          </w:tcPr>
          <w:p>
            <w:pPr>
              <w:spacing w:after="0"/>
              <w:rPr>
                <w:sz w:val="23"/>
                <w:szCs w:val="23"/>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Chief Accounting Officer</w:t>
            </w:r>
          </w:p>
        </w:tc>
        <w:tc>
          <w:tcPr>
            <w:tcW w:w="24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405"/>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40"/>
              <w:spacing w:after="0"/>
              <w:rPr>
                <w:sz w:val="20"/>
                <w:szCs w:val="20"/>
                <w:color w:val="auto"/>
              </w:rPr>
            </w:pPr>
            <w:r>
              <w:rPr>
                <w:rFonts w:ascii="Arial" w:cs="Arial" w:eastAsia="Arial" w:hAnsi="Arial"/>
                <w:sz w:val="18"/>
                <w:szCs w:val="18"/>
                <w:color w:val="auto"/>
              </w:rPr>
              <w:t>/s/ Paul R. Goodwin</w:t>
            </w:r>
          </w:p>
        </w:tc>
        <w:tc>
          <w:tcPr>
            <w:tcW w:w="2440" w:type="dxa"/>
            <w:vAlign w:val="bottom"/>
          </w:tcPr>
          <w:p>
            <w:pPr>
              <w:ind w:left="1000"/>
              <w:spacing w:after="0"/>
              <w:rPr>
                <w:sz w:val="20"/>
                <w:szCs w:val="20"/>
                <w:color w:val="auto"/>
              </w:rPr>
            </w:pPr>
            <w:r>
              <w:rPr>
                <w:rFonts w:ascii="Arial" w:cs="Arial" w:eastAsia="Arial" w:hAnsi="Arial"/>
                <w:sz w:val="18"/>
                <w:szCs w:val="18"/>
                <w:color w:val="auto"/>
              </w:rPr>
              <w:t>Date:</w:t>
            </w:r>
          </w:p>
        </w:tc>
        <w:tc>
          <w:tcPr>
            <w:tcW w:w="2120" w:type="dxa"/>
            <w:vAlign w:val="bottom"/>
          </w:tcPr>
          <w:p>
            <w:pPr>
              <w:ind w:left="800"/>
              <w:spacing w:after="0"/>
              <w:rPr>
                <w:sz w:val="20"/>
                <w:szCs w:val="20"/>
                <w:color w:val="auto"/>
              </w:rPr>
            </w:pPr>
            <w:r>
              <w:rPr>
                <w:rFonts w:ascii="Arial" w:cs="Arial" w:eastAsia="Arial" w:hAnsi="Arial"/>
                <w:sz w:val="18"/>
                <w:szCs w:val="18"/>
                <w:color w:val="auto"/>
                <w:w w:val="88"/>
              </w:rPr>
              <w:t>February 24, 2017</w:t>
            </w:r>
          </w:p>
        </w:tc>
      </w:tr>
      <w:tr>
        <w:trPr>
          <w:trHeight w:val="27"/>
        </w:trPr>
        <w:tc>
          <w:tcPr>
            <w:tcW w:w="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Paul R. Goodwin</w:t>
            </w:r>
          </w:p>
        </w:tc>
        <w:tc>
          <w:tcPr>
            <w:tcW w:w="24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783"/>
        </w:trPr>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160</w:t>
            </w:r>
          </w:p>
        </w:tc>
        <w:tc>
          <w:tcPr>
            <w:tcW w:w="2120" w:type="dxa"/>
            <w:vAlign w:val="bottom"/>
          </w:tcPr>
          <w:p>
            <w:pPr>
              <w:spacing w:after="0"/>
              <w:rPr>
                <w:sz w:val="24"/>
                <w:szCs w:val="24"/>
                <w:color w:val="auto"/>
              </w:rPr>
            </w:pPr>
          </w:p>
        </w:tc>
      </w:tr>
    </w:tbl>
    <w:p>
      <w:pPr>
        <w:sectPr>
          <w:pgSz w:w="11900" w:h="16838" w:orient="portrait"/>
          <w:cols w:equalWidth="0" w:num="1">
            <w:col w:w="11420"/>
          </w:cols>
          <w:pgMar w:left="240" w:top="472" w:right="2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40"/>
              <w:spacing w:after="0"/>
              <w:rPr>
                <w:sz w:val="20"/>
                <w:szCs w:val="20"/>
                <w:color w:val="auto"/>
              </w:rPr>
            </w:pPr>
            <w:r>
              <w:rPr>
                <w:rFonts w:ascii="Arial" w:cs="Arial" w:eastAsia="Arial" w:hAnsi="Arial"/>
                <w:sz w:val="18"/>
                <w:szCs w:val="18"/>
                <w:color w:val="auto"/>
              </w:rPr>
              <w:t>/s/ Ray M. Robinson</w:t>
            </w:r>
          </w:p>
        </w:tc>
        <w:tc>
          <w:tcPr>
            <w:tcW w:w="2440" w:type="dxa"/>
            <w:vAlign w:val="bottom"/>
          </w:tcPr>
          <w:p>
            <w:pPr>
              <w:ind w:left="1000"/>
              <w:spacing w:after="0"/>
              <w:rPr>
                <w:sz w:val="20"/>
                <w:szCs w:val="20"/>
                <w:color w:val="auto"/>
              </w:rPr>
            </w:pPr>
            <w:r>
              <w:rPr>
                <w:rFonts w:ascii="Arial" w:cs="Arial" w:eastAsia="Arial" w:hAnsi="Arial"/>
                <w:sz w:val="18"/>
                <w:szCs w:val="18"/>
                <w:color w:val="auto"/>
              </w:rPr>
              <w:t>Date:</w:t>
            </w:r>
          </w:p>
        </w:tc>
        <w:tc>
          <w:tcPr>
            <w:tcW w:w="2120" w:type="dxa"/>
            <w:vAlign w:val="bottom"/>
          </w:tcPr>
          <w:p>
            <w:pPr>
              <w:ind w:left="800"/>
              <w:spacing w:after="0"/>
              <w:rPr>
                <w:sz w:val="20"/>
                <w:szCs w:val="20"/>
                <w:color w:val="auto"/>
              </w:rPr>
            </w:pPr>
            <w:r>
              <w:rPr>
                <w:rFonts w:ascii="Arial" w:cs="Arial" w:eastAsia="Arial" w:hAnsi="Arial"/>
                <w:sz w:val="18"/>
                <w:szCs w:val="18"/>
                <w:color w:val="auto"/>
                <w:w w:val="88"/>
              </w:rPr>
              <w:t>February 24, 2017</w:t>
            </w:r>
          </w:p>
        </w:tc>
      </w:tr>
      <w:tr>
        <w:trPr>
          <w:trHeight w:val="27"/>
        </w:trPr>
        <w:tc>
          <w:tcPr>
            <w:tcW w:w="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Ray M. Robinson</w:t>
            </w:r>
          </w:p>
        </w:tc>
        <w:tc>
          <w:tcPr>
            <w:tcW w:w="24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729"/>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Pr>
          <w:p>
            <w:pPr>
              <w:ind w:left="40"/>
              <w:spacing w:after="0"/>
              <w:rPr>
                <w:sz w:val="20"/>
                <w:szCs w:val="20"/>
                <w:color w:val="auto"/>
              </w:rPr>
            </w:pPr>
            <w:r>
              <w:rPr>
                <w:rFonts w:ascii="Arial" w:cs="Arial" w:eastAsia="Arial" w:hAnsi="Arial"/>
                <w:sz w:val="18"/>
                <w:szCs w:val="18"/>
                <w:color w:val="auto"/>
              </w:rPr>
              <w:t>/s/ Martin Tuchman</w:t>
            </w:r>
          </w:p>
        </w:tc>
        <w:tc>
          <w:tcPr>
            <w:tcW w:w="2440" w:type="dxa"/>
            <w:vAlign w:val="bottom"/>
          </w:tcPr>
          <w:p>
            <w:pPr>
              <w:ind w:left="1000"/>
              <w:spacing w:after="0"/>
              <w:rPr>
                <w:sz w:val="20"/>
                <w:szCs w:val="20"/>
                <w:color w:val="auto"/>
              </w:rPr>
            </w:pPr>
            <w:r>
              <w:rPr>
                <w:rFonts w:ascii="Arial" w:cs="Arial" w:eastAsia="Arial" w:hAnsi="Arial"/>
                <w:sz w:val="18"/>
                <w:szCs w:val="18"/>
                <w:color w:val="auto"/>
              </w:rPr>
              <w:t>Date:</w:t>
            </w:r>
          </w:p>
        </w:tc>
        <w:tc>
          <w:tcPr>
            <w:tcW w:w="2120" w:type="dxa"/>
            <w:vAlign w:val="bottom"/>
          </w:tcPr>
          <w:p>
            <w:pPr>
              <w:ind w:left="800"/>
              <w:spacing w:after="0"/>
              <w:rPr>
                <w:sz w:val="20"/>
                <w:szCs w:val="20"/>
                <w:color w:val="auto"/>
              </w:rPr>
            </w:pPr>
            <w:r>
              <w:rPr>
                <w:rFonts w:ascii="Arial" w:cs="Arial" w:eastAsia="Arial" w:hAnsi="Arial"/>
                <w:sz w:val="18"/>
                <w:szCs w:val="18"/>
                <w:color w:val="auto"/>
                <w:w w:val="88"/>
              </w:rPr>
              <w:t>February 24, 2017</w:t>
            </w:r>
          </w:p>
        </w:tc>
      </w:tr>
      <w:tr>
        <w:trPr>
          <w:trHeight w:val="27"/>
        </w:trPr>
        <w:tc>
          <w:tcPr>
            <w:tcW w:w="4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46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Martin Tuchman</w:t>
            </w:r>
          </w:p>
        </w:tc>
        <w:tc>
          <w:tcPr>
            <w:tcW w:w="24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270"/>
        </w:trPr>
        <w:tc>
          <w:tcPr>
            <w:tcW w:w="460" w:type="dxa"/>
            <w:vAlign w:val="bottom"/>
          </w:tcPr>
          <w:p>
            <w:pPr>
              <w:spacing w:after="0"/>
              <w:rPr>
                <w:sz w:val="23"/>
                <w:szCs w:val="23"/>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Director</w:t>
            </w:r>
          </w:p>
        </w:tc>
        <w:tc>
          <w:tcPr>
            <w:tcW w:w="2440" w:type="dxa"/>
            <w:vAlign w:val="bottom"/>
          </w:tcPr>
          <w:p>
            <w:pPr>
              <w:spacing w:after="0"/>
              <w:rPr>
                <w:sz w:val="23"/>
                <w:szCs w:val="23"/>
                <w:color w:val="auto"/>
              </w:rPr>
            </w:pPr>
          </w:p>
        </w:tc>
        <w:tc>
          <w:tcPr>
            <w:tcW w:w="2120" w:type="dxa"/>
            <w:vAlign w:val="bottom"/>
          </w:tcPr>
          <w:p>
            <w:pPr>
              <w:spacing w:after="0"/>
              <w:rPr>
                <w:sz w:val="23"/>
                <w:szCs w:val="23"/>
                <w:color w:val="auto"/>
              </w:rPr>
            </w:pPr>
          </w:p>
        </w:tc>
      </w:tr>
      <w:tr>
        <w:trPr>
          <w:trHeight w:val="783"/>
        </w:trPr>
        <w:tc>
          <w:tcPr>
            <w:tcW w:w="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40" w:type="dxa"/>
            <w:vAlign w:val="bottom"/>
          </w:tcPr>
          <w:p>
            <w:pPr>
              <w:jc w:val="right"/>
              <w:ind w:right="710"/>
              <w:spacing w:after="0"/>
              <w:rPr>
                <w:sz w:val="20"/>
                <w:szCs w:val="20"/>
                <w:color w:val="auto"/>
              </w:rPr>
            </w:pPr>
            <w:r>
              <w:rPr>
                <w:rFonts w:ascii="Arial" w:cs="Arial" w:eastAsia="Arial" w:hAnsi="Arial"/>
                <w:sz w:val="18"/>
                <w:szCs w:val="18"/>
                <w:color w:val="auto"/>
              </w:rPr>
              <w:t>161</w:t>
            </w:r>
          </w:p>
        </w:tc>
        <w:tc>
          <w:tcPr>
            <w:tcW w:w="2120" w:type="dxa"/>
            <w:vAlign w:val="bottom"/>
          </w:tcPr>
          <w:p>
            <w:pPr>
              <w:spacing w:after="0"/>
              <w:rPr>
                <w:sz w:val="24"/>
                <w:szCs w:val="24"/>
                <w:color w:val="auto"/>
              </w:rPr>
            </w:pPr>
          </w:p>
        </w:tc>
      </w:tr>
    </w:tbl>
    <w:p>
      <w:pPr>
        <w:sectPr>
          <w:pgSz w:w="11900" w:h="16838" w:orient="portrait"/>
          <w:cols w:equalWidth="0" w:num="1">
            <w:col w:w="10179"/>
          </w:cols>
          <w:pgMar w:left="280" w:top="531" w:right="1440"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320"/>
              <w:spacing w:after="0"/>
              <w:rPr>
                <w:sz w:val="20"/>
                <w:szCs w:val="20"/>
                <w:color w:val="auto"/>
              </w:rPr>
            </w:pPr>
            <w:r>
              <w:rPr>
                <w:rFonts w:ascii="Arial" w:cs="Arial" w:eastAsia="Arial" w:hAnsi="Arial"/>
                <w:sz w:val="18"/>
                <w:szCs w:val="18"/>
                <w:b w:val="1"/>
                <w:bCs w:val="1"/>
                <w:color w:val="auto"/>
              </w:rPr>
              <w:t>INDEX TO EXHIBITS</w:t>
            </w:r>
          </w:p>
        </w:tc>
      </w:tr>
      <w:tr>
        <w:trPr>
          <w:trHeight w:val="399"/>
        </w:trPr>
        <w:tc>
          <w:tcPr>
            <w:tcW w:w="2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0"/>
        </w:trPr>
        <w:tc>
          <w:tcPr>
            <w:tcW w:w="240" w:type="dxa"/>
            <w:vAlign w:val="bottom"/>
          </w:tcPr>
          <w:p>
            <w:pPr>
              <w:spacing w:after="0"/>
              <w:rPr>
                <w:sz w:val="16"/>
                <w:szCs w:val="16"/>
                <w:color w:val="auto"/>
              </w:rPr>
            </w:pPr>
          </w:p>
        </w:tc>
        <w:tc>
          <w:tcPr>
            <w:tcW w:w="11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96"/>
              </w:rPr>
              <w:t>Certificate of Formation (incorporated by reference to Exhibit 3.1 of Amendment No. 4 to the Company's Registration Statement on Form S-1, filed on April 30, 2015).</w:t>
            </w:r>
          </w:p>
        </w:tc>
      </w:tr>
      <w:tr>
        <w:trPr>
          <w:trHeight w:val="66"/>
        </w:trPr>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157"/>
        </w:trPr>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3"/>
                <w:szCs w:val="13"/>
                <w:color w:val="auto"/>
              </w:rPr>
            </w:pPr>
          </w:p>
        </w:tc>
        <w:tc>
          <w:tcPr>
            <w:tcW w:w="99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4"/>
              </w:rPr>
              <w:t>Amended and Restated Limited Liability Company Agreement of Fortress Transportation and Infrastructure Investors LLC (incorporated by reference to Exhibit 3.2 of the</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Company's Current Report on Form 8-K, filed on May 21, 2015).</w:t>
            </w:r>
          </w:p>
        </w:tc>
      </w:tr>
      <w:tr>
        <w:trPr>
          <w:trHeight w:val="157"/>
        </w:trPr>
        <w:tc>
          <w:tcPr>
            <w:tcW w:w="240" w:type="dxa"/>
            <w:vAlign w:val="bottom"/>
          </w:tcPr>
          <w:p>
            <w:pPr>
              <w:spacing w:after="0"/>
              <w:rPr>
                <w:sz w:val="13"/>
                <w:szCs w:val="13"/>
                <w:color w:val="auto"/>
              </w:rPr>
            </w:pPr>
          </w:p>
        </w:tc>
        <w:tc>
          <w:tcPr>
            <w:tcW w:w="1140" w:type="dxa"/>
            <w:vAlign w:val="bottom"/>
          </w:tcPr>
          <w:p>
            <w:pPr>
              <w:ind w:left="20"/>
              <w:spacing w:after="0" w:line="157" w:lineRule="exact"/>
              <w:rPr>
                <w:sz w:val="20"/>
                <w:szCs w:val="20"/>
                <w:color w:val="auto"/>
              </w:rPr>
            </w:pPr>
            <w:r>
              <w:rPr>
                <w:rFonts w:ascii="Arial" w:cs="Arial" w:eastAsia="Arial" w:hAnsi="Arial"/>
                <w:sz w:val="14"/>
                <w:szCs w:val="14"/>
                <w:color w:val="auto"/>
              </w:rPr>
              <w:t>3.3</w:t>
            </w:r>
          </w:p>
        </w:tc>
        <w:tc>
          <w:tcPr>
            <w:tcW w:w="120" w:type="dxa"/>
            <w:vAlign w:val="bottom"/>
          </w:tcPr>
          <w:p>
            <w:pPr>
              <w:spacing w:after="0"/>
              <w:rPr>
                <w:sz w:val="13"/>
                <w:szCs w:val="13"/>
                <w:color w:val="auto"/>
              </w:rPr>
            </w:pPr>
          </w:p>
        </w:tc>
        <w:tc>
          <w:tcPr>
            <w:tcW w:w="9920" w:type="dxa"/>
            <w:vAlign w:val="bottom"/>
          </w:tcPr>
          <w:p>
            <w:pPr>
              <w:ind w:left="20"/>
              <w:spacing w:after="0" w:line="157" w:lineRule="exact"/>
              <w:rPr>
                <w:sz w:val="20"/>
                <w:szCs w:val="20"/>
                <w:color w:val="auto"/>
              </w:rPr>
            </w:pPr>
            <w:r>
              <w:rPr>
                <w:rFonts w:ascii="Arial" w:cs="Arial" w:eastAsia="Arial" w:hAnsi="Arial"/>
                <w:sz w:val="14"/>
                <w:szCs w:val="14"/>
                <w:color w:val="auto"/>
                <w:w w:val="94"/>
              </w:rPr>
              <w:t>First Amendment to Amended and Restated Limited Liability Company Agreement of Fortress Transportation and Infrastructure Investors LLC (incorporated by reference</w:t>
            </w:r>
          </w:p>
        </w:tc>
      </w:tr>
      <w:tr>
        <w:trPr>
          <w:trHeight w:val="188"/>
        </w:trPr>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to Exhibit 3.3 of the Company's Annual Report on Form 10-K, filed on March 10, 2016).</w:t>
            </w:r>
          </w:p>
        </w:tc>
      </w:tr>
      <w:tr>
        <w:trPr>
          <w:trHeight w:val="163"/>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Fourth Amended and Restated Partnership Agreement of Fortress Worldwide Transportation and Infrastructure General Partnership (incorporated by reference to Exhibit</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 of the Company's Current Report on Form 8-K, filed on May 21, 2015).</w:t>
            </w:r>
          </w:p>
        </w:tc>
      </w:tr>
      <w:tr>
        <w:trPr>
          <w:trHeight w:val="157"/>
        </w:trPr>
        <w:tc>
          <w:tcPr>
            <w:tcW w:w="240" w:type="dxa"/>
            <w:vAlign w:val="bottom"/>
          </w:tcPr>
          <w:p>
            <w:pPr>
              <w:ind w:left="40"/>
              <w:spacing w:after="0" w:line="157" w:lineRule="exact"/>
              <w:rPr>
                <w:sz w:val="20"/>
                <w:szCs w:val="20"/>
                <w:color w:val="auto"/>
              </w:rPr>
            </w:pPr>
            <w:r>
              <w:rPr>
                <w:rFonts w:ascii="Arial" w:cs="Arial" w:eastAsia="Arial" w:hAnsi="Arial"/>
                <w:sz w:val="14"/>
                <w:szCs w:val="14"/>
                <w:color w:val="auto"/>
              </w:rPr>
              <w:t>†</w:t>
            </w:r>
          </w:p>
        </w:tc>
        <w:tc>
          <w:tcPr>
            <w:tcW w:w="1140" w:type="dxa"/>
            <w:vAlign w:val="bottom"/>
          </w:tcPr>
          <w:p>
            <w:pPr>
              <w:ind w:left="20"/>
              <w:spacing w:after="0" w:line="157"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3"/>
                <w:szCs w:val="13"/>
                <w:color w:val="auto"/>
              </w:rPr>
            </w:pPr>
          </w:p>
        </w:tc>
        <w:tc>
          <w:tcPr>
            <w:tcW w:w="9920" w:type="dxa"/>
            <w:vAlign w:val="bottom"/>
          </w:tcPr>
          <w:p>
            <w:pPr>
              <w:ind w:left="20"/>
              <w:spacing w:after="0" w:line="157" w:lineRule="exact"/>
              <w:rPr>
                <w:sz w:val="20"/>
                <w:szCs w:val="20"/>
                <w:color w:val="auto"/>
              </w:rPr>
            </w:pPr>
            <w:r>
              <w:rPr>
                <w:rFonts w:ascii="Arial" w:cs="Arial" w:eastAsia="Arial" w:hAnsi="Arial"/>
                <w:sz w:val="14"/>
                <w:szCs w:val="14"/>
                <w:color w:val="auto"/>
                <w:w w:val="97"/>
              </w:rPr>
              <w:t>Management and Advisory Agreement, dated as of  May 20, 2015, between Fortress Transportation and Infrastructure Investors LLC and FIG LLC (incorporated by</w:t>
            </w:r>
          </w:p>
        </w:tc>
      </w:tr>
      <w:tr>
        <w:trPr>
          <w:trHeight w:val="188"/>
        </w:trPr>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reference to Exhibit 10.2 of the Company's Current Report on Form 8-K, filed on May 21, 2015).</w:t>
            </w:r>
          </w:p>
        </w:tc>
      </w:tr>
      <w:tr>
        <w:trPr>
          <w:trHeight w:val="163"/>
        </w:trPr>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Registration Rights Agreement, dated as of  May 20, 2015, among Fortress Transportation and Infrastructure Investors LLC, FIG LLC and Fortress Transportation and</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Master GP LLC (incorporated by reference to Exhibit 10.3 of the Company's Current Report on Form 8-K, filed on May 21, 2015).</w:t>
            </w:r>
          </w:p>
        </w:tc>
      </w:tr>
      <w:tr>
        <w:trPr>
          <w:trHeight w:val="157"/>
        </w:trPr>
        <w:tc>
          <w:tcPr>
            <w:tcW w:w="240" w:type="dxa"/>
            <w:vAlign w:val="bottom"/>
          </w:tcPr>
          <w:p>
            <w:pPr>
              <w:spacing w:after="0"/>
              <w:rPr>
                <w:sz w:val="13"/>
                <w:szCs w:val="13"/>
                <w:color w:val="auto"/>
              </w:rPr>
            </w:pPr>
          </w:p>
        </w:tc>
        <w:tc>
          <w:tcPr>
            <w:tcW w:w="1140" w:type="dxa"/>
            <w:vAlign w:val="bottom"/>
          </w:tcPr>
          <w:p>
            <w:pPr>
              <w:ind w:left="20"/>
              <w:spacing w:after="0" w:line="157" w:lineRule="exact"/>
              <w:rPr>
                <w:sz w:val="20"/>
                <w:szCs w:val="20"/>
                <w:color w:val="auto"/>
              </w:rPr>
            </w:pPr>
            <w:r>
              <w:rPr>
                <w:rFonts w:ascii="Arial" w:cs="Arial" w:eastAsia="Arial" w:hAnsi="Arial"/>
                <w:sz w:val="14"/>
                <w:szCs w:val="14"/>
                <w:color w:val="auto"/>
              </w:rPr>
              <w:t>10.4</w:t>
            </w:r>
          </w:p>
        </w:tc>
        <w:tc>
          <w:tcPr>
            <w:tcW w:w="120" w:type="dxa"/>
            <w:vAlign w:val="bottom"/>
          </w:tcPr>
          <w:p>
            <w:pPr>
              <w:spacing w:after="0"/>
              <w:rPr>
                <w:sz w:val="13"/>
                <w:szCs w:val="13"/>
                <w:color w:val="auto"/>
              </w:rPr>
            </w:pPr>
          </w:p>
        </w:tc>
        <w:tc>
          <w:tcPr>
            <w:tcW w:w="9920" w:type="dxa"/>
            <w:vAlign w:val="bottom"/>
          </w:tcPr>
          <w:p>
            <w:pPr>
              <w:ind w:left="20"/>
              <w:spacing w:after="0" w:line="157" w:lineRule="exact"/>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 the</w:t>
            </w:r>
          </w:p>
        </w:tc>
      </w:tr>
      <w:tr>
        <w:trPr>
          <w:trHeight w:val="188"/>
        </w:trPr>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Company's Current Report on Form 8-K, filed on May 21, 2015).</w:t>
            </w:r>
          </w:p>
        </w:tc>
      </w:tr>
      <w:tr>
        <w:trPr>
          <w:trHeight w:val="163"/>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 10.5 of</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Amendment No. 4 to the Company's Registration Statement on Form S-1, filed April 30, 2015).</w:t>
            </w:r>
          </w:p>
        </w:tc>
      </w:tr>
      <w:tr>
        <w:trPr>
          <w:trHeight w:val="157"/>
        </w:trPr>
        <w:tc>
          <w:tcPr>
            <w:tcW w:w="240" w:type="dxa"/>
            <w:vAlign w:val="bottom"/>
          </w:tcPr>
          <w:p>
            <w:pPr>
              <w:spacing w:after="0"/>
              <w:rPr>
                <w:sz w:val="13"/>
                <w:szCs w:val="13"/>
                <w:color w:val="auto"/>
              </w:rPr>
            </w:pPr>
          </w:p>
        </w:tc>
        <w:tc>
          <w:tcPr>
            <w:tcW w:w="1140" w:type="dxa"/>
            <w:vAlign w:val="bottom"/>
          </w:tcPr>
          <w:p>
            <w:pPr>
              <w:ind w:left="20"/>
              <w:spacing w:after="0" w:line="157" w:lineRule="exact"/>
              <w:rPr>
                <w:sz w:val="20"/>
                <w:szCs w:val="20"/>
                <w:color w:val="auto"/>
              </w:rPr>
            </w:pPr>
            <w:r>
              <w:rPr>
                <w:rFonts w:ascii="Arial" w:cs="Arial" w:eastAsia="Arial" w:hAnsi="Arial"/>
                <w:sz w:val="14"/>
                <w:szCs w:val="14"/>
                <w:color w:val="auto"/>
              </w:rPr>
              <w:t>10.6</w:t>
            </w:r>
          </w:p>
        </w:tc>
        <w:tc>
          <w:tcPr>
            <w:tcW w:w="120" w:type="dxa"/>
            <w:vAlign w:val="bottom"/>
          </w:tcPr>
          <w:p>
            <w:pPr>
              <w:spacing w:after="0"/>
              <w:rPr>
                <w:sz w:val="13"/>
                <w:szCs w:val="13"/>
                <w:color w:val="auto"/>
              </w:rPr>
            </w:pPr>
          </w:p>
        </w:tc>
        <w:tc>
          <w:tcPr>
            <w:tcW w:w="9920" w:type="dxa"/>
            <w:vAlign w:val="bottom"/>
          </w:tcPr>
          <w:p>
            <w:pPr>
              <w:ind w:left="20"/>
              <w:spacing w:after="0" w:line="157" w:lineRule="exact"/>
              <w:rPr>
                <w:sz w:val="20"/>
                <w:szCs w:val="20"/>
                <w:color w:val="auto"/>
              </w:rPr>
            </w:pPr>
            <w:r>
              <w:rPr>
                <w:rFonts w:ascii="Arial" w:cs="Arial" w:eastAsia="Arial" w:hAnsi="Arial"/>
                <w:sz w:val="14"/>
                <w:szCs w:val="14"/>
                <w:color w:val="auto"/>
                <w:w w:val="94"/>
              </w:rPr>
              <w:t>Credit Agreement, dated as of August 27, 2014, among Morgan Stanley Senior Funding, Inc., as administrative agent, Jefferson Gulf Coast Energy Partners LLC and the</w:t>
            </w:r>
          </w:p>
        </w:tc>
      </w:tr>
      <w:tr>
        <w:trPr>
          <w:trHeight w:val="188"/>
        </w:trPr>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w w:val="95"/>
              </w:rPr>
              <w:t>other lenders party thereto (incorporated by reference to Exhibit 10.6 of Amendment No. 4 to the Company's Registration Statement on Form S-1, filed April 30, 2015).</w:t>
            </w:r>
          </w:p>
        </w:tc>
      </w:tr>
      <w:tr>
        <w:trPr>
          <w:trHeight w:val="163"/>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Trust Indenture and Security Agreement between the District and The Bank of New York Mellon Trust Company, National Association, dated as of February 1, 2016</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(incorporated by reference to Exhibit 10.7 of the Company's Annual Report on Form 10-K, filed on March 10, 2016).</w:t>
            </w:r>
          </w:p>
        </w:tc>
      </w:tr>
      <w:tr>
        <w:trPr>
          <w:trHeight w:val="157"/>
        </w:trPr>
        <w:tc>
          <w:tcPr>
            <w:tcW w:w="240" w:type="dxa"/>
            <w:vAlign w:val="bottom"/>
          </w:tcPr>
          <w:p>
            <w:pPr>
              <w:spacing w:after="0"/>
              <w:rPr>
                <w:sz w:val="13"/>
                <w:szCs w:val="13"/>
                <w:color w:val="auto"/>
              </w:rPr>
            </w:pPr>
          </w:p>
        </w:tc>
        <w:tc>
          <w:tcPr>
            <w:tcW w:w="1140" w:type="dxa"/>
            <w:vAlign w:val="bottom"/>
          </w:tcPr>
          <w:p>
            <w:pPr>
              <w:ind w:left="20"/>
              <w:spacing w:after="0" w:line="157"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3"/>
                <w:szCs w:val="13"/>
                <w:color w:val="auto"/>
              </w:rPr>
            </w:pPr>
          </w:p>
        </w:tc>
        <w:tc>
          <w:tcPr>
            <w:tcW w:w="9920" w:type="dxa"/>
            <w:vAlign w:val="bottom"/>
          </w:tcPr>
          <w:p>
            <w:pPr>
              <w:ind w:left="20"/>
              <w:spacing w:after="0" w:line="157" w:lineRule="exact"/>
              <w:rPr>
                <w:sz w:val="20"/>
                <w:szCs w:val="20"/>
                <w:color w:val="auto"/>
              </w:rPr>
            </w:pPr>
            <w:r>
              <w:rPr>
                <w:rFonts w:ascii="Arial" w:cs="Arial" w:eastAsia="Arial" w:hAnsi="Arial"/>
                <w:sz w:val="14"/>
                <w:szCs w:val="14"/>
                <w:color w:val="auto"/>
                <w:w w:val="94"/>
              </w:rPr>
              <w:t>Standby Bond Purchase Agreement among the Port of Beaumont Navigation District of Jefferson County, Texas, The Bank of New York Mellon Trust Company, National</w:t>
            </w:r>
          </w:p>
        </w:tc>
      </w:tr>
      <w:tr>
        <w:trPr>
          <w:trHeight w:val="149"/>
        </w:trPr>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9" w:lineRule="exact"/>
              <w:rPr>
                <w:sz w:val="20"/>
                <w:szCs w:val="20"/>
                <w:color w:val="auto"/>
              </w:rPr>
            </w:pPr>
            <w:r>
              <w:rPr>
                <w:rFonts w:ascii="Arial" w:cs="Arial" w:eastAsia="Arial" w:hAnsi="Arial"/>
                <w:sz w:val="14"/>
                <w:szCs w:val="14"/>
                <w:color w:val="auto"/>
                <w:w w:val="95"/>
              </w:rPr>
              <w:t>Association, Jefferson Railport Terminal II Holdings LLC and Jefferson Railport Terminal II LLC dated as of February 1, 2016 (incorporated by reference to Exhibit 10.8</w:t>
            </w:r>
          </w:p>
        </w:tc>
      </w:tr>
      <w:tr>
        <w:trPr>
          <w:trHeight w:val="188"/>
        </w:trPr>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of the Company's Annual Report on Form 10-K, filed on March 10, 2016).</w:t>
            </w:r>
          </w:p>
        </w:tc>
      </w:tr>
      <w:tr>
        <w:trPr>
          <w:trHeight w:val="163"/>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 FTAI</w:t>
            </w:r>
          </w:p>
        </w:tc>
      </w:tr>
      <w:tr>
        <w:trPr>
          <w:trHeight w:val="149"/>
        </w:trPr>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Midstream GP Holdings LLC, FTAI Midstream GP LLC, FTAI Midstream Holdings LLC, FTAI Energy Partners LLC and Jefferson Railport Terminal II Holdings LLC,</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dated as of February 1, 2016 (incorporated by reference to Exhibit 10.9 of the Company's Annual Report on Form 10-K, filed on March 10, 2016).</w:t>
            </w:r>
          </w:p>
        </w:tc>
      </w:tr>
      <w:tr>
        <w:trPr>
          <w:trHeight w:val="157"/>
        </w:trPr>
        <w:tc>
          <w:tcPr>
            <w:tcW w:w="240" w:type="dxa"/>
            <w:vAlign w:val="bottom"/>
          </w:tcPr>
          <w:p>
            <w:pPr>
              <w:spacing w:after="0"/>
              <w:rPr>
                <w:sz w:val="13"/>
                <w:szCs w:val="13"/>
                <w:color w:val="auto"/>
              </w:rPr>
            </w:pPr>
          </w:p>
        </w:tc>
        <w:tc>
          <w:tcPr>
            <w:tcW w:w="1140" w:type="dxa"/>
            <w:vAlign w:val="bottom"/>
          </w:tcPr>
          <w:p>
            <w:pPr>
              <w:ind w:left="20"/>
              <w:spacing w:after="0" w:line="157" w:lineRule="exact"/>
              <w:rPr>
                <w:sz w:val="20"/>
                <w:szCs w:val="20"/>
                <w:color w:val="auto"/>
              </w:rPr>
            </w:pPr>
            <w:r>
              <w:rPr>
                <w:rFonts w:ascii="Arial" w:cs="Arial" w:eastAsia="Arial" w:hAnsi="Arial"/>
                <w:sz w:val="14"/>
                <w:szCs w:val="14"/>
                <w:color w:val="auto"/>
              </w:rPr>
              <w:t>10.10</w:t>
            </w:r>
          </w:p>
        </w:tc>
        <w:tc>
          <w:tcPr>
            <w:tcW w:w="120" w:type="dxa"/>
            <w:vAlign w:val="bottom"/>
          </w:tcPr>
          <w:p>
            <w:pPr>
              <w:spacing w:after="0"/>
              <w:rPr>
                <w:sz w:val="13"/>
                <w:szCs w:val="13"/>
                <w:color w:val="auto"/>
              </w:rPr>
            </w:pPr>
          </w:p>
        </w:tc>
        <w:tc>
          <w:tcPr>
            <w:tcW w:w="9920" w:type="dxa"/>
            <w:vAlign w:val="bottom"/>
          </w:tcPr>
          <w:p>
            <w:pPr>
              <w:ind w:left="20"/>
              <w:spacing w:after="0" w:line="157" w:lineRule="exact"/>
              <w:rPr>
                <w:sz w:val="20"/>
                <w:szCs w:val="20"/>
                <w:color w:val="auto"/>
              </w:rPr>
            </w:pPr>
            <w:r>
              <w:rPr>
                <w:rFonts w:ascii="Arial" w:cs="Arial" w:eastAsia="Arial" w:hAnsi="Arial"/>
                <w:sz w:val="14"/>
                <w:szCs w:val="14"/>
                <w:color w:val="auto"/>
                <w:w w:val="95"/>
              </w:rPr>
              <w:t>Fee and Support Agreement, among FTAI Energy Holdings LLC, FEP Terminal Holdings LLC, FTAI Energy Partners LLC and Jefferson Railport Terminal II LLC, dated</w:t>
            </w:r>
          </w:p>
        </w:tc>
      </w:tr>
      <w:tr>
        <w:trPr>
          <w:trHeight w:val="188"/>
        </w:trPr>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as of March 7, 2016 (incorporated by reference to Exhibit 10.10 of the Company's Amended Annual Report on Form 10-K/A, filed on April 29, 2016).</w:t>
            </w:r>
          </w:p>
        </w:tc>
      </w:tr>
      <w:tr>
        <w:trPr>
          <w:trHeight w:val="163"/>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10.11</w:t>
            </w: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Lease and Development Agreement (Facilities Lease), dated as of February 1, 2016, by and between the Port of Beaumont Navigation District of Jefferson County, Texas</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Jefferson Railport Terminal II LLC (incorporated by reference to Exhibit 10.11 of the Company's Annual Report on Form 10-K, filed on March 10, 2016).</w:t>
            </w:r>
          </w:p>
        </w:tc>
      </w:tr>
      <w:tr>
        <w:trPr>
          <w:trHeight w:val="157"/>
        </w:trPr>
        <w:tc>
          <w:tcPr>
            <w:tcW w:w="240" w:type="dxa"/>
            <w:vAlign w:val="bottom"/>
          </w:tcPr>
          <w:p>
            <w:pPr>
              <w:spacing w:after="0"/>
              <w:rPr>
                <w:sz w:val="13"/>
                <w:szCs w:val="13"/>
                <w:color w:val="auto"/>
              </w:rPr>
            </w:pPr>
          </w:p>
        </w:tc>
        <w:tc>
          <w:tcPr>
            <w:tcW w:w="1140" w:type="dxa"/>
            <w:vAlign w:val="bottom"/>
          </w:tcPr>
          <w:p>
            <w:pPr>
              <w:ind w:left="20"/>
              <w:spacing w:after="0" w:line="157" w:lineRule="exact"/>
              <w:rPr>
                <w:sz w:val="20"/>
                <w:szCs w:val="20"/>
                <w:color w:val="auto"/>
              </w:rPr>
            </w:pPr>
            <w:r>
              <w:rPr>
                <w:rFonts w:ascii="Arial" w:cs="Arial" w:eastAsia="Arial" w:hAnsi="Arial"/>
                <w:sz w:val="14"/>
                <w:szCs w:val="14"/>
                <w:color w:val="auto"/>
              </w:rPr>
              <w:t>10.12</w:t>
            </w:r>
          </w:p>
        </w:tc>
        <w:tc>
          <w:tcPr>
            <w:tcW w:w="120" w:type="dxa"/>
            <w:vAlign w:val="bottom"/>
          </w:tcPr>
          <w:p>
            <w:pPr>
              <w:spacing w:after="0"/>
              <w:rPr>
                <w:sz w:val="13"/>
                <w:szCs w:val="13"/>
                <w:color w:val="auto"/>
              </w:rPr>
            </w:pPr>
          </w:p>
        </w:tc>
        <w:tc>
          <w:tcPr>
            <w:tcW w:w="9920" w:type="dxa"/>
            <w:vAlign w:val="bottom"/>
          </w:tcPr>
          <w:p>
            <w:pPr>
              <w:ind w:left="20"/>
              <w:spacing w:after="0" w:line="157" w:lineRule="exact"/>
              <w:rPr>
                <w:sz w:val="20"/>
                <w:szCs w:val="20"/>
                <w:color w:val="auto"/>
              </w:rPr>
            </w:pPr>
            <w:r>
              <w:rPr>
                <w:rFonts w:ascii="Arial" w:cs="Arial" w:eastAsia="Arial" w:hAnsi="Arial"/>
                <w:sz w:val="14"/>
                <w:szCs w:val="14"/>
                <w:color w:val="auto"/>
                <w:w w:val="95"/>
              </w:rPr>
              <w:t>Deed of Trust of Jefferson Railport Terminal II LLC, dated as of February 1, 2016 (incorporated by reference to Exhibit 10.12 of the Company's Annual Report on Form</w:t>
            </w:r>
          </w:p>
        </w:tc>
      </w:tr>
      <w:tr>
        <w:trPr>
          <w:trHeight w:val="188"/>
        </w:trPr>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10-K, filed on March 10, 2016).</w:t>
            </w:r>
          </w:p>
        </w:tc>
      </w:tr>
      <w:tr>
        <w:trPr>
          <w:trHeight w:val="163"/>
        </w:trPr>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10.13</w:t>
            </w: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Credit Agreement, dated January 23, 2017, among Fortress Transportation and Infrastructure Investors LLC, as holdings, Fortress Worldwide Transportation and</w:t>
            </w:r>
          </w:p>
        </w:tc>
      </w:tr>
      <w:tr>
        <w:trPr>
          <w:trHeight w:val="149"/>
        </w:trPr>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Infrastructure General Partnership, as IntermediateCo, WWTAI Finance Ltd., as Borrower, the Subsidiary Guarantors from time to time party thereto, the lenders from</w:t>
            </w:r>
          </w:p>
        </w:tc>
      </w:tr>
      <w:tr>
        <w:trPr>
          <w:trHeight w:val="149"/>
        </w:trPr>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9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time to time party thereto and Morgan Stanley Senior Funding, Inc., as Administrative Agent (incorporated by reference to Exhibit 10.1 of the Company's Current Report</w:t>
            </w:r>
          </w:p>
        </w:tc>
      </w:tr>
      <w:tr>
        <w:trPr>
          <w:trHeight w:val="194"/>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on Form 8-K, filed on January 27, 2017).</w:t>
            </w:r>
          </w:p>
        </w:tc>
      </w:tr>
      <w:tr>
        <w:trPr>
          <w:trHeight w:val="191"/>
        </w:trPr>
        <w:tc>
          <w:tcPr>
            <w:tcW w:w="24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Subsidiaries of Fortress Transportation and Infrastructure Investors LLC.</w:t>
            </w:r>
          </w:p>
        </w:tc>
      </w:tr>
      <w:tr>
        <w:trPr>
          <w:trHeight w:val="80"/>
        </w:trPr>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91"/>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80"/>
        </w:trPr>
        <w:tc>
          <w:tcPr>
            <w:tcW w:w="2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920" w:type="dxa"/>
            <w:vAlign w:val="bottom"/>
            <w:shd w:val="clear" w:color="auto" w:fill="CCEEFF"/>
          </w:tcPr>
          <w:p>
            <w:pPr>
              <w:spacing w:after="0"/>
              <w:rPr>
                <w:sz w:val="6"/>
                <w:szCs w:val="6"/>
                <w:color w:val="auto"/>
              </w:rPr>
            </w:pPr>
          </w:p>
        </w:tc>
      </w:tr>
      <w:tr>
        <w:trPr>
          <w:trHeight w:val="191"/>
        </w:trPr>
        <w:tc>
          <w:tcPr>
            <w:tcW w:w="24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80"/>
        </w:trPr>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91"/>
        </w:trPr>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80"/>
        </w:trPr>
        <w:tc>
          <w:tcPr>
            <w:tcW w:w="2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920" w:type="dxa"/>
            <w:vAlign w:val="bottom"/>
            <w:shd w:val="clear" w:color="auto" w:fill="CCEEFF"/>
          </w:tcPr>
          <w:p>
            <w:pPr>
              <w:spacing w:after="0"/>
              <w:rPr>
                <w:sz w:val="6"/>
                <w:szCs w:val="6"/>
                <w:color w:val="auto"/>
              </w:rPr>
            </w:pPr>
          </w:p>
        </w:tc>
      </w:tr>
      <w:tr>
        <w:trPr>
          <w:trHeight w:val="191"/>
        </w:trPr>
        <w:tc>
          <w:tcPr>
            <w:tcW w:w="240" w:type="dxa"/>
            <w:vAlign w:val="bottom"/>
          </w:tcPr>
          <w:p>
            <w:pPr>
              <w:spacing w:after="0"/>
              <w:rPr>
                <w:sz w:val="16"/>
                <w:szCs w:val="16"/>
                <w:color w:val="auto"/>
              </w:rPr>
            </w:pPr>
          </w:p>
        </w:tc>
        <w:tc>
          <w:tcPr>
            <w:tcW w:w="1140" w:type="dxa"/>
            <w:vAlign w:val="bottom"/>
          </w:tcPr>
          <w:p>
            <w:pPr>
              <w:ind w:left="2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16"/>
                <w:szCs w:val="16"/>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80"/>
        </w:trPr>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91"/>
        </w:trPr>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101.INS</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Instance Document.</w:t>
            </w:r>
          </w:p>
        </w:tc>
      </w:tr>
      <w:tr>
        <w:trPr>
          <w:trHeight w:val="80"/>
        </w:trPr>
        <w:tc>
          <w:tcPr>
            <w:tcW w:w="2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920" w:type="dxa"/>
            <w:vAlign w:val="bottom"/>
            <w:shd w:val="clear" w:color="auto" w:fill="CCEEFF"/>
          </w:tcPr>
          <w:p>
            <w:pPr>
              <w:spacing w:after="0"/>
              <w:rPr>
                <w:sz w:val="6"/>
                <w:szCs w:val="6"/>
                <w:color w:val="auto"/>
              </w:rPr>
            </w:pPr>
          </w:p>
        </w:tc>
      </w:tr>
      <w:tr>
        <w:trPr>
          <w:trHeight w:val="191"/>
        </w:trPr>
        <w:tc>
          <w:tcPr>
            <w:tcW w:w="2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9920" w:type="dxa"/>
            <w:vAlign w:val="bottom"/>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80"/>
        </w:trPr>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91"/>
        </w:trPr>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80"/>
        </w:trPr>
        <w:tc>
          <w:tcPr>
            <w:tcW w:w="2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920" w:type="dxa"/>
            <w:vAlign w:val="bottom"/>
            <w:shd w:val="clear" w:color="auto" w:fill="CCEEFF"/>
          </w:tcPr>
          <w:p>
            <w:pPr>
              <w:spacing w:after="0"/>
              <w:rPr>
                <w:sz w:val="6"/>
                <w:szCs w:val="6"/>
                <w:color w:val="auto"/>
              </w:rPr>
            </w:pPr>
          </w:p>
        </w:tc>
      </w:tr>
      <w:tr>
        <w:trPr>
          <w:trHeight w:val="191"/>
        </w:trPr>
        <w:tc>
          <w:tcPr>
            <w:tcW w:w="2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9920" w:type="dxa"/>
            <w:vAlign w:val="bottom"/>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80"/>
        </w:trPr>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91"/>
        </w:trPr>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80"/>
        </w:trPr>
        <w:tc>
          <w:tcPr>
            <w:tcW w:w="2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920" w:type="dxa"/>
            <w:vAlign w:val="bottom"/>
            <w:shd w:val="clear" w:color="auto" w:fill="CCEEFF"/>
          </w:tcPr>
          <w:p>
            <w:pPr>
              <w:spacing w:after="0"/>
              <w:rPr>
                <w:sz w:val="6"/>
                <w:szCs w:val="6"/>
                <w:color w:val="auto"/>
              </w:rPr>
            </w:pPr>
          </w:p>
        </w:tc>
      </w:tr>
      <w:tr>
        <w:trPr>
          <w:trHeight w:val="191"/>
        </w:trPr>
        <w:tc>
          <w:tcPr>
            <w:tcW w:w="2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9920" w:type="dxa"/>
            <w:vAlign w:val="bottom"/>
          </w:tcPr>
          <w:p>
            <w:pPr>
              <w:ind w:left="2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80"/>
        </w:trPr>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324"/>
        </w:trPr>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920" w:type="dxa"/>
            <w:vAlign w:val="bottom"/>
            <w:shd w:val="clear" w:color="auto" w:fill="CCEEFF"/>
          </w:tcPr>
          <w:p>
            <w:pPr>
              <w:spacing w:after="0"/>
              <w:rPr>
                <w:sz w:val="24"/>
                <w:szCs w:val="24"/>
                <w:color w:val="auto"/>
              </w:rPr>
            </w:pPr>
          </w:p>
        </w:tc>
      </w:tr>
    </w:tbl>
    <w:p>
      <w:pPr>
        <w:spacing w:after="0" w:line="8" w:lineRule="exact"/>
        <w:rPr>
          <w:sz w:val="20"/>
          <w:szCs w:val="20"/>
          <w:color w:val="auto"/>
        </w:rPr>
      </w:pPr>
    </w:p>
    <w:p>
      <w:pPr>
        <w:ind w:left="40"/>
        <w:spacing w:after="0"/>
        <w:tabs>
          <w:tab w:leader="none" w:pos="240" w:val="left"/>
        </w:tabs>
        <w:rPr>
          <w:sz w:val="20"/>
          <w:szCs w:val="20"/>
          <w:color w:val="auto"/>
        </w:rPr>
      </w:pPr>
      <w:r>
        <w:rPr>
          <w:rFonts w:ascii="Arial" w:cs="Arial" w:eastAsia="Arial" w:hAnsi="Arial"/>
          <w:sz w:val="14"/>
          <w:szCs w:val="14"/>
          <w:color w:val="auto"/>
        </w:rPr>
        <w:t>†</w:t>
        <w:tab/>
        <w:t>Management contracts and compensatory plans or arrangements.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364"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FORTRESS TRANSPORTATION AND INFRASTRUCTURE INVESTORS LLC</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80" w:type="dxa"/>
            <w:vAlign w:val="bottom"/>
            <w:tcBorders>
              <w:bottom w:val="single" w:sz="8" w:color="auto"/>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Entity Name</w:t>
            </w:r>
          </w:p>
        </w:tc>
        <w:tc>
          <w:tcPr>
            <w:tcW w:w="4840" w:type="dxa"/>
            <w:vAlign w:val="bottom"/>
            <w:tcBorders>
              <w:bottom w:val="single" w:sz="8" w:color="auto"/>
            </w:tcBorders>
            <w:shd w:val="clear" w:color="auto" w:fill="BFE4FF"/>
          </w:tcPr>
          <w:p>
            <w:pPr>
              <w:ind w:left="1220"/>
              <w:spacing w:after="0"/>
              <w:rPr>
                <w:sz w:val="20"/>
                <w:szCs w:val="20"/>
                <w:color w:val="auto"/>
              </w:rPr>
            </w:pPr>
            <w:r>
              <w:rPr>
                <w:rFonts w:ascii="Arial" w:cs="Arial" w:eastAsia="Arial" w:hAnsi="Arial"/>
                <w:sz w:val="18"/>
                <w:szCs w:val="18"/>
                <w:b w:val="1"/>
                <w:bCs w:val="1"/>
                <w:color w:val="auto"/>
              </w:rPr>
              <w:t>State of Incorporation/Formation</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AirOpCo 1ASL Bermuda Ltd.</w:t>
            </w:r>
          </w:p>
        </w:tc>
        <w:tc>
          <w:tcPr>
            <w:tcW w:w="4840" w:type="dxa"/>
            <w:vAlign w:val="bottom"/>
          </w:tcPr>
          <w:p>
            <w:pPr>
              <w:ind w:left="1220"/>
              <w:spacing w:after="0"/>
              <w:rPr>
                <w:sz w:val="20"/>
                <w:szCs w:val="20"/>
                <w:color w:val="auto"/>
              </w:rPr>
            </w:pPr>
            <w:r>
              <w:rPr>
                <w:rFonts w:ascii="Arial" w:cs="Arial" w:eastAsia="Arial" w:hAnsi="Arial"/>
                <w:sz w:val="18"/>
                <w:szCs w:val="18"/>
                <w:color w:val="auto"/>
              </w:rPr>
              <w:t>Bermuda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AirOpCo 1ET Bermuda Ltd.</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Bermuda</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AirOpCo 1JT Bermuda Ltd.</w:t>
            </w:r>
          </w:p>
        </w:tc>
        <w:tc>
          <w:tcPr>
            <w:tcW w:w="4840" w:type="dxa"/>
            <w:vAlign w:val="bottom"/>
          </w:tcPr>
          <w:p>
            <w:pPr>
              <w:ind w:left="1220"/>
              <w:spacing w:after="0"/>
              <w:rPr>
                <w:sz w:val="20"/>
                <w:szCs w:val="20"/>
                <w:color w:val="auto"/>
              </w:rPr>
            </w:pPr>
            <w:r>
              <w:rPr>
                <w:rFonts w:ascii="Arial" w:cs="Arial" w:eastAsia="Arial" w:hAnsi="Arial"/>
                <w:sz w:val="18"/>
                <w:szCs w:val="18"/>
                <w:color w:val="auto"/>
              </w:rPr>
              <w:t>Bermuda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AirOpCo I SD Ireland DAC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Ireland</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AirOpCo II KO Ireland DAC</w:t>
            </w:r>
          </w:p>
        </w:tc>
        <w:tc>
          <w:tcPr>
            <w:tcW w:w="4840" w:type="dxa"/>
            <w:vAlign w:val="bottom"/>
          </w:tcPr>
          <w:p>
            <w:pPr>
              <w:ind w:left="1220"/>
              <w:spacing w:after="0"/>
              <w:rPr>
                <w:sz w:val="20"/>
                <w:szCs w:val="20"/>
                <w:color w:val="auto"/>
              </w:rPr>
            </w:pPr>
            <w:r>
              <w:rPr>
                <w:rFonts w:ascii="Arial" w:cs="Arial" w:eastAsia="Arial" w:hAnsi="Arial"/>
                <w:sz w:val="18"/>
                <w:szCs w:val="18"/>
                <w:color w:val="auto"/>
              </w:rPr>
              <w:t>Ireland</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AirOpCo II ME Ireland DAC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Ireland</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AirOpCo 2 UZ Ireland DAC</w:t>
            </w:r>
          </w:p>
        </w:tc>
        <w:tc>
          <w:tcPr>
            <w:tcW w:w="4840" w:type="dxa"/>
            <w:vAlign w:val="bottom"/>
          </w:tcPr>
          <w:p>
            <w:pPr>
              <w:ind w:left="1220"/>
              <w:spacing w:after="0"/>
              <w:rPr>
                <w:sz w:val="20"/>
                <w:szCs w:val="20"/>
                <w:color w:val="auto"/>
              </w:rPr>
            </w:pPr>
            <w:r>
              <w:rPr>
                <w:rFonts w:ascii="Arial" w:cs="Arial" w:eastAsia="Arial" w:hAnsi="Arial"/>
                <w:sz w:val="18"/>
                <w:szCs w:val="18"/>
                <w:color w:val="auto"/>
              </w:rPr>
              <w:t>Ireland</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Central Maine &amp; Quebec Railway Canada Inc.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Canada</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Central Maine &amp; Quebec Railway US Inc.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CMQ Canada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Delaware River Partners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DRP Holdco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Fortress Worldwide Transportation and Infrastructure General Partnership</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CHR JV Holdings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Energy Co 1 Ltd. (process of dissolution - postponed by KK)</w:t>
            </w:r>
          </w:p>
        </w:tc>
        <w:tc>
          <w:tcPr>
            <w:tcW w:w="4840" w:type="dxa"/>
            <w:vAlign w:val="bottom"/>
          </w:tcPr>
          <w:p>
            <w:pPr>
              <w:ind w:left="1220"/>
              <w:spacing w:after="0"/>
              <w:rPr>
                <w:sz w:val="20"/>
                <w:szCs w:val="20"/>
                <w:color w:val="auto"/>
              </w:rPr>
            </w:pPr>
            <w:r>
              <w:rPr>
                <w:rFonts w:ascii="Arial" w:cs="Arial" w:eastAsia="Arial" w:hAnsi="Arial"/>
                <w:sz w:val="18"/>
                <w:szCs w:val="18"/>
                <w:color w:val="auto"/>
              </w:rPr>
              <w:t>Bermuda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Energy Co1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Energy Development Holdings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Energy Downstream Holdings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Energy Holdings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Energy Marketing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Energy Partners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IES Pioneer Ltd.</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Malaysia</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IES Pioneer Ltd.</w:t>
            </w:r>
          </w:p>
        </w:tc>
        <w:tc>
          <w:tcPr>
            <w:tcW w:w="4840" w:type="dxa"/>
            <w:vAlign w:val="bottom"/>
          </w:tcPr>
          <w:p>
            <w:pPr>
              <w:ind w:left="1220"/>
              <w:spacing w:after="0"/>
              <w:rPr>
                <w:sz w:val="20"/>
                <w:szCs w:val="20"/>
                <w:color w:val="auto"/>
              </w:rPr>
            </w:pPr>
            <w:r>
              <w:rPr>
                <w:rFonts w:ascii="Arial" w:cs="Arial" w:eastAsia="Arial" w:hAnsi="Arial"/>
                <w:sz w:val="18"/>
                <w:szCs w:val="18"/>
                <w:color w:val="auto"/>
              </w:rPr>
              <w:t>Malaysia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Midstream GP Holdings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Midstream GP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Midstream Holdings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Midstream Holdings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Offshore Holdings L.P.</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Cayman Islands</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Offshore Holdco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Offshore Pte Ltd.</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Singapore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Partners Holdings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Pioneer Malaysia Shareholder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Pioneer SDN Bhd</w:t>
            </w:r>
          </w:p>
        </w:tc>
        <w:tc>
          <w:tcPr>
            <w:tcW w:w="4840" w:type="dxa"/>
            <w:vAlign w:val="bottom"/>
          </w:tcPr>
          <w:p>
            <w:pPr>
              <w:ind w:left="1220"/>
              <w:spacing w:after="0"/>
              <w:rPr>
                <w:sz w:val="20"/>
                <w:szCs w:val="20"/>
                <w:color w:val="auto"/>
              </w:rPr>
            </w:pPr>
            <w:r>
              <w:rPr>
                <w:rFonts w:ascii="Arial" w:cs="Arial" w:eastAsia="Arial" w:hAnsi="Arial"/>
                <w:sz w:val="18"/>
                <w:szCs w:val="18"/>
                <w:color w:val="auto"/>
              </w:rPr>
              <w:t>Malaysia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Pride Chartering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Marshall Islands</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Pride Labuan Ltd.</w:t>
            </w:r>
          </w:p>
        </w:tc>
        <w:tc>
          <w:tcPr>
            <w:tcW w:w="4840" w:type="dxa"/>
            <w:vAlign w:val="bottom"/>
          </w:tcPr>
          <w:p>
            <w:pPr>
              <w:ind w:left="1220"/>
              <w:spacing w:after="0"/>
              <w:rPr>
                <w:sz w:val="20"/>
                <w:szCs w:val="20"/>
                <w:color w:val="auto"/>
              </w:rPr>
            </w:pPr>
            <w:r>
              <w:rPr>
                <w:rFonts w:ascii="Arial" w:cs="Arial" w:eastAsia="Arial" w:hAnsi="Arial"/>
                <w:sz w:val="18"/>
                <w:szCs w:val="18"/>
                <w:color w:val="auto"/>
              </w:rPr>
              <w:t>Malaysia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Pride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Pride Malaysia SDN BHD</w:t>
            </w:r>
          </w:p>
        </w:tc>
        <w:tc>
          <w:tcPr>
            <w:tcW w:w="4840" w:type="dxa"/>
            <w:vAlign w:val="bottom"/>
          </w:tcPr>
          <w:p>
            <w:pPr>
              <w:ind w:left="1220"/>
              <w:spacing w:after="0"/>
              <w:rPr>
                <w:sz w:val="20"/>
                <w:szCs w:val="20"/>
                <w:color w:val="auto"/>
              </w:rPr>
            </w:pPr>
            <w:r>
              <w:rPr>
                <w:rFonts w:ascii="Arial" w:cs="Arial" w:eastAsia="Arial" w:hAnsi="Arial"/>
                <w:sz w:val="18"/>
                <w:szCs w:val="18"/>
                <w:color w:val="auto"/>
              </w:rPr>
              <w:t>Malaysia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FTAI Railcar Holdings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FTAI Subsea 88 Ltd.</w:t>
            </w:r>
          </w:p>
        </w:tc>
        <w:tc>
          <w:tcPr>
            <w:tcW w:w="4840" w:type="dxa"/>
            <w:vAlign w:val="bottom"/>
          </w:tcPr>
          <w:p>
            <w:pPr>
              <w:ind w:left="1220"/>
              <w:spacing w:after="0"/>
              <w:rPr>
                <w:sz w:val="20"/>
                <w:szCs w:val="20"/>
                <w:color w:val="auto"/>
              </w:rPr>
            </w:pPr>
            <w:r>
              <w:rPr>
                <w:rFonts w:ascii="Arial" w:cs="Arial" w:eastAsia="Arial" w:hAnsi="Arial"/>
                <w:sz w:val="18"/>
                <w:szCs w:val="18"/>
                <w:color w:val="auto"/>
              </w:rPr>
              <w:t>Bermuda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Intermodal Finance 1 Ltd.</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Cayman Islands</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Intermodal Finance III Ltd. (process of dissolution)</w:t>
            </w:r>
          </w:p>
        </w:tc>
        <w:tc>
          <w:tcPr>
            <w:tcW w:w="4840" w:type="dxa"/>
            <w:vAlign w:val="bottom"/>
          </w:tcPr>
          <w:p>
            <w:pPr>
              <w:ind w:left="1220"/>
              <w:spacing w:after="0"/>
              <w:rPr>
                <w:sz w:val="20"/>
                <w:szCs w:val="20"/>
                <w:color w:val="auto"/>
              </w:rPr>
            </w:pPr>
            <w:r>
              <w:rPr>
                <w:rFonts w:ascii="Arial" w:cs="Arial" w:eastAsia="Arial" w:hAnsi="Arial"/>
                <w:sz w:val="18"/>
                <w:szCs w:val="18"/>
                <w:color w:val="auto"/>
              </w:rPr>
              <w:t>Bermuda</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2012 Bond Holdings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Jefferson 2010 Bond Holdings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r>
        <w:trPr>
          <w:trHeight w:val="27"/>
        </w:trPr>
        <w:tc>
          <w:tcPr>
            <w:tcW w:w="6580" w:type="dxa"/>
            <w:vAlign w:val="bottom"/>
          </w:tcPr>
          <w:p>
            <w:pPr>
              <w:spacing w:after="0"/>
              <w:rPr>
                <w:sz w:val="2"/>
                <w:szCs w:val="2"/>
                <w:color w:val="auto"/>
              </w:rPr>
            </w:pPr>
          </w:p>
        </w:tc>
        <w:tc>
          <w:tcPr>
            <w:tcW w:w="4840" w:type="dxa"/>
            <w:vAlign w:val="bottom"/>
          </w:tcPr>
          <w:p>
            <w:pPr>
              <w:spacing w:after="0"/>
              <w:rPr>
                <w:sz w:val="2"/>
                <w:szCs w:val="2"/>
                <w:color w:val="auto"/>
              </w:rPr>
            </w:pPr>
          </w:p>
        </w:tc>
      </w:tr>
      <w:tr>
        <w:trPr>
          <w:trHeight w:val="250"/>
        </w:trPr>
        <w:tc>
          <w:tcPr>
            <w:tcW w:w="65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Docks I LLC</w:t>
            </w:r>
          </w:p>
        </w:tc>
        <w:tc>
          <w:tcPr>
            <w:tcW w:w="4840" w:type="dxa"/>
            <w:vAlign w:val="bottom"/>
            <w:tcBorders>
              <w:bottom w:val="single" w:sz="8" w:color="BFE4FF"/>
            </w:tcBorders>
            <w:shd w:val="clear" w:color="auto" w:fill="BFE4FF"/>
          </w:tcPr>
          <w:p>
            <w:pPr>
              <w:ind w:left="1220"/>
              <w:spacing w:after="0"/>
              <w:rPr>
                <w:sz w:val="20"/>
                <w:szCs w:val="20"/>
                <w:color w:val="auto"/>
              </w:rPr>
            </w:pPr>
            <w:r>
              <w:rPr>
                <w:rFonts w:ascii="Arial" w:cs="Arial" w:eastAsia="Arial" w:hAnsi="Arial"/>
                <w:sz w:val="18"/>
                <w:szCs w:val="18"/>
                <w:color w:val="auto"/>
              </w:rPr>
              <w:t>Delaware</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Jefferson DRE Liabilities LLC</w:t>
            </w:r>
          </w:p>
        </w:tc>
        <w:tc>
          <w:tcPr>
            <w:tcW w:w="4840" w:type="dxa"/>
            <w:vAlign w:val="bottom"/>
          </w:tcPr>
          <w:p>
            <w:pPr>
              <w:ind w:left="12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1" w:right="239" w:bottom="1440" w:gutter="0" w:footer="0" w:header="0"/>
        </w:sectPr>
      </w:pPr>
    </w:p>
    <w:bookmarkStart w:id="163" w:name="page164"/>
    <w:bookmarkEnd w:id="1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6300" w:type="dxa"/>
            <w:vAlign w:val="bottom"/>
          </w:tcPr>
          <w:p>
            <w:pPr>
              <w:ind w:left="120"/>
              <w:spacing w:after="0"/>
              <w:rPr>
                <w:sz w:val="20"/>
                <w:szCs w:val="20"/>
                <w:color w:val="auto"/>
              </w:rPr>
            </w:pPr>
            <w:r>
              <w:rPr>
                <w:rFonts w:ascii="Arial" w:cs="Arial" w:eastAsia="Arial" w:hAnsi="Arial"/>
                <w:sz w:val="18"/>
                <w:szCs w:val="18"/>
                <w:b w:val="1"/>
                <w:bCs w:val="1"/>
                <w:color w:val="auto"/>
              </w:rPr>
              <w:t>Exhibit 21.1</w:t>
            </w:r>
          </w:p>
        </w:tc>
      </w:tr>
      <w:tr>
        <w:trPr>
          <w:trHeight w:val="378"/>
        </w:trPr>
        <w:tc>
          <w:tcPr>
            <w:tcW w:w="5120" w:type="dxa"/>
            <w:vAlign w:val="bottom"/>
          </w:tcPr>
          <w:p>
            <w:pPr>
              <w:spacing w:after="0"/>
              <w:rPr>
                <w:sz w:val="24"/>
                <w:szCs w:val="24"/>
                <w:color w:val="auto"/>
              </w:rPr>
            </w:pPr>
          </w:p>
        </w:tc>
        <w:tc>
          <w:tcPr>
            <w:tcW w:w="6300" w:type="dxa"/>
            <w:vAlign w:val="bottom"/>
          </w:tcPr>
          <w:p>
            <w:pPr>
              <w:spacing w:after="0"/>
              <w:rPr>
                <w:sz w:val="24"/>
                <w:szCs w:val="24"/>
                <w:color w:val="auto"/>
              </w:rPr>
            </w:pPr>
          </w:p>
        </w:tc>
      </w:tr>
      <w:tr>
        <w:trPr>
          <w:trHeight w:val="275"/>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Entity Name</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b w:val="1"/>
                <w:bCs w:val="1"/>
                <w:color w:val="auto"/>
              </w:rPr>
              <w:t>State of Incorporation/Formation</w:t>
            </w:r>
          </w:p>
        </w:tc>
      </w:tr>
      <w:tr>
        <w:trPr>
          <w:trHeight w:val="244"/>
        </w:trPr>
        <w:tc>
          <w:tcPr>
            <w:tcW w:w="5120" w:type="dxa"/>
            <w:vAlign w:val="bottom"/>
            <w:tcBorders>
              <w:top w:val="single" w:sz="8" w:color="auto"/>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Energy Canada ULC</w:t>
            </w:r>
          </w:p>
        </w:tc>
        <w:tc>
          <w:tcPr>
            <w:tcW w:w="6300" w:type="dxa"/>
            <w:vAlign w:val="bottom"/>
            <w:tcBorders>
              <w:top w:val="single" w:sz="8" w:color="auto"/>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Canada</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Energy Canco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Energy Marketing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Ethanol Holdings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Gas Processing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Gulf Coast Energy Holdings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Gulf Coast Energy Partners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Gulf Coast Management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Gulf Coast Real Estate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Pipeline I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Railport Terminal I (Texas)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Texas</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Railport Terminal I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Railport Terminal II Holdings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Railport Terminal II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Storage I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Jefferson Terminal Logistics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Jefferson Truck Terminal I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JGC Investment Holdings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w w:val="98"/>
              </w:rPr>
              <w:t>JGP Energy Partners LLC (f/k/a Jefferson Ethanol Partners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Ohio River Partners Finance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Ohio River Partners Holdco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Ohio River Partners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Ohio River Partners Shareholder LLC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Delaware</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Railroad Acquisition Holdings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WWTAI AirOpCo 1Bermuda Ltd.</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Bermuda</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WWTAI AirOpCo 2 Bermuda Ltd.</w:t>
            </w:r>
          </w:p>
        </w:tc>
        <w:tc>
          <w:tcPr>
            <w:tcW w:w="6300" w:type="dxa"/>
            <w:vAlign w:val="bottom"/>
          </w:tcPr>
          <w:p>
            <w:pPr>
              <w:ind w:left="2680"/>
              <w:spacing w:after="0"/>
              <w:rPr>
                <w:sz w:val="20"/>
                <w:szCs w:val="20"/>
                <w:color w:val="auto"/>
              </w:rPr>
            </w:pPr>
            <w:r>
              <w:rPr>
                <w:rFonts w:ascii="Arial" w:cs="Arial" w:eastAsia="Arial" w:hAnsi="Arial"/>
                <w:sz w:val="18"/>
                <w:szCs w:val="18"/>
                <w:color w:val="auto"/>
              </w:rPr>
              <w:t>Bermuda</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WWTAI AirOpCo 3 Bermuda Ltd.</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Bermuda</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WWTAI AirOpCo I USA LLC</w:t>
            </w:r>
          </w:p>
        </w:tc>
        <w:tc>
          <w:tcPr>
            <w:tcW w:w="6300" w:type="dxa"/>
            <w:vAlign w:val="bottom"/>
          </w:tcPr>
          <w:p>
            <w:pPr>
              <w:ind w:left="2680"/>
              <w:spacing w:after="0"/>
              <w:rPr>
                <w:sz w:val="20"/>
                <w:szCs w:val="20"/>
                <w:color w:val="auto"/>
              </w:rPr>
            </w:pPr>
            <w:r>
              <w:rPr>
                <w:rFonts w:ascii="Arial" w:cs="Arial" w:eastAsia="Arial" w:hAnsi="Arial"/>
                <w:sz w:val="18"/>
                <w:szCs w:val="18"/>
                <w:color w:val="auto"/>
              </w:rPr>
              <w:t>Delaware</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WWTAI AirOpco II DAC</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Ireland</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WWTAI AirOpCo Malta Limited</w:t>
            </w:r>
          </w:p>
        </w:tc>
        <w:tc>
          <w:tcPr>
            <w:tcW w:w="6300" w:type="dxa"/>
            <w:vAlign w:val="bottom"/>
          </w:tcPr>
          <w:p>
            <w:pPr>
              <w:ind w:left="2680"/>
              <w:spacing w:after="0"/>
              <w:rPr>
                <w:sz w:val="20"/>
                <w:szCs w:val="20"/>
                <w:color w:val="auto"/>
              </w:rPr>
            </w:pPr>
            <w:r>
              <w:rPr>
                <w:rFonts w:ascii="Arial" w:cs="Arial" w:eastAsia="Arial" w:hAnsi="Arial"/>
                <w:sz w:val="18"/>
                <w:szCs w:val="18"/>
                <w:color w:val="auto"/>
              </w:rPr>
              <w:t>Malta</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WWTAI Container 1 Ltd.</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Bermuda</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w w:val="96"/>
              </w:rPr>
              <w:t>WWTAI Container Holdco Ltd. (f/k/a WWTAI Container GP 1 Ltd.)</w:t>
            </w:r>
          </w:p>
        </w:tc>
        <w:tc>
          <w:tcPr>
            <w:tcW w:w="6300" w:type="dxa"/>
            <w:vAlign w:val="bottom"/>
          </w:tcPr>
          <w:p>
            <w:pPr>
              <w:ind w:left="2680"/>
              <w:spacing w:after="0"/>
              <w:rPr>
                <w:sz w:val="20"/>
                <w:szCs w:val="20"/>
                <w:color w:val="auto"/>
              </w:rPr>
            </w:pPr>
            <w:r>
              <w:rPr>
                <w:rFonts w:ascii="Arial" w:cs="Arial" w:eastAsia="Arial" w:hAnsi="Arial"/>
                <w:sz w:val="18"/>
                <w:szCs w:val="18"/>
                <w:color w:val="auto"/>
              </w:rPr>
              <w:t>Bermuda</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50"/>
        </w:trPr>
        <w:tc>
          <w:tcPr>
            <w:tcW w:w="5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WWTAI Finance Ltd.</w:t>
            </w:r>
          </w:p>
        </w:tc>
        <w:tc>
          <w:tcPr>
            <w:tcW w:w="6300" w:type="dxa"/>
            <w:vAlign w:val="bottom"/>
            <w:tcBorders>
              <w:bottom w:val="single" w:sz="8" w:color="BFE4FF"/>
            </w:tcBorders>
            <w:shd w:val="clear" w:color="auto" w:fill="BFE4FF"/>
          </w:tcPr>
          <w:p>
            <w:pPr>
              <w:ind w:left="2680"/>
              <w:spacing w:after="0"/>
              <w:rPr>
                <w:sz w:val="20"/>
                <w:szCs w:val="20"/>
                <w:color w:val="auto"/>
              </w:rPr>
            </w:pPr>
            <w:r>
              <w:rPr>
                <w:rFonts w:ascii="Arial" w:cs="Arial" w:eastAsia="Arial" w:hAnsi="Arial"/>
                <w:sz w:val="18"/>
                <w:szCs w:val="18"/>
                <w:color w:val="auto"/>
              </w:rPr>
              <w:t>Bermuda</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WWTAI IES MT6015 Ltd.</w:t>
            </w:r>
          </w:p>
        </w:tc>
        <w:tc>
          <w:tcPr>
            <w:tcW w:w="6300" w:type="dxa"/>
            <w:vAlign w:val="bottom"/>
          </w:tcPr>
          <w:p>
            <w:pPr>
              <w:ind w:left="2680"/>
              <w:spacing w:after="0"/>
              <w:rPr>
                <w:sz w:val="20"/>
                <w:szCs w:val="20"/>
                <w:color w:val="auto"/>
              </w:rPr>
            </w:pPr>
            <w:r>
              <w:rPr>
                <w:rFonts w:ascii="Arial" w:cs="Arial" w:eastAsia="Arial" w:hAnsi="Arial"/>
                <w:sz w:val="18"/>
                <w:szCs w:val="18"/>
                <w:color w:val="auto"/>
              </w:rPr>
              <w:t>Malaysia</w:t>
            </w:r>
          </w:p>
        </w:tc>
      </w:tr>
      <w:tr>
        <w:trPr>
          <w:trHeight w:val="27"/>
        </w:trPr>
        <w:tc>
          <w:tcPr>
            <w:tcW w:w="5120" w:type="dxa"/>
            <w:vAlign w:val="bottom"/>
          </w:tcPr>
          <w:p>
            <w:pPr>
              <w:spacing w:after="0"/>
              <w:rPr>
                <w:sz w:val="2"/>
                <w:szCs w:val="2"/>
                <w:color w:val="auto"/>
              </w:rPr>
            </w:pPr>
          </w:p>
        </w:tc>
        <w:tc>
          <w:tcPr>
            <w:tcW w:w="6300" w:type="dxa"/>
            <w:vAlign w:val="bottom"/>
          </w:tcPr>
          <w:p>
            <w:pPr>
              <w:spacing w:after="0"/>
              <w:rPr>
                <w:sz w:val="2"/>
                <w:szCs w:val="2"/>
                <w:color w:val="auto"/>
              </w:rPr>
            </w:pPr>
          </w:p>
        </w:tc>
      </w:tr>
      <w:tr>
        <w:trPr>
          <w:trHeight w:val="243"/>
        </w:trPr>
        <w:tc>
          <w:tcPr>
            <w:tcW w:w="5120" w:type="dxa"/>
            <w:vAlign w:val="bottom"/>
            <w:shd w:val="clear" w:color="auto" w:fill="BFE4FF"/>
          </w:tcPr>
          <w:p>
            <w:pPr>
              <w:ind w:left="40"/>
              <w:spacing w:after="0"/>
              <w:rPr>
                <w:sz w:val="20"/>
                <w:szCs w:val="20"/>
                <w:color w:val="auto"/>
              </w:rPr>
            </w:pPr>
            <w:r>
              <w:rPr>
                <w:rFonts w:ascii="Arial" w:cs="Arial" w:eastAsia="Arial" w:hAnsi="Arial"/>
                <w:sz w:val="18"/>
                <w:szCs w:val="18"/>
                <w:color w:val="auto"/>
              </w:rPr>
              <w:t>WWTAI Offshore Co 1 Ltd.</w:t>
            </w:r>
          </w:p>
        </w:tc>
        <w:tc>
          <w:tcPr>
            <w:tcW w:w="6300" w:type="dxa"/>
            <w:vAlign w:val="bottom"/>
            <w:shd w:val="clear" w:color="auto" w:fill="BFE4FF"/>
          </w:tcPr>
          <w:p>
            <w:pPr>
              <w:ind w:left="2680"/>
              <w:spacing w:after="0"/>
              <w:rPr>
                <w:sz w:val="20"/>
                <w:szCs w:val="20"/>
                <w:color w:val="auto"/>
              </w:rPr>
            </w:pPr>
            <w:r>
              <w:rPr>
                <w:rFonts w:ascii="Arial" w:cs="Arial" w:eastAsia="Arial" w:hAnsi="Arial"/>
                <w:sz w:val="18"/>
                <w:szCs w:val="18"/>
                <w:color w:val="auto"/>
              </w:rPr>
              <w:t>Bermuda</w:t>
            </w:r>
          </w:p>
        </w:tc>
      </w:tr>
      <w:tr>
        <w:trPr>
          <w:trHeight w:val="27"/>
        </w:trPr>
        <w:tc>
          <w:tcPr>
            <w:tcW w:w="5120" w:type="dxa"/>
            <w:vAlign w:val="bottom"/>
            <w:shd w:val="clear" w:color="auto" w:fill="BFE4FF"/>
          </w:tcPr>
          <w:p>
            <w:pPr>
              <w:spacing w:after="0"/>
              <w:rPr>
                <w:sz w:val="2"/>
                <w:szCs w:val="2"/>
                <w:color w:val="auto"/>
              </w:rPr>
            </w:pPr>
          </w:p>
        </w:tc>
        <w:tc>
          <w:tcPr>
            <w:tcW w:w="6300" w:type="dxa"/>
            <w:vAlign w:val="bottom"/>
            <w:shd w:val="clear" w:color="auto" w:fill="BFE4FF"/>
          </w:tcPr>
          <w:p>
            <w:pPr>
              <w:spacing w:after="0"/>
              <w:rPr>
                <w:sz w:val="2"/>
                <w:szCs w:val="2"/>
                <w:color w:val="auto"/>
              </w:rPr>
            </w:pPr>
          </w:p>
        </w:tc>
      </w:tr>
    </w:tbl>
    <w:p>
      <w:pPr>
        <w:sectPr>
          <w:pgSz w:w="11900" w:h="16838" w:orient="portrait"/>
          <w:cols w:equalWidth="0" w:num="1">
            <w:col w:w="11420"/>
          </w:cols>
          <w:pgMar w:left="240" w:top="121"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EXECUTIVE OFFICER</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Fortress Transportation and Infrastructure Investors LLC (the “registrant”);</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80" w:firstLine="656"/>
        <w:spacing w:after="0" w:line="264" w:lineRule="auto"/>
        <w:tabs>
          <w:tab w:leader="none" w:pos="10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1083"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680" w:firstLine="656"/>
        <w:spacing w:after="0" w:line="342" w:lineRule="auto"/>
        <w:tabs>
          <w:tab w:leader="none" w:pos="1028"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right="140" w:firstLine="656"/>
        <w:spacing w:after="0" w:line="264" w:lineRule="auto"/>
        <w:tabs>
          <w:tab w:leader="none" w:pos="1038"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362"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656"/>
        <w:spacing w:after="0" w:line="277" w:lineRule="auto"/>
        <w:tabs>
          <w:tab w:leader="none" w:pos="101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0" w:firstLine="656"/>
        <w:spacing w:after="0" w:line="277" w:lineRule="auto"/>
        <w:tabs>
          <w:tab w:leader="none" w:pos="102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February 24, 2017</w:t>
            </w:r>
          </w:p>
        </w:tc>
        <w:tc>
          <w:tcPr>
            <w:tcW w:w="5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 OF CHIEF FINANCIAL OFFICER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Scott Christopher, certify that:</w:t>
      </w:r>
    </w:p>
    <w:p>
      <w:pPr>
        <w:spacing w:after="0" w:line="225" w:lineRule="exact"/>
        <w:rPr>
          <w:sz w:val="20"/>
          <w:szCs w:val="20"/>
          <w:color w:val="auto"/>
        </w:rPr>
      </w:pPr>
    </w:p>
    <w:p>
      <w:pPr>
        <w:ind w:left="320" w:hanging="312"/>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Fortress Transportation and Infrastructure Investors LLC (the “registrant”);</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8"/>
        <w:spacing w:after="0" w:line="264" w:lineRule="auto"/>
        <w:tabs>
          <w:tab w:leader="none" w:pos="31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80" w:firstLine="656"/>
        <w:spacing w:after="0" w:line="264" w:lineRule="auto"/>
        <w:tabs>
          <w:tab w:leader="none" w:pos="10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1083"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680" w:firstLine="656"/>
        <w:spacing w:after="0" w:line="342" w:lineRule="auto"/>
        <w:tabs>
          <w:tab w:leader="none" w:pos="1028"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right="140" w:firstLine="656"/>
        <w:spacing w:after="0" w:line="264" w:lineRule="auto"/>
        <w:tabs>
          <w:tab w:leader="none" w:pos="1038"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308" w:lineRule="auto"/>
        <w:tabs>
          <w:tab w:leader="none" w:pos="36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656"/>
        <w:spacing w:after="0" w:line="277" w:lineRule="auto"/>
        <w:tabs>
          <w:tab w:leader="none" w:pos="101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0" w:firstLine="656"/>
        <w:spacing w:after="0" w:line="277" w:lineRule="auto"/>
        <w:tabs>
          <w:tab w:leader="none" w:pos="1028"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February 24, 2017</w:t>
            </w:r>
          </w:p>
        </w:tc>
        <w:tc>
          <w:tcPr>
            <w:tcW w:w="5700" w:type="dxa"/>
            <w:vAlign w:val="bottom"/>
          </w:tcPr>
          <w:p>
            <w:pPr>
              <w:ind w:left="20"/>
              <w:spacing w:after="0"/>
              <w:rPr>
                <w:sz w:val="20"/>
                <w:szCs w:val="20"/>
                <w:color w:val="auto"/>
              </w:rPr>
            </w:pPr>
            <w:r>
              <w:rPr>
                <w:rFonts w:ascii="Arial" w:cs="Arial" w:eastAsia="Arial" w:hAnsi="Arial"/>
                <w:sz w:val="18"/>
                <w:szCs w:val="18"/>
                <w:color w:val="auto"/>
              </w:rPr>
              <w:t>/s/ Scott Christopher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Scott Christopher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Interim Chief Financial Officer</w:t>
            </w:r>
          </w:p>
        </w:tc>
      </w:tr>
    </w:tbl>
    <w:p>
      <w:pPr>
        <w:sectPr>
          <w:pgSz w:w="11900" w:h="16838" w:orient="portrait"/>
          <w:cols w:equalWidth="0" w:num="1">
            <w:col w:w="11420"/>
          </w:cols>
          <w:pgMar w:left="240" w:top="580" w:right="239" w:bottom="1440" w:gutter="0" w:footer="0" w:header="0"/>
        </w:sectPr>
      </w:pPr>
    </w:p>
    <w:bookmarkStart w:id="166" w:name="page167"/>
    <w:bookmarkEnd w:id="166"/>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Annual Report on Form 10-K of Fortress Transportation and Infrastructure Investors LLC (the “Company”) for the annual period ended December 31, 2016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24, 2017</w:t>
      </w:r>
    </w:p>
    <w:p>
      <w:pPr>
        <w:spacing w:after="0" w:line="252"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80" w:right="25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Annual Report on Form 10-K of Fortress Transportation and Infrastructure Investors LLC (the “Company”) for the annual period ended December 31, 2016 as filed with the Securities and Exchange Commission on the date hereof (the “Report”), Scott Christopher, as Interim Chief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Christopher</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24, 2017</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00"/>
      </w:cols>
      <w:pgMar w:left="240" w:top="5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lvl w:ilvl="1">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lowerLetter"/>
      <w:start w:val="4"/>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1)"/>
      <w:numFmt w:val="lowerLetter"/>
      <w:start w:val="2"/>
    </w:lvl>
  </w:abstractNum>
  <w:abstractNum w:abstractNumId="19">
    <w:nsid w:val="79A1DEAA"/>
    <w:multiLevelType w:val="hybridMultilevel"/>
    <w:lvl w:ilvl="0">
      <w:lvlJc w:val="left"/>
      <w:lvlText w:val="(%1)"/>
      <w:numFmt w:val="lowerLetter"/>
      <w:start w:val="2"/>
    </w:lvl>
  </w:abstractNum>
  <w:abstractNum w:abstractNumId="20">
    <w:nsid w:val="75C6C33A"/>
    <w:multiLevelType w:val="hybridMultilevel"/>
    <w:lvl w:ilvl="0">
      <w:lvlJc w:val="left"/>
      <w:lvlText w:val="(%1)"/>
      <w:numFmt w:val="decimal"/>
      <w:start w:val="1"/>
    </w:lvl>
  </w:abstractNum>
  <w:abstractNum w:abstractNumId="21">
    <w:nsid w:val="12E685FB"/>
    <w:multiLevelType w:val="hybridMultilevel"/>
    <w:lvl w:ilvl="0">
      <w:lvlJc w:val="left"/>
      <w:lvlText w:val="(%1)"/>
      <w:numFmt w:val="decimal"/>
      <w:start w:val="3"/>
    </w:lvl>
  </w:abstractNum>
  <w:abstractNum w:abstractNumId="22">
    <w:nsid w:val="70C6A529"/>
    <w:multiLevelType w:val="hybridMultilevel"/>
    <w:lvl w:ilvl="0">
      <w:lvlJc w:val="left"/>
      <w:lvlText w:val="(%1)"/>
      <w:numFmt w:val="lowerRoman"/>
      <w:start w:val="2"/>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1)"/>
      <w:numFmt w:val="decimal"/>
      <w:start w:val="2"/>
    </w:lvl>
  </w:abstractNum>
  <w:abstractNum w:abstractNumId="27">
    <w:nsid w:val="649BB77C"/>
    <w:multiLevelType w:val="hybridMultilevel"/>
    <w:lvl w:ilvl="0">
      <w:lvlJc w:val="left"/>
      <w:lvlText w:val="(%1)"/>
      <w:numFmt w:val="decimal"/>
      <w:start w:val="1"/>
    </w:lvl>
  </w:abstractNum>
  <w:abstractNum w:abstractNumId="28">
    <w:nsid w:val="275AC794"/>
    <w:multiLevelType w:val="hybridMultilevel"/>
    <w:lvl w:ilvl="0">
      <w:lvlJc w:val="left"/>
      <w:lvlText w:val="(%1)"/>
      <w:numFmt w:val="decimal"/>
      <w:start w:val="2"/>
    </w:lvl>
  </w:abstractNum>
  <w:abstractNum w:abstractNumId="29">
    <w:nsid w:val="39386575"/>
    <w:multiLevelType w:val="hybridMultilevel"/>
    <w:lvl w:ilvl="0">
      <w:lvlJc w:val="left"/>
      <w:lvlText w:val="(%1)"/>
      <w:numFmt w:val="decimal"/>
      <w:start w:val="1"/>
    </w:lvl>
  </w:abstractNum>
  <w:abstractNum w:abstractNumId="30">
    <w:nsid w:val="1CF10FD8"/>
    <w:multiLevelType w:val="hybridMultilevel"/>
    <w:lvl w:ilvl="0">
      <w:lvlJc w:val="left"/>
      <w:lvlText w:val="(%1)"/>
      <w:numFmt w:val="decimal"/>
      <w:start w:val="2"/>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lowerRoman"/>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1"/>
    </w:lvl>
    <w:lvl w:ilvl="1">
      <w:lvlJc w:val="left"/>
      <w:lvlText w:val="(%2)"/>
      <w:numFmt w:val="lowerRoman"/>
      <w:start w:val="2"/>
    </w:lvl>
  </w:abstractNum>
  <w:abstractNum w:abstractNumId="36">
    <w:nsid w:val="741226BB"/>
    <w:multiLevelType w:val="hybridMultilevel"/>
    <w:lvl w:ilvl="0">
      <w:lvlJc w:val="left"/>
      <w:lvlText w:val="(%1)"/>
      <w:numFmt w:val="decimal"/>
      <w:start w:val="3"/>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2"/>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2"/>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decimal"/>
      <w:start w:val="2"/>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lowerRoman"/>
      <w:start w:val="2"/>
    </w:lvl>
  </w:abstractNum>
  <w:abstractNum w:abstractNumId="55">
    <w:nsid w:val="15014ACB"/>
    <w:multiLevelType w:val="hybridMultilevel"/>
    <w:lvl w:ilvl="0">
      <w:lvlJc w:val="left"/>
      <w:lvlText w:val="%1."/>
      <w:numFmt w:val="decimal"/>
      <w:start w:val="3"/>
    </w:lvl>
  </w:abstractNum>
  <w:abstractNum w:abstractNumId="56">
    <w:nsid w:val="5F5E7FD0"/>
    <w:multiLevelType w:val="hybridMultilevel"/>
    <w:lvl w:ilvl="0">
      <w:lvlJc w:val="left"/>
      <w:lvlText w:val="%1."/>
      <w:numFmt w:val="decimal"/>
      <w:start w:val="4"/>
    </w:lvl>
  </w:abstractNum>
  <w:abstractNum w:abstractNumId="57">
    <w:nsid w:val="98A3148"/>
    <w:multiLevelType w:val="hybridMultilevel"/>
    <w:lvl w:ilvl="0">
      <w:lvlJc w:val="left"/>
      <w:lvlText w:val="%1."/>
      <w:numFmt w:val="decimal"/>
      <w:start w:val="5"/>
    </w:lvl>
  </w:abstractNum>
  <w:abstractNum w:abstractNumId="58">
    <w:nsid w:val="799D0247"/>
    <w:multiLevelType w:val="hybridMultilevel"/>
    <w:lvl w:ilvl="0">
      <w:lvlJc w:val="left"/>
      <w:lvlText w:val="%1."/>
      <w:numFmt w:val="decimal"/>
      <w:start w:val="6"/>
    </w:lvl>
  </w:abstractNum>
  <w:abstractNum w:abstractNumId="59">
    <w:nsid w:val="6B94764"/>
    <w:multiLevelType w:val="hybridMultilevel"/>
    <w:lvl w:ilvl="0">
      <w:lvlJc w:val="left"/>
      <w:lvlText w:val="%1."/>
      <w:numFmt w:val="decimal"/>
      <w:start w:val="7"/>
    </w:lvl>
  </w:abstractNum>
  <w:abstractNum w:abstractNumId="60">
    <w:nsid w:val="42C296BD"/>
    <w:multiLevelType w:val="hybridMultilevel"/>
    <w:lvl w:ilvl="0">
      <w:lvlJc w:val="left"/>
      <w:lvlText w:val="%1."/>
      <w:numFmt w:val="decimal"/>
      <w:start w:val="8"/>
    </w:lvl>
  </w:abstractNum>
  <w:abstractNum w:abstractNumId="61">
    <w:nsid w:val="168E121F"/>
    <w:multiLevelType w:val="hybridMultilevel"/>
    <w:lvl w:ilvl="0">
      <w:lvlJc w:val="left"/>
      <w:lvlText w:val="%1."/>
      <w:numFmt w:val="decimal"/>
      <w:start w:val="10"/>
    </w:lvl>
    <w:lvl w:ilvl="1">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1."/>
      <w:numFmt w:val="decimal"/>
      <w:start w:val="11"/>
    </w:lvl>
  </w:abstractNum>
  <w:abstractNum w:abstractNumId="64">
    <w:nsid w:val="5DC79EA8"/>
    <w:multiLevelType w:val="hybridMultilevel"/>
    <w:lvl w:ilvl="0">
      <w:lvlJc w:val="left"/>
      <w:lvlText w:val="%1."/>
      <w:numFmt w:val="decimal"/>
      <w:start w:val="12"/>
    </w:lvl>
  </w:abstractNum>
  <w:abstractNum w:abstractNumId="65">
    <w:nsid w:val="540A471C"/>
    <w:multiLevelType w:val="hybridMultilevel"/>
    <w:lvl w:ilvl="0">
      <w:lvlJc w:val="left"/>
      <w:lvlText w:val="%1."/>
      <w:numFmt w:val="decimal"/>
      <w:start w:val="13"/>
    </w:lvl>
  </w:abstractNum>
  <w:abstractNum w:abstractNumId="66">
    <w:nsid w:val="7BD3EE7B"/>
    <w:multiLevelType w:val="hybridMultilevel"/>
    <w:lvl w:ilvl="0">
      <w:lvlJc w:val="left"/>
      <w:lvlText w:val="%1."/>
      <w:numFmt w:val="decimal"/>
      <w:start w:val="14"/>
    </w:lvl>
  </w:abstractNum>
  <w:abstractNum w:abstractNumId="67">
    <w:nsid w:val="51D9C564"/>
    <w:multiLevelType w:val="hybridMultilevel"/>
    <w:lvl w:ilvl="0">
      <w:lvlJc w:val="left"/>
      <w:lvlText w:val="%1."/>
      <w:numFmt w:val="decimal"/>
      <w:start w:val="15"/>
    </w:lvl>
  </w:abstractNum>
  <w:abstractNum w:abstractNumId="68">
    <w:nsid w:val="613EFDC5"/>
    <w:multiLevelType w:val="hybridMultilevel"/>
    <w:lvl w:ilvl="0">
      <w:lvlJc w:val="left"/>
      <w:lvlText w:val="%1."/>
      <w:numFmt w:val="decimal"/>
      <w:start w:val="16"/>
    </w:lvl>
  </w:abstractNum>
  <w:abstractNum w:abstractNumId="69">
    <w:nsid w:val="BF72B14"/>
    <w:multiLevelType w:val="hybridMultilevel"/>
    <w:lvl w:ilvl="0">
      <w:lvlJc w:val="left"/>
      <w:lvlText w:val="%1."/>
      <w:numFmt w:val="decimal"/>
      <w:start w:val="17"/>
    </w:lvl>
  </w:abstractNum>
  <w:abstractNum w:abstractNumId="70">
    <w:nsid w:val="11447B73"/>
    <w:multiLevelType w:val="hybridMultilevel"/>
    <w:lvl w:ilvl="0">
      <w:lvlJc w:val="left"/>
      <w:lvlText w:val="%1."/>
      <w:numFmt w:val="decimal"/>
      <w:start w:val="18"/>
    </w:lvl>
  </w:abstractNum>
  <w:abstractNum w:abstractNumId="71">
    <w:nsid w:val="42963E5A"/>
    <w:multiLevelType w:val="hybridMultilevel"/>
    <w:lvl w:ilvl="0">
      <w:lvlJc w:val="left"/>
      <w:lvlText w:val="%1."/>
      <w:numFmt w:val="decimal"/>
      <w:start w:val="19"/>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lowerRoman"/>
      <w:start w:val="2"/>
    </w:lvl>
  </w:abstractNum>
  <w:abstractNum w:abstractNumId="74">
    <w:nsid w:val="1A32234B"/>
    <w:multiLevelType w:val="hybridMultilevel"/>
    <w:lvl w:ilvl="0">
      <w:lvlJc w:val="left"/>
      <w:lvlText w:val="%1."/>
      <w:numFmt w:val="decimal"/>
      <w:start w:val="3"/>
    </w:lvl>
  </w:abstractNum>
  <w:abstractNum w:abstractNumId="75">
    <w:nsid w:val="3B0FD379"/>
    <w:multiLevelType w:val="hybridMultilevel"/>
    <w:lvl w:ilvl="0">
      <w:lvlJc w:val="left"/>
      <w:lvlText w:val="%1."/>
      <w:numFmt w:val="decimal"/>
      <w:start w:val="4"/>
    </w:lvl>
  </w:abstractNum>
  <w:abstractNum w:abstractNumId="76">
    <w:nsid w:val="68EB2F63"/>
    <w:multiLevelType w:val="hybridMultilevel"/>
    <w:lvl w:ilvl="0">
      <w:lvlJc w:val="left"/>
      <w:lvlText w:val="%1."/>
      <w:numFmt w:val="decimal"/>
      <w:start w:val="5"/>
    </w:lvl>
  </w:abstractNum>
  <w:abstractNum w:abstractNumId="77">
    <w:nsid w:val="4962813B"/>
    <w:multiLevelType w:val="hybridMultilevel"/>
    <w:lvl w:ilvl="0">
      <w:lvlJc w:val="left"/>
      <w:lvlText w:val="%1."/>
      <w:numFmt w:val="decimal"/>
      <w:start w:val="6"/>
    </w:lvl>
    <w:lvl w:ilvl="1">
      <w:lvlJc w:val="left"/>
      <w:lvlText w:val="•"/>
      <w:numFmt w:val="bullet"/>
      <w:start w:val="1"/>
    </w:lvl>
  </w:abstractNum>
  <w:abstractNum w:abstractNumId="78">
    <w:nsid w:val="60B6DF70"/>
    <w:multiLevelType w:val="hybridMultilevel"/>
    <w:lvl w:ilvl="0">
      <w:lvlJc w:val="left"/>
      <w:lvlText w:val="%1."/>
      <w:numFmt w:val="decimal"/>
      <w:start w:val="8"/>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2019-12-29T09:19:43Z</dcterms:created>
  <dcterms:modified xsi:type="dcterms:W3CDTF">2019-12-29T09:19:43Z</dcterms:modified>
</cp:coreProperties>
</file>