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0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WASHINGTON, D.C. 20549</w:t>
            </w:r>
          </w:p>
        </w:tc>
        <w:tc>
          <w:tcPr>
            <w:tcW w:w="0" w:type="dxa"/>
            <w:vAlign w:val="bottom"/>
          </w:tcPr>
          <w:p>
            <w:pPr>
              <w:spacing w:after="0"/>
              <w:rPr>
                <w:sz w:val="1"/>
                <w:szCs w:val="1"/>
                <w:color w:val="auto"/>
              </w:rPr>
            </w:pPr>
          </w:p>
        </w:tc>
      </w:tr>
      <w:tr>
        <w:trPr>
          <w:trHeight w:val="379"/>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spacing w:after="0"/>
              <w:rPr>
                <w:sz w:val="20"/>
                <w:szCs w:val="20"/>
                <w:color w:val="auto"/>
              </w:rPr>
            </w:pPr>
            <w:r>
              <w:rPr>
                <w:rFonts w:ascii="Arial" w:cs="Arial" w:eastAsia="Arial" w:hAnsi="Arial"/>
                <w:sz w:val="22"/>
                <w:szCs w:val="22"/>
                <w:b w:val="1"/>
                <w:bCs w:val="1"/>
                <w:color w:val="auto"/>
                <w:w w:val="97"/>
              </w:rPr>
              <w:t>FORM 10-K</w:t>
            </w: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62"/>
        </w:trPr>
        <w:tc>
          <w:tcPr>
            <w:tcW w:w="860" w:type="dxa"/>
            <w:vAlign w:val="bottom"/>
          </w:tcPr>
          <w:p>
            <w:pPr>
              <w:spacing w:after="0"/>
              <w:rPr>
                <w:sz w:val="22"/>
                <w:szCs w:val="22"/>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306"/>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37"/>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92"/>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55880</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FTAI AVIATION LTD.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8"/>
                <w:szCs w:val="18"/>
                <w:color w:val="auto"/>
              </w:rPr>
            </w:pPr>
          </w:p>
        </w:tc>
      </w:tr>
      <w:tr>
        <w:trPr>
          <w:trHeight w:val="232"/>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Cayman Islands</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98-1420784</w:t>
            </w:r>
          </w:p>
        </w:tc>
      </w:tr>
      <w:tr>
        <w:trPr>
          <w:trHeight w:val="208"/>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79"/>
        </w:trPr>
        <w:tc>
          <w:tcPr>
            <w:tcW w:w="5480" w:type="dxa"/>
            <w:vAlign w:val="bottom"/>
          </w:tcPr>
          <w:p>
            <w:pPr>
              <w:ind w:left="1520"/>
              <w:spacing w:after="0"/>
              <w:rPr>
                <w:sz w:val="20"/>
                <w:szCs w:val="20"/>
                <w:color w:val="auto"/>
              </w:rPr>
            </w:pPr>
            <w:r>
              <w:rPr>
                <w:rFonts w:ascii="Arial" w:cs="Arial" w:eastAsia="Arial" w:hAnsi="Arial"/>
                <w:sz w:val="16"/>
                <w:szCs w:val="16"/>
                <w:b w:val="1"/>
                <w:bCs w:val="1"/>
                <w:color w:val="auto"/>
              </w:rPr>
              <w:t>415 West 13th Street, 7th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10014</w:t>
            </w:r>
          </w:p>
        </w:tc>
      </w:tr>
      <w:tr>
        <w:trPr>
          <w:trHeight w:val="208"/>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(332) 239-7600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5"/>
          </w:tcPr>
          <w:p>
            <w:pPr>
              <w:ind w:left="3560"/>
              <w:spacing w:after="0"/>
              <w:rPr>
                <w:sz w:val="20"/>
                <w:szCs w:val="20"/>
                <w:color w:val="auto"/>
              </w:rPr>
            </w:pPr>
            <w:r>
              <w:rPr>
                <w:rFonts w:ascii="Arial" w:cs="Arial" w:eastAsia="Arial" w:hAnsi="Arial"/>
                <w:sz w:val="16"/>
                <w:szCs w:val="16"/>
                <w:color w:val="auto"/>
              </w:rPr>
              <w:t>Securities registered pursuant to Section 12(b) of the Act: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Title of each class: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rPr>
              <w:t>Trading Symbol:</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Name of exchange on which registered:</w:t>
            </w: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Ordinary shares, $0.01 par value per share</w:t>
            </w:r>
          </w:p>
        </w:tc>
        <w:tc>
          <w:tcPr>
            <w:tcW w:w="8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FTAI</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8.25% Fixed-Rate Reset Series C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w w:val="99"/>
              </w:rPr>
              <w:t>FTAIN</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9.50% Fixed-Rate Reset Series D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w w:val="95"/>
              </w:rPr>
              <w:t>FTAIM</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 w:name="page2"/>
    <w:bookmarkEnd w:id="1"/>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aggregate market value of the voting and non-voting ordinary equity of FTAI Aviation Ltd. held by non-affiliates as of the close of business as of June 30, 2024 was approximately $10.4 billion.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were 102,550,975 ordinary shares outstanding at February 26, 2025.</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Portions of the registrant's definitive proxy statement for the registrant's 2025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8800" w:type="dxa"/>
            <w:vAlign w:val="bottom"/>
          </w:tcPr>
          <w:p>
            <w:pPr>
              <w:jc w:val="center"/>
              <w:ind w:left="948"/>
              <w:spacing w:after="0"/>
              <w:rPr>
                <w:sz w:val="20"/>
                <w:szCs w:val="20"/>
                <w:color w:val="auto"/>
              </w:rPr>
            </w:pPr>
            <w:r>
              <w:rPr>
                <w:rFonts w:ascii="Arial" w:cs="Arial" w:eastAsia="Arial" w:hAnsi="Arial"/>
                <w:sz w:val="16"/>
                <w:szCs w:val="16"/>
                <w:b w:val="1"/>
                <w:bCs w:val="1"/>
                <w:color w:val="00497F"/>
                <w:w w:val="98"/>
              </w:rPr>
              <w:t>FTAI AVIATION LTD.</w:t>
            </w:r>
          </w:p>
        </w:tc>
        <w:tc>
          <w:tcPr>
            <w:tcW w:w="1720" w:type="dxa"/>
            <w:vAlign w:val="bottom"/>
          </w:tcPr>
          <w:p>
            <w:pPr>
              <w:spacing w:after="0"/>
              <w:rPr>
                <w:sz w:val="16"/>
                <w:szCs w:val="16"/>
                <w:color w:val="auto"/>
              </w:rPr>
            </w:pPr>
          </w:p>
        </w:tc>
      </w:tr>
      <w:tr>
        <w:trPr>
          <w:trHeight w:val="223"/>
        </w:trPr>
        <w:tc>
          <w:tcPr>
            <w:tcW w:w="720" w:type="dxa"/>
            <w:vAlign w:val="bottom"/>
          </w:tcPr>
          <w:p>
            <w:pPr>
              <w:spacing w:after="0"/>
              <w:rPr>
                <w:sz w:val="19"/>
                <w:szCs w:val="19"/>
                <w:color w:val="auto"/>
              </w:rPr>
            </w:pPr>
          </w:p>
        </w:tc>
        <w:tc>
          <w:tcPr>
            <w:tcW w:w="8800" w:type="dxa"/>
            <w:vAlign w:val="bottom"/>
          </w:tcPr>
          <w:p>
            <w:pPr>
              <w:jc w:val="center"/>
              <w:ind w:left="928"/>
              <w:spacing w:after="0"/>
              <w:rPr>
                <w:sz w:val="20"/>
                <w:szCs w:val="20"/>
                <w:color w:val="auto"/>
              </w:rPr>
            </w:pPr>
            <w:r>
              <w:rPr>
                <w:rFonts w:ascii="Arial" w:cs="Arial" w:eastAsia="Arial" w:hAnsi="Arial"/>
                <w:sz w:val="16"/>
                <w:szCs w:val="16"/>
                <w:b w:val="1"/>
                <w:bCs w:val="1"/>
                <w:color w:val="00497F"/>
              </w:rPr>
              <w:t>INDEX TO FORM 10-K</w:t>
            </w:r>
          </w:p>
        </w:tc>
        <w:tc>
          <w:tcPr>
            <w:tcW w:w="1720" w:type="dxa"/>
            <w:vAlign w:val="bottom"/>
          </w:tcPr>
          <w:p>
            <w:pPr>
              <w:spacing w:after="0"/>
              <w:rPr>
                <w:sz w:val="19"/>
                <w:szCs w:val="19"/>
                <w:color w:val="auto"/>
              </w:rPr>
            </w:pPr>
          </w:p>
        </w:tc>
      </w:tr>
      <w:tr>
        <w:trPr>
          <w:trHeight w:val="222"/>
        </w:trPr>
        <w:tc>
          <w:tcPr>
            <w:tcW w:w="720" w:type="dxa"/>
            <w:vAlign w:val="bottom"/>
          </w:tcPr>
          <w:p>
            <w:pPr>
              <w:spacing w:after="0"/>
              <w:rPr>
                <w:sz w:val="19"/>
                <w:szCs w:val="19"/>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w:t>
            </w:r>
          </w:p>
        </w:tc>
        <w:tc>
          <w:tcPr>
            <w:tcW w:w="1720" w:type="dxa"/>
            <w:vAlign w:val="bottom"/>
          </w:tcPr>
          <w:p>
            <w:pPr>
              <w:spacing w:after="0"/>
              <w:rPr>
                <w:sz w:val="19"/>
                <w:szCs w:val="19"/>
                <w:color w:val="auto"/>
              </w:rPr>
            </w:pPr>
          </w:p>
        </w:tc>
      </w:tr>
      <w:tr>
        <w:trPr>
          <w:trHeight w:val="197"/>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Forward-Looking Statements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w:t>
            </w:r>
          </w:p>
        </w:tc>
        <w:tc>
          <w:tcPr>
            <w:tcW w:w="8800" w:type="dxa"/>
            <w:vAlign w:val="bottom"/>
          </w:tcPr>
          <w:p>
            <w:pPr>
              <w:ind w:left="160"/>
              <w:spacing w:after="0"/>
              <w:rPr>
                <w:sz w:val="20"/>
                <w:szCs w:val="20"/>
                <w:color w:val="auto"/>
              </w:rPr>
            </w:pPr>
            <w:r>
              <w:rPr>
                <w:rFonts w:ascii="Arial" w:cs="Arial" w:eastAsia="Arial" w:hAnsi="Arial"/>
                <w:sz w:val="14"/>
                <w:szCs w:val="14"/>
                <w:color w:val="0000FF"/>
              </w:rPr>
              <w:t>Business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800" w:type="dxa"/>
            <w:vAlign w:val="bottom"/>
          </w:tcPr>
          <w:p>
            <w:pPr>
              <w:ind w:left="160"/>
              <w:spacing w:after="0"/>
              <w:rPr>
                <w:sz w:val="20"/>
                <w:szCs w:val="20"/>
                <w:color w:val="auto"/>
              </w:rPr>
            </w:pPr>
            <w:r>
              <w:rPr>
                <w:rFonts w:ascii="Arial" w:cs="Arial" w:eastAsia="Arial" w:hAnsi="Arial"/>
                <w:sz w:val="14"/>
                <w:szCs w:val="14"/>
                <w:color w:val="0000FF"/>
              </w:rPr>
              <w:t>Risk Factors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10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1B.</w:t>
            </w:r>
          </w:p>
        </w:tc>
        <w:tc>
          <w:tcPr>
            <w:tcW w:w="8800" w:type="dxa"/>
            <w:vAlign w:val="bottom"/>
          </w:tcPr>
          <w:p>
            <w:pPr>
              <w:ind w:left="160"/>
              <w:spacing w:after="0"/>
              <w:rPr>
                <w:sz w:val="20"/>
                <w:szCs w:val="20"/>
                <w:color w:val="auto"/>
              </w:rPr>
            </w:pPr>
            <w:r>
              <w:rPr>
                <w:rFonts w:ascii="Arial" w:cs="Arial" w:eastAsia="Arial" w:hAnsi="Arial"/>
                <w:sz w:val="14"/>
                <w:szCs w:val="14"/>
                <w:color w:val="0000FF"/>
              </w:rPr>
              <w:t>Unresolved Staff Comments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1C.</w:t>
            </w:r>
          </w:p>
        </w:tc>
        <w:tc>
          <w:tcPr>
            <w:tcW w:w="8800" w:type="dxa"/>
            <w:vAlign w:val="bottom"/>
          </w:tcPr>
          <w:p>
            <w:pPr>
              <w:ind w:left="160"/>
              <w:spacing w:after="0"/>
              <w:rPr>
                <w:sz w:val="20"/>
                <w:szCs w:val="20"/>
                <w:color w:val="auto"/>
              </w:rPr>
            </w:pPr>
            <w:r>
              <w:rPr>
                <w:rFonts w:ascii="Arial" w:cs="Arial" w:eastAsia="Arial" w:hAnsi="Arial"/>
                <w:sz w:val="14"/>
                <w:szCs w:val="14"/>
                <w:color w:val="0000FF"/>
              </w:rPr>
              <w:t>Cybersecurity</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2.</w:t>
            </w:r>
          </w:p>
        </w:tc>
        <w:tc>
          <w:tcPr>
            <w:tcW w:w="8800" w:type="dxa"/>
            <w:vAlign w:val="bottom"/>
          </w:tcPr>
          <w:p>
            <w:pPr>
              <w:ind w:left="160"/>
              <w:spacing w:after="0"/>
              <w:rPr>
                <w:sz w:val="20"/>
                <w:szCs w:val="20"/>
                <w:color w:val="auto"/>
              </w:rPr>
            </w:pPr>
            <w:r>
              <w:rPr>
                <w:rFonts w:ascii="Arial" w:cs="Arial" w:eastAsia="Arial" w:hAnsi="Arial"/>
                <w:sz w:val="14"/>
                <w:szCs w:val="14"/>
                <w:color w:val="0000FF"/>
              </w:rPr>
              <w:t>Properties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27</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3.</w:t>
            </w:r>
          </w:p>
        </w:tc>
        <w:tc>
          <w:tcPr>
            <w:tcW w:w="8800" w:type="dxa"/>
            <w:vAlign w:val="bottom"/>
          </w:tcPr>
          <w:p>
            <w:pPr>
              <w:ind w:left="160"/>
              <w:spacing w:after="0"/>
              <w:rPr>
                <w:sz w:val="20"/>
                <w:szCs w:val="20"/>
                <w:color w:val="auto"/>
              </w:rPr>
            </w:pPr>
            <w:r>
              <w:rPr>
                <w:rFonts w:ascii="Arial" w:cs="Arial" w:eastAsia="Arial" w:hAnsi="Arial"/>
                <w:sz w:val="14"/>
                <w:szCs w:val="14"/>
                <w:color w:val="0000FF"/>
              </w:rPr>
              <w:t>Legal Proceedings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27</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4.</w:t>
            </w:r>
          </w:p>
        </w:tc>
        <w:tc>
          <w:tcPr>
            <w:tcW w:w="8800" w:type="dxa"/>
            <w:vAlign w:val="bottom"/>
          </w:tcPr>
          <w:p>
            <w:pPr>
              <w:ind w:left="160"/>
              <w:spacing w:after="0"/>
              <w:rPr>
                <w:sz w:val="20"/>
                <w:szCs w:val="20"/>
                <w:color w:val="auto"/>
              </w:rPr>
            </w:pPr>
            <w:r>
              <w:rPr>
                <w:rFonts w:ascii="Arial" w:cs="Arial" w:eastAsia="Arial" w:hAnsi="Arial"/>
                <w:sz w:val="14"/>
                <w:szCs w:val="14"/>
                <w:color w:val="0000FF"/>
              </w:rPr>
              <w:t>Mine Safety Disclosures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27</w:t>
            </w:r>
          </w:p>
        </w:tc>
      </w:tr>
      <w:tr>
        <w:trPr>
          <w:trHeight w:val="208"/>
        </w:trPr>
        <w:tc>
          <w:tcPr>
            <w:tcW w:w="720" w:type="dxa"/>
            <w:vAlign w:val="bottom"/>
          </w:tcPr>
          <w:p>
            <w:pPr>
              <w:spacing w:after="0"/>
              <w:rPr>
                <w:sz w:val="18"/>
                <w:szCs w:val="18"/>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II</w:t>
            </w:r>
          </w:p>
        </w:tc>
        <w:tc>
          <w:tcPr>
            <w:tcW w:w="1720" w:type="dxa"/>
            <w:vAlign w:val="bottom"/>
          </w:tcPr>
          <w:p>
            <w:pPr>
              <w:spacing w:after="0"/>
              <w:rPr>
                <w:sz w:val="18"/>
                <w:szCs w:val="18"/>
                <w:color w:val="auto"/>
              </w:rPr>
            </w:pPr>
          </w:p>
        </w:tc>
      </w:tr>
      <w:tr>
        <w:trPr>
          <w:trHeight w:val="197"/>
        </w:trPr>
        <w:tc>
          <w:tcPr>
            <w:tcW w:w="720" w:type="dxa"/>
            <w:vAlign w:val="bottom"/>
          </w:tcPr>
          <w:p>
            <w:pPr>
              <w:ind w:left="20"/>
              <w:spacing w:after="0"/>
              <w:rPr>
                <w:sz w:val="20"/>
                <w:szCs w:val="20"/>
                <w:color w:val="auto"/>
              </w:rPr>
            </w:pPr>
            <w:r>
              <w:rPr>
                <w:rFonts w:ascii="Arial" w:cs="Arial" w:eastAsia="Arial" w:hAnsi="Arial"/>
                <w:sz w:val="14"/>
                <w:szCs w:val="14"/>
                <w:color w:val="0000FF"/>
              </w:rPr>
              <w:t>Item 5.</w:t>
            </w:r>
          </w:p>
        </w:tc>
        <w:tc>
          <w:tcPr>
            <w:tcW w:w="8800" w:type="dxa"/>
            <w:vAlign w:val="bottom"/>
          </w:tcPr>
          <w:p>
            <w:pPr>
              <w:ind w:left="16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28</w:t>
            </w:r>
          </w:p>
        </w:tc>
      </w:tr>
      <w:tr>
        <w:trPr>
          <w:trHeight w:val="202"/>
        </w:trPr>
        <w:tc>
          <w:tcPr>
            <w:tcW w:w="720" w:type="dxa"/>
            <w:vAlign w:val="bottom"/>
          </w:tcPr>
          <w:p>
            <w:pPr>
              <w:ind w:left="20"/>
              <w:spacing w:after="0"/>
              <w:rPr>
                <w:sz w:val="20"/>
                <w:szCs w:val="20"/>
                <w:color w:val="auto"/>
              </w:rPr>
            </w:pPr>
            <w:r>
              <w:rPr>
                <w:rFonts w:ascii="Arial" w:cs="Arial" w:eastAsia="Arial" w:hAnsi="Arial"/>
                <w:sz w:val="14"/>
                <w:szCs w:val="14"/>
                <w:color w:val="0000FF"/>
              </w:rPr>
              <w:t>Item 6.</w:t>
            </w:r>
          </w:p>
        </w:tc>
        <w:tc>
          <w:tcPr>
            <w:tcW w:w="8800" w:type="dxa"/>
            <w:vAlign w:val="bottom"/>
          </w:tcPr>
          <w:p>
            <w:pPr>
              <w:ind w:left="160"/>
              <w:spacing w:after="0"/>
              <w:rPr>
                <w:sz w:val="20"/>
                <w:szCs w:val="20"/>
                <w:color w:val="auto"/>
              </w:rPr>
            </w:pPr>
            <w:r>
              <w:rPr>
                <w:rFonts w:ascii="Arial" w:cs="Arial" w:eastAsia="Arial" w:hAnsi="Arial"/>
                <w:sz w:val="14"/>
                <w:szCs w:val="14"/>
                <w:color w:val="0000FF"/>
              </w:rPr>
              <w:t>[Reserved]</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30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7.</w:t>
            </w:r>
          </w:p>
        </w:tc>
        <w:tc>
          <w:tcPr>
            <w:tcW w:w="8800" w:type="dxa"/>
            <w:vAlign w:val="bottom"/>
          </w:tcPr>
          <w:p>
            <w:pPr>
              <w:ind w:left="1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30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7A.</w:t>
            </w:r>
          </w:p>
        </w:tc>
        <w:tc>
          <w:tcPr>
            <w:tcW w:w="8800" w:type="dxa"/>
            <w:vAlign w:val="bottom"/>
          </w:tcPr>
          <w:p>
            <w:pPr>
              <w:ind w:left="160"/>
              <w:spacing w:after="0"/>
              <w:rPr>
                <w:sz w:val="20"/>
                <w:szCs w:val="20"/>
                <w:color w:val="auto"/>
              </w:rPr>
            </w:pPr>
            <w:r>
              <w:rPr>
                <w:rFonts w:ascii="Arial" w:cs="Arial" w:eastAsia="Arial" w:hAnsi="Arial"/>
                <w:sz w:val="14"/>
                <w:szCs w:val="14"/>
                <w:color w:val="0000FF"/>
              </w:rPr>
              <w:t>Quantitative and Qualitative Disclosures About Market Risk</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8.</w:t>
            </w: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Financial Statements of FTAI Aviation Ltd.:</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52</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Report of Independent Registered Public Accounting Firm</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53</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Balance Sheets as of December 31, 2024 and 2023</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55</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Operations for the years ended December 31, 2024, 2023 and 2022</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56</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Comprehensive Income (Loss) for the years ended December 31, 2024, 2023 and 2022</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57</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 of Changes in Equity for the years ended December 31, 2024, 2023 and 2022</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58</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Cash Flows for the years ended December 31, 2024, 2023 and 2022</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59</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Notes to Consolidated Financial Statements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 Organization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2: Summary of Significant Accounting Policies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3: Discontinued Operations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68</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4: Acquisition of Lockheed Martin Commercial Engine Solutions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70</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5: Acquisition of QuickTurn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72</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6: Leasing Equipment,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73</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7: Investments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74</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8: Intangible Assets and Liabilities,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75</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9: Debt,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76</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10: Fair Value Measurements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77</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11: Equity-Based Compensation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80</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12: Income Taxes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13: Affiliate Transactions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83</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14: Segment Information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85</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15: Earnings per Share and Equity</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16: Commitments and Contingencies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17: Restructuring Charges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18: Subsequent Events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w:t>
            </w:r>
          </w:p>
        </w:tc>
        <w:tc>
          <w:tcPr>
            <w:tcW w:w="8800" w:type="dxa"/>
            <w:vAlign w:val="bottom"/>
          </w:tcPr>
          <w:p>
            <w:pPr>
              <w:ind w:left="1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93</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9A.</w:t>
            </w:r>
          </w:p>
        </w:tc>
        <w:tc>
          <w:tcPr>
            <w:tcW w:w="8800" w:type="dxa"/>
            <w:vAlign w:val="bottom"/>
          </w:tcPr>
          <w:p>
            <w:pPr>
              <w:ind w:left="160"/>
              <w:spacing w:after="0"/>
              <w:rPr>
                <w:sz w:val="20"/>
                <w:szCs w:val="20"/>
                <w:color w:val="auto"/>
              </w:rPr>
            </w:pPr>
            <w:r>
              <w:rPr>
                <w:rFonts w:ascii="Arial" w:cs="Arial" w:eastAsia="Arial" w:hAnsi="Arial"/>
                <w:sz w:val="14"/>
                <w:szCs w:val="14"/>
                <w:color w:val="0000FF"/>
              </w:rPr>
              <w:t>Controls and Procedures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93</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9B.</w:t>
            </w:r>
          </w:p>
        </w:tc>
        <w:tc>
          <w:tcPr>
            <w:tcW w:w="8800" w:type="dxa"/>
            <w:vAlign w:val="bottom"/>
          </w:tcPr>
          <w:p>
            <w:pPr>
              <w:ind w:left="160"/>
              <w:spacing w:after="0"/>
              <w:rPr>
                <w:sz w:val="20"/>
                <w:szCs w:val="20"/>
                <w:color w:val="auto"/>
              </w:rPr>
            </w:pPr>
            <w:r>
              <w:rPr>
                <w:rFonts w:ascii="Arial" w:cs="Arial" w:eastAsia="Arial" w:hAnsi="Arial"/>
                <w:sz w:val="14"/>
                <w:szCs w:val="14"/>
                <w:color w:val="0000FF"/>
              </w:rPr>
              <w:t>Other Information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94</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9C.</w:t>
            </w:r>
          </w:p>
        </w:tc>
        <w:tc>
          <w:tcPr>
            <w:tcW w:w="8800" w:type="dxa"/>
            <w:vAlign w:val="bottom"/>
          </w:tcPr>
          <w:p>
            <w:pPr>
              <w:ind w:left="1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95</w:t>
            </w:r>
          </w:p>
        </w:tc>
      </w:tr>
      <w:tr>
        <w:trPr>
          <w:trHeight w:val="209"/>
        </w:trPr>
        <w:tc>
          <w:tcPr>
            <w:tcW w:w="720" w:type="dxa"/>
            <w:vAlign w:val="bottom"/>
          </w:tcPr>
          <w:p>
            <w:pPr>
              <w:spacing w:after="0"/>
              <w:rPr>
                <w:sz w:val="18"/>
                <w:szCs w:val="18"/>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III</w:t>
            </w:r>
          </w:p>
        </w:tc>
        <w:tc>
          <w:tcPr>
            <w:tcW w:w="1720" w:type="dxa"/>
            <w:vAlign w:val="bottom"/>
          </w:tcPr>
          <w:p>
            <w:pPr>
              <w:spacing w:after="0"/>
              <w:rPr>
                <w:sz w:val="18"/>
                <w:szCs w:val="18"/>
                <w:color w:val="auto"/>
              </w:rPr>
            </w:pPr>
          </w:p>
        </w:tc>
      </w:tr>
      <w:tr>
        <w:trPr>
          <w:trHeight w:val="196"/>
        </w:trPr>
        <w:tc>
          <w:tcPr>
            <w:tcW w:w="720" w:type="dxa"/>
            <w:vAlign w:val="bottom"/>
          </w:tcPr>
          <w:p>
            <w:pPr>
              <w:ind w:left="20"/>
              <w:spacing w:after="0"/>
              <w:rPr>
                <w:sz w:val="20"/>
                <w:szCs w:val="20"/>
                <w:color w:val="auto"/>
              </w:rPr>
            </w:pPr>
            <w:r>
              <w:rPr>
                <w:rFonts w:ascii="Arial" w:cs="Arial" w:eastAsia="Arial" w:hAnsi="Arial"/>
                <w:sz w:val="14"/>
                <w:szCs w:val="14"/>
                <w:color w:val="0000FF"/>
              </w:rPr>
              <w:t>Item 10.</w:t>
            </w:r>
          </w:p>
        </w:tc>
        <w:tc>
          <w:tcPr>
            <w:tcW w:w="8800" w:type="dxa"/>
            <w:vAlign w:val="bottom"/>
          </w:tcPr>
          <w:p>
            <w:pPr>
              <w:ind w:left="160"/>
              <w:spacing w:after="0"/>
              <w:rPr>
                <w:sz w:val="20"/>
                <w:szCs w:val="20"/>
                <w:color w:val="auto"/>
              </w:rPr>
            </w:pPr>
            <w:r>
              <w:rPr>
                <w:rFonts w:ascii="Arial" w:cs="Arial" w:eastAsia="Arial" w:hAnsi="Arial"/>
                <w:sz w:val="14"/>
                <w:szCs w:val="14"/>
                <w:color w:val="0000FF"/>
              </w:rPr>
              <w:t>Directors, Executive Officers and Corporate Governance</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11.</w:t>
            </w:r>
          </w:p>
        </w:tc>
        <w:tc>
          <w:tcPr>
            <w:tcW w:w="8800" w:type="dxa"/>
            <w:vAlign w:val="bottom"/>
          </w:tcPr>
          <w:p>
            <w:pPr>
              <w:ind w:left="160"/>
              <w:spacing w:after="0"/>
              <w:rPr>
                <w:sz w:val="20"/>
                <w:szCs w:val="20"/>
                <w:color w:val="auto"/>
              </w:rPr>
            </w:pPr>
            <w:r>
              <w:rPr>
                <w:rFonts w:ascii="Arial" w:cs="Arial" w:eastAsia="Arial" w:hAnsi="Arial"/>
                <w:sz w:val="14"/>
                <w:szCs w:val="14"/>
                <w:color w:val="0000FF"/>
              </w:rPr>
              <w:t>Executive Compensation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95</w:t>
            </w:r>
          </w:p>
        </w:tc>
      </w:tr>
      <w:tr>
        <w:trPr>
          <w:trHeight w:val="918"/>
        </w:trPr>
        <w:tc>
          <w:tcPr>
            <w:tcW w:w="720" w:type="dxa"/>
            <w:vAlign w:val="bottom"/>
          </w:tcPr>
          <w:p>
            <w:pPr>
              <w:spacing w:after="0"/>
              <w:rPr>
                <w:sz w:val="24"/>
                <w:szCs w:val="24"/>
                <w:color w:val="auto"/>
              </w:rPr>
            </w:pPr>
          </w:p>
        </w:tc>
        <w:tc>
          <w:tcPr>
            <w:tcW w:w="8800" w:type="dxa"/>
            <w:vAlign w:val="bottom"/>
          </w:tcPr>
          <w:p>
            <w:pPr>
              <w:jc w:val="center"/>
              <w:ind w:left="928"/>
              <w:spacing w:after="0"/>
              <w:rPr>
                <w:sz w:val="20"/>
                <w:szCs w:val="20"/>
                <w:color w:val="auto"/>
              </w:rPr>
            </w:pPr>
            <w:r>
              <w:rPr>
                <w:rFonts w:ascii="Arial" w:cs="Arial" w:eastAsia="Arial" w:hAnsi="Arial"/>
                <w:sz w:val="14"/>
                <w:szCs w:val="14"/>
                <w:color w:val="auto"/>
              </w:rPr>
              <w:t>3</w:t>
            </w:r>
          </w:p>
        </w:tc>
        <w:tc>
          <w:tcPr>
            <w:tcW w:w="1720" w:type="dxa"/>
            <w:vAlign w:val="bottom"/>
          </w:tcPr>
          <w:p>
            <w:pPr>
              <w:spacing w:after="0"/>
              <w:rPr>
                <w:sz w:val="24"/>
                <w:szCs w:val="24"/>
                <w:color w:val="auto"/>
              </w:rPr>
            </w:pPr>
          </w:p>
        </w:tc>
      </w:tr>
      <w:tr>
        <w:trPr>
          <w:trHeight w:val="96"/>
        </w:trPr>
        <w:tc>
          <w:tcPr>
            <w:tcW w:w="720" w:type="dxa"/>
            <w:vAlign w:val="bottom"/>
            <w:tcBorders>
              <w:bottom w:val="single" w:sz="8" w:color="9A9A9A"/>
            </w:tcBorders>
          </w:tcPr>
          <w:p>
            <w:pPr>
              <w:spacing w:after="0"/>
              <w:rPr>
                <w:sz w:val="8"/>
                <w:szCs w:val="8"/>
                <w:color w:val="auto"/>
              </w:rPr>
            </w:pPr>
          </w:p>
        </w:tc>
        <w:tc>
          <w:tcPr>
            <w:tcW w:w="88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720" w:type="dxa"/>
            <w:vAlign w:val="bottom"/>
          </w:tcPr>
          <w:p>
            <w:pPr>
              <w:ind w:left="20"/>
              <w:spacing w:after="0"/>
              <w:rPr>
                <w:sz w:val="20"/>
                <w:szCs w:val="20"/>
                <w:color w:val="auto"/>
              </w:rPr>
            </w:pPr>
            <w:r>
              <w:rPr>
                <w:rFonts w:ascii="Arial" w:cs="Arial" w:eastAsia="Arial" w:hAnsi="Arial"/>
                <w:sz w:val="14"/>
                <w:szCs w:val="14"/>
                <w:color w:val="0000FF"/>
              </w:rPr>
              <w:t>Item 12.</w:t>
            </w:r>
          </w:p>
        </w:tc>
        <w:tc>
          <w:tcPr>
            <w:tcW w:w="8300" w:type="dxa"/>
            <w:vAlign w:val="bottom"/>
          </w:tcPr>
          <w:p>
            <w:pPr>
              <w:ind w:left="16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13.</w:t>
            </w:r>
          </w:p>
        </w:tc>
        <w:tc>
          <w:tcPr>
            <w:tcW w:w="8300" w:type="dxa"/>
            <w:vAlign w:val="bottom"/>
          </w:tcPr>
          <w:p>
            <w:pPr>
              <w:ind w:left="16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14.</w:t>
            </w:r>
          </w:p>
        </w:tc>
        <w:tc>
          <w:tcPr>
            <w:tcW w:w="8300" w:type="dxa"/>
            <w:vAlign w:val="bottom"/>
          </w:tcPr>
          <w:p>
            <w:pPr>
              <w:ind w:left="160"/>
              <w:spacing w:after="0"/>
              <w:rPr>
                <w:sz w:val="20"/>
                <w:szCs w:val="20"/>
                <w:color w:val="auto"/>
              </w:rPr>
            </w:pPr>
            <w:r>
              <w:rPr>
                <w:rFonts w:ascii="Arial" w:cs="Arial" w:eastAsia="Arial" w:hAnsi="Arial"/>
                <w:sz w:val="14"/>
                <w:szCs w:val="14"/>
                <w:color w:val="0000FF"/>
              </w:rPr>
              <w:t>Principal Accountant Fees and Services</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95</w:t>
            </w:r>
          </w:p>
        </w:tc>
      </w:tr>
      <w:tr>
        <w:trPr>
          <w:trHeight w:val="208"/>
        </w:trPr>
        <w:tc>
          <w:tcPr>
            <w:tcW w:w="720" w:type="dxa"/>
            <w:vAlign w:val="bottom"/>
          </w:tcPr>
          <w:p>
            <w:pPr>
              <w:spacing w:after="0"/>
              <w:rPr>
                <w:sz w:val="18"/>
                <w:szCs w:val="18"/>
                <w:color w:val="auto"/>
              </w:rPr>
            </w:pPr>
          </w:p>
        </w:tc>
        <w:tc>
          <w:tcPr>
            <w:tcW w:w="8300" w:type="dxa"/>
            <w:vAlign w:val="bottom"/>
          </w:tcPr>
          <w:p>
            <w:pPr>
              <w:ind w:left="4640"/>
              <w:spacing w:after="0"/>
              <w:rPr>
                <w:sz w:val="20"/>
                <w:szCs w:val="20"/>
                <w:color w:val="auto"/>
              </w:rPr>
            </w:pPr>
            <w:r>
              <w:rPr>
                <w:rFonts w:ascii="Arial" w:cs="Arial" w:eastAsia="Arial" w:hAnsi="Arial"/>
                <w:sz w:val="14"/>
                <w:szCs w:val="14"/>
                <w:b w:val="1"/>
                <w:bCs w:val="1"/>
                <w:color w:val="00497F"/>
              </w:rPr>
              <w:t>PART IV</w:t>
            </w:r>
          </w:p>
        </w:tc>
        <w:tc>
          <w:tcPr>
            <w:tcW w:w="2220" w:type="dxa"/>
            <w:vAlign w:val="bottom"/>
          </w:tcPr>
          <w:p>
            <w:pPr>
              <w:spacing w:after="0"/>
              <w:rPr>
                <w:sz w:val="18"/>
                <w:szCs w:val="18"/>
                <w:color w:val="auto"/>
              </w:rPr>
            </w:pPr>
          </w:p>
        </w:tc>
      </w:tr>
      <w:tr>
        <w:trPr>
          <w:trHeight w:val="197"/>
        </w:trPr>
        <w:tc>
          <w:tcPr>
            <w:tcW w:w="720" w:type="dxa"/>
            <w:vAlign w:val="bottom"/>
          </w:tcPr>
          <w:p>
            <w:pPr>
              <w:ind w:left="20"/>
              <w:spacing w:after="0"/>
              <w:rPr>
                <w:sz w:val="20"/>
                <w:szCs w:val="20"/>
                <w:color w:val="auto"/>
              </w:rPr>
            </w:pPr>
            <w:r>
              <w:rPr>
                <w:rFonts w:ascii="Arial" w:cs="Arial" w:eastAsia="Arial" w:hAnsi="Arial"/>
                <w:sz w:val="14"/>
                <w:szCs w:val="14"/>
                <w:color w:val="0000FF"/>
              </w:rPr>
              <w:t>Item 15.</w:t>
            </w:r>
          </w:p>
        </w:tc>
        <w:tc>
          <w:tcPr>
            <w:tcW w:w="8300" w:type="dxa"/>
            <w:vAlign w:val="bottom"/>
          </w:tcPr>
          <w:p>
            <w:pPr>
              <w:ind w:left="160"/>
              <w:spacing w:after="0"/>
              <w:rPr>
                <w:sz w:val="20"/>
                <w:szCs w:val="20"/>
                <w:color w:val="auto"/>
              </w:rPr>
            </w:pPr>
            <w:r>
              <w:rPr>
                <w:rFonts w:ascii="Arial" w:cs="Arial" w:eastAsia="Arial" w:hAnsi="Arial"/>
                <w:sz w:val="14"/>
                <w:szCs w:val="14"/>
                <w:color w:val="0000FF"/>
              </w:rPr>
              <w:t>Exhibits</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16.</w:t>
            </w:r>
          </w:p>
        </w:tc>
        <w:tc>
          <w:tcPr>
            <w:tcW w:w="8300" w:type="dxa"/>
            <w:vAlign w:val="bottom"/>
          </w:tcPr>
          <w:p>
            <w:pPr>
              <w:ind w:left="160"/>
              <w:spacing w:after="0"/>
              <w:rPr>
                <w:sz w:val="20"/>
                <w:szCs w:val="20"/>
                <w:color w:val="auto"/>
              </w:rPr>
            </w:pPr>
            <w:r>
              <w:rPr>
                <w:rFonts w:ascii="Arial" w:cs="Arial" w:eastAsia="Arial" w:hAnsi="Arial"/>
                <w:sz w:val="14"/>
                <w:szCs w:val="14"/>
                <w:color w:val="0000FF"/>
              </w:rPr>
              <w:t>Form 10-K Summary</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97</w:t>
            </w:r>
          </w:p>
        </w:tc>
      </w:tr>
      <w:tr>
        <w:trPr>
          <w:trHeight w:val="203"/>
        </w:trPr>
        <w:tc>
          <w:tcPr>
            <w:tcW w:w="720" w:type="dxa"/>
            <w:vAlign w:val="bottom"/>
          </w:tcPr>
          <w:p>
            <w:pPr>
              <w:spacing w:after="0"/>
              <w:rPr>
                <w:sz w:val="17"/>
                <w:szCs w:val="17"/>
                <w:color w:val="auto"/>
              </w:rPr>
            </w:pPr>
          </w:p>
        </w:tc>
        <w:tc>
          <w:tcPr>
            <w:tcW w:w="8300" w:type="dxa"/>
            <w:vAlign w:val="bottom"/>
          </w:tcPr>
          <w:p>
            <w:pPr>
              <w:ind w:left="160"/>
              <w:spacing w:after="0"/>
              <w:rPr>
                <w:sz w:val="20"/>
                <w:szCs w:val="20"/>
                <w:color w:val="auto"/>
              </w:rPr>
            </w:pPr>
            <w:r>
              <w:rPr>
                <w:rFonts w:ascii="Arial" w:cs="Arial" w:eastAsia="Arial" w:hAnsi="Arial"/>
                <w:sz w:val="14"/>
                <w:szCs w:val="14"/>
                <w:color w:val="0000FF"/>
              </w:rPr>
              <w:t>Signatures</w:t>
            </w:r>
          </w:p>
        </w:tc>
        <w:tc>
          <w:tcPr>
            <w:tcW w:w="2220" w:type="dxa"/>
            <w:vAlign w:val="bottom"/>
          </w:tcPr>
          <w:p>
            <w:pPr>
              <w:jc w:val="right"/>
              <w:ind w:right="248"/>
              <w:spacing w:after="0"/>
              <w:rPr>
                <w:sz w:val="20"/>
                <w:szCs w:val="20"/>
                <w:color w:val="auto"/>
              </w:rPr>
            </w:pPr>
            <w:r>
              <w:rPr>
                <w:rFonts w:ascii="Arial" w:cs="Arial" w:eastAsia="Arial" w:hAnsi="Arial"/>
                <w:sz w:val="14"/>
                <w:szCs w:val="14"/>
                <w:color w:val="0000FF"/>
              </w:rPr>
              <w:t>97</w:t>
            </w:r>
          </w:p>
        </w:tc>
      </w:tr>
      <w:tr>
        <w:trPr>
          <w:trHeight w:val="918"/>
        </w:trPr>
        <w:tc>
          <w:tcPr>
            <w:tcW w:w="720" w:type="dxa"/>
            <w:vAlign w:val="bottom"/>
          </w:tcPr>
          <w:p>
            <w:pPr>
              <w:spacing w:after="0"/>
              <w:rPr>
                <w:sz w:val="24"/>
                <w:szCs w:val="24"/>
                <w:color w:val="auto"/>
              </w:rPr>
            </w:pPr>
          </w:p>
        </w:tc>
        <w:tc>
          <w:tcPr>
            <w:tcW w:w="8300" w:type="dxa"/>
            <w:vAlign w:val="bottom"/>
          </w:tcPr>
          <w:p>
            <w:pPr>
              <w:ind w:left="4860"/>
              <w:spacing w:after="0"/>
              <w:rPr>
                <w:sz w:val="20"/>
                <w:szCs w:val="20"/>
                <w:color w:val="auto"/>
              </w:rPr>
            </w:pPr>
            <w:r>
              <w:rPr>
                <w:rFonts w:ascii="Arial" w:cs="Arial" w:eastAsia="Arial" w:hAnsi="Arial"/>
                <w:sz w:val="14"/>
                <w:szCs w:val="14"/>
                <w:color w:val="auto"/>
              </w:rPr>
              <w:t>4</w:t>
            </w:r>
          </w:p>
        </w:tc>
        <w:tc>
          <w:tcPr>
            <w:tcW w:w="2220" w:type="dxa"/>
            <w:vAlign w:val="bottom"/>
          </w:tcPr>
          <w:p>
            <w:pPr>
              <w:spacing w:after="0"/>
              <w:rPr>
                <w:sz w:val="24"/>
                <w:szCs w:val="24"/>
                <w:color w:val="auto"/>
              </w:rPr>
            </w:pPr>
          </w:p>
        </w:tc>
      </w:tr>
      <w:tr>
        <w:trPr>
          <w:trHeight w:val="110"/>
        </w:trPr>
        <w:tc>
          <w:tcPr>
            <w:tcW w:w="720" w:type="dxa"/>
            <w:vAlign w:val="bottom"/>
            <w:tcBorders>
              <w:bottom w:val="single" w:sz="8" w:color="9A9A9A"/>
            </w:tcBorders>
          </w:tcPr>
          <w:p>
            <w:pPr>
              <w:spacing w:after="0"/>
              <w:rPr>
                <w:sz w:val="9"/>
                <w:szCs w:val="9"/>
                <w:color w:val="auto"/>
              </w:rPr>
            </w:pPr>
          </w:p>
        </w:tc>
        <w:tc>
          <w:tcPr>
            <w:tcW w:w="83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Item 1A. “Risk Factors” of this report. We believe that these factors include, but are not limited to:</w:t>
      </w:r>
    </w:p>
    <w:p>
      <w:pPr>
        <w:spacing w:after="0" w:line="265" w:lineRule="exact"/>
        <w:rPr>
          <w:sz w:val="20"/>
          <w:szCs w:val="20"/>
          <w:color w:val="auto"/>
        </w:rPr>
      </w:pPr>
    </w:p>
    <w:p>
      <w:pPr>
        <w:ind w:left="820" w:right="20" w:hanging="326"/>
        <w:spacing w:after="0" w:line="29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and any related responses or actions by businesses and governments;</w:t>
      </w:r>
    </w:p>
    <w:p>
      <w:pPr>
        <w:ind w:left="820" w:hanging="326"/>
        <w:spacing w:after="0" w:line="29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realize the anticipated benefits of our strategic initiatives;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or lessee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lessees;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industry;</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impact of trade disputes, including the imposition of new or increased tariffs, sanctions or other restrictions, and the legislative/regulatory environment and exposure to increased economic regulation;</w:t>
      </w:r>
    </w:p>
    <w:p>
      <w:pPr>
        <w:spacing w:after="0" w:line="7"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jc w:val="both"/>
        <w:ind w:left="820" w:hanging="326"/>
        <w:spacing w:after="0" w:line="275"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as amended (the “Investment Company Act”) and the Investment Advisers Act of 1940, as amended (the “Investment Advisers Act”) and the fact that maintaining such exemption imposes limits on our operations;</w:t>
      </w:r>
    </w:p>
    <w:p>
      <w:pPr>
        <w:spacing w:after="0" w:line="15"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72"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 w:name="page6"/>
    <w:bookmarkEnd w:id="5"/>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retain highly skilled management and other personnel;</w:t>
      </w:r>
    </w:p>
    <w:p>
      <w:pPr>
        <w:spacing w:after="0" w:line="59" w:lineRule="exact"/>
        <w:rPr>
          <w:rFonts w:ascii="Arial" w:cs="Arial" w:eastAsia="Arial" w:hAnsi="Arial"/>
          <w:sz w:val="16"/>
          <w:szCs w:val="16"/>
          <w:color w:val="auto"/>
        </w:rPr>
      </w:pPr>
    </w:p>
    <w:p>
      <w:pPr>
        <w:ind w:left="820" w:hanging="326"/>
        <w:spacing w:after="0" w:line="290" w:lineRule="auto"/>
        <w:tabs>
          <w:tab w:leader="none" w:pos="809"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relating to the Company entering into an Internalization Agreement (the “Internalization Agreement”) with FIG LLC (the “Former Manager”) and the impact on the Company’s management functions and business operations;</w:t>
      </w: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impacts from our past and future acquisitions, and our ability to successfully integrate acquired assets and assumed liabilities;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FTAI Aviation Ltd. (Nasdaq: FTAI) is, a Cayman Islands exempted company, except as otherwise specified, “we”, “us”, “our”, “FTAI”, “FTAI Aviation” or “the Company” refer to us and our consolidated subsidiaries.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own, lease and sell aviation equipment. We also develop and manufacture through a joint venture, and repair and sell, through our maintenance facilities and exclusivity arrangements, aftermarket components for aircraft engines. We target assets that, on a combined basis, generate strong cash flows with potential for earnings growth and asset appreciation. We believe that there is a large number of acquisition opportunities in our markets and that our expertise and business and financing relationships, together with our access to capital, will allow us to take advantage of these opportunities. As of December 31, 2024, we had total consolidated assets of $4.0 billion and total equity of $81.4 million.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2024, our operations consisted of Aviation Leasing and Aerospace Products. Our Aviation Leasing business acquires assets that are designed to carry cargo or people. Aviation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 Our Aerospace products business develops and manufactures, through a joint venture, and repairs and sells, through our maintenance facilities and exclusivity arrangements, aftermarket components for aircraft engines.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FTAI is the surviving parent company upon completion of the transactions completed in that certain Agreement and Plan of Merger (the “Merger”) on November 10, 2022 between Fortress Transportation and Infrastructure Investors LLC and FTAI Aviation Ltd. and certain other parties thereto.</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business has been, and will continue to be, conducted through FTAI Aviation Holdco Ltd. (“Holdco”) for the purpose of acquiring, managing and disposing of transportation and transportation-related equipment assets.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Strategy</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general, we seek to own a diverse mix of high-quality aviation assets and equipment that generate predictable cash flows in markets that we believe provide the potential for strong long-term growth and attractive returns on deployed capital. We believe that by investing in a diverse mix of assets, we can select from among the best risk-adjusted investment opportunities.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take a proactive investment approach by identifying key secular trends as they emerge and then pursuing what we believe are the most compelling opportunities.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as owners of aviation assets, we have access to more opportunities and can be a more attractive counterparty to the users of our assets. Our management has significant prior experience, as well as a network of industry relationships, that we believe positions us well to make successful acquisitions and to actively manage and improve operations and cash flows of our existing and newly-acquired assets. These relationships include senior executives at lessors and operators, end users of aviation assets, as well as banks, lenders and other asset owners.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December 30, 2024, we announced the launch of a Strategic Capital Initiative in collaboration with third-party institutional investors. The first partnership under the initiative (the “2025 Partnership”) will focus on acquiring 737NG and A320ceo aircraft.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6"/>
          <w:szCs w:val="16"/>
          <w:color w:val="auto"/>
        </w:rPr>
        <w:t>The Strategic Capital Initiative, and its related partnerships, will allow us to maintain an asset-light business model while the partnerships actively acquire on-lease narrowbody aircraft at scale. We have agreed that the 2025 Partnership, and follow-on partnerships, will be the primary buyer of all future on-lease 737NG and A320ceo aircraft. In addition, the 2025 Partnership has agreed to acquire 46 on-lease narrowbody aircraft from us for an estimated net purchase price of $549 million and has signed an agreement through which our MRE business will exclusively provide replacement aircraft engines and modules for the life of the partnership. We will provide aircraft management services to the 2025 Partnership, and the Company will receive customary, market-based compensation for providing such services. The Company has also committed to make a minority investment in the 2025 Partnership. We expect to provide aircraft management services to, and make minority investments in, future partnerships.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seek to acquire assets and businesses that we believe operate in sectors with long-term macroeconomic growth opportunities and that have significant cash flow and upside potential from earnings growth and asset appreciation.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approach markets and opportunities by first developing an asset acquisition strategy and then pursuing optimal opportunities within that strategy. In addition to relying on our own experience, we source new opportunities through our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attractive opportunities are identified, our Company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Company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Internalization of Management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28, 2024, the Company entered into definitive agreements with the Former Manager and Master GP to internalize the Company’s management function. As part of the termination of the Management Agreement, the Company (i) agreed to pay the Former Manager (for itself and on behalf of the Master GP, as applicable) $150.0 million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$ 30 thousand. Following the Internalization, the Company no longer pays management fees or incentive distributions to the Former Manager and Master GP.</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termination of the Management Agreement, the Company also entered into a Transition Services Agreement with the Former Manager. Under the Transition Services Agreement,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Please refer to Note 13 of our consolidated financial statements included in Item 8 in this Annual Report on Form 10-K for further details regarding our Affiliate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own and acquire high quality aviation equipment that is essential for the transportation of goods and people globally. We currently invest across two market sectors: aviation leasing and aerospace products. We target assets that, on a combined basis, generate strong and stable cash flows with the potential for earnings growth and asset appreciation.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Aviation Leasing</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in our Aviation Leasing segment, we own and manage 421 aviation assets, consisting of 109 commercial aircraft and 312 engines, including eight aircraft and seventeen engines that were still located in Russia.</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December 31, 2024, 94 of our commercial aircraft and 181 of our engines were leased to operators or other third parties. Aviation assets currently off lease are either undergoing repair and/or maintenance, being prepared to go on lease or held in short term storage awaiting a future lease. Our aviation equipment was approximately 76% utilized during the three months ended December 31, 2024, based on the percent of days on-lease in the quarter weighted by the monthly average equity value of our aviation leasing equipment, excluding airframes. Our aircraft currently have a weighted average remaining lease term of 47 months, and our engines currently on-lease have an average remaining lease term of 22 months. The table below provides additional information on the assets in our Aviation Leasing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574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32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360" w:type="dxa"/>
            <w:vAlign w:val="bottom"/>
            <w:shd w:val="clear" w:color="auto" w:fill="00497F"/>
          </w:tcPr>
          <w:p>
            <w:pPr>
              <w:ind w:left="44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1740" w:type="dxa"/>
            <w:vAlign w:val="bottom"/>
            <w:shd w:val="clear" w:color="auto" w:fill="00497F"/>
          </w:tcPr>
          <w:p>
            <w:pPr>
              <w:jc w:val="right"/>
              <w:ind w:right="6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2024</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r>
      <w:tr>
        <w:trPr>
          <w:trHeight w:val="198"/>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320" w:type="dxa"/>
            <w:vAlign w:val="bottom"/>
          </w:tcPr>
          <w:p>
            <w:pPr>
              <w:spacing w:after="0"/>
              <w:rPr>
                <w:sz w:val="17"/>
                <w:szCs w:val="17"/>
                <w:color w:val="auto"/>
              </w:rPr>
            </w:pPr>
          </w:p>
        </w:tc>
        <w:tc>
          <w:tcPr>
            <w:tcW w:w="188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3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Transfers</w:t>
            </w:r>
          </w:p>
        </w:tc>
        <w:tc>
          <w:tcPr>
            <w:tcW w:w="1320" w:type="dxa"/>
            <w:vAlign w:val="bottom"/>
          </w:tcPr>
          <w:p>
            <w:pPr>
              <w:spacing w:after="0"/>
              <w:rPr>
                <w:sz w:val="17"/>
                <w:szCs w:val="17"/>
                <w:color w:val="auto"/>
              </w:rPr>
            </w:pPr>
          </w:p>
        </w:tc>
        <w:tc>
          <w:tcPr>
            <w:tcW w:w="188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5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2024</w:t>
            </w:r>
          </w:p>
        </w:tc>
        <w:tc>
          <w:tcPr>
            <w:tcW w:w="13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r>
      <w:tr>
        <w:trPr>
          <w:trHeight w:val="25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62"/>
        </w:trPr>
        <w:tc>
          <w:tcPr>
            <w:tcW w:w="20" w:type="dxa"/>
            <w:vAlign w:val="bottom"/>
            <w:shd w:val="clear" w:color="auto" w:fill="CCEEFF"/>
          </w:tcPr>
          <w:p>
            <w:pPr>
              <w:spacing w:after="0"/>
              <w:rPr>
                <w:sz w:val="14"/>
                <w:szCs w:val="14"/>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2024</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267</w:t>
            </w:r>
          </w:p>
        </w:tc>
      </w:tr>
      <w:tr>
        <w:trPr>
          <w:trHeight w:val="203"/>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Sales</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3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5"/>
        </w:trPr>
        <w:tc>
          <w:tcPr>
            <w:tcW w:w="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2024</w:t>
            </w:r>
          </w:p>
        </w:tc>
        <w:tc>
          <w:tcPr>
            <w:tcW w:w="13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289</w:t>
            </w:r>
          </w:p>
        </w:tc>
        <w:tc>
          <w:tcPr>
            <w:tcW w:w="100" w:type="dxa"/>
            <w:vAlign w:val="bottom"/>
          </w:tcPr>
          <w:p>
            <w:pPr>
              <w:spacing w:after="0"/>
              <w:rPr>
                <w:sz w:val="16"/>
                <w:szCs w:val="16"/>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Products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Aerospace Products segment, through our maintenance facilities, equity method investment and exclusivity arrangements, develops and manufactures, repairs/refurbishes and sells aircraft engines and aftermarket components primarily for the CFM56-7B, CFM56-5B and V2500 commercial aircraft engines. Our engine, module and parts sales are facilitated through a dedicated commercial maintenance program, designed to focus on modular and parts repair and refurbishment of CFM56-7B and CFM56-5B engines. In addition, other serviceable used modules and parts are sold through our exclusive partnership, who is responsible for the teardown, repair, marketing and sales of parts from our CFM56 engine pool. We also hold a 25% interest in the Advanced Engine Repair JV which focuses on developing new cost savings programs for engine repairs.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actively manages and monitors our portfolios of assets on an ongoing basis, and in some cases engages third parties to assist with the management of those assets. Our Company frequently reviews the status of all of our assets, and in the case that any are returning from lease or undergoing repair, outlines our options, which may include the re-lease or sale of that asset. Our Company plays a central role in developing and executing operational, finance and business development strategies. On a periodic basis, our Company discusses the status of our acquired assets with our board of directors.</w:t>
      </w:r>
    </w:p>
    <w:p>
      <w:pPr>
        <w:spacing w:after="0" w:line="2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maintain relationships with operators worldwide and, through these relationships, hold direct conversations as to leasing needs and opportunities. Where helpful, we reach out to third parties who assist in leasing our assets. As an example, we partner with Maintenance, Repair and Overhaul (“MRO”) facilities in the aviation sector to lease engines and support airlines’ fleet management needs.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we expect to hold our assets for extended periods of time, we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0497F"/>
        </w:rPr>
        <w:t>Credit Process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the credit quality of our customers and lessees on an ongoing basis. This monitoring includes interacting with our customers and lessees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subject to concentrations of credit risk with respect to amounts due from customers and lessees. We attempt to limit credit risk by performing ongoing credit evaluations. See “Customers and Lessees.”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 and Lessees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customers and lessees primarily consist of global operators of transportation networks and global industrial companies, including airlines. We maintain ongoing relationships and discussions with our customers and lessees and seek to have consistent dialogue. In addition to helping us monitor the needs and quality of our customers and lessees, we believe these relationships help source additional opportunities and gain insight into attractive opportunities in the aviation sector. A substantial portion of our revenue has historically been derived from a small number of customers and lessees. As of and for the year ended December 31, 2024, no customer or lessee accounted for more than 10% of our revenue or total accounts receivable, net. We derive a significant percentage of our revenue within specific sectors from a limited number of customers and lessees. However, we do not think that we are dependent upon any particular customer or lessee, or that the loss of one or more of them would have a material adverse effect on our business or the relevant segment, because of our ability to re-lease or resell assets at similar terms following the loss of any such lessee or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business of acquiring, managing and marketing aviation assets is highly competitive. Market competition for acquisition opportunities includes traditional aviation companies, commercial and investment banks, as well as a growing number of non-traditional participants, such as hedge funds, private equity funds, and other private investors.</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and aircraft spare parts distributors.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Company’s experience in the aviation industry, in both leasing and maintenance and our access to capital provide a competitive advantage.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Governmental Regulations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aviation industry, including as a result of executive actions or policies, could limit the economic life of the assets we acquire or reduce their value, and also require us to make significant additional investments in order to maintain compliance.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part of our strategy, we are focused on supporting the transition to a low-carbon economy and aim to provide sustainable aviation solutions by leveraging our Company’s expertise and business and financing relationships, as well as our access to capital. Certain of our current sustainability solutions and investments are highlighted below, and we expect to continue to explore additional sustainability-related opportunities.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497F"/>
        </w:rPr>
        <w:t>Human Capital Management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had 580 full-time employees as of December 31, 2024. Approximately 68% of our workforce in Canada is covered by collective bargaining agreements. We have not encountered any significant union-related work stoppages and maintain satisfactory relationships with our employees and labor unions. We value our relationship with our employees and place significant emphasis on employee engagement. We have invested substantial time and resources in building our team. Our human capital management objectives include identifying, recruiting, retaining, incentivizing and integrating both existing and new employees. To attract and retain talent, we strive to create an inclusive and safe workplace, offering opportunities for career growth and development, supported by strong compensation and benefits programs.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leases generally require that our lessees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 See “Risks Related to Our Business-Our Strategic Capital Initiative involves certain risks which could adversely affect our business, prospects,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FTAI Aviation Ltd. is a Cayman Islands exempted company. Our principal executive offices are located at 415 West 13th Street, New York, New York 10014. FTAI Aviation Ltd. files annual, quarterly and current reports, proxy statements and other information required by the Exchange Act, with the SEC. Our SEC filings are available to the public from the SEC’s internet site at http://www.sec.gov.</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internet site is http://www.www.ftaiaviation.com.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Investors and others should note that we use our website to communicate with our investors and the public about the Company, and from time to time we may announce material information through our website. Therefore, we encourage investors, the media and others interested in the Company to monitor and review the information we make available on our website. Information on, or accessible through, our website is not a part of, and is not incorporated into,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Uncertainty relating to macroeconomic conditions, including those that affect the commercial aviation industry, may reduce the demand for our assets, result in non-performance of contracts by our lessees or charterers, limit our ability to obtain additional capital to finance new investments, or have other unforeseen negative effects.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aviation industry. As a provider of products and services to the commercial aviation industry, we are greatly affected by the overall economic conditions and other trends that affect our customers and lessees in that industry, including any projected market growth that may not materialize or be sustainable. The commercial aviation industry is historically cyclical and has been negatively affected in the past, and could be negatively affected in future periods, by geopolitical events, natural disasters, pandemics, supply chain disruptions, labor issues, environmental concerns (including climate change), lack of capital, cost inflation, and weak economic conditions. A number of governments have implemented, or are considering implementing, a broad variety of governmental actions or new regulations for the financial markets. In addition, limitations on the availability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jc w:val="both"/>
        <w:ind w:right="20"/>
        <w:spacing w:after="0" w:line="286" w:lineRule="auto"/>
        <w:rPr>
          <w:sz w:val="20"/>
          <w:szCs w:val="20"/>
          <w:color w:val="auto"/>
        </w:rPr>
      </w:pPr>
      <w:r>
        <w:rPr>
          <w:rFonts w:ascii="Arial" w:cs="Arial" w:eastAsia="Arial" w:hAnsi="Arial"/>
          <w:sz w:val="16"/>
          <w:szCs w:val="16"/>
          <w:color w:val="auto"/>
        </w:rPr>
        <w:t>capital, higher costs of capital for financing expenditures or the desire to preserve liquidity, may cause our current or prospective customers and lessees to make reductions in future capital budgets and spending.</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customers’ and lessees’ business, which may in turn result in a significant reduction in revenues, earnings and cash flows, difficulties accessing capital and a deterioration in the value of our assets. We have in the past been exposed to increased credit risk from our customers and lessees and third parties who have obligations to us, which resulted in non-performance of contracts by our customers and lessees and adversely impacted our business, financial condition, results of operations and cash flows. We cannot assure you that similar loss events may not occur in the future.</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Instability in geographies where we have assets or where we derive revenue could have a material adverse effect on our business, customers, lessees, operations and financial results.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In late February 2022, Russian military forces launched significant military action against Ukraine. The conflict remains ongoing and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7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 aviation industry has experienced periods of oversupply during which lease rates and asset values have declined, particularly during economic downturns, and any future oversupply could materially adversely affect our results of operations and cash flows.</w:t>
      </w:r>
    </w:p>
    <w:p>
      <w:pPr>
        <w:spacing w:after="0" w:line="4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oversupply of a specific asset is likely to depress lease rates for and the value of that type of asset and result in decreased utilization of our assets, and the aviation industry has experienced periods of oversupply during which rates and asset values have declined, particularly during economic downturns. Factors that could lead to such oversupply include, without limitation:</w:t>
      </w:r>
    </w:p>
    <w:p>
      <w:pPr>
        <w:spacing w:after="0" w:line="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restraints;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 and lessees;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 maintain, repair or exchange;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and other related factors are generally outside of our control and could lead to (i) persistence of, or increase in, the oversupply of the types of assets that we acquire, maintain, repair or exchange or (ii) decreased utilization of our assets, either of which could materially adversely affect our results of operations and cash flow.</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aviation industry is heavily regulated, and if we fail to comply with applicable requirements, our results of operations could suffer.</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Governmental agencies throughout the world, including the Federal Aviation Administration (“FAA”) and Transport Canada,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FAA and equivalent regulatory agencies in other jurisdictions in which we operate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6"/>
          <w:szCs w:val="16"/>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retirement or prolonged grounding of commercial aircraft could reduce our revenues and the value of any related inventory.</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lessees with whom we enter into leases or other contractual arrangements with lessees or customers. Inherent in the nature of the leases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or other contractual arrangements. In addition, when counterparties default, we may fail to recover all of our assets, and the assets we do recover may be returned in damaged condition or to locations where we will not be able to efficiently lease or sell them. In most cases, we maintain, or require our lessees to maintain, certain insurances to cover the risk of damages or loss of our assets. However, these insurance policies may not be sufficient to protect us against a loss.</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lessees pursuant to fixed-price contracts, and our lessees then seek to utilize those assets to transport goods and provide services. If the price at which our lessees receive for their transportation services decreases as a result of an oversupply in the marketplace, then our lessees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economic downturns, and any future oversupply could materially adversely affect our results of operations and cash flows.” Any default by a material customer or lessee would have a significant impact on our profitability at the time the customer or lessee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acquire a high concentration of CFM-56 and V2500 engines and related parts and our business, prospects, financial condition, results of operations and cash flows could be adversely affected by changes in market demand or problems specific to that asset or sector.</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acquire a high concentration of CFM-56 and V2500 engines and related parts and our business and financial results could be adversely affected by sector-specific or asset-specific factors. If the market demand for such engines and related parts declines, it is redesigned or replaced by its manufacturer or it experiences design or technical problems, the value and rates relating to such asset may decline, and we may be unable to lease or sell such engines or related parts on favorable terms, if at all. Any decrease in the value and rates of our assets may have a material adverse effect on our business, prospects,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markets for our products and services are highly competitive. Market competition for opportunities to acquire aviation assets includes traditional transportation companies, commercial and investment banks, as well as a growing number of non-traditional participants, such as hedge funds, private equity funds and other private investors.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Market competition for our Aerospace Products business includes aircraft manufacturers, aircraft component and parts manufacturers, airline and aircraft service companies, companies providing maintenance, repair and overhaul services and aircraft spare parts distributors and redistributors.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ind w:right="20"/>
        <w:spacing w:after="0" w:line="286" w:lineRule="auto"/>
        <w:rPr>
          <w:sz w:val="20"/>
          <w:szCs w:val="20"/>
          <w:color w:val="auto"/>
        </w:rPr>
      </w:pPr>
      <w:r>
        <w:rPr>
          <w:rFonts w:ascii="Arial" w:cs="Arial" w:eastAsia="Arial" w:hAnsi="Arial"/>
          <w:sz w:val="16"/>
          <w:szCs w:val="16"/>
          <w:color w:val="auto"/>
        </w:rPr>
        <w:t>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Aerospace Products segment is dependent upon our ability to manage our operational footprint.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currently perform maintenance, repair and exchange activities at our maintenance facilities. Our maintenance facilities could become unavailable either temporarily or permanently due to labor disruptions at any of our facilities or other circumstances that may be beyond our control, such as geopolitical developments or logistical complications arising from catastrophic and weather-related events.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Potential logistical complications resulting from circumstances beyond our control may include, but are not limited to, power loss, telecommunication and information systems failures, or other internal or external system or service failures, accidents or incidents arising from acts of war, terrorism, cyber-attacks, weather, global climate change, earthquakes, hurricanes, fires, floods, tornadoes, explosions or other natural disasters or pandemics, including public health crises.</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any of these events were to occur at or around any of our facilities, this could result in potential damage to physical assets and we may be unable to shift work to other facilities or to make up for lost work, which could result in a prolonged interruption of our business, significant delays in shipments of products, the loss of sales and customers and large expenses to repair or replace the facility or facilities. We may not have insurance to adequately compensate us for any of these events. If insurance or other risk transfer mechanisms, such as existing disaster recovery and business continuity plans, are insufficient to recover all costs, we could experience a material adverse effect on our business, prospects, financial condition, results of operations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of our assets are currently subject to liens under our third amended and restated revolving credit facility (the “Revolving Credit Facility”. In the event of a default under the Revolving Credit Facility,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2024, we had $3.4 billion of indebtedness outstanding. Our ability to make payments on our indebtedness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may present unforeseen obstacles or costs.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6"/>
          <w:szCs w:val="16"/>
          <w:color w:val="auto"/>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Strategic Capital Initiative involves certain risks which could adversely affect our business, prospects, financial condition, results of operations and cash flows.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December 30, 2024, we announced the launch of a Strategic Capital Initiative in collaboration with third-party institutional investors. The first partnership under the initiative (the “2025 Partnership”) will focus on acquiring 737NG and A320ceo aircraft. The Strategic Capital Initiative, and its related partnerships, will allow us to maintain an asset-light business model while the partnerships actively acquire on-lease narrowbody aircraft at scale. We have agreed that the 2025 Partnership, and follow-on partnerships, will be the primary buyer of on-lease 737NG and A320ceo aircraft. We will provide aircraft management services to the 2025 Partnership, and the Company will receive customary, market-based compensation for providing such services. The Company has also committed to make a minority investment in the 2025 Partnership. We expect to provide aircraft management services to, and make minority investments in, future partnerships. Our Strategic Capital Initiative is subject to certain risks, which include, but are not limited to:</w:t>
      </w:r>
    </w:p>
    <w:p>
      <w:pPr>
        <w:spacing w:after="0" w:line="66" w:lineRule="exact"/>
        <w:rPr>
          <w:sz w:val="20"/>
          <w:szCs w:val="20"/>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Difficult market conditions may adversely affect our Strategic Capital Initiative in many ways, including by negatively impacting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2025 Partnership and future partnerships’ ability to raise or deploy capital, lowering management fee income and incentive income, increasing the cost of financial instruments and executing transactions and adversely affecting the performance of the partnerships’ investments. In addition, market or idiosyncratic factors may make it difficult to raise new capital from investors into the Strategic Capital Initiative. Any of these circumstances could have a material adverse effect on our business, prospects, financial condition, results of operations and cash flows.</w:t>
      </w:r>
    </w:p>
    <w:p>
      <w:pPr>
        <w:spacing w:after="0" w:line="64"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Liquidity Risk</w:t>
      </w:r>
      <w:r>
        <w:rPr>
          <w:rFonts w:ascii="Arial" w:cs="Arial" w:eastAsia="Arial" w:hAnsi="Arial"/>
          <w:sz w:val="16"/>
          <w:szCs w:val="16"/>
          <w:color w:val="auto"/>
        </w:rPr>
        <w:t>. Our Strategic Capital Initiative may invest in relatively high-risk, illiquid assets and may fail to realize any profits from these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for a considerable period of time, if at all.</w:t>
      </w:r>
    </w:p>
    <w:p>
      <w:pPr>
        <w:spacing w:after="0" w:line="61" w:lineRule="exact"/>
        <w:rPr>
          <w:rFonts w:ascii="Arial" w:cs="Arial" w:eastAsia="Arial" w:hAnsi="Arial"/>
          <w:sz w:val="16"/>
          <w:szCs w:val="16"/>
          <w:color w:val="auto"/>
        </w:rPr>
      </w:pPr>
    </w:p>
    <w:p>
      <w:pPr>
        <w:jc w:val="both"/>
        <w:ind w:left="660" w:hanging="328"/>
        <w:spacing w:after="0" w:line="28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Valuation Risk</w:t>
      </w:r>
      <w:r>
        <w:rPr>
          <w:rFonts w:ascii="Arial" w:cs="Arial" w:eastAsia="Arial" w:hAnsi="Arial"/>
          <w:sz w:val="16"/>
          <w:szCs w:val="16"/>
          <w:color w:val="auto"/>
        </w:rPr>
        <w:t>. Valuation methodologies for certain assets held by our Strategic Capital Initiative are subject to significant subjectivity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established pursuant to such methodologies may never be realized, which could result in significant losses from our Strategic Capital Initiative.</w:t>
      </w:r>
    </w:p>
    <w:p>
      <w:pPr>
        <w:spacing w:after="0" w:line="248"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Key Personnel Risk</w:t>
      </w:r>
      <w:r>
        <w:rPr>
          <w:rFonts w:ascii="Arial" w:cs="Arial" w:eastAsia="Arial" w:hAnsi="Arial"/>
          <w:sz w:val="16"/>
          <w:szCs w:val="16"/>
          <w:color w:val="auto"/>
        </w:rPr>
        <w:t>. Our business and financial condition may be materially adversely impacted by the loss of any of the key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involved in our Strategic Capital Initiative. Our ability to retain and attract investment professionals is critical to the success and growth of our Strategic Capital Initiative. In addition, evaluating transactions for our Strategic Capital Initiative may divert the time and attention of our management from other parts of our business.</w:t>
      </w:r>
    </w:p>
    <w:p>
      <w:pPr>
        <w:spacing w:after="0" w:line="78"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Litigation Risk</w:t>
      </w:r>
      <w:r>
        <w:rPr>
          <w:rFonts w:ascii="Arial" w:cs="Arial" w:eastAsia="Arial" w:hAnsi="Arial"/>
          <w:sz w:val="16"/>
          <w:szCs w:val="16"/>
          <w:color w:val="auto"/>
        </w:rPr>
        <w:t>. One of our subsidiaries is the general partner of the 2025 Partnership and we expect to serve as general partner of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partnerships. As general partner, we may be subject to the risk of litigation by third parties, including investors in our Strategic Capital Initiative dissatisfied with our management of the Strategic Capital Initiative or the performance thereof.</w:t>
      </w:r>
    </w:p>
    <w:p>
      <w:pPr>
        <w:spacing w:after="0" w:line="76"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Allocation and Conflicts of Interest Risk</w:t>
      </w:r>
      <w:r>
        <w:rPr>
          <w:rFonts w:ascii="Arial" w:cs="Arial" w:eastAsia="Arial" w:hAnsi="Arial"/>
          <w:sz w:val="16"/>
          <w:szCs w:val="16"/>
          <w:color w:val="auto"/>
        </w:rPr>
        <w:t>. We have agreed that the 2025 Partnership, and follow-on partnerships, will be the primary buyer of on-lease 737NG and A320ceo aircraft. In the future, we may agree to allocate buying opportunities for certain assets to other partnerships. In addition, 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w:t>
      </w:r>
    </w:p>
    <w:p>
      <w:pPr>
        <w:spacing w:after="0" w:line="68"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Leverage Risk</w:t>
      </w:r>
      <w:r>
        <w:rPr>
          <w:rFonts w:ascii="Arial" w:cs="Arial" w:eastAsia="Arial" w:hAnsi="Arial"/>
          <w:sz w:val="16"/>
          <w:szCs w:val="16"/>
          <w:color w:val="auto"/>
        </w:rPr>
        <w:t>. Our Strategic Capital Initiative expects to use leverage in investments, which could materially adversely affect its ability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positive rates of return on those investments. The use of leverage poses a significant degree of risk, including by significantly increasing the risk of loss associated with leveraged investments that decline in value, and enhances the possibility of a significant loss in the value of the investments made by our Strategic Capital Initiative.</w:t>
      </w:r>
    </w:p>
    <w:p>
      <w:pPr>
        <w:spacing w:after="0" w:line="78"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of loss related to our investment</w:t>
      </w:r>
      <w:r>
        <w:rPr>
          <w:rFonts w:ascii="Arial" w:cs="Arial" w:eastAsia="Arial" w:hAnsi="Arial"/>
          <w:sz w:val="16"/>
          <w:szCs w:val="16"/>
          <w:color w:val="auto"/>
        </w:rPr>
        <w:t>. We agreed to make a minority investments in the 2025 Partnership and expect to make minority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future partnerships. Our investment is subject to the risk of loss if the 2025 Partnership and future partnership do not perform well. In addition, we will receive management and incentive fees for the services we provide to the 2025 Partnership and expect to perform for future partnerships. If the 2025 Partnership and future partnerships are not successful, that will have an adverse affect on our results of operations and cash flows.</w:t>
      </w:r>
    </w:p>
    <w:p>
      <w:pPr>
        <w:spacing w:after="0" w:line="276"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Regulatory Risk</w:t>
      </w:r>
      <w:r>
        <w:rPr>
          <w:rFonts w:ascii="Arial" w:cs="Arial" w:eastAsia="Arial" w:hAnsi="Arial"/>
          <w:sz w:val="16"/>
          <w:szCs w:val="16"/>
          <w:color w:val="auto"/>
        </w:rPr>
        <w:t>. Tariffs, sanctions and other restrictions imposed by the U.S. government, and the potential for further regulatory changes, may</w:t>
      </w:r>
      <w:r>
        <w:rPr>
          <w:rFonts w:ascii="Arial" w:cs="Arial" w:eastAsia="Arial" w:hAnsi="Arial"/>
          <w:sz w:val="16"/>
          <w:szCs w:val="16"/>
          <w:i w:val="1"/>
          <w:iCs w:val="1"/>
          <w:color w:val="auto"/>
        </w:rPr>
        <w:t xml:space="preserve"> </w:t>
      </w:r>
      <w:r>
        <w:rPr>
          <w:rFonts w:ascii="Arial" w:cs="Arial" w:eastAsia="Arial" w:hAnsi="Arial"/>
          <w:sz w:val="16"/>
          <w:szCs w:val="16"/>
          <w:color w:val="auto"/>
        </w:rPr>
        <w:t>create regulatory uncertainty and adversely affect the investment strategies and the profitability of the 2025 Partnership and future partnerships. In addition, changes in laws or regulations could affect our ability to continue to execute on our Strategic Capital Initiative in a manner that does not require us or any of our subsidiaries to register as an investment company under the Investment Company Act or as an investment adviser under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Diligence Risk</w:t>
      </w:r>
      <w:r>
        <w:rPr>
          <w:rFonts w:ascii="Arial" w:cs="Arial" w:eastAsia="Arial" w:hAnsi="Arial"/>
          <w:sz w:val="16"/>
          <w:szCs w:val="16"/>
          <w:color w:val="auto"/>
        </w:rPr>
        <w:t>. The due diligence process that our Strategic Capital Initiative undertakes in connection with its investments may not reveal all facts</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be relevant in connection with making an investment.</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Hedging and Risk Management</w:t>
      </w:r>
      <w:r>
        <w:rPr>
          <w:rFonts w:ascii="Arial" w:cs="Arial" w:eastAsia="Arial" w:hAnsi="Arial"/>
          <w:sz w:val="16"/>
          <w:szCs w:val="16"/>
          <w:color w:val="auto"/>
        </w:rPr>
        <w:t>. Risk management activities may materially adversely affect the return on our Strategic Capital Initiative’s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When managing our Strategic Capital Initiative’s exposure to market risks, we may from time to time use hedging strategies, and if our risk management processes and systems are ineffective, we may be exposed to material unanticipated losses.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partnerships in our Strategic Capital Initiative and its investments may be subject to numerous additional risks, which we may not be able to foresee or anticipate. Many of these factors are outside of our control and any one of them could result in a material adverse effect on our business, prospects, financial condition,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as manufacturers introduce technological innovations and new types of aircraft and engines, our engines and related parts could become less desirable to potential lessees and maintenance and repair customers. Such technological innovations may increase the rate of obsolescence of existing aircraft and our engines faster than currently anticipated by us. It could also adversely affect the performance of our maintenance facilities if they are not able to perform the required maintenance and repairs or necessitate us to invest significant capital to upgrade our facilities. In addition, the imposition of increased regulation regarding stringent noise or emissions restrictions may make some of our aircraft and engines less desirable and less valuable in the marketplace. Any of these risks may adversely affect our ability to lease or sell our aircraft, engines and related parts and conduct maintenance, repair and exchanges on favorable terms, if at all, which could materially adversely affect our operating results and growth prospects.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obtain certain components from suppliers could harm our business.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is affected by the availability and price of the component parts that we use to maintain or repair our engines or for our partners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such as tariffs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Transitions to new suppliers may lead to significant costs and delays, particularly due to the recertification of newly supplied parts, as required by our customers, lessees, and/or regulatory agencies. Our inability to fill our supply needs could jeopardize our ability to fulfill obligations under contracts, which could result in reduced revenues and profits, contract penalties or terminations, and damage to lessee and customer relationships. Further, increased costs of such components could reduce our profits if we were unable to pass along such price in-creases to our customers and lessees.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Governments, investors, customers, lessees,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auto"/>
        </w:rPr>
        <w:t>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to meet their obligations to perform required scheduled maintenance or our inability to maintain our assets could materially adversely affect our business, prospects, financial condition, results of operations and cash flows.</w:t>
      </w:r>
    </w:p>
    <w:p>
      <w:pPr>
        <w:spacing w:after="0" w:line="6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customers and lessees operate in highly regulated industries and changes in laws or regulations, including laws with respect to international trade, may adversely affect our ability to lease or sell our assets.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customers and lessees operate in highly regulated industries such as aviation. A number of our contractual arrangements - for example, our leasing aircraft engines to third-party operators-require the operator (our lessee) to obtain specific governmental or regulatory licenses, consents or approvals. These include consents for certain payments under such arrangements and for the export, import or re-export of the related assets. Failure by our lessee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lessees, our business, prospects, financial condition, results of operations and cash flows may be materially adversely affected.</w:t>
      </w:r>
    </w:p>
    <w:p>
      <w:pPr>
        <w:spacing w:after="0" w:line="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renew or obtain new or favorable leases, which could adversely affect our business, prospects, financial condition, results of operations and cash flows.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ability to renew existing leases or obtain new leases will also depend on prevailing market conditions, and upon expiration of the contracts governing the leasing of the applicable assets, we may be exposed to increased volatility in terms of rates and contract provisions. For example, our lessees may reduce their activity levels or seek to terminate or renegotiate their leases with us. If we are not able to renew or obtain new leases in direct continuation, or if new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customers and lessees operate in various regions throughout the world. As a result, we may, directly or indirectly, be exposed to political and other uncertainties, including risks of:</w:t>
      </w:r>
    </w:p>
    <w:p>
      <w:pPr>
        <w:spacing w:after="0" w:line="4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Any of these or other risks could adversely impact our customers’ and lessees’ international operations which could materially adversely impact our operating results and growth opportunities.</w:t>
      </w:r>
    </w:p>
    <w:p>
      <w:pPr>
        <w:spacing w:after="0" w:line="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in such countries, or the ability of our lessees, which operate in these markets, to meet their contractual obligations. As a result, lessees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jc w:val="both"/>
        <w:spacing w:after="0" w:line="294" w:lineRule="auto"/>
        <w:rPr>
          <w:sz w:val="20"/>
          <w:szCs w:val="20"/>
          <w:color w:val="auto"/>
        </w:rPr>
      </w:pPr>
      <w:r>
        <w:rPr>
          <w:rFonts w:ascii="Arial" w:cs="Arial" w:eastAsia="Arial" w:hAnsi="Arial"/>
          <w:sz w:val="16"/>
          <w:szCs w:val="16"/>
          <w:b w:val="1"/>
          <w:bCs w:val="1"/>
          <w:i w:val="1"/>
          <w:iCs w:val="1"/>
          <w:color w:val="auto"/>
        </w:rPr>
        <w:t>Implementing new or expanded platforms, products and services and keeping pace with technological or process developments in our industries may require significant capital and operational risk.</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commercial and business aviation industries are constantly undergoing development and change, and it is likely that new products, platforms, equipment, digital tools and methods which are more advanced, will be introduced in the future. We may need to make significant expenditures to fund and implement new or expanded platforms and purchase new equipment.</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New or expanded platforms with new technologies typically carry risks associated with design responsibility, development of new production tools, hiring and training of qualified personnel, increased capital and funding commitments, ability to meet customer specifications, delivery schedules and unique contractual requirements, supplier performance, subcontractor performance, ability of the lessee to meet its contractual obligations to us, and our ability to accurately estimate costs associated with such platforms. We may face financial risks in connection with new or expanded platforms or technologies if we are not able to reduce the costs of these products over time, through experience and other measures, including the introduction of new designs, technologies, manufacturing methods and suppliers. In addition, any new or expanded platform may not generate sufficient demand or may experience technological problems or significant delays in the regulatory certification or manufacturing and delivery schedule. If we were unable to perform our obligations under new or expanded platforms to the customer’s satisfaction or expectations or manufacture products at our estimated costs, if we were to experience unexpected fluctuations in raw material prices or other fluctuations in supplier costs leading to cost overruns, if we were unable to successfully perform under revised design and manufacturing plans or successfully and equitably resolve claims and assertions, or if a new or expanded platform in which we had made a significant investment was terminated or experienced weak demand, delays or technological problems, our business, financial condition and results of operations could be adversely affected. This risk includes the potential for default, quality problems or failure to meet contractual requirements and could result in low margin or forward loss contracts, and the risk of having to write-off inventory or contract assets if they were deemed to be unrecoverable over the life of the platform. In addition, beginning new work on existing platforms carries risks associated with the transfer of technology, knowledge and tooling. Any of the foregoing risks or expenditures could adversely affect our business, results of operations and financial condition.</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perform on new or expanded platforms, we may be required to construct or acquire new facilities, requiring additional up-front investment costs. In the case of significant platform delays and/or platform cancellations, we could be required to bear certain unrecoverable construction and maintenance costs and incur potential impairment charges for the new facilities. We also may need to expend additional resources to determine an alternate revenue generating use for the facilities. Likewise, significant delays in the construction or acquisition of a plant site could impact production schedules.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we may need to make significant expenditures to keep pace with new technological or process developments in our industries. Technological development and expenditures pose a number of challenges and risks, including the following:</w:t>
      </w:r>
    </w:p>
    <w:p>
      <w:pPr>
        <w:spacing w:after="0" w:line="33" w:lineRule="exact"/>
        <w:rPr>
          <w:sz w:val="20"/>
          <w:szCs w:val="20"/>
          <w:color w:val="auto"/>
        </w:rPr>
      </w:pPr>
    </w:p>
    <w:p>
      <w:pPr>
        <w:ind w:left="66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successfully protect the proprietary interests we have in our aftermarket services and component and accessory repair processes;</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need to expend significant capital to (i) purchase new equipment and machines, (ii) train employees in new methods of servicing engines, components or parts and (iii) fund the research and development of new platforms; 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development by our competitors of patents or methodologies that preclude us from providing aftermarket services could adversely affect our business, financial condition and results of operations.</w:t>
      </w:r>
    </w:p>
    <w:p>
      <w:pPr>
        <w:spacing w:after="0" w:line="6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addition, we may not be able to successfully develop new products, equipment or methods of repair and overhaul service, and the failure to do so could adversely affect our business, financial condition and results of operations.</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agreements governing our indebtedness, including, but not limited to, the indentures governing our senior unsecured notes due 2028, 2030, 2031, 2032 and 2033 (“Senior Notes”) and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56"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color w:val="auto"/>
        </w:rPr>
        <w:t>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realize some or all of the targeted benefits of the Internalization.</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the Internalization, we entered into a Transition Services Agreement with the Former Manager. Under the Transition Services Agreement, the Former Manager is required to continue to provide the Company and its affiliates with certain Services for a transition period during which the Company will procure replacements for the Services. The Services are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is required to use commercially reasonable efforts to make available to the Former Manager certain employees of the Company who were previously employees of the Former Manager to provide the Reverse Services, subject to certain exceptions.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 The failure to effectively complete the transition of these services to a fully internal basis, efficiently manage the transition with the Former Manager or find adequate internal replacements for these services, could impede our ability to achieve the targeted cost savings of the Internalization and adversely affect our operations. In addition, complexities arising from the Internalization could increase our overhead costs and detract from management’s ability to focus on operating our business. There can be no assurance we will be able to realize the expected cost savings of the Internalization.</w:t>
      </w:r>
    </w:p>
    <w:p>
      <w:pPr>
        <w:spacing w:after="0" w:line="271"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b w:val="1"/>
          <w:bCs w:val="1"/>
          <w:i w:val="1"/>
          <w:iCs w:val="1"/>
          <w:color w:val="auto"/>
        </w:rPr>
        <w:t>We are reliant on certain transition services provided by the Former Manager under the Transition Services Agreement, and may not find a suitable provider for these transition services if the Former Manager no longer provides the transition services to which we are entitled under the Transition Services Agreement.</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remain reliant on the Former Manager during the period of the Transition Services Agreement, and the loss of these transition services could adversely affect our operations. We are subject to the risk that the Former Manager will default on its obligation to provide the transition services to which we are entitled under the Transition Services Agreement, or that we or the Former Manager will terminate the Transition Services Agreement pursuant to its termination provisions, and that we will not be able to find a suitable replacement for the transition services provided under the Transition Services Agreement in a timely manner, at a reasonable cost or at all. In addition, the Former Manager’s liability to us if it defaults on its obligation to provide transition services to us during the transition period is limited by the terms of the Transition Services Agreement, and we may not recover the full cost of any losses related to such a default. We may also be adversely affected by operational risks, including cybersecurity attacks, that could disrupt the Former Manager’s financial, accounting and other data processing systems during the period of the transition services.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and lessees operate. In addition, terrorist attacks or hostilities may directly impact airports or aircraft or our physical facilities or those of our lessees.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lessee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Projects in the aerospace products and services sector are exposed to a variety of unplanned interruptions which could cause our results of operations to suffer.</w:t>
      </w:r>
    </w:p>
    <w:p>
      <w:pPr>
        <w:spacing w:after="0" w:line="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insurance policies. Although we believe that we are adequately insured against these types of events, no assurance can be given that the occurrence of any such event will not materially adversely affect us.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leases typically require payments in U.S. dollars, but many of our lessees operate in other currencies; if foreign currencies devalue against the U.S. dollar, our lessees may be unable to meet their payment obligations to us in a timely manner.</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current leases typically require that payments be made in U.S. dollars. If the currency that our lessees typically use in operating their businesses devalues against the U.S. dollar, our lessees could encounter difficulties in making payments to us in U.S. dollars. Furthermore, many foreign countries have currency and exchange laws regulating international payments that may impede or prevent payments from being paid to us in U.S. dollars. Future leases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1"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or as an investment adviser under the Investment Advisers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In addition, there also is an increasing number of state-level anti-ESG initiatives in the U.S. that may conflict with other regulatory requirements, resulting in regulatory uncertainty. While we typically maintain liability insurance coverage and typically require our lessees to provide us with indemnity against certain losses, the insurance coverage is subject to large deductibles, limits on maximum coverage and significant exclusions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spacing w:after="0" w:line="265" w:lineRule="auto"/>
        <w:rPr>
          <w:sz w:val="20"/>
          <w:szCs w:val="20"/>
          <w:color w:val="auto"/>
        </w:rPr>
      </w:pPr>
      <w:r>
        <w:rPr>
          <w:rFonts w:ascii="Arial" w:cs="Arial" w:eastAsia="Arial" w:hAnsi="Arial"/>
          <w:sz w:val="16"/>
          <w:szCs w:val="16"/>
          <w:color w:val="auto"/>
        </w:rPr>
        <w:t>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If we are deemed an “investment adviser” under the Investment Advisers Act, it could have a material adverse effect on our business, prospects, financial condition, results of operations and cash flows.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adviser under the Investment Advisers Act. If we or one or more of our subsidiaries registers as an investment adviser under the Investment Advisers Act, we will become subject to various requirements under the Investment Advisers Act, such as fiduciary duties to clients, anti-fraud provisions, substantive prohibitions and requirements, contractual and record-keeping requirements and administrative oversight by the SEC (primarily by inspection). In addition, if we or one or more of our subsidiaries registers as an investment adviser under the Investment Advisers Act, we will be required to continually address potential conflicts between our interests and those of our clients. It is possible that actual, potential or perceived conflicts of interest could give rise to investor dissatisfaction, litigation or regulatory enforcement actions. If we or any of our subsidiaries are deemed to be out of compliance with any such rules and regulations, we may be subject to civil liability, criminal liability and/or regulatory sanctions, which could have a material adverse effect on our business, prospects, financial condition, results of operations and cash flows.</w:t>
      </w:r>
    </w:p>
    <w:p>
      <w:pPr>
        <w:spacing w:after="0" w:line="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16"/>
          <w:szCs w:val="16"/>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Company may be a passive foreign investment company (“PFIC”) and it could be a controlled foreign corporation (“CFC”) for U.S. federal income tax purposes, which may result in adverse tax considerations for U.S. shareholders.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The Company may be treated as a PFIC for the taxable year ended December 31, 2024, or for any subsequent taxable year, and we believe it was treated as a PFIC in the taxable years ended December 31, 2022, and December 31, 2023 (collectively, the “PFIC years”). In addition, it could be treated as a CFC for U.S. federal income tax purposes for any given taxable year.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These rules generally continue to apply to each shareholder who held our shares during the PFIC years even if the Company is not treated as a PFIC for any subsequent taxable year.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in which the Company is treated as a PFIC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 </w:t>
      </w:r>
      <w:r>
        <w:rPr>
          <w:rFonts w:ascii="Arial" w:cs="Arial" w:eastAsia="Arial" w:hAnsi="Arial"/>
          <w:sz w:val="16"/>
          <w:szCs w:val="16"/>
          <w:i w:val="1"/>
          <w:iCs w:val="1"/>
          <w:color w:val="auto"/>
        </w:rPr>
        <w:t xml:space="preserve">“U.S. Federal Income Tax Considerations —Considerations for U.S. Holders—PFIC Status and Related Tax Considerations.” </w:t>
      </w:r>
      <w:r>
        <w:rPr>
          <w:rFonts w:ascii="Arial" w:cs="Arial" w:eastAsia="Arial" w:hAnsi="Arial"/>
          <w:sz w:val="16"/>
          <w:szCs w:val="16"/>
          <w:color w:val="auto"/>
        </w:rPr>
        <w:t>The Company intends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information to shareholders regarding its PFIC status for the taxable year ended December 31, 2024, once determination has been made.</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Investors should consult their tax advisors regarding the potential impact of these rules on their investment in us.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16"/>
          <w:szCs w:val="16"/>
          <w:color w:val="auto"/>
        </w:rPr>
        <w:t>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spacing w:after="0" w:line="28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or our subsidiaries may become subject to increased and/or unanticipated tax liabilities that may have a material adverse effect on our results of operations.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Numerous countries, including European Union member states, have enacted or are expected to enact minimum tax legislation, and other countries may enact such legislation in the future. Additionally, On December 27, 2023, Bermuda enacted a corporate tax regime with a 15% rate (the “Bermuda CIT”) and with requirements similar to those of the OECD’s minimum tax proposal. The Bermuda CIT is effective for tax years beginning on or after January 1, 2025 (see footnote 12 to our consolidated financial statements entitled “Income Taxes” included elsewhere in this Annual Report). As a result of these developments, the tax laws of certain countries in which we and our affiliates do business are expected to change (and could change on a retroactive basis) and certain of such changes are expected to increase our liabilities for taxes (and possibly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market price and trading volume of our ordinary and preferred shares may be volatile, which could result in rapid and substantial losses for our shareholders.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64"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failure of securities analysts to cover our ordinary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Short sellers have and may in the future engage in activity intended to drive down the market price of our ordinary shares, which could in the future result in related governmental and regulatory scrutiny, among other effects.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momentum. Short selling reports can cause increased volatility in an issuer’s share price and result in regulatory and governmental inquiries. For example, in January 2025, several short seller reports were published which contained certain allegations against the Company (the “Short Seller Reports”). In response to the Short Seller Reports, the Audit Committee of our board of directors completed an internal investigation with the assistance of outside counsel and forensic accountants into the allegations in the Short Seller Reports. The internal investigation concluded that the allegations of misconduct in the Shore Seller Reports were all without merit. Any future inquiries or investigations conducted by a governmental organization or other regulatory body, or any future internal investigation could result in a material diversion of our management’s time and result in substantial cost and, in the event of an adverse finding, could have a material adverse effect on our business, prospects, financial condition, results of operations and cash flows. In addition, any perceived or actual failure by us to comply with applicable laws, rules, regulations, and standards could have a significant impact on our reputation and expose us to legal risk and potential criminal and civil liability.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Your percentage ownership in FTAI Aviation Ltd. may be diluted in the future because of equity awards that we expect will be granted to our directors, officers and employees, as well as other equity instruments such as debt and equity financing.</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the Former Manager, to the directors, officers, employees, service providers, consultants and advisors of the Former Manager who performed services for us, and to our directors, officers, employees, service providers, consultants and advisors. We initially reserved 30,000,000 ordinary shares for issuance under the Incentive Plan. As of December 31, 2024, rights relating to 112,343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ordinary shares could adversely affect the market price of our ordinary shares.</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Articles could delay or prevent a change in control.</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1C. Cybersecurity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 Management and Strategy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cybersecurity is overseen by the Chief Executive Officer, who receives reports directly from other officers and individuals who perform services for the Company, including, but not limited to, the Former Manager’s Information Security Steering Committee (“ISSC”), employing a risk-based methodology designed to safeguard the security, confidentiality, integrity, and availability of its information. The ISSC is tasked with developing an effective cyber strategy, establishing policies, and managing cyber risks within the organization. The Former Manager’s Chief Financial Officer and General Counsel, along with the Chief Operating Officer, Chief Human Resources Officer, Chief Compliance Officer, Chief Technology Officer, Chief Information Security Officer and Chief of Intelligence collaborate with officers and individuals at the Company to formulate, implement, and enforce these policies. They help ensure that the ISSC considers best practices in its decision-making, and convenes quarterly or as needed to assess cybersecurity issues and supervise matters related to information security, fraud, vendors, data protection, and privacy risks. The Former Manager’s Chief Technology Officer and Chief Information Security Officer have extensive knowledge and skills, and collectively bring decades of experience in the cybersecurity industry.</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help identify and assess risks, we and our Former Manager engage third-party advisors, leveraging standards such as the National Institute of Standards and Technology security framework (“NIST”). The results of these assessments inform the development of cybersecurity controls and risk mitigation strategies, which are then implemented throughout the Company.</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taken proactive measures intended to minimize the likelihood of successful cyberattacks, including the establishment of incident response procedures designed to address potential cyber threats that may arise. These response procedures are structured with the aim to identify, analyze, contain, and remediate any cyber incidents that occur. We also have risk management processes to oversee and help identify risks from cybersecurity threats associated with our use of third-party providers.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date, cybersecurity threats, including as a result of any previous cybersecurity incidents, have not materially affected and we believe are not reasonably likely to affect the Company, including its business strategy, results of operations or financial condition. Refer to the risk factor captioned “A cyberattack that bypasses our information technology (“IT”), security systems or the IT security systems of our third-party providers, causing an IT security breach, may lead to a disruption of our IT systems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6" w:name="page27"/>
    <w:bookmarkEnd w:id="26"/>
    <w:p>
      <w:pPr>
        <w:jc w:val="both"/>
        <w:ind w:right="20"/>
        <w:spacing w:after="0" w:line="286" w:lineRule="auto"/>
        <w:rPr>
          <w:sz w:val="20"/>
          <w:szCs w:val="20"/>
          <w:color w:val="auto"/>
        </w:rPr>
      </w:pPr>
      <w:r>
        <w:rPr>
          <w:rFonts w:ascii="Arial" w:cs="Arial" w:eastAsia="Arial" w:hAnsi="Arial"/>
          <w:sz w:val="16"/>
          <w:szCs w:val="16"/>
          <w:color w:val="auto"/>
        </w:rPr>
        <w:t>the loss of business information which may hinder our ability to conduct our business effectively and may result in lost revenues and additional costs.” in Part I, Item 1A. “Risk Factors” for additional description of cybersecurity risks and potential related impacts on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Governance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Material risks are identified and prioritized by management, and material risks are discussed periodically or as needed with the Board of Directors. The Board of Directors regularly reviews information regarding the Company’s credit, liquidity and operations, including risks and contingencies associated with each area, including cybersecurity. In addition to the formal compliance program, the Board of Directors encourages management to promote a corporate culture that incorporates risk management into the Company’s corporate strategy and day-to-day business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lease space for our offices in New York, Florida, Dubai, Ireland, Singapore and Wales, respectively, and we own and/or lease maintenance facilities in Florida and Canada for our Aerospace Products business. We believe that our office facilities and properties are suitable and adequate for our business as it is contemplated to be conducted.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left="53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ordinary shares are listed on The Nasdaq Global Select Market under the ticker symbol “FTAI”. As of February 26, 2025, there were approximately 6 record holders of our ordinary shares. This figure does not reflect the beneficial ownership of shares held in nominee name.</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we currently intend to continue to pay regular quarterly dividends to holders of our ordinary shares, we may change our dividend policy at any time and no assurances can be given that any future dividends will be paid or, if paid, as to the amounts or timing. The declaration and payment of dividends 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our existing indebtedness does, and our future indebtedness may, limit our ability to pay dividends on our ordinary and preferred shares.</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26, 2025, our Board of Directors declared a cash dividend on our ordinary shares of $0.30 per share for the quarter ended December 31, 2024, payable on March 24, 2025 to the holders of record on March 14, 2025.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2015, in connection with our IPO, we established a Nonqualified Stock Option and Incentive Award Plan (“Incentive Plan”) referred to then as the Fortress Transportation and Infrastructure Investors LLC Nonqualified Stock Option and Incentive Award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On November 10, 2022, in connection with the Merger, the Incentive Plan was assumed by FTAI Aviation Ltd. and renamed the FTAI Aviation Ltd. Nonqualified Stock Option and Incentive Award Plan, and on February 23, 2023, the Incentive Plan was amended to provide for the ability to award equity compensation awards in the form of restricted stock units in addition to the other forms of award described above. As of December 31, 2024, the Incentive Plan provides for the issuance of up to 28.3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00497F"/>
        </w:rPr>
        <w:t>Performance Graph</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following graph compares the cumulative total return for our ordinary shares (share price change plus reinvested dividends) with the comparable return of the following indices: S&amp;P Mid Cap 400, Russell 2000 and Dow Jones US Aerospace. We replaced the Dow Jones US Transportation Services Index with the Dow Jones US Aerospace Index for purposes of the stock performance graph, as we believe this index is a more relevant benchmark to measure our performance and the Dow Jones US Transportation index was discontinued.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graph assumes an investment of $100 in our ordinary shares and in each of the indices on December 31, 2019, and that all dividends were reinvested.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past performance of our shares is not an indication of future performance.</w:t>
      </w:r>
    </w:p>
    <w:p>
      <w:pPr>
        <w:spacing w:after="0" w:line="110"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Among FTAI Aviation Ltd., the S&amp;P Midcap 400 Index, the Russell 2000 Index and the Dow Jones US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86360</wp:posOffset>
            </wp:positionV>
            <wp:extent cx="5837555" cy="3257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December 31, 2019 in stock and index, including reinvestment of dividends. Fiscal year ending December 31.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Ltd.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1174.37</w:t>
            </w: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113.66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163.54</w:t>
            </w: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Russell 2000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142.93</w:t>
            </w:r>
          </w:p>
        </w:tc>
      </w:tr>
      <w:tr>
        <w:trPr>
          <w:trHeight w:val="194"/>
        </w:trPr>
        <w:tc>
          <w:tcPr>
            <w:tcW w:w="4340" w:type="dxa"/>
            <w:vAlign w:val="bottom"/>
          </w:tcPr>
          <w:p>
            <w:pPr>
              <w:ind w:left="20"/>
              <w:spacing w:after="0"/>
              <w:rPr>
                <w:sz w:val="20"/>
                <w:szCs w:val="20"/>
                <w:color w:val="auto"/>
              </w:rPr>
            </w:pPr>
            <w:r>
              <w:rPr>
                <w:rFonts w:ascii="Arial" w:cs="Arial" w:eastAsia="Arial" w:hAnsi="Arial"/>
                <w:sz w:val="14"/>
                <w:szCs w:val="14"/>
                <w:color w:val="auto"/>
              </w:rPr>
              <w:t>Dow Jones US Aerospace</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81.90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497F"/>
        </w:rPr>
        <w:t>Item 6. [Reserved]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Aviation Ltd. Our MD&amp;A should be read in conjunction with our consolidated financial statements and the accompanying notes, and with Part I, Item 1A, “Risk Factors” and “Forward-Looking Statements” included elsewhere in this Annual Report on Form 10-K.</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discussion of our cash flows for 2024 compared to 2023 is included in our Annual Report on Form 10-K for the year ended December 31, 2024, under Part II, Item 7, Management's Discussion and Analysis of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own, lease and sell aviation equipment. We also develop and manufacture through a joint venture, and repair and sell, through our maintenance facilities and exclusivity arrangements, aftermarket components for aircraft engines. We target assets that, on a combined basis, generate strong cash flows with potential for earnings growth and asset appreciation. We believe that there is a large number of acquisition opportunities in our markets and that our expertise and business and financing relationships, together with our access to capital, will allow us to take advantage of these opportunities. As of December 31, 2024, we had total consolidated assets of $4.0 billion and total equity of $81.4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Internalization of Management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May 28, 2024, the Company entered into definitive agreements with the Former Manager and Master GP to internalize the Company’s management function. As part of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until October 31, 2024, during which the Company procured replacements for the Services. The Services were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was required to use commercially reasonable efforts to make available to the Former Manager certain employees of the Company who were previously employees of the Former Manager to provide the Reverse Services, subject to certain exceptions. In addition,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 and engines that had not yet been recovered from Ukraine and Russia. As a result, we recognized an impairment charge totaling $120.0 million, net of maintenance deposits for the year ended December 31, 2022, to write-off the entire carrying value of leasing equipment assets that we did not expect to recover from Ukraine and Russia. As of December 31, 2024, eight aircraft and seventeen engines were still located in Russia.</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Russia is $210.7 million. We intend to pursue all of our claims under these policies. However, the timing and amount of any recoveries under these policies are uncertain.</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extent of the impact of Russia’s invasion of Ukraine and the related sanctions on our results,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00497F"/>
        </w:rPr>
        <w:t>Spin-Off of FTAI Infrastructure Inc. (“FTAI Infrastructure”)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August 1, 2022, Fortress Transportation and Infrastructure Investors LLC (“we”, “us”, “our”, “FTAI” or the “Company” pre-Merger, as defined below, and FTAI Aviation Ltd. post-Merger) effected a spin-off of the Company’s infrastructure business held by FTAI Infrastructure (a wholly-owned subsidiary of the Company) as a distribution of all of the shares owned by the Company of common stock of FTAI Infrastructure to the holders of the Company’s ordinary shares as of July 21, 2022.</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spin-off, the Company and the Former Manager assigned the Company’s then-existing management agreement to FTAI Infrastructure, and FTAI Infrastructure and the Former Manager executed an amended and restated agreement. The Company and certain of its subsidiaries executed a new management agreement with the Former Manager. The new management agreement has an initial term of six years. The Former Manager was entitled to a management fee and reimbursement of certain expenses on substantially similar terms as the previous arrangements with the Former Manager, which were assigned to FTAI Infrastructure. Prior to the Merger described below, our Former Manager remained entitled to incentive allocations (comprised of income incentive allocation and capital gains incentive allocation) on the same terms as they existed prior to spin-off. Following the Former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November 10, 2022, the Company completed the transactions set forth in the Agreement and Plan of Merger (the “Merger”) between Fortress Transportation and Infrastructure Investors LLC (“FTAI”) and FTAI Aviation Ltd. (“FTAI Aviation”) and certain other parties, with FTAI becoming a subsidiary of the company. As a result of the merger, the FTAI became a Cayman Islands exempted company. Upon merger completion, Fortress Transportation and Infrastructure Investors LLC public common shareholders’ shares of the Company were exchanged automatically for shares of FTAI Aviation Ltd. without any further action from the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Strategic Capital Initiative</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December 30, 2024, the Company announced the launch of a Strategic Capital Initiative in collaboration with third-party institutional investors. The first partnership under the initiative (the “2025 Partnership”) will focus on acquiring 737NG and A320ceo aircraft. The Strategic Capital Initiative, and its related partnerships, will allow the Company to maintain an asset-light business model while the partnerships actively acquire on-lease narrowbody aircraft at scale. The Company has agreed that the 2025 Partnership, and follow-on partnerships, will be the primary buyer of on-lease 737NG and A320ceo aircraft. The Company will provide aircraft management services to the 2025 Partnership, and the Company will receive customary, market-based compensation for providing such services. The Company has also committed to make a minority investment in the 2025 Partnership. The Company expects to provide aircraft management services to, and make minority investments in, future partnerships.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lessees and customers. The Aerospace Products segment, through our maintenance facilities, equity method investment and exclusivity arrangements, develops and manufactures, repairs/refurbishes and sells aircraft engines and aftermarket components for the CFM56-7B, CFM56-5B and V2500 commercial aircraft engines.</w:t>
      </w:r>
    </w:p>
    <w:p>
      <w:pPr>
        <w:spacing w:after="0" w:line="6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offshore energy related assets, which consist of equipment that support offshore oil and gas activities and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00497F"/>
        </w:rPr>
        <w:t>Results of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Besides net income (loss), the chief operating decision maker (“CODM”)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preferred shares and capital lease obligations, changes in fair value of non-hedge derivative instruments, asset impairment charges, incentive allocations, depreciation and amortization expense, dividends on preferred shares and interest expense, internalization fee to affiliate, (b) to include the impact of our pro-rata share of Adjusted EBITDA from unconsolidated entities and (c) to exclude the impact of equity in earnings (losses) of unconsolidated entities and the non-controlling share of Adjusted EBITDA, if 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255,338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207,936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179,314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47,402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28,622</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200,809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191,347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42,501</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192,176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303,141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(110,965)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119,606</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1,079,821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454,970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624,851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276,455</w:t>
            </w:r>
          </w:p>
        </w:tc>
      </w:tr>
      <w:tr>
        <w:trPr>
          <w:trHeight w:val="20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(4,699)</w:t>
            </w: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1,734,901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1,170,896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564,005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462,485</w:t>
            </w:r>
          </w:p>
        </w:tc>
      </w:tr>
      <w:tr>
        <w:trPr>
          <w:trHeight w:val="184"/>
        </w:trPr>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825,884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502,132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248,385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323,752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253,747</w:t>
            </w:r>
          </w:p>
        </w:tc>
      </w:tr>
      <w:tr>
        <w:trPr>
          <w:trHeight w:val="20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115,861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110,163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(22,101)</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14,263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13,700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(464)</w:t>
            </w:r>
          </w:p>
        </w:tc>
      </w:tr>
      <w:tr>
        <w:trPr>
          <w:trHeight w:val="20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32,296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18,037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14,475</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Internalization fee to affiliate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218,064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169,877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152,917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48,187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16,960</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(18,705)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(18,705)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77,211</w:t>
            </w:r>
          </w:p>
        </w:tc>
      </w:tr>
      <w:tr>
        <w:trPr>
          <w:trHeight w:val="19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1,497,074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831,224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624,507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665,850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206,717</w:t>
            </w:r>
          </w:p>
        </w:tc>
      </w:tr>
      <w:tr>
        <w:trPr>
          <w:trHeight w:val="210"/>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(1,237)</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(221,721)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(17,101)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19,859</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17,364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9,774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7,383</w:t>
            </w:r>
          </w:p>
        </w:tc>
      </w:tr>
      <w:tr>
        <w:trPr>
          <w:trHeight w:val="19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(223,658)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(68,003)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33,560</w:t>
            </w:r>
          </w:p>
        </w:tc>
      </w:tr>
      <w:tr>
        <w:trPr>
          <w:trHeight w:val="197"/>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289,328</w:t>
            </w:r>
          </w:p>
        </w:tc>
      </w:tr>
      <w:tr>
        <w:trPr>
          <w:trHeight w:val="20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(65,100)</w:t>
            </w:r>
          </w:p>
        </w:tc>
      </w:tr>
      <w:tr>
        <w:trPr>
          <w:trHeight w:val="197"/>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243,817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354,428</w:t>
            </w:r>
          </w:p>
        </w:tc>
      </w:tr>
      <w:tr>
        <w:trPr>
          <w:trHeight w:val="201"/>
        </w:trPr>
        <w:tc>
          <w:tcPr>
            <w:tcW w:w="4520" w:type="dxa"/>
            <w:vAlign w:val="bottom"/>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101,416</w:t>
            </w:r>
          </w:p>
        </w:tc>
      </w:tr>
      <w:tr>
        <w:trPr>
          <w:trHeight w:val="19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8,682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243,817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(235,135)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455,844</w:t>
            </w:r>
          </w:p>
        </w:tc>
      </w:tr>
      <w:tr>
        <w:trPr>
          <w:trHeight w:val="133"/>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rPr>
              <w:t>Less: Net income (loss) attributable to non-controlling interest in</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5"/>
        </w:trPr>
        <w:tc>
          <w:tcPr>
            <w:tcW w:w="452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32,763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31,795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4,631</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(32,079)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(220,374)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(244,101)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432,396</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from continuing operations to Adjusted EBITDA: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c>
          <w:tcPr>
            <w:tcW w:w="0" w:type="dxa"/>
            <w:vAlign w:val="bottom"/>
          </w:tcPr>
          <w:p>
            <w:pPr>
              <w:spacing w:after="0"/>
              <w:rPr>
                <w:sz w:val="1"/>
                <w:szCs w:val="1"/>
                <w:color w:val="auto"/>
              </w:rPr>
            </w:pPr>
          </w:p>
        </w:tc>
      </w:tr>
      <w:tr>
        <w:trPr>
          <w:trHeight w:val="134"/>
        </w:trPr>
        <w:tc>
          <w:tcPr>
            <w:tcW w:w="45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(loss) income attributable to shareholders from continuing</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(32,079)</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212,022</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(137,775)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(244,101)</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349,797</w:t>
            </w:r>
          </w:p>
        </w:tc>
        <w:tc>
          <w:tcPr>
            <w:tcW w:w="0" w:type="dxa"/>
            <w:vAlign w:val="bottom"/>
          </w:tcPr>
          <w:p>
            <w:pPr>
              <w:spacing w:after="0"/>
              <w:rPr>
                <w:sz w:val="1"/>
                <w:szCs w:val="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5,487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(59,800)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65,287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(65,100)</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32,296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15,194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17,102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25,099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0" w:type="dxa"/>
            <w:vAlign w:val="bottom"/>
          </w:tcPr>
          <w:p>
            <w:pPr>
              <w:spacing w:after="0"/>
              <w:rPr>
                <w:sz w:val="1"/>
                <w:szCs w:val="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7,456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13,627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262,031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213,641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23,610</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254,484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193,434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196,358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61,050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Internalization fee to affiliate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20" w:type="dxa"/>
            <w:vAlign w:val="bottom"/>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Pr>
          <w:p>
            <w:pPr>
              <w:spacing w:after="0"/>
              <w:rPr>
                <w:sz w:val="8"/>
                <w:szCs w:val="8"/>
                <w:color w:val="auto"/>
              </w:rPr>
            </w:pPr>
          </w:p>
        </w:tc>
        <w:tc>
          <w:tcPr>
            <w:tcW w:w="9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(1,892)</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vMerge w:val="restart"/>
          </w:tcPr>
          <w:p>
            <w:pPr>
              <w:jc w:val="right"/>
              <w:ind w:right="8"/>
              <w:spacing w:after="0" w:line="149" w:lineRule="exact"/>
              <w:rPr>
                <w:sz w:val="20"/>
                <w:szCs w:val="20"/>
                <w:color w:val="auto"/>
              </w:rPr>
            </w:pPr>
            <w:r>
              <w:rPr>
                <w:rFonts w:ascii="Arial" w:cs="Arial" w:eastAsia="Arial" w:hAnsi="Arial"/>
                <w:sz w:val="14"/>
                <w:szCs w:val="14"/>
                <w:color w:val="auto"/>
              </w:rPr>
              <w:t>310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(2,202)</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862,050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597,282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169,185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4" w:lineRule="exact"/>
        <w:rPr>
          <w:sz w:val="20"/>
          <w:szCs w:val="20"/>
          <w:color w:val="auto"/>
        </w:rPr>
      </w:pPr>
    </w:p>
    <w:p>
      <w:pPr>
        <w:ind w:left="180" w:hanging="172"/>
        <w:spacing w:after="0" w:line="218" w:lineRule="auto"/>
        <w:tabs>
          <w:tab w:leader="none" w:pos="172"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2024, 2023 and 2022: (i) depreciation and amortization expense of $218,064, $169,877 and $152,917, (ii) lease intangible amortization of $15,597, $15,126 and $13,913 and (iii) amortization for lease incentives of $28,370, $28,638 and $23,201, respectively.</w:t>
      </w:r>
    </w:p>
    <w:p>
      <w:pPr>
        <w:spacing w:after="0" w:line="1" w:lineRule="exact"/>
        <w:rPr>
          <w:rFonts w:ascii="Arial" w:cs="Arial" w:eastAsia="Arial" w:hAnsi="Arial"/>
          <w:sz w:val="19"/>
          <w:szCs w:val="19"/>
          <w:color w:val="auto"/>
          <w:vertAlign w:val="superscript"/>
        </w:rPr>
      </w:pPr>
    </w:p>
    <w:p>
      <w:pPr>
        <w:ind w:left="180" w:right="20" w:hanging="172"/>
        <w:spacing w:after="0" w:line="284" w:lineRule="auto"/>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the following items for the years ended December 31, 2024, 2023 and 2022: (i) net loss of $2,200, $1,606 and $369, (ii) depreciation and amortization expense of $308, $1,488 and $409 and (iii) acquisition and transaction expense of $0, $428 and $0,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Presentation of aircraft and engine sales</w:t>
      </w:r>
    </w:p>
    <w:p>
      <w:pPr>
        <w:spacing w:after="0" w:line="10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Revenues in the Consolidated Statements of Operations beginning in the third quarter of 2022 and is accounted for in accordance with ASC 606. The sale of CFM56-7B, CFM56-5B and V2500 engines are included in the Aerospace Products Segment and the sale of aircraft and other engines are included in the Aviation Leasing Segment. The corresponding net book values of the assets sold are recorded in Cost of sales in the Consolidated Statements of</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 xml:space="preserve">Operations beginning in the third quarter of 2022. Sales transactions of aircraft and engines prior to the third quarter of 2022 were accounted for in accordance with ASC 610-20, </w:t>
      </w:r>
      <w:r>
        <w:rPr>
          <w:rFonts w:ascii="Arial" w:cs="Arial" w:eastAsia="Arial" w:hAnsi="Arial"/>
          <w:sz w:val="16"/>
          <w:szCs w:val="16"/>
          <w:i w:val="1"/>
          <w:iCs w:val="1"/>
          <w:color w:val="auto"/>
        </w:rPr>
        <w:t>Gains and losses from the derecognition of nonfinancial assets</w:t>
      </w:r>
      <w:r>
        <w:rPr>
          <w:rFonts w:ascii="Arial" w:cs="Arial" w:eastAsia="Arial" w:hAnsi="Arial"/>
          <w:sz w:val="16"/>
          <w:szCs w:val="16"/>
          <w:color w:val="auto"/>
        </w:rPr>
        <w:t xml:space="preserve"> and were included in Gain (loss) on sale of assets, net on the</w:t>
      </w:r>
    </w:p>
    <w:p>
      <w:pPr>
        <w:jc w:val="both"/>
        <w:spacing w:after="0" w:line="248" w:lineRule="auto"/>
        <w:rPr>
          <w:sz w:val="20"/>
          <w:szCs w:val="20"/>
          <w:color w:val="auto"/>
        </w:rPr>
      </w:pPr>
      <w:r>
        <w:rPr>
          <w:rFonts w:ascii="Arial" w:cs="Arial" w:eastAsia="Arial" w:hAnsi="Arial"/>
          <w:sz w:val="16"/>
          <w:szCs w:val="16"/>
          <w:color w:val="auto"/>
        </w:rPr>
        <w:t>Consolidated Statements of Operations, as we were previously only occasionally selling these assets. Generally, assets sold were included in Leasing equipment, net, on the Consolidated Balance Sheets.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2024 and 2023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by $564.0 million, driven by the following:</w:t>
      </w:r>
    </w:p>
    <w:p>
      <w:pPr>
        <w:spacing w:after="0" w:line="127" w:lineRule="exact"/>
        <w:rPr>
          <w:sz w:val="20"/>
          <w:szCs w:val="20"/>
          <w:color w:val="auto"/>
        </w:rPr>
      </w:pPr>
    </w:p>
    <w:p>
      <w:pPr>
        <w:jc w:val="both"/>
        <w:ind w:left="660" w:hanging="328"/>
        <w:spacing w:after="0" w:line="287"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Aerospace products revenue increased by $624.9 million, primarily due to a $546.0 million increase in CFM56-7B, CFM56-5B and V2500 engine and module sales, a $28.5 million increase in parts inventory sales, and other revenues of $47.7 million from the QuickTurn and LMCES acquisitions.</w:t>
      </w:r>
    </w:p>
    <w:p>
      <w:pPr>
        <w:spacing w:after="0" w:line="248"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Lease income increased by $47.4 million, primarily due to an increase in engine lease revenue of $37.3 million and an increase in aircraft lease revenue of $17.5 million, driven by an increased number of aircraft and engines on lease. This was partially offset by a decrease of $7.3 million in the Offshore Energy business driven by one of our vessels having fewer days on-hire in 2024 compared to 2023, as well as the sale of the two vessels during 2024.</w:t>
      </w:r>
    </w:p>
    <w:p>
      <w:pPr>
        <w:spacing w:after="0" w:line="6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Maintenance revenue increased by $9.5 million. Engine maintenance revenue increased by $43.2 million, driven by an increased number of engines on lease in 2024 as compared to 2023. This increase was partially offset by a decrease in aircraft maintenance revenue of $32.7 million, primarily due to $20.1 million of higher maintenance reserves taken into revenue in 2023, partially offset by an increased number of aircraft on lease in 2024.</w:t>
      </w:r>
    </w:p>
    <w:p>
      <w:pPr>
        <w:spacing w:after="0" w:line="25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Asset sales revenue decreased by $111.0 million, primarily due to an overall decrease in the number of sales transactions of commercial aircraft and engines. Specifically, three aircraft and 14 engines were sold in 2024 as compared to 13 aircraft and 41 engines sold in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4" w:name="page35"/>
    <w:bookmarkEnd w:id="34"/>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revenue decreased by $6.7 million, primarily due to a decrease in assets with end-of-lease redelivery compensation. During 2024, one aircraft and three engines had end-of-lease redelivery compensation, as compared to eight aircraft and four engines in 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$665.9 million, driven by the following:</w:t>
      </w:r>
    </w:p>
    <w:p>
      <w:pPr>
        <w:spacing w:after="0" w:line="127" w:lineRule="exact"/>
        <w:rPr>
          <w:sz w:val="20"/>
          <w:szCs w:val="20"/>
          <w:color w:val="auto"/>
        </w:rPr>
      </w:pPr>
    </w:p>
    <w:p>
      <w:pPr>
        <w:jc w:val="both"/>
        <w:ind w:left="660" w:hanging="328"/>
        <w:spacing w:after="0" w:line="26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of sales increased by $323.8 million, primarily due to increases in CFM56-7B, CFM56-5B and V2500 engine and module sales, parts inventory sales, and directly corresponds to components of increases in Aerospace products revenue over the same period. This was partially offset by a decrease of $69.9 million, primarily due to an overall decrease in the number of sales transactions of commercial aircraft and engines, which is in line with an overall decrease in the corresponding asset sales revenue.</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Internalization fee to affiliate increased by $300.0 million relating to the Internalization effective May 28, 2024.</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Depreciation and amortization increased by $48.2 million, primarily driven by an increase in the number of assets owned and on lease, partially offset by an increase in the number of aircraft redelivered.</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Acquisition and transaction expenses increased by $17.1 million, primarily due to higher professional fees incurred in evaluating and completing strategic transactions and fees associated with the Internalization and the acquisition of LMCES in Q3 2024.</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Operating expenses increased by $5.7 million, primarily due to the acquisition of LMCES in Q3 2024.</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Gain on sale of assets, net increased $18.7 million driven by the sale of two vessels within the Offshore Energy business during the fourth quarter of 2024.</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decreased by $9.6 million, due to a decrease in management and incentive fees to the Former Manager during 2024, with the Internalization effective May 28,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by $68.0 million due to the following:</w:t>
      </w:r>
    </w:p>
    <w:p>
      <w:pPr>
        <w:spacing w:after="0" w:line="127" w:lineRule="exact"/>
        <w:rPr>
          <w:sz w:val="20"/>
          <w:szCs w:val="20"/>
          <w:color w:val="auto"/>
        </w:rPr>
      </w:pPr>
    </w:p>
    <w:p>
      <w:pPr>
        <w:jc w:val="both"/>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expense increased by $60.1 million, reflecting an increase in the average debt outstanding of approximately $779.3 million, primarily due to increases in (i) the Senior Notes due 2030 of $414.1 million, issued in November 2023 (ii) Senior Notes due 2031 of $525.0 million, issued in April 2024 (iii) Senior Notes due 2032 of $466.7 million, issued in June 2024, (iv) Senior Notes due 2033 of $124.4 million, issued in October 2024, partially offset by decreases in the (v) Senior Notes due 2025 of $489.6 million, which were redeemed in April 2024, (vi) Senior Notes due 2027 of $189.8 million, which were fully redeemed in October 2024, and the (vii) Revolving Credit Facility of $70.4 million.</w:t>
      </w:r>
    </w:p>
    <w:p>
      <w:pPr>
        <w:spacing w:after="0" w:line="83"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Loss on extinguishment of debt increased by $17.1 million, primarily due to the redemption of the Senior Notes due 2025 and Senior Notes due 2027.</w:t>
      </w:r>
    </w:p>
    <w:p>
      <w:pPr>
        <w:spacing w:after="0" w:line="297"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income increased by $9.8 million, primarily driven by a $10.8 million insurance settlement received within our Aviation Leasing Segment.</w:t>
      </w:r>
    </w:p>
    <w:p>
      <w:pPr>
        <w:spacing w:after="0" w:line="10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i w:val="1"/>
          <w:iCs w:val="1"/>
          <w:color w:val="00497F"/>
        </w:rPr>
        <w:t>Provision for (benefit from) income taxes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increased $65.3 million, primarily due to the benefit from income taxes recorded in 2023 in connection with a tax law change</w:t>
      </w:r>
    </w:p>
    <w:p>
      <w:pPr>
        <w:spacing w:after="0" w:line="8"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in Bermuda as well as the increase in income from leasing and Aerospace Products activities in jurisdictions subject to taxes. As the company’s operations in these areas grew, so did the corresponding tax obligations, resulting in a higher provision for income taxes. This increase was partially offset by the tax</w:t>
      </w:r>
    </w:p>
    <w:p>
      <w:pPr>
        <w:spacing w:after="0"/>
        <w:rPr>
          <w:sz w:val="20"/>
          <w:szCs w:val="20"/>
          <w:color w:val="auto"/>
        </w:rPr>
      </w:pPr>
      <w:r>
        <w:rPr>
          <w:rFonts w:ascii="Arial" w:cs="Arial" w:eastAsia="Arial" w:hAnsi="Arial"/>
          <w:sz w:val="16"/>
          <w:szCs w:val="16"/>
          <w:color w:val="auto"/>
        </w:rPr>
        <w:t>benefit from the Internalization fee paid to the affiliate.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from continuing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decreased by $235.1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$264.8 million, primarily due to the changes noted above.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by $462.5 million, driven by the following: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jc w:val="both"/>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Aerospace products revenue increased by $276.5 million, primarily due to a $213.0 million increase in CFM56-7B, CFM56-5B and V2500 engines and module sales, a $44.7 million increase in parts inventory sales, $16.7 million increase due to engine management contracts, and other sales revenue of $2.0 million from the QuickTurn acquisition. See above discussion regarding presentation of asset sales.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sales revenue increased by $119.6 million, primarily due to an overall increase in the number of material sales transactions of commercial aircraft and engines. Specifically, 13 aircraft and 41 engines were sold in 2023 as compared to eight aircraft and 71 engines sold in 2022. See above discussion regarding presentation of asset sales.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revenue increased $42.5 million. Engine maintenance revenue increased by $26.5 million, driven by an increased number of engines on lease in 2023 as compared to 2022. Aircraft maintenance revenue increased $16.0 million primarily due to $20.1 million of maintenance reserves taken into revenue due to the early redelivery of five aircraft, partially offset by less aircraft on lease.</w:t>
      </w:r>
    </w:p>
    <w:p>
      <w:pPr>
        <w:spacing w:after="0" w:line="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 income increased by $28.6 million, primarily due to an increase in engine lease revenue of $19.7 million, driven by an increased number of engines on lease, partially offset by an increase in the number of engines redelivered. An increase of $7.4 million in the Offshore Energy business due to one of our vessel being on-hire longer in 2023 compared to 2022, and with a charterer at higher rates.</w:t>
      </w:r>
    </w:p>
    <w:p>
      <w:pPr>
        <w:spacing w:after="0" w:line="7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revenue decreased by $4.7 million, primarily due to a decrease in assets with end-of-lease redelivery compensation. During 2023, eight aircraft and four engines had end-of-lease redelivery compensation, as compared to 18 aircraft and one engine in 2022.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$206.7 million, driven by the following:</w:t>
      </w:r>
    </w:p>
    <w:p>
      <w:pPr>
        <w:spacing w:after="0" w:line="113" w:lineRule="exact"/>
        <w:rPr>
          <w:sz w:val="20"/>
          <w:szCs w:val="20"/>
          <w:color w:val="auto"/>
        </w:rPr>
      </w:pPr>
    </w:p>
    <w:p>
      <w:pPr>
        <w:jc w:val="both"/>
        <w:ind w:left="660" w:hanging="328"/>
        <w:spacing w:after="0" w:line="26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sales increased by $253.7 million, primarily due to an increase of $170.8 million in our Aerospace Products segment, primarily due to increases in CFM56-7B, CFM56-5B and V2500 engine and module sales, parts inventory sales, and directly corresponds to components of increases in Aerospace products revenue over the same period. An increase of $82.9 million in the Aviation Leasing segment primarily due to an overall increase in the number of material sales transactions of commercial aircraft and engines, as well as the gross presentation of asset sales revenues and related costs of sales as described above.</w:t>
      </w:r>
    </w:p>
    <w:p>
      <w:pPr>
        <w:spacing w:after="0" w:line="64"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Gain on sale of assets, net decreased by $77.2 million, primarily due to the change in presentation of asset sales recorded during 2022. See above discussion regarding presentation of asset sales and impact on Gain on sale of assets, net.</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and amortization increased by $17.0 million, primarily driven by an increase in the number of assets owned and on lease, partially offset by an increase in the number of aircraft redelivered and parted out into our engine leasing pool.</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increased by $14.5 million, primarily due to a $13.6 million increase in incentive fee due to the Former Manager driven by an increase in net income.</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impairment decreased by $135.1 million, primarily due to the 2022 write down of aircraft and engines located in Russia and Ukraine that were deemed not recoverable. See Note 6 to the consolidated financial statements for additional information.</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Operating expenses decreased by $22.1 million, primarily due to the following:</w:t>
      </w:r>
    </w:p>
    <w:p>
      <w:pPr>
        <w:spacing w:after="0" w:line="126" w:lineRule="exact"/>
        <w:rPr>
          <w:rFonts w:ascii="Arial" w:cs="Arial" w:eastAsia="Arial" w:hAnsi="Arial"/>
          <w:sz w:val="16"/>
          <w:szCs w:val="16"/>
          <w:color w:val="auto"/>
        </w:rPr>
      </w:pPr>
    </w:p>
    <w:p>
      <w:pPr>
        <w:jc w:val="both"/>
        <w:ind w:left="1300" w:hanging="320"/>
        <w:spacing w:after="0" w:line="275" w:lineRule="auto"/>
        <w:tabs>
          <w:tab w:leader="none" w:pos="12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decrease of $43.4 million in the Aviation Leasing segment primarily as a result of a $41.4 million decrease in provision for credit losses as a result of the sanctions imposed on Russian airlines in 2022, a $2.5 million decrease in shipping and storage fees and repairs and maintenance expenses, partially offset by a $1.2 million increase in insurance expense.</w:t>
      </w:r>
    </w:p>
    <w:p>
      <w:pPr>
        <w:spacing w:after="0" w:line="56" w:lineRule="exact"/>
        <w:rPr>
          <w:rFonts w:ascii="Arial" w:cs="Arial" w:eastAsia="Arial" w:hAnsi="Arial"/>
          <w:sz w:val="16"/>
          <w:szCs w:val="16"/>
          <w:color w:val="auto"/>
        </w:rPr>
      </w:pPr>
    </w:p>
    <w:p>
      <w:pPr>
        <w:jc w:val="both"/>
        <w:ind w:left="1300" w:hanging="320"/>
        <w:spacing w:after="0" w:line="265" w:lineRule="auto"/>
        <w:tabs>
          <w:tab w:leader="none" w:pos="12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 increase of $12.8 million in the Offshore Energy business which reflects increases in offshore crew expenses of $2.1 million, project costs of $3.9 million and other operating expenses of $1.3 million for one of our vessels driven by increased cost of operations based on the operating location of the vessel, as well as increased number of days on-hire. Additionally, repairs and maintenance expense increased $0.6 million due to repairs on one of our vessels.</w:t>
      </w:r>
    </w:p>
    <w:p>
      <w:pPr>
        <w:spacing w:after="0" w:line="64" w:lineRule="exact"/>
        <w:rPr>
          <w:rFonts w:ascii="Arial" w:cs="Arial" w:eastAsia="Arial" w:hAnsi="Arial"/>
          <w:sz w:val="16"/>
          <w:szCs w:val="16"/>
          <w:color w:val="auto"/>
        </w:rPr>
      </w:pPr>
    </w:p>
    <w:p>
      <w:pPr>
        <w:jc w:val="both"/>
        <w:ind w:left="1300" w:hanging="320"/>
        <w:spacing w:after="0" w:line="275" w:lineRule="auto"/>
        <w:tabs>
          <w:tab w:leader="none" w:pos="12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 increase of $8.5 million in the Aerospace Products segment primarily due to a $7.2 million increase in commission expenses due to the increase in sales from the used material program as well as $1.2 million increase in shipping and storage fees as operations continued to ramp-up in 2023.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by $33.6 million, due to the following:</w:t>
      </w:r>
    </w:p>
    <w:p>
      <w:pPr>
        <w:spacing w:after="0" w:line="113" w:lineRule="exact"/>
        <w:rPr>
          <w:sz w:val="20"/>
          <w:szCs w:val="20"/>
          <w:color w:val="auto"/>
        </w:rPr>
      </w:pPr>
    </w:p>
    <w:p>
      <w:pPr>
        <w:ind w:left="660" w:hanging="328"/>
        <w:spacing w:after="0" w:line="30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Loss on extinguishment of debt of $19.9 million was recognized during 2022. This loss was related to the pay-down of the 2021 Bridge Loan, issued in December 2021 and February 2022, and the partial redemption of Senior Notes due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ind w:left="660" w:hanging="328"/>
        <w:spacing w:after="0" w:line="26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 expense decreased $7.6 million, which reflects a decrease in the average outstanding debt of approximately $183.8 million primarily due to decreases in (i) the 2021 Bridge Loans of $178.3 million and (ii) the Senior Notes due 2025 of $116.7 million, which were partially redeemed in August 2022, partially offset by increases in (iii) the Revolving Credit Facility of $28.7 million and (iv) the Senior Notes due 2030 of $82.8 million, which were issued in November 2023.</w:t>
      </w:r>
    </w:p>
    <w:p>
      <w:pPr>
        <w:spacing w:after="0" w:line="78"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income increased $7.4 million primarily driven by a $5.3 million gain on consolidation of investment in connection with the QuickTurn acquisition within our Aerospace Products Segment and $1.0 million of interest income from the Company’s investments in money market funds.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benefit from income taxes increased $65.1 million primarily due to the Company establishing a deferred tax asset of $72.2 million in connection with a tax law change in Bermuda, which was recorded as a benefit from income taxes during the fourth quarter of 2023. See Note 12 to the consolidated financial statements for additional information. The benefit was offset by a $7.1 million increase from income taxes primarily attributable to an increase in income generated from operating activities in jurisdictions subject to taxes. As the Company’s operations in these areas grew, so did the corresponding tax obligations, resulting in a higher provision for income taxes.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from continuing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increased by $354.4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discontinued operations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loss from discontinued operations decreased by $101.4 million for the year ended December 31, 2023, compared to the prior year as these businesses have spun off and there is no corresponding activity in the current period.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$169.2 million, primarily due to the changes noted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in our Aviation Leasing segment, we own and manage 421 aviation assets, consisting of 109 commercial aircraft and 312 engines, including eight aircraft and seventeen engines that were still located in Russia.</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2024, 94 of our commercial aircraft and 181 of our engines were leased to operators or other third parties. Aviation assets currently off lease are either undergoing repair and/or maintenance, being prepared to go on lease or held in short term storage awaiting a future lease. Our aviation equipment was approximately 76% utilized during the three months ended December 31, 2024, based on the percent of days on-lease in the quarter weighted by the monthly average equity value of our aviation leasing equipment, excluding airframes. Our aircraft currently have a weighted average remaining lease term of 47 months, and our engines currently on-lease have an average remaining lease term of 22 months. The table below provides additional information on the assets in our Aviation Leasing segment, including transfers which involve aircraft breakdowns, engine transfers from leasing equipment to inventory for manufacturing and sales, and engine transfers from inventory to leasing equipment for rebuilding and sales: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44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8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50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2024</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r>
      <w:tr>
        <w:trPr>
          <w:trHeight w:val="199"/>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680" w:type="dxa"/>
            <w:vAlign w:val="bottom"/>
          </w:tcPr>
          <w:p>
            <w:pPr>
              <w:spacing w:after="0"/>
              <w:rPr>
                <w:sz w:val="17"/>
                <w:szCs w:val="17"/>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6"/>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68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Transfers</w:t>
            </w:r>
          </w:p>
        </w:tc>
        <w:tc>
          <w:tcPr>
            <w:tcW w:w="1680" w:type="dxa"/>
            <w:vAlign w:val="bottom"/>
          </w:tcPr>
          <w:p>
            <w:pPr>
              <w:spacing w:after="0"/>
              <w:rPr>
                <w:sz w:val="17"/>
                <w:szCs w:val="17"/>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2024</w:t>
            </w: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r>
      <w:tr>
        <w:trPr>
          <w:trHeight w:val="25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62"/>
        </w:trPr>
        <w:tc>
          <w:tcPr>
            <w:tcW w:w="20" w:type="dxa"/>
            <w:vAlign w:val="bottom"/>
            <w:shd w:val="clear" w:color="auto" w:fill="CCEEFF"/>
          </w:tcPr>
          <w:p>
            <w:pPr>
              <w:spacing w:after="0"/>
              <w:rPr>
                <w:sz w:val="14"/>
                <w:szCs w:val="14"/>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2024</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267</w:t>
            </w: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9"/>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Sales</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6"/>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68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5"/>
        </w:trPr>
        <w:tc>
          <w:tcPr>
            <w:tcW w:w="20" w:type="dxa"/>
            <w:vAlign w:val="bottom"/>
          </w:tcPr>
          <w:p>
            <w:pPr>
              <w:spacing w:after="0"/>
              <w:rPr>
                <w:sz w:val="16"/>
                <w:szCs w:val="16"/>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2024</w:t>
            </w:r>
          </w:p>
        </w:tc>
        <w:tc>
          <w:tcPr>
            <w:tcW w:w="16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6"/>
                <w:szCs w:val="16"/>
                <w:color w:val="auto"/>
              </w:rPr>
            </w:pPr>
          </w:p>
        </w:tc>
        <w:tc>
          <w:tcPr>
            <w:tcW w:w="16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w:t>
            </w:r>
          </w:p>
        </w:tc>
        <w:tc>
          <w:tcPr>
            <w:tcW w:w="100" w:type="dxa"/>
            <w:vAlign w:val="bottom"/>
          </w:tcPr>
          <w:p>
            <w:pPr>
              <w:spacing w:after="0"/>
              <w:rPr>
                <w:sz w:val="16"/>
                <w:szCs w:val="16"/>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following table presents our results of operations for our Aviation Leasing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234,411</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179,704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159,068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54,707</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20,636</w:t>
            </w: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200,809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42,501</w:t>
            </w: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192,176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(110,965)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119,606</w:t>
            </w: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(4,080)</w:t>
            </w: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628,437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681,611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(53,174)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178,663</w:t>
            </w:r>
          </w:p>
        </w:tc>
      </w:tr>
      <w:tr>
        <w:trPr>
          <w:trHeight w:val="211"/>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151,977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82,948</w:t>
            </w: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35,495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37,876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81,232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(43,356)</w:t>
            </w: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158,354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144,258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43,143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14,096</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(59,048)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59,048</w:t>
            </w: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399,671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427,353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444,488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(17,135)</w:t>
            </w:r>
          </w:p>
        </w:tc>
      </w:tr>
      <w:tr>
        <w:trPr>
          <w:trHeight w:val="210"/>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14,669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14,462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r>
      <w:tr>
        <w:trPr>
          <w:trHeight w:val="197"/>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243,228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195,964</w:t>
            </w:r>
          </w:p>
        </w:tc>
      </w:tr>
      <w:tr>
        <w:trPr>
          <w:trHeight w:val="202"/>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32,979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(38,695)</w:t>
            </w:r>
          </w:p>
        </w:tc>
      </w:tr>
      <w:tr>
        <w:trPr>
          <w:trHeight w:val="22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210,249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(81,354)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234,659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'24 vs '23</w:t>
            </w:r>
          </w:p>
        </w:tc>
        <w:tc>
          <w:tcPr>
            <w:tcW w:w="26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'23 vs '22</w:t>
            </w:r>
          </w:p>
        </w:tc>
        <w:tc>
          <w:tcPr>
            <w:tcW w:w="0" w:type="dxa"/>
            <w:vAlign w:val="bottom"/>
          </w:tcPr>
          <w:p>
            <w:pPr>
              <w:spacing w:after="0"/>
              <w:rPr>
                <w:sz w:val="1"/>
                <w:szCs w:val="1"/>
                <w:color w:val="auto"/>
              </w:rPr>
            </w:pPr>
          </w:p>
        </w:tc>
      </w:tr>
      <w:tr>
        <w:trPr>
          <w:trHeight w:val="197"/>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210,249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291,603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(81,354)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234,659</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32,979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(38,695)</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9,740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5,227</w:t>
            </w:r>
          </w:p>
        </w:tc>
        <w:tc>
          <w:tcPr>
            <w:tcW w:w="0" w:type="dxa"/>
            <w:vAlign w:val="bottom"/>
          </w:tcPr>
          <w:p>
            <w:pPr>
              <w:spacing w:after="0"/>
              <w:rPr>
                <w:sz w:val="1"/>
                <w:szCs w:val="1"/>
                <w:color w:val="auto"/>
              </w:rPr>
            </w:pPr>
          </w:p>
        </w:tc>
      </w:tr>
      <w:tr>
        <w:trPr>
          <w:trHeight w:val="154"/>
        </w:trPr>
        <w:tc>
          <w:tcPr>
            <w:tcW w:w="44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9"/>
                <w:szCs w:val="9"/>
                <w:color w:val="auto"/>
              </w:rPr>
              <w:t>(1)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245,464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20,746</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(123)</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500,062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467,388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380,145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32,674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87,243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2" w:lineRule="exact"/>
        <w:rPr>
          <w:sz w:val="20"/>
          <w:szCs w:val="20"/>
          <w:color w:val="auto"/>
        </w:rPr>
      </w:pPr>
    </w:p>
    <w:p>
      <w:pPr>
        <w:ind w:left="180" w:right="20" w:hanging="172"/>
        <w:spacing w:after="0" w:line="231" w:lineRule="auto"/>
        <w:tabs>
          <w:tab w:leader="none" w:pos="172"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2024, 2023 and 2022: (i) depreciation expense of $201,497, $158,354 and $144,258, (ii) lease intangible amortization of $15,597, $15,126 and $13,913 and (iii) amortization for lease incentives of $28,370, $28,638 and $23,201, respectively.</w:t>
      </w:r>
    </w:p>
    <w:p>
      <w:pPr>
        <w:spacing w:after="0" w:line="39" w:lineRule="exact"/>
        <w:rPr>
          <w:rFonts w:ascii="Arial" w:cs="Arial" w:eastAsia="Arial" w:hAnsi="Arial"/>
          <w:sz w:val="19"/>
          <w:szCs w:val="19"/>
          <w:color w:val="auto"/>
          <w:vertAlign w:val="superscript"/>
        </w:rPr>
      </w:pPr>
    </w:p>
    <w:p>
      <w:pPr>
        <w:ind w:left="180" w:hanging="172"/>
        <w:spacing w:after="0" w:line="229" w:lineRule="auto"/>
        <w:tabs>
          <w:tab w:leader="none" w:pos="15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2024, 2023 and 2022: (i) net (loss) income of $(207), $(148) and $740 and (ii) depreciation and amortization of $84, $252 and $185,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2024 and 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by $53.2 million, driven by the following:</w:t>
      </w:r>
    </w:p>
    <w:p>
      <w:pPr>
        <w:spacing w:after="0" w:line="113" w:lineRule="exact"/>
        <w:rPr>
          <w:sz w:val="20"/>
          <w:szCs w:val="20"/>
          <w:color w:val="auto"/>
        </w:rPr>
      </w:pPr>
    </w:p>
    <w:p>
      <w:pPr>
        <w:ind w:left="66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 sales revenue decreased by $111.0 million, primarily due to an overall decrease in the number of sales transactions of commercial aircraft and engines. Specifically, three aircraft and 14 engines were sold in 2024 as compared to 13 aircraft and 41 engines sold in 2023.</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revenue decreased by $6.4 million, primarily due to a decrease in end-of-lease redelivery compensation. During 2024, one aircraft and three engines had end-of-lease redelivery compensation, as compared to eight aircraft and four engines in 2023.</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Lease income increased by $54.7 million, due to an increase in engine lease revenue of $37.3 million and an increase in aircraft lease revenue of $17.5 million, driven by an increased number of engines and aircraft on lease.</w:t>
      </w:r>
    </w:p>
    <w:p>
      <w:pPr>
        <w:spacing w:after="0" w:line="61"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Maintenance revenue increased by $9.5 million. Engine maintenance revenue increased by $43.2 million, driven by an increased number of engines on lease in 2024 as compared to 2023. This increase was partially offset by a decrease in aircraft maintenance revenue of $32.7 million, primarily due to $20.1 million of higher maintenance reserves taken into revenue in 2023, partially offset by an increased number of aircraft on lease in 2024</w:t>
      </w:r>
      <w:r>
        <w:rPr>
          <w:rFonts w:ascii="Arial" w:cs="Arial" w:eastAsia="Arial" w:hAnsi="Arial"/>
          <w:sz w:val="21"/>
          <w:szCs w:val="21"/>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by $27.7 million, driven by the following: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jc w:val="both"/>
        <w:ind w:left="660" w:hanging="328"/>
        <w:spacing w:after="0" w:line="27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of sales decreased by $69.9 million, primarily due to an overall decrease in the number of sales transactions of commercial aircraft and engines and is in line with an overall decrease in the corresponding asset sales revenue. Specifically, three aircraft and 14 engines were sold in 2024 compared to 13 aircraft and 41 engines sold in 2023.</w:t>
      </w:r>
    </w:p>
    <w:p>
      <w:pPr>
        <w:spacing w:after="0" w:line="56"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3"/>
        </w:numPr>
        <w:rPr>
          <w:rFonts w:ascii="Arial" w:cs="Arial" w:eastAsia="Arial" w:hAnsi="Arial"/>
          <w:sz w:val="16"/>
          <w:szCs w:val="16"/>
          <w:color w:val="00497F"/>
        </w:rPr>
      </w:pPr>
      <w:r>
        <w:rPr>
          <w:rFonts w:ascii="Arial" w:cs="Arial" w:eastAsia="Arial" w:hAnsi="Arial"/>
          <w:sz w:val="16"/>
          <w:szCs w:val="16"/>
          <w:color w:val="auto"/>
        </w:rPr>
        <w:t>Operating expenses decreased by $2.4 million, primarily driven by a decrease in bad debt expense of $5.9 million, partially offset by increases in legal fees of $2.7 million and repairs and maintenance expense of $1.0 million.</w:t>
      </w:r>
    </w:p>
    <w:p>
      <w:pPr>
        <w:spacing w:after="0" w:line="33" w:lineRule="exact"/>
        <w:rPr>
          <w:rFonts w:ascii="Arial" w:cs="Arial" w:eastAsia="Arial" w:hAnsi="Arial"/>
          <w:sz w:val="16"/>
          <w:szCs w:val="16"/>
          <w:color w:val="00497F"/>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and amortization expense increased by $43.1 million, driven by an increase in the number of assets owned and on lease, partially offset by an increase in the number of aircraft redelivered and parted out into our engine leasing pool.</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Acquisition and transaction expenses increased by $2.6 million, primarily due to higher legal fees incurred in evaluating and completing strategic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other income increased by $13.3 million primarily driven by a $10.8 million insurance settlement as well as a $3.9 million increase in interest income earned on financing receivables during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98"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The Provision for income taxes increased by $69.2 million, primarily due to the benefit from income taxes recorded in 2023 in connection with a tax law change in Bermuda as well as the increase in income from leasing activities in jurisdictions subject to taxes. As the company’s operations in these areas grew, so did the corresponding tax obligations, resulting in a higher provision for 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Net income decreased by $81.4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$32.7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by $178.7 million, driven by the following:</w:t>
      </w:r>
    </w:p>
    <w:p>
      <w:pPr>
        <w:spacing w:after="0" w:line="113" w:lineRule="exact"/>
        <w:rPr>
          <w:sz w:val="20"/>
          <w:szCs w:val="20"/>
          <w:color w:val="auto"/>
        </w:rPr>
      </w:pPr>
    </w:p>
    <w:p>
      <w:pPr>
        <w:jc w:val="both"/>
        <w:ind w:left="6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Asset sales revenue increased by $119.6 million, primarily due to an increase in the number of material sales transactions of commercial aircraft and engines. Specifically, 13 aircraft and 41 engines were sold in 2023 as compared to eight aircraft and 71 engines sold in 2022. See above discussion regarding presentation of asset sales.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Maintenance revenue increased by $42.5 million. Engine maintenance revenue increased by $26.5 million, driven by an increased number of engines on lease in 2023 as compared to 2022. Aircraft maintenance revenue increased $16.0 million, primarily due to $20.1 million of higher maintenance reserves taken into revenue due to the early redelivery of five aircraft, partially offset by less aircraft on lease.</w:t>
      </w:r>
    </w:p>
    <w:p>
      <w:pPr>
        <w:spacing w:after="0" w:line="56"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Lease income increased by $20.6 million, primarily due to an increase in engine lease revenue of $19.7 million, driven by an increased number of engines on lease, partially offset by an increase in the number of engines redelivered.</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revenue decreased $4.1 million primarily due to a decrease in end-of-lease redelivery compensation. During 2023, eight aircraft and four engines had end-of-lease redelivery compensation, as compared to 18 aircraft and one engine in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by $17.1 million, driven by the following:</w:t>
      </w:r>
    </w:p>
    <w:p>
      <w:pPr>
        <w:spacing w:after="0" w:line="127" w:lineRule="exact"/>
        <w:rPr>
          <w:sz w:val="20"/>
          <w:szCs w:val="20"/>
          <w:color w:val="auto"/>
        </w:rPr>
      </w:pPr>
    </w:p>
    <w:p>
      <w:pPr>
        <w:ind w:left="66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Asset impairment decreased by $135.1 million, primarily due to the 2022 write down of aircraft and engines located in Russia and Ukraine that were deemed not recoverable. See Note 6 to the consolidated financial statements for additional information.</w:t>
      </w:r>
    </w:p>
    <w:p>
      <w:pPr>
        <w:spacing w:after="0" w:line="61"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expenses decreased by $43.4 million, primarily driven by the $41.4 million decrease in provision for credit losses as a result of the sanctions imposed on Russian airlines in 2022, a $2.5 million decrease in shipping and storage fees and repairs and maintenance expenses, partially offset by a $1.2 million increase in insurance expense.</w:t>
      </w:r>
    </w:p>
    <w:p>
      <w:pPr>
        <w:spacing w:after="0" w:line="7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of sales increased by $82.9 million, primarily due to an overall increase in the number of material sales transactions of commercial aircraft and engines, as well as the gross presentation of asset sales revenues and related costs of sales as described above. Specifically, 13 aircraft and 41 engines were sold in 2023 as compared to eight aircraft and 71 engines sold in 2022.</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Gain on sale of assets, net decreased by $59.0 million, due to the change in presentation of asset sales recorded during 2022. See above discussion regarding presentation of asset sales and impact on Gain on sale of assets, net.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ind w:left="66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Depreciation and amortization expense increased by $14.1 million, driven by an increase in the number of assets owned and on lease, partially offset by an increase in the number of aircraft redelivered and parted out into our engine leasing pool.</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Acquisition and transaction expense increased by $5.2 million, driven by higher costs associated with the acquisition of aviation leasing equipment.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benefit from income taxes increased $38.7 million primarily due to the Company establishing a deferred tax asset of $46.6 million in connection with a tax law change in Bermuda, which was recorded as a benefit from income taxes during the fourth quarter of 2023. See Note 12 to the consolidated financial statements for additional information. The benefit was offset by a $7.9 million increase from income taxes primarily attributable to an increase in income generated from leasing activities in jurisdictions subject to taxes. As the Company’s operations in these areas grew, so did the corresponding tax obligations, resulting in a higher provision for income taxes.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$87.2 million, primarily due to the changes noted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Aerospace Products Segment</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Aerospace Products segment, through our maintenance facilities, equity method investment and exclusivity arrangements, develops and manufactures, repairs/refurbishes and sells aircraft engines and aftermarket components primarily for the CFM56-7B, CFM56-5B and V2500 commercial aircraft engines. Our engine, module and parts sales are facilitated through a dedicated commercial maintenance program, designed to focus on modular and parts repair and refurbishment of CFM56-7B, CFM56-5B and V2500 engines. In September 2024, we acquired LMCES to further enhance this business and establish permanent engine and module manufacturing capabilities. Refer to Note 4 “Acquisition of Lockheed Martin Commercial Engine Solutions”, for additional information. In addition, other serviceable used modules and parts are sold through our exclusive partnership, who is responsible for the teardown, repair, marketing and sales of parts from our CFM56 engine pool. In December 2023, we acquired the remaining interest in Quick Turn Engine Center LLC or “QuickTurn” (previously iAero Thrust LLC), a hospital maintenance and testing facility dedicated to the CFM56 engine. Refer to Note 5 “Acquisition of QuickTurn”, for additional information. We also hold a 25% interest in the Advanced Engine Repair JV which focuses on developing new cost savings programs for engine repairs.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r>
      <w:tr>
        <w:trPr>
          <w:trHeight w:val="19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Aerospace products revenue</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454,970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624,851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276,455</w:t>
            </w:r>
          </w:p>
        </w:tc>
      </w:tr>
      <w:tr>
        <w:trPr>
          <w:trHeight w:val="210"/>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673,907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280,280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109,481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393,627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170,799</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8,492</w:t>
            </w: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4,906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1,479</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18,163</w:t>
            </w:r>
          </w:p>
        </w:tc>
      </w:tr>
      <w:tr>
        <w:trPr>
          <w:trHeight w:val="19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709,261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303,122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406,139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199,336</w:t>
            </w:r>
          </w:p>
        </w:tc>
      </w:tr>
      <w:tr>
        <w:trPr>
          <w:trHeight w:val="210"/>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(1,993)</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3,889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4,998</w:t>
            </w:r>
          </w:p>
        </w:tc>
      </w:tr>
      <w:tr>
        <w:trPr>
          <w:trHeight w:val="19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368,567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155,737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212,830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82,117</w:t>
            </w:r>
          </w:p>
        </w:tc>
      </w:tr>
      <w:tr>
        <w:trPr>
          <w:trHeight w:val="20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(27,401)</w:t>
            </w:r>
          </w:p>
        </w:tc>
      </w:tr>
      <w:tr>
        <w:trPr>
          <w:trHeight w:val="22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346,346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180,177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166,169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109,518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346,346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180,177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166,169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109,518</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22,221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46,661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(27,401)</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4,906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(1)</w:t>
            </w: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(1,769)</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(1,975)</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380,636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160,009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220,627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85,664</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4" w:lineRule="exact"/>
        <w:rPr>
          <w:sz w:val="20"/>
          <w:szCs w:val="20"/>
          <w:color w:val="auto"/>
        </w:rPr>
      </w:pPr>
    </w:p>
    <w:p>
      <w:pPr>
        <w:ind w:left="180" w:hanging="172"/>
        <w:spacing w:after="0" w:line="234" w:lineRule="auto"/>
        <w:tabs>
          <w:tab w:leader="none" w:pos="158"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2024, 2023 and 2022: (i) net loss of $1,993, $1,458 and $1,109 (ii) depreciation and amortization of $224, $1,236 and $224 and (iii) acquisition and transaction expense of $0, $428, $0, respectively.</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Aerospace products revenue increased by $624.9 million, primarily due to a $546.0 million increase in CFM56-7B, CFM56-5B and V2500 engine and module sales, a $28.5 million increase in parts inventory sales, and other revenues of $47.7 million from the QuickTurn and LMCES acquisitions.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$406.1 million, due to the following:</w:t>
      </w:r>
    </w:p>
    <w:p>
      <w:pPr>
        <w:spacing w:after="0" w:line="113" w:lineRule="exact"/>
        <w:rPr>
          <w:sz w:val="20"/>
          <w:szCs w:val="20"/>
          <w:color w:val="auto"/>
        </w:rPr>
      </w:pPr>
    </w:p>
    <w:p>
      <w:pPr>
        <w:ind w:left="660" w:hanging="328"/>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 of sales increased by $393.6 million, primarily due to increases in CFM56-7B, CFM56-5B and V2500 engine and module sales, parts inventory sales, and directly corresponds to components of increases in Aerospace products revenue over the same period.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Depreciation and amortization increased by $6.0 million due to the acquisitions of LMCES in Q3 2024 and QuickTurn in Q4 2023.</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expenses increased by $3.4 million, primarily due to the acquisition of LMCES in Q3 2024.</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Acquisition and transaction expenses increased by $3.2 million, primarily driven by higher professional fees incurred in evaluating and completing strategic transactions.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111"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The Provision for income taxes increased by $46.7 million, primarily due to the benefit from income taxes recorded in 2023 in connection with a tax law change in Bermuda as well as the increase in income from Aerospace Products activities in jurisdictions subject to taxes. As the company’s operations in these areas grew, so did the corresponding tax obligations, resulting in a higher provision for 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by $166.2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$220.6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Aerospace products revenue increased by $276.5 million, primarily due to a $213.0 million increase in CFM56-7B, CFM56-5B and V2500 engine and module sales, a $44.7 million increase in parts inventory sales, $16.7 million increase in revenue from engine management contracts, and other revenues of $2.0 million from the QuickTurn acquisition. See above discussion regarding presentation of asset sales.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$199.3 million, primarily due to the following:</w:t>
      </w:r>
    </w:p>
    <w:p>
      <w:pPr>
        <w:spacing w:after="0" w:line="127" w:lineRule="exact"/>
        <w:rPr>
          <w:sz w:val="20"/>
          <w:szCs w:val="20"/>
          <w:color w:val="auto"/>
        </w:rPr>
      </w:pPr>
    </w:p>
    <w:p>
      <w:pPr>
        <w:jc w:val="both"/>
        <w:ind w:left="66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 of sales increased by $170.8 million, primarily due to increases in CFM56-7B, CFM56-5B and V2500 engine and module sales, parts inventory sales, and directly corresponds to components of increases in Aerospace products revenue over the same period and the gross presentation described above.</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Gain on sale of assets, net decreased by $18.2 million, primarily due to the change in presentation of asset sales recorded during 2022. See above discussion regarding presentation of asset sales and impact on Gain on sale of assets, net.</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Operating expenses increased by $8.5 million, primarily due to a $7.2 million increase in commission expenses due to the increase in sales from the used material program as well as a $1.2 million increase in shipping and storage fees as operations continued to ramp-up in 2023.</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other income increased $5.0 million, which primarily reflects an increase of $5.3 million in gain on consolidation of investment in connection with the QuickTurn acquisition, offset by an increase of $0.3 million in our proportionate share of unconsolidated entities’ net loss.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benefit from income taxes increased $27.4 million primarily due to the Company establishing a deferred tax asset of $25.6 million in connection with a tax law change in Bermuda, which was recorded as a benefit from income taxes during the fourth quarter of 2023. See Note 12 to the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by $109.5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$85.7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Corporate and 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20,927</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20,246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(7,305)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7,986</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5,716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26,643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7,367</w:t>
            </w:r>
          </w:p>
        </w:tc>
      </w:tr>
      <w:tr>
        <w:trPr>
          <w:trHeight w:val="238"/>
        </w:trPr>
        <w:tc>
          <w:tcPr>
            <w:tcW w:w="4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56,548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12,763</w:t>
            </w: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14,263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(464)</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17,650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8,449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14,475</w:t>
            </w: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Internalization fee to affiliate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9,937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2,461</w:t>
            </w: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388,142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100,749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76,233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287,393</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24,516</w:t>
            </w:r>
          </w:p>
        </w:tc>
      </w:tr>
      <w:tr>
        <w:trPr>
          <w:trHeight w:val="211"/>
        </w:trPr>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(221,721)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(161,639)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(169,194)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7,555</w:t>
            </w: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2,695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(236,127)</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(160,696)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(75,431)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28,396</w:t>
            </w:r>
          </w:p>
        </w:tc>
      </w:tr>
      <w:tr>
        <w:trPr>
          <w:trHeight w:val="19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(597,626)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11,247</w:t>
            </w:r>
          </w:p>
        </w:tc>
      </w:tr>
      <w:tr>
        <w:trPr>
          <w:trHeight w:val="20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(49,713)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w:t>
            </w:r>
          </w:p>
        </w:tc>
      </w:tr>
      <w:tr>
        <w:trPr>
          <w:trHeight w:val="19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(547,913)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(227,963)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(319,950)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10,251</w:t>
            </w:r>
          </w:p>
        </w:tc>
      </w:tr>
      <w:tr>
        <w:trPr>
          <w:trHeight w:val="195"/>
        </w:trPr>
        <w:tc>
          <w:tcPr>
            <w:tcW w:w="45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32,763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31,795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4,631</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7,998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(588,674)</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(259,758)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(265,378)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(327,948)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5,620</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'24 vs '23</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'23 vs '22</w:t>
            </w:r>
          </w:p>
        </w:tc>
        <w:tc>
          <w:tcPr>
            <w:tcW w:w="0" w:type="dxa"/>
            <w:vAlign w:val="bottom"/>
          </w:tcPr>
          <w:p>
            <w:pPr>
              <w:spacing w:after="0"/>
              <w:rPr>
                <w:sz w:val="1"/>
                <w:szCs w:val="1"/>
                <w:color w:val="auto"/>
              </w:rPr>
            </w:pPr>
          </w:p>
        </w:tc>
      </w:tr>
      <w:tr>
        <w:trPr>
          <w:trHeight w:val="197"/>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(588,674)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(259,758)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(265,378)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(328,916)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(49,713)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(50,546)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5,113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17,650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154"/>
        </w:trPr>
        <w:tc>
          <w:tcPr>
            <w:tcW w:w="45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25,099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0" w:type="dxa"/>
            <w:vAlign w:val="bottom"/>
          </w:tcPr>
          <w:p>
            <w:pPr>
              <w:spacing w:after="0"/>
              <w:rPr>
                <w:sz w:val="1"/>
                <w:szCs w:val="1"/>
                <w:color w:val="auto"/>
              </w:rPr>
            </w:pPr>
          </w:p>
        </w:tc>
      </w:tr>
      <w:tr>
        <w:trPr>
          <w:trHeight w:val="185"/>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7,456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13,627</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9,937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254,484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193,434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196,358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Internalization fee to affiliate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revenues decreased by $7.7 million, primarily due to a $7.3 million decrease in the Lease income. Lease income declined primarily due to one of our vessels in the Offshore Energy business having fewer days on-hire in 2024 compared to 2023, as well as the sale of the two vessels during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$287.4 million, due to the following:</w:t>
      </w:r>
    </w:p>
    <w:p>
      <w:pPr>
        <w:spacing w:after="0" w:line="11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Internalization fee to affiliate increased by $300.0 million for the Internalization effective May 28, 2024.</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Acquisition and transaction expenses increased by $11.3 million, primarily due to higher legal and other professional fees incurred for the Internalization on May 28, 2024 and the acquisition of LMCES on September 9, 2024.</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Gain on sale of assets, net, increased $18.7 million due to the sale of the two vessels within the Offshore Energy business.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decreased by $9.6 million, due to a decrease in management and incentive fees to the Former Manager during 2024, with the Internalization effective May 28, 2024, as compared to fees paid during the year ended 2024 compared to 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by $75.4 million, due to the following:</w:t>
      </w:r>
    </w:p>
    <w:p>
      <w:pPr>
        <w:spacing w:after="0" w:line="127" w:lineRule="exact"/>
        <w:rPr>
          <w:sz w:val="20"/>
          <w:szCs w:val="20"/>
          <w:color w:val="auto"/>
        </w:rPr>
      </w:pPr>
    </w:p>
    <w:p>
      <w:pPr>
        <w:jc w:val="both"/>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expense increased by $60.1 million, reflecting an increase in the average debt outstanding of approximately $779.3 million, primarily due to increases in (i) the Senior Notes due 2030 of $414.1 million, issued in November 2023 (ii) Senior Notes due 2031 of $525.0 million, issued in April 2024 (iii) Senior Notes due 2032 of $466.7 million, issued in June 2024, (iv) Senior Notes due 2033 of $124.4 million, issued in October 2024, partially offset by decreases in the (v) Senior Notes due 2025 of $489.6 million, which were redeemed in April 2024, (vi) Senior Notes due 2027 of $189.8 million, which were fully redeemed in October 2024, and the (vii) Revolving Credit Facility of $70.4 million.</w:t>
      </w:r>
    </w:p>
    <w:p>
      <w:pPr>
        <w:spacing w:after="0" w:line="69"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on extinguishment of debt increased by $17.1 million, driven by the redemption of Senior Notes due 2025 and a redemption of Senior Notes due 2027.</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income increased by $1.8 million, driven by interest income generated from the Company’s investments in money market funds.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00497F"/>
        </w:rPr>
        <w:t>(Benefit from) provision for income taxes</w:t>
      </w:r>
    </w:p>
    <w:p>
      <w:pPr>
        <w:spacing w:after="0" w:line="9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benefit from income taxes increased by $50.5 million. This increase was primarily attributable to a substantial tax benefit arising from the Internalization fee paid to the affiliate. The fee provided a favorable impact on the company's overall tax position.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by $320.0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by $11.5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Total revenues increased by $7.4 million, primarily due to an increase in the Offshore Energy business, as one of our vessels was on-hire longer in 2023 compared to 2022, and with a charterer at higher rates.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$24.5 million, due to the following:</w:t>
      </w:r>
    </w:p>
    <w:p>
      <w:pPr>
        <w:spacing w:after="0" w:line="113" w:lineRule="exact"/>
        <w:rPr>
          <w:sz w:val="20"/>
          <w:szCs w:val="20"/>
          <w:color w:val="auto"/>
        </w:rPr>
      </w:pPr>
    </w:p>
    <w:p>
      <w:pPr>
        <w:ind w:left="660" w:right="20" w:hanging="328"/>
        <w:spacing w:after="0" w:line="304"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increased by $14.5 million, primarily due to a $13.6 million increase in incentive fee due to the Former Manager driven by an increase in net income.</w:t>
      </w:r>
    </w:p>
    <w:p>
      <w:pPr>
        <w:spacing w:after="0" w:line="33"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expenses increased by $12.8 million, primarily due to increases in the Offshore Energy business, driven by increases in offshore crew expenses of $2.1 million, project costs of $3.9 million and other operating expenses of $1.3 million for one of our vessels. The increase in the other operating expenses were driven by the operational location of the vessel, as well as the increased number of days on-hire. Additionally, repairs and maintenance expense increased $0.6 million due to repairs on one of our vessels.</w:t>
      </w:r>
    </w:p>
    <w:p>
      <w:pPr>
        <w:spacing w:after="0" w:line="78"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Depreciation and amortization increased by $2.5 million, primarily due to new assets being placed into service in the Offshore Energy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Acquisition and transaction expenses decreased $4.7 million, primarily due to lower professional fees related to strategic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by $28.4 million, due to the following:</w:t>
      </w:r>
    </w:p>
    <w:p>
      <w:pPr>
        <w:spacing w:after="0" w:line="113" w:lineRule="exact"/>
        <w:rPr>
          <w:sz w:val="20"/>
          <w:szCs w:val="20"/>
          <w:color w:val="auto"/>
        </w:rPr>
      </w:pPr>
    </w:p>
    <w:p>
      <w:pPr>
        <w:ind w:left="660" w:hanging="328"/>
        <w:spacing w:after="0" w:line="28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on extinguishment of debt decreased by $19.9 million driven by the 2022 pay-down of the 2021 Bridge Loans and the partial redemption of the Senior Notes due 2025.</w:t>
      </w:r>
    </w:p>
    <w:p>
      <w:pPr>
        <w:spacing w:after="0" w:line="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expense decreased $7.6 million, which reflects a decrease in the average outstanding debt of approximately $183.8 million primarily due to decreases in (i) the 2021 Bridge Loans of $178.3 million and (ii) the Senior Notes due 2025 of $116.7 million, which were partially redeemed in August 2022, partially offset by increases in (iii) the Revolving Credit Facility of $28.7 million and (iv) the Senior Notes due 2030 of $82.8 million, which were issued in November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Net loss decreased by $10.3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$3.7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Prior to May 28, 2024, FTAI Aviation Ltd. operated under the Management Agreement with the Former Manager, and the Master GP, each an affiliate of Fortress. For their services, the Former Manager was entitled to management fees and the Master GP was entitled to certain incentive allocations, both defined in, and in accordance with the terms of, the Management Agreement. On May 28, 2024, the Company entered into the Internalization Agreement, pursuant to which the Management Agreement was terminated effective May 28, 2024 (the “Effective Date”), except that certain indemnification and other obligations survive, and the Company internalized its management functions (such transactions, the “Internalization”).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$150.0 million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1,866,949 ordinary shares of the Company (the “Share Consideration”); and (iii) purchased from Master GP all of its partnership interests in FTAI Aviation Holdco Ltd., a subsidiary of the Company, in exchange for $30 thousand. In addition, the Former Manager repaid to the Company certain annual bonus payments due to certain employees of the Former Manager or its affiliates who provide services to the Company with respect to the 2024 calendar year on a pro rata basis. The Company financed the cash payments through one or more debt financings, along with cash on hand.</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 See “Risks Related to Our Business-Our Strategic Capital Initiative involves certain risks which could adversely affect our business, prospects,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Please refer to Note 14 of our consolidated financial statements included in Item 8 in this Annual Report on Form 10-K for a report, by geographic area for each segment, of revenues from our external customers and lessees, for the years ended December 31, 2024, 2023 and 2022, as well as a report of our total property, plant and equipment as of December 31, 2024 and 2023.</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October 9, 2024, we issued $500.0 million aggregate principal amount of senior unsecured notes due 2033. Using a portion of the net proceeds, the Company redeemed the remaining $130.5 million aggregate principal amount of Senior Notes due 2027, plus accrued and unpaid interest. The Company used the remaining net proceeds to pay down in full the Company’s Revolving Credit Facility, with any excess proceeds intended for general corporate purposes, including funding acquisitions and investments.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 On December 30, 2024, we announced the launch of a Strategic Capital Initiative in collaboration with third-party institutional investors. The Strategic Capital Initiative, and its related partnerships, will allow us to maintain an asset-light business model while the partnerships actively acquire on-lease narrowbody aircraft at scale. We have agreed that the related partnerships will be the primary buyer of on-lease 737NG and A320ceo aircraft. We expect to provide aircraft management services to the related partnerships for which the Company will receive customary, market-based compensation. The Company also expects to make minority investment in the related partnerships.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aircraft and engines, (ii) dividends to our ordinary and preferred shareholders,</w:t>
      </w:r>
    </w:p>
    <w:p>
      <w:pPr>
        <w:spacing w:after="0" w:line="21" w:lineRule="exact"/>
        <w:rPr>
          <w:sz w:val="20"/>
          <w:szCs w:val="20"/>
          <w:color w:val="auto"/>
        </w:rPr>
      </w:pPr>
    </w:p>
    <w:p>
      <w:pPr>
        <w:ind w:firstLine="8"/>
        <w:spacing w:after="0" w:line="265" w:lineRule="auto"/>
        <w:tabs>
          <w:tab w:leader="none" w:pos="2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In the future, instead of acquiring on-lease aircraft directly, as part of the Strategic Capital Initiative, we will invest in the related partnerships and such partnerships will acquire on-lease aircraft.</w:t>
      </w:r>
    </w:p>
    <w:p>
      <w:pPr>
        <w:spacing w:after="0" w:line="77"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34"/>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$1,526.2 million, $861.5 million and $831.5 million during the years ended December 31, 2024, 2023, and 2022, respectively.</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$154.3 million, $151.6 million and $155.6 million during the years ended December 31, 2024, 2023 and 2022, respectively.</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1"/>
          <w:numId w:val="34"/>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spacing w:after="0" w:line="248" w:lineRule="exact"/>
        <w:rPr>
          <w:sz w:val="20"/>
          <w:szCs w:val="20"/>
          <w:color w:val="auto"/>
        </w:rPr>
      </w:pPr>
    </w:p>
    <w:p>
      <w:pPr>
        <w:ind w:left="660" w:hanging="328"/>
        <w:spacing w:after="0" w:line="30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$(136.5) million, $163.0 million and $29.4 million during the years ended December 31, 2024, 2023, and 2022, respectively.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year ended December 31, 2024, additional borrowings were obtained in connection with the (i) Senior Notes due 2033 of $500.0 million,</w:t>
      </w:r>
    </w:p>
    <w:p>
      <w:pPr>
        <w:spacing w:after="0" w:line="21" w:lineRule="exact"/>
        <w:rPr>
          <w:rFonts w:ascii="Arial" w:cs="Arial" w:eastAsia="Arial" w:hAnsi="Arial"/>
          <w:sz w:val="16"/>
          <w:szCs w:val="16"/>
          <w:color w:val="auto"/>
        </w:rPr>
      </w:pPr>
    </w:p>
    <w:p>
      <w:pPr>
        <w:ind w:left="900" w:hanging="244"/>
        <w:spacing w:after="0"/>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Senior Notes due 2032 of $800.0 million, (iii) Senior Notes due 2031 of $700.0 million and (iv) Revolving Credit Facility of $745.0 million. We</w:t>
      </w:r>
    </w:p>
    <w:p>
      <w:pPr>
        <w:spacing w:after="0" w:line="15" w:lineRule="exact"/>
        <w:rPr>
          <w:sz w:val="20"/>
          <w:szCs w:val="20"/>
          <w:color w:val="auto"/>
        </w:rPr>
      </w:pPr>
    </w:p>
    <w:p>
      <w:pPr>
        <w:jc w:val="both"/>
        <w:ind w:left="660"/>
        <w:spacing w:after="0" w:line="270" w:lineRule="auto"/>
        <w:rPr>
          <w:sz w:val="20"/>
          <w:szCs w:val="20"/>
          <w:color w:val="auto"/>
        </w:rPr>
      </w:pPr>
      <w:r>
        <w:rPr>
          <w:rFonts w:ascii="Arial" w:cs="Arial" w:eastAsia="Arial" w:hAnsi="Arial"/>
          <w:sz w:val="16"/>
          <w:szCs w:val="16"/>
          <w:color w:val="auto"/>
        </w:rPr>
        <w:t>made total principal repayments of (i) $650.0 million related to the Senior Notes due 2025, (ii) $745.0 million relating to the Revolving Credit Facility and (iii) $400.0 million related to the Senior Notes due 2027.</w:t>
      </w:r>
    </w:p>
    <w:p>
      <w:pPr>
        <w:spacing w:after="0" w:line="73"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During the year ended December 31, 2023, additional borrowings were obtained in connection with the (i) Revolving Credit Facility of $455.0 million and (ii) Senior Notes Due 2030 of $500.0 million. We made total principal repayments of $605.0 million relating to the Revolving Credit Facility.</w:t>
      </w:r>
    </w:p>
    <w:p>
      <w:pPr>
        <w:spacing w:after="0" w:line="48"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During the year ended December 31, 2022, additional borrowings were obtained in connection with the (i) 2021 Bridge Loans of $239.5 million (ii) Revolving Credit Facility of $565.0 million and (iii) EB-5 Loan Agreement of $9.5 million. We made total principal repayments of (i) $604.5 million relating to the Revolving Credit Facility, (ii) $340.0 million related to the 2021 Bridge Loans and (iii) $200.0 million related to the Senior Notes due 2025.</w:t>
      </w:r>
    </w:p>
    <w:p>
      <w:pPr>
        <w:spacing w:after="0" w:line="78" w:lineRule="exact"/>
        <w:rPr>
          <w:sz w:val="20"/>
          <w:szCs w:val="20"/>
          <w:color w:val="auto"/>
        </w:rPr>
      </w:pPr>
    </w:p>
    <w:p>
      <w:pPr>
        <w:ind w:left="66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Proceeds from the sale of assets were $969.3 million, $477.9 million and $414.2 million during the years ended December 31, 2024, 2023, and 2022, respectively.</w:t>
      </w:r>
    </w:p>
    <w:p>
      <w:pPr>
        <w:spacing w:after="0" w:line="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$61.7 million during the year ended December 31, 2023. There were no issuances of preferred shares during the years ended December 31, 2024 and 2022. In October 2024, the Company redeemed in full the outstanding Series A preferred shares at a redemption price equal to $25.00 per share in cash, plus $1.6 million of accumulated and unpaid distributions thereon to, but not including, the redemption date of October 29, 2024.</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28, 2024, we entered into definitive agreements with the Former Manager and Master GP to internalize our management function. As part of the termination of the Management Agreement, we agreed to pay $150.0 million to the Former Manager. Following the internalization of management on May 28, 2024, we no longer pay a management fee or incentive distribution to the Former Manager or Master GP. Consequently, we have assumed general and administrative, and compensation and benefit expenses directly. We anticipate a savings in operation costs as a result of the Internalization.</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 from both continuing and discontinued operations: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74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r>
      <w:tr>
        <w:trPr>
          <w:trHeight w:val="18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1"/>
        </w:trPr>
        <w:tc>
          <w:tcPr>
            <w:tcW w:w="652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408"/>
              <w:spacing w:after="0"/>
              <w:rPr>
                <w:sz w:val="20"/>
                <w:szCs w:val="20"/>
                <w:color w:val="auto"/>
              </w:rPr>
            </w:pPr>
            <w:r>
              <w:rPr>
                <w:rFonts w:ascii="Arial" w:cs="Arial" w:eastAsia="Arial" w:hAnsi="Arial"/>
                <w:sz w:val="14"/>
                <w:szCs w:val="14"/>
                <w:b w:val="1"/>
                <w:bCs w:val="1"/>
                <w:color w:val="auto"/>
              </w:rPr>
              <w:t>(187,956)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408"/>
              <w:spacing w:after="0"/>
              <w:rPr>
                <w:sz w:val="20"/>
                <w:szCs w:val="20"/>
                <w:color w:val="auto"/>
              </w:rPr>
            </w:pPr>
            <w:r>
              <w:rPr>
                <w:rFonts w:ascii="Arial" w:cs="Arial" w:eastAsia="Arial" w:hAnsi="Arial"/>
                <w:sz w:val="14"/>
                <w:szCs w:val="14"/>
                <w:color w:val="auto"/>
              </w:rPr>
              <w:t>128,982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(20,657)</w:t>
            </w:r>
          </w:p>
        </w:tc>
      </w:tr>
      <w:tr>
        <w:trPr>
          <w:trHeight w:val="20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408"/>
              <w:spacing w:after="0"/>
              <w:rPr>
                <w:sz w:val="20"/>
                <w:szCs w:val="20"/>
                <w:color w:val="auto"/>
              </w:rPr>
            </w:pPr>
            <w:r>
              <w:rPr>
                <w:rFonts w:ascii="Arial" w:cs="Arial" w:eastAsia="Arial" w:hAnsi="Arial"/>
                <w:sz w:val="14"/>
                <w:szCs w:val="14"/>
                <w:b w:val="1"/>
                <w:bCs w:val="1"/>
                <w:color w:val="auto"/>
              </w:rPr>
              <w:t>(469,498)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(373,349)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(411,253)</w:t>
            </w:r>
          </w:p>
        </w:tc>
      </w:tr>
      <w:tr>
        <w:trPr>
          <w:trHeight w:val="200"/>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7"/>
                <w:szCs w:val="17"/>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b w:val="1"/>
                <w:bCs w:val="1"/>
                <w:color w:val="auto"/>
              </w:rPr>
              <w:t>681,814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center"/>
              <w:ind w:left="408"/>
              <w:spacing w:after="0"/>
              <w:rPr>
                <w:sz w:val="20"/>
                <w:szCs w:val="20"/>
                <w:color w:val="auto"/>
              </w:rPr>
            </w:pPr>
            <w:r>
              <w:rPr>
                <w:rFonts w:ascii="Arial" w:cs="Arial" w:eastAsia="Arial" w:hAnsi="Arial"/>
                <w:sz w:val="14"/>
                <w:szCs w:val="14"/>
                <w:color w:val="auto"/>
              </w:rPr>
              <w:t>282,208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44,914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2024 and 2023</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operating activities increased $316.9 million, which primarily reflects (i) a decrease in our Net income of $235.1 million and increases in (ii) Changes in working capital of $178.5 million and (iii) Gain on sale of assets of $217.2 million, partially offset by certain adjustments to reconcile net income to cash used in operating activities including increases in (iv) Non-cash termination fee to affiliate (issuance of ordinary shares) of $150.0 million, (v) Deferred income taxes of $61.7 million, (vi) Depreciation and amortization of $48.2 million, a decrease in (vii) Security deposits and maintenance claims included in earnings of $23.8 million, an increase in (viii) Loss on extinguishment of debt of $17.1 million and a decrease in (ix) Other of $6.4 million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investing activities increased $96.1 million primarily due to increases in (i) Acquisition of leasing equipment of $397.6 million, (ii) Deposits for leasing equipment of $134.4 million, (iii) Acquisition of business, net of cash acquired of $118.0 million and (iv) Investments in financing receivables of $66.9 million, partially offset by higher (v) Proceeds from sale of assets of $491.4 million and (vi) Proceeds (refunds) from deposits on sale of leasing equipment of $78.4 million, and decreases in (vii) Acquisition of lease intangibles of $24.1 million, (viii) Investment in unconsolidated entities of $19.5 million and (ix) Investment in promissory notes of $11.5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Net cash provided by financing activities increased $399.6 million primarily due to increases in (i) Proceeds from debt of $1,630.2 million and (ii) Receipt of maintenance deposits under operating lease agreements of $19.0 million, partially offset by increases in (iii) Repayment of debt of $1,067.3 million and (iv) Redemption of preferred shares of $105.4 million, a decrease in (v) Proceeds from issuance of preferred shares, net of underwriter's discount and issuance costs of $61.7 million, and increases in (vi) Release of maintenance deposits under operating lease agreements of $6.9 million and (vii) Payment of deferred financing costs of $5.2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Flows of Discontinued Operations</w:t>
      </w:r>
    </w:p>
    <w:p>
      <w:pPr>
        <w:spacing w:after="0" w:line="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 Cash used in operating activities from discontinued operations were $63.9 million for the year ended December 31, 2022. Cash used in investing activities from discontinued operations were $136.3 million for the year ended December 31, 2022.</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absence of cash flows from discontinued operations is not expected to adversely affect our liquidity or our ability to fund capital expenditures or working capital needs.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2024, we had outstanding principal and interest payment obligations of $3.5 billion and $1.4 billion through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maturity date of the debt, respectively, of which only interest payments of $229.8 million are due in the next twelve months. See Note 9 to the consolidated financial statements for additional information about our debt obligations.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2024, we had outstanding operating and finance lease obligations of $37.5 million, of which, $2.9 million is due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next twelve months.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i w:val="1"/>
          <w:iCs w:val="1"/>
          <w:color w:val="000000"/>
        </w:rPr>
        <w:t>—</w:t>
      </w:r>
      <w:r>
        <w:rPr>
          <w:rFonts w:ascii="Arial" w:cs="Arial" w:eastAsia="Arial" w:hAnsi="Arial"/>
          <w:sz w:val="16"/>
          <w:szCs w:val="16"/>
          <w:color w:val="000000"/>
        </w:rPr>
        <w:t>In addition to our contractual obligations, we pay quarterly cash dividends on our ordinary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2024, we declared cash dividends of $121.6 million and $32.8 million on our ordinary shares and preferred shares, respectively.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 Note 2 to the consolidated financial statements describes the significant accounting policies and methods used in the preparation of our consolidated financial statements.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lessee is placed on non-accrual status and revenue is recognized when cash payments are received.</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paid by the lessee. In the event the total cost of maintenance events over the term of a lease is less than the cumulative maintenance payments, we are not required to return any unused or excess maintenance payments to the lessee.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6"/>
          <w:szCs w:val="16"/>
          <w:b w:val="1"/>
          <w:bCs w:val="1"/>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See Note 14 for additional information.</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deposits in the Consolidated Balance Sheets. Reimbursements made to the lessee upon the receipt of evidence of qualifying maintenance work are recorded against the maintenance deposit liability.</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in the Consolidated Balance sheets,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Leasing Equipment and Depreciation</w:t>
      </w:r>
      <w:r>
        <w:rPr>
          <w:rFonts w:ascii="Arial" w:cs="Arial" w:eastAsia="Arial" w:hAnsi="Arial"/>
          <w:sz w:val="16"/>
          <w:szCs w:val="16"/>
          <w:color w:val="000000"/>
        </w:rPr>
        <w:t>—Leasing equipment is stated at cost (inclusive of capitalized acquisition costs, where applicable) and depreciated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using the straight-line method, over estimated useful lives, to estimated residual values which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3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3"/>
        </w:trPr>
        <w:tc>
          <w:tcPr>
            <w:tcW w:w="42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Aircraft</w:t>
            </w:r>
          </w:p>
        </w:tc>
        <w:tc>
          <w:tcPr>
            <w:tcW w:w="35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Generally not to exceed 15% of manufacturer’s list</w:t>
            </w:r>
          </w:p>
        </w:tc>
      </w:tr>
      <w:tr>
        <w:trPr>
          <w:trHeight w:val="189"/>
        </w:trPr>
        <w:tc>
          <w:tcPr>
            <w:tcW w:w="4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bl>
    <w:p>
      <w:pPr>
        <w:spacing w:after="0" w:line="1" w:lineRule="exact"/>
        <w:rPr>
          <w:sz w:val="20"/>
          <w:szCs w:val="20"/>
          <w:color w:val="auto"/>
        </w:rPr>
      </w:pPr>
    </w:p>
    <w:p>
      <w:pPr>
        <w:sectPr>
          <w:pgSz w:w="11900" w:h="16838" w:orient="portrait"/>
          <w:cols w:equalWidth="0" w:num="1">
            <w:col w:w="11240"/>
          </w:cols>
          <w:pgMar w:left="320" w:top="1043" w:right="339" w:bottom="1440" w:gutter="0" w:footer="0" w:header="0"/>
        </w:sectPr>
      </w:pPr>
    </w:p>
    <w:p>
      <w:pPr>
        <w:ind w:left="20"/>
        <w:spacing w:after="0" w:line="228" w:lineRule="auto"/>
        <w:tabs>
          <w:tab w:leader="none" w:pos="4220" w:val="left"/>
        </w:tabs>
        <w:rPr>
          <w:sz w:val="20"/>
          <w:szCs w:val="20"/>
          <w:color w:val="auto"/>
        </w:rPr>
      </w:pPr>
      <w:r>
        <w:rPr>
          <w:rFonts w:ascii="Arial" w:cs="Arial" w:eastAsia="Arial" w:hAnsi="Arial"/>
          <w:sz w:val="14"/>
          <w:szCs w:val="14"/>
          <w:color w:val="auto"/>
        </w:rPr>
        <w:t>Aircraft engines</w:t>
      </w:r>
      <w:r>
        <w:rPr>
          <w:sz w:val="20"/>
          <w:szCs w:val="20"/>
          <w:color w:val="auto"/>
        </w:rPr>
        <w:tab/>
      </w:r>
      <w:r>
        <w:rPr>
          <w:rFonts w:ascii="Arial" w:cs="Arial" w:eastAsia="Arial" w:hAnsi="Arial"/>
          <w:sz w:val="14"/>
          <w:szCs w:val="14"/>
          <w:color w:val="auto"/>
        </w:rPr>
        <w:t>2 - 6 years, based on maintenance adjusted service</w:t>
      </w:r>
    </w:p>
    <w:p>
      <w:pPr>
        <w:ind w:left="4240"/>
        <w:spacing w:after="0"/>
        <w:rPr>
          <w:sz w:val="20"/>
          <w:szCs w:val="20"/>
          <w:color w:val="auto"/>
        </w:rPr>
      </w:pPr>
      <w:r>
        <w:rPr>
          <w:rFonts w:ascii="Arial" w:cs="Arial" w:eastAsia="Arial" w:hAnsi="Arial"/>
          <w:sz w:val="14"/>
          <w:szCs w:val="14"/>
          <w:color w:val="auto"/>
        </w:rPr>
        <w:t>life</w:t>
      </w:r>
    </w:p>
    <w:p>
      <w:pPr>
        <w:spacing w:after="0" w:line="20" w:lineRule="exact"/>
        <w:rPr>
          <w:sz w:val="20"/>
          <w:szCs w:val="20"/>
          <w:color w:val="auto"/>
        </w:rPr>
      </w:pPr>
      <w:r>
        <w:rPr>
          <w:sz w:val="20"/>
          <w:szCs w:val="20"/>
          <w:color w:val="auto"/>
        </w:rPr>
        <w:br w:type="column"/>
      </w:r>
    </w:p>
    <w:p>
      <w:pPr>
        <w:ind w:right="100"/>
        <w:spacing w:after="0" w:line="244" w:lineRule="auto"/>
        <w:rPr>
          <w:sz w:val="20"/>
          <w:szCs w:val="20"/>
          <w:color w:val="auto"/>
        </w:rPr>
      </w:pPr>
      <w:r>
        <w:rPr>
          <w:rFonts w:ascii="Arial" w:cs="Arial" w:eastAsia="Arial" w:hAnsi="Arial"/>
          <w:sz w:val="14"/>
          <w:szCs w:val="14"/>
          <w:color w:val="auto"/>
        </w:rPr>
        <w:t>Sum of engine core salvage value plus the estimated fair value of life limited parts</w:t>
      </w:r>
    </w:p>
    <w:p>
      <w:pPr>
        <w:spacing w:after="0" w:line="73" w:lineRule="exact"/>
        <w:rPr>
          <w:sz w:val="20"/>
          <w:szCs w:val="20"/>
          <w:color w:val="auto"/>
        </w:rPr>
      </w:pPr>
    </w:p>
    <w:p>
      <w:pPr>
        <w:sectPr>
          <w:pgSz w:w="11900" w:h="16838" w:orient="portrait"/>
          <w:cols w:equalWidth="0" w:num="2">
            <w:col w:w="7540" w:space="240"/>
            <w:col w:w="3460"/>
          </w:cols>
          <w:pgMar w:left="320" w:top="1043" w:right="33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and the length of time an asset is off lease related to leasing equipment or engines. When performing a recoverability assessment, we measure whether the estimated future undiscounted net cash flows expected to be generated by the asset exceeds its net book value. The undiscounted cash flows consist of cash flows from currently contracted leases and contracts, future projected leases, transition costs, estimated down time and estimated residual or scrap values. In the event that an asset does not meet the recoverability test, the carrying value of the asset will be adjusted to fair value resulting in an impairment charge.</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2024,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28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FTAI Aviation Ltd.:</w:t>
            </w:r>
          </w:p>
        </w:tc>
        <w:tc>
          <w:tcPr>
            <w:tcW w:w="1660" w:type="dxa"/>
            <w:vAlign w:val="bottom"/>
          </w:tcPr>
          <w:p>
            <w:pPr>
              <w:spacing w:after="0"/>
              <w:rPr>
                <w:sz w:val="17"/>
                <w:szCs w:val="17"/>
                <w:color w:val="auto"/>
              </w:rPr>
            </w:pPr>
          </w:p>
        </w:tc>
      </w:tr>
      <w:tr>
        <w:trPr>
          <w:trHeight w:val="197"/>
        </w:trPr>
        <w:tc>
          <w:tcPr>
            <w:tcW w:w="9280" w:type="dxa"/>
            <w:vAlign w:val="bottom"/>
          </w:tcPr>
          <w:p>
            <w:pPr>
              <w:ind w:left="420"/>
              <w:spacing w:after="0"/>
              <w:rPr>
                <w:sz w:val="20"/>
                <w:szCs w:val="20"/>
                <w:color w:val="auto"/>
              </w:rPr>
            </w:pPr>
            <w:r>
              <w:rPr>
                <w:rFonts w:ascii="Arial" w:cs="Arial" w:eastAsia="Arial" w:hAnsi="Arial"/>
                <w:sz w:val="14"/>
                <w:szCs w:val="14"/>
                <w:color w:val="0E32E1"/>
              </w:rPr>
              <w:t>Report of Independent Registered Public Accounting Firm (PCAOB ID: 42)</w:t>
            </w:r>
          </w:p>
        </w:tc>
        <w:tc>
          <w:tcPr>
            <w:tcW w:w="1660" w:type="dxa"/>
            <w:vAlign w:val="bottom"/>
          </w:tcPr>
          <w:p>
            <w:pPr>
              <w:jc w:val="right"/>
              <w:spacing w:after="0"/>
              <w:rPr>
                <w:sz w:val="20"/>
                <w:szCs w:val="20"/>
                <w:color w:val="auto"/>
              </w:rPr>
            </w:pPr>
            <w:r>
              <w:rPr>
                <w:rFonts w:ascii="Arial" w:cs="Arial" w:eastAsia="Arial" w:hAnsi="Arial"/>
                <w:sz w:val="14"/>
                <w:szCs w:val="14"/>
                <w:color w:val="0E32E1"/>
              </w:rPr>
              <w:t>53</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Balance Sheets as of December 31, 2024 and 2023</w:t>
            </w:r>
          </w:p>
        </w:tc>
        <w:tc>
          <w:tcPr>
            <w:tcW w:w="1660" w:type="dxa"/>
            <w:vAlign w:val="bottom"/>
          </w:tcPr>
          <w:p>
            <w:pPr>
              <w:jc w:val="right"/>
              <w:spacing w:after="0"/>
              <w:rPr>
                <w:sz w:val="20"/>
                <w:szCs w:val="20"/>
                <w:color w:val="auto"/>
              </w:rPr>
            </w:pPr>
            <w:r>
              <w:rPr>
                <w:rFonts w:ascii="Arial" w:cs="Arial" w:eastAsia="Arial" w:hAnsi="Arial"/>
                <w:sz w:val="14"/>
                <w:szCs w:val="14"/>
                <w:color w:val="0E32E1"/>
              </w:rPr>
              <w:t>55</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Operations for the years ended December 31, 2024, 2023 and 2022</w:t>
            </w:r>
          </w:p>
        </w:tc>
        <w:tc>
          <w:tcPr>
            <w:tcW w:w="1660" w:type="dxa"/>
            <w:vAlign w:val="bottom"/>
          </w:tcPr>
          <w:p>
            <w:pPr>
              <w:jc w:val="right"/>
              <w:spacing w:after="0"/>
              <w:rPr>
                <w:sz w:val="20"/>
                <w:szCs w:val="20"/>
                <w:color w:val="auto"/>
              </w:rPr>
            </w:pPr>
            <w:r>
              <w:rPr>
                <w:rFonts w:ascii="Arial" w:cs="Arial" w:eastAsia="Arial" w:hAnsi="Arial"/>
                <w:sz w:val="14"/>
                <w:szCs w:val="14"/>
                <w:color w:val="0E32E1"/>
              </w:rPr>
              <w:t>56</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Comprehensive Income (loss) for the years ended December 31, 2024, 2023 and 2022</w:t>
            </w:r>
          </w:p>
        </w:tc>
        <w:tc>
          <w:tcPr>
            <w:tcW w:w="1660" w:type="dxa"/>
            <w:vAlign w:val="bottom"/>
          </w:tcPr>
          <w:p>
            <w:pPr>
              <w:jc w:val="right"/>
              <w:spacing w:after="0"/>
              <w:rPr>
                <w:sz w:val="20"/>
                <w:szCs w:val="20"/>
                <w:color w:val="auto"/>
              </w:rPr>
            </w:pPr>
            <w:r>
              <w:rPr>
                <w:rFonts w:ascii="Arial" w:cs="Arial" w:eastAsia="Arial" w:hAnsi="Arial"/>
                <w:sz w:val="14"/>
                <w:szCs w:val="14"/>
                <w:color w:val="0E32E1"/>
              </w:rPr>
              <w:t>57</w:t>
            </w:r>
          </w:p>
        </w:tc>
      </w:tr>
      <w:tr>
        <w:trPr>
          <w:trHeight w:val="202"/>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 of Changes in Equity for the years ended December 31, 2024, 2023 and 2022</w:t>
            </w:r>
          </w:p>
        </w:tc>
        <w:tc>
          <w:tcPr>
            <w:tcW w:w="1660" w:type="dxa"/>
            <w:vAlign w:val="bottom"/>
          </w:tcPr>
          <w:p>
            <w:pPr>
              <w:jc w:val="right"/>
              <w:spacing w:after="0"/>
              <w:rPr>
                <w:sz w:val="20"/>
                <w:szCs w:val="20"/>
                <w:color w:val="auto"/>
              </w:rPr>
            </w:pPr>
            <w:r>
              <w:rPr>
                <w:rFonts w:ascii="Arial" w:cs="Arial" w:eastAsia="Arial" w:hAnsi="Arial"/>
                <w:sz w:val="14"/>
                <w:szCs w:val="14"/>
                <w:color w:val="0E32E1"/>
              </w:rPr>
              <w:t>58</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Cash Flows for the years ended December 31, 2024, 2023 and 2022</w:t>
            </w:r>
          </w:p>
        </w:tc>
        <w:tc>
          <w:tcPr>
            <w:tcW w:w="1660" w:type="dxa"/>
            <w:vAlign w:val="bottom"/>
          </w:tcPr>
          <w:p>
            <w:pPr>
              <w:jc w:val="right"/>
              <w:spacing w:after="0"/>
              <w:rPr>
                <w:sz w:val="20"/>
                <w:szCs w:val="20"/>
                <w:color w:val="auto"/>
              </w:rPr>
            </w:pPr>
            <w:r>
              <w:rPr>
                <w:rFonts w:ascii="Arial" w:cs="Arial" w:eastAsia="Arial" w:hAnsi="Arial"/>
                <w:sz w:val="14"/>
                <w:szCs w:val="14"/>
                <w:color w:val="0E32E1"/>
              </w:rPr>
              <w:t>59</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Notes to Consolidated Financial Statements</w:t>
            </w:r>
          </w:p>
        </w:tc>
        <w:tc>
          <w:tcPr>
            <w:tcW w:w="1660" w:type="dxa"/>
            <w:vAlign w:val="bottom"/>
          </w:tcPr>
          <w:p>
            <w:pPr>
              <w:jc w:val="right"/>
              <w:spacing w:after="0"/>
              <w:rPr>
                <w:sz w:val="20"/>
                <w:szCs w:val="20"/>
                <w:color w:val="auto"/>
              </w:rPr>
            </w:pPr>
            <w:r>
              <w:rPr>
                <w:rFonts w:ascii="Arial" w:cs="Arial" w:eastAsia="Arial" w:hAnsi="Arial"/>
                <w:sz w:val="14"/>
                <w:szCs w:val="14"/>
                <w:color w:val="0E32E1"/>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5" w:right="619" w:bottom="1440" w:gutter="0" w:footer="0" w:header="0"/>
        </w:sectPr>
      </w:pPr>
    </w:p>
    <w:bookmarkStart w:id="52" w:name="page53"/>
    <w:bookmarkEnd w:id="52"/>
    <w:p>
      <w:pPr>
        <w:ind w:right="3380" w:firstLine="3379"/>
        <w:spacing w:after="0" w:line="48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the Financial Statements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audited the accompanying consolidated balance sheets of FTAI Aviation Ltd. (the Company) as of December 31, 2024 and 2023, the related consolidated statements of operations, comprehensive income (loss), changes in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3, 2025 expressed an unqualified opinion thereon.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5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Recognition of Maintenance Revenue for Aircraft Leases</w:t>
      </w:r>
    </w:p>
    <w:p>
      <w:pPr>
        <w:spacing w:after="0" w:line="39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6"/>
          <w:szCs w:val="16"/>
          <w:i w:val="1"/>
          <w:iCs w:val="1"/>
          <w:color w:val="auto"/>
        </w:rPr>
        <w:t>Description of the</w:t>
      </w:r>
      <w:r>
        <w:rPr>
          <w:sz w:val="20"/>
          <w:szCs w:val="20"/>
          <w:color w:val="auto"/>
        </w:rPr>
        <w:tab/>
      </w:r>
      <w:r>
        <w:rPr>
          <w:rFonts w:ascii="Arial" w:cs="Arial" w:eastAsia="Arial" w:hAnsi="Arial"/>
          <w:sz w:val="16"/>
          <w:szCs w:val="16"/>
          <w:color w:val="auto"/>
        </w:rPr>
        <w:t>As described in Note 2 to the consolidated financial statements, the Company recognizes maintenance revenue for aircraft leases</w:t>
      </w:r>
    </w:p>
    <w:p>
      <w:pPr>
        <w:spacing w:after="0" w:line="21" w:lineRule="exact"/>
        <w:rPr>
          <w:sz w:val="20"/>
          <w:szCs w:val="20"/>
          <w:color w:val="auto"/>
        </w:rPr>
      </w:pPr>
    </w:p>
    <w:p>
      <w:pPr>
        <w:jc w:val="both"/>
        <w:ind w:left="1600" w:right="20" w:hanging="1579"/>
        <w:spacing w:after="0" w:line="247" w:lineRule="auto"/>
        <w:tabs>
          <w:tab w:leader="none" w:pos="158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related to the portion of maintenance payments received from lessees that are not expected to be reimbursed for major maintenance events. Maintenance revenue totaled $200.8 million for the year ended December 31, 2024, a portion of which relates to maintenance revenue for aircraft leases.</w:t>
      </w:r>
    </w:p>
    <w:p>
      <w:pPr>
        <w:spacing w:after="0" w:line="131" w:lineRule="exact"/>
        <w:rPr>
          <w:sz w:val="20"/>
          <w:szCs w:val="20"/>
          <w:color w:val="auto"/>
        </w:rPr>
      </w:pPr>
    </w:p>
    <w:p>
      <w:pPr>
        <w:jc w:val="both"/>
        <w:ind w:left="1600" w:right="20"/>
        <w:spacing w:after="0" w:line="248" w:lineRule="auto"/>
        <w:rPr>
          <w:sz w:val="20"/>
          <w:szCs w:val="20"/>
          <w:color w:val="auto"/>
        </w:rPr>
      </w:pPr>
      <w:r>
        <w:rPr>
          <w:rFonts w:ascii="Arial" w:cs="Arial" w:eastAsia="Arial" w:hAnsi="Arial"/>
          <w:sz w:val="16"/>
          <w:szCs w:val="16"/>
          <w:color w:val="auto"/>
        </w:rPr>
        <w:t>Auditing maintenance revenue for aircraft leases was challenging due to the estimation involved in the Company’s complex modeling process. The estimation is sensitive to certain assumptions in the model such as the mean time between removal (MTBR) and forecasted utilization of the aircraft, which are affected by historical usage patterns and market conditions. Significant changes to the MTBR assumption could have a material effect on the amount of maintenance revenue on lease aircraft recognized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ind w:left="20"/>
        <w:spacing w:after="0"/>
        <w:tabs>
          <w:tab w:leader="none" w:pos="1580" w:val="left"/>
        </w:tabs>
        <w:rPr>
          <w:sz w:val="20"/>
          <w:szCs w:val="20"/>
          <w:color w:val="auto"/>
        </w:rPr>
      </w:pPr>
      <w:r>
        <w:rPr>
          <w:rFonts w:ascii="Arial" w:cs="Arial" w:eastAsia="Arial" w:hAnsi="Arial"/>
          <w:sz w:val="16"/>
          <w:szCs w:val="16"/>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 process</w:t>
      </w:r>
    </w:p>
    <w:p>
      <w:pPr>
        <w:spacing w:after="0" w:line="8"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6"/>
          <w:szCs w:val="16"/>
          <w:i w:val="1"/>
          <w:iCs w:val="1"/>
          <w:color w:val="auto"/>
        </w:rPr>
        <w:t>the Matter in Our</w:t>
      </w:r>
      <w:r>
        <w:rPr>
          <w:sz w:val="20"/>
          <w:szCs w:val="20"/>
          <w:color w:val="auto"/>
        </w:rPr>
        <w:tab/>
      </w:r>
      <w:r>
        <w:rPr>
          <w:rFonts w:ascii="Arial" w:cs="Arial" w:eastAsia="Arial" w:hAnsi="Arial"/>
          <w:sz w:val="16"/>
          <w:szCs w:val="16"/>
          <w:color w:val="auto"/>
        </w:rPr>
        <w:t>for recognizing maintenance revenue for aircraft leases, including controls over management’s review of the estimated timing of major</w:t>
      </w:r>
    </w:p>
    <w:p>
      <w:pPr>
        <w:spacing w:after="0" w:line="5"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maintenance events as described above.</w:t>
      </w:r>
    </w:p>
    <w:p>
      <w:pPr>
        <w:spacing w:after="0" w:line="151" w:lineRule="exact"/>
        <w:rPr>
          <w:sz w:val="20"/>
          <w:szCs w:val="20"/>
          <w:color w:val="auto"/>
        </w:rPr>
      </w:pPr>
    </w:p>
    <w:p>
      <w:pPr>
        <w:jc w:val="both"/>
        <w:ind w:left="1600"/>
        <w:spacing w:after="0" w:line="244" w:lineRule="auto"/>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 Company’s revenue recognition methodology and testing the MTBR assumption described above for a sample of aircraft. For example, we compared the MTBR assumption to data provided by a third-party specialist, assessed the accuracy of the historical usage patterns and the calculation of the forecasted utilization, and assessed the Company’s retrospective review of timing of estimated maintenance events to actual results to assess the historical accuracy of the MTBR assumption. We also involved our valuation specialists to assist in our evaluation of the appropriateness of the market conditions used in developing the MTBR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94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115,116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90,756</w:t>
            </w:r>
          </w:p>
        </w:tc>
        <w:tc>
          <w:tcPr>
            <w:tcW w:w="0" w:type="dxa"/>
            <w:vAlign w:val="bottom"/>
          </w:tcPr>
          <w:p>
            <w:pPr>
              <w:spacing w:after="0"/>
              <w:rPr>
                <w:sz w:val="1"/>
                <w:szCs w:val="1"/>
                <w:color w:val="auto"/>
              </w:rPr>
            </w:pPr>
          </w:p>
        </w:tc>
      </w:tr>
      <w:tr>
        <w:trPr>
          <w:trHeight w:val="201"/>
        </w:trPr>
        <w:tc>
          <w:tcPr>
            <w:tcW w:w="694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150,823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115,156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551,156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316,637</w:t>
            </w:r>
          </w:p>
        </w:tc>
        <w:tc>
          <w:tcPr>
            <w:tcW w:w="0" w:type="dxa"/>
            <w:vAlign w:val="bottom"/>
          </w:tcPr>
          <w:p>
            <w:pPr>
              <w:spacing w:after="0"/>
              <w:rPr>
                <w:sz w:val="1"/>
                <w:szCs w:val="1"/>
                <w:color w:val="auto"/>
              </w:rPr>
            </w:pPr>
          </w:p>
        </w:tc>
      </w:tr>
      <w:tr>
        <w:trPr>
          <w:trHeight w:val="201"/>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assets</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408,923</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148,885</w:t>
            </w: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1,226,018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671,434</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Leasing equipment, net</w:t>
            </w:r>
          </w:p>
        </w:tc>
        <w:tc>
          <w:tcPr>
            <w:tcW w:w="72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2,373,730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2,032,413</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107,451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45,175</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72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19,048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22,722</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42,205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50,590</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Goodwill</w:t>
            </w:r>
          </w:p>
        </w:tc>
        <w:tc>
          <w:tcPr>
            <w:tcW w:w="72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61,070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208,430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137,721</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4,037,952</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2,964,685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69,119</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41,590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96,910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71,317</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Current maintenance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62,552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39,455</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security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18,100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17,735</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100,565</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11,746</w:t>
            </w: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347,246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181,843</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Long-term debt, net</w:t>
            </w:r>
          </w:p>
        </w:tc>
        <w:tc>
          <w:tcPr>
            <w:tcW w:w="72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3,440,478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2,517,343</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Non-current 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44,179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25,932</w:t>
            </w:r>
          </w:p>
        </w:tc>
        <w:tc>
          <w:tcPr>
            <w:tcW w:w="0" w:type="dxa"/>
            <w:vAlign w:val="bottom"/>
          </w:tcPr>
          <w:p>
            <w:pPr>
              <w:spacing w:after="0"/>
              <w:rPr>
                <w:sz w:val="1"/>
                <w:szCs w:val="1"/>
                <w:color w:val="auto"/>
              </w:rPr>
            </w:pPr>
          </w:p>
        </w:tc>
      </w:tr>
      <w:tr>
        <w:trPr>
          <w:trHeight w:val="202"/>
        </w:trPr>
        <w:tc>
          <w:tcPr>
            <w:tcW w:w="6940" w:type="dxa"/>
            <w:vAlign w:val="bottom"/>
          </w:tcPr>
          <w:p>
            <w:pPr>
              <w:ind w:left="140"/>
              <w:spacing w:after="0"/>
              <w:rPr>
                <w:sz w:val="20"/>
                <w:szCs w:val="20"/>
                <w:color w:val="auto"/>
              </w:rPr>
            </w:pPr>
            <w:r>
              <w:rPr>
                <w:rFonts w:ascii="Arial" w:cs="Arial" w:eastAsia="Arial" w:hAnsi="Arial"/>
                <w:sz w:val="14"/>
                <w:szCs w:val="14"/>
                <w:color w:val="auto"/>
              </w:rPr>
              <w:t>Non-current security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26,830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23,330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97,851</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40,354</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3,956,584</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2,788,802</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9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Ordinary shares ($0.01 par value per share; 2,000,000,000 shares authorized; 102,550,975 and</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1,026</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5"/>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100,245,905 shares issued and outstanding as of December 31, 2024 and 2023, respectively)</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11,740,000 and 15,920,000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5"/>
        </w:trPr>
        <w:tc>
          <w:tcPr>
            <w:tcW w:w="6940" w:type="dxa"/>
            <w:vAlign w:val="bottom"/>
          </w:tcPr>
          <w:p>
            <w:pPr>
              <w:ind w:left="20"/>
              <w:spacing w:after="0"/>
              <w:rPr>
                <w:sz w:val="20"/>
                <w:szCs w:val="20"/>
                <w:color w:val="auto"/>
              </w:rPr>
            </w:pPr>
            <w:r>
              <w:rPr>
                <w:rFonts w:ascii="Arial" w:cs="Arial" w:eastAsia="Arial" w:hAnsi="Arial"/>
                <w:sz w:val="14"/>
                <w:szCs w:val="14"/>
                <w:color w:val="auto"/>
              </w:rPr>
              <w:t>shares issued and outstanding as of December 31, 2024 and 2023, respectively)</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153,328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255,973</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(73,103)</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(81,785)</w:t>
            </w: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81,368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175,349</w:t>
            </w: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81,368</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175,883</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4,037,952</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2,964,685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255,338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207,936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179,314</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200,809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191,347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192,176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303,141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183,535</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454,970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13,502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18,201</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1,734,901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1,170,896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708,411</w:t>
            </w:r>
          </w:p>
        </w:tc>
      </w:tr>
      <w:tr>
        <w:trPr>
          <w:trHeight w:val="94"/>
        </w:trPr>
        <w:tc>
          <w:tcPr>
            <w:tcW w:w="5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825,884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502,132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248,385</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115,861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110,163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132,264</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14,263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14,164</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8,449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18,037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3,562</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Internalization fee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6, 8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218,064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169,877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152,917</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(18,705)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(77,211)</w:t>
            </w:r>
          </w:p>
        </w:tc>
      </w:tr>
      <w:tr>
        <w:trPr>
          <w:trHeight w:val="19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1,497,074</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831,224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624,507</w:t>
            </w:r>
          </w:p>
        </w:tc>
      </w:tr>
      <w:tr>
        <w:trPr>
          <w:trHeight w:val="76"/>
        </w:trPr>
        <w:tc>
          <w:tcPr>
            <w:tcW w:w="5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(221,721)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(169,194)</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(17,101)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(19,859)</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9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(223,658)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(155,655)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(189,215)</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(105,311)</w:t>
            </w:r>
          </w:p>
        </w:tc>
      </w:tr>
      <w:tr>
        <w:trPr>
          <w:trHeight w:val="20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(59,800)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w:t>
            </w:r>
          </w:p>
        </w:tc>
      </w:tr>
      <w:tr>
        <w:trPr>
          <w:trHeight w:val="197"/>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243,817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(110,611)</w:t>
            </w:r>
          </w:p>
        </w:tc>
      </w:tr>
      <w:tr>
        <w:trPr>
          <w:trHeight w:val="202"/>
        </w:trPr>
        <w:tc>
          <w:tcPr>
            <w:tcW w:w="5620" w:type="dxa"/>
            <w:vAlign w:val="bottom"/>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66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(101,416)</w:t>
            </w:r>
          </w:p>
        </w:tc>
      </w:tr>
      <w:tr>
        <w:trPr>
          <w:trHeight w:val="197"/>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243,817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(212,027)</w:t>
            </w:r>
          </w:p>
        </w:tc>
      </w:tr>
      <w:tr>
        <w:trPr>
          <w:trHeight w:val="178"/>
        </w:trPr>
        <w:tc>
          <w:tcPr>
            <w:tcW w:w="562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7"/>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32,763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31,795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27,164</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7,998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(32,079)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(220,374)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56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56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2"/>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(0.83)</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101,538,835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99,908,214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99,421,008</w:t>
            </w: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101,538,835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100,425,777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99,421,008</w:t>
            </w: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9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(212,027)</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related to equity method investees, net in discontinued operations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(182,963)</w:t>
            </w:r>
          </w:p>
        </w:tc>
      </w:tr>
      <w:tr>
        <w:trPr>
          <w:trHeight w:val="19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8,682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(394,990)</w:t>
            </w:r>
          </w:p>
        </w:tc>
      </w:tr>
      <w:tr>
        <w:trPr>
          <w:trHeight w:val="18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(18,817)</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(376,173)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22" w:right="3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3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520" w:type="dxa"/>
            <w:vAlign w:val="bottom"/>
            <w:gridSpan w:val="3"/>
            <w:vMerge w:val="continue"/>
          </w:tcPr>
          <w:p>
            <w:pPr>
              <w:spacing w:after="0"/>
              <w:rPr>
                <w:sz w:val="12"/>
                <w:szCs w:val="12"/>
                <w:color w:val="auto"/>
              </w:rPr>
            </w:pPr>
          </w:p>
        </w:tc>
        <w:tc>
          <w:tcPr>
            <w:tcW w:w="13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7"/>
              </w:rPr>
              <w:t>Shares</w:t>
            </w:r>
            <w:r>
              <w:rPr>
                <w:rFonts w:ascii="Arial" w:cs="Arial" w:eastAsia="Arial" w:hAnsi="Arial"/>
                <w:sz w:val="18"/>
                <w:szCs w:val="18"/>
                <w:b w:val="1"/>
                <w:bCs w:val="1"/>
                <w:color w:val="auto"/>
                <w:w w:val="97"/>
                <w:vertAlign w:val="superscript"/>
              </w:rPr>
              <w:t>(1)</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1,411,940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(132,392)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(193,210)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(212,027)</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(193,210)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(182,963)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(394,990)</w:t>
            </w:r>
          </w:p>
        </w:tc>
        <w:tc>
          <w:tcPr>
            <w:tcW w:w="0" w:type="dxa"/>
            <w:vAlign w:val="bottom"/>
          </w:tcPr>
          <w:p>
            <w:pPr>
              <w:spacing w:after="0"/>
              <w:rPr>
                <w:sz w:val="1"/>
                <w:szCs w:val="1"/>
                <w:color w:val="auto"/>
              </w:rPr>
            </w:pPr>
          </w:p>
        </w:tc>
      </w:tr>
      <w:tr>
        <w:trPr>
          <w:trHeight w:val="157"/>
        </w:trPr>
        <w:tc>
          <w:tcPr>
            <w:tcW w:w="2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Spin-off of FTAI Infrastructure, Inc., net of</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(913,342)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339,344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(561,181)</w:t>
            </w: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Acquisition of consolidated subsidiary</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9"/>
        </w:trPr>
        <w:tc>
          <w:tcPr>
            <w:tcW w:w="278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9"/>
        </w:trPr>
        <w:tc>
          <w:tcPr>
            <w:tcW w:w="278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(128,483)</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19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0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343,350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(325,602)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19,402</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243,817</w:t>
            </w:r>
          </w:p>
        </w:tc>
        <w:tc>
          <w:tcPr>
            <w:tcW w:w="0" w:type="dxa"/>
            <w:vAlign w:val="bottom"/>
          </w:tcPr>
          <w:p>
            <w:pPr>
              <w:spacing w:after="0"/>
              <w:rPr>
                <w:sz w:val="1"/>
                <w:szCs w:val="1"/>
                <w:color w:val="auto"/>
              </w:rPr>
            </w:pPr>
          </w:p>
        </w:tc>
      </w:tr>
      <w:tr>
        <w:trPr>
          <w:trHeight w:val="20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(119,847)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(119,847)</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61,729</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Dividends declared - preferred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(31,795)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(31,795)</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255,973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(81,785)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175,883</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8,682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8,682</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color w:val="auto"/>
              </w:rPr>
              <w:t>Redemption of preferred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(97,313)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(97,355)</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redemption of preferred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w:t>
            </w:r>
          </w:p>
        </w:tc>
        <w:tc>
          <w:tcPr>
            <w:tcW w:w="0" w:type="dxa"/>
            <w:vAlign w:val="bottom"/>
          </w:tcPr>
          <w:p>
            <w:pPr>
              <w:spacing w:after="0"/>
              <w:rPr>
                <w:sz w:val="1"/>
                <w:szCs w:val="1"/>
                <w:color w:val="auto"/>
              </w:rPr>
            </w:pP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(121,577)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(121,577)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(32,763)</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Arial" w:cs="Arial" w:eastAsia="Arial" w:hAnsi="Arial"/>
                <w:sz w:val="14"/>
                <w:szCs w:val="14"/>
                <w:color w:val="auto"/>
              </w:rPr>
              <w:t>Issuance of ordinary shares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151,000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151,024</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6,006</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Equity - December 31, 2024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153,328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(73,103)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81,368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4" w:lineRule="exact"/>
        <w:rPr>
          <w:sz w:val="20"/>
          <w:szCs w:val="20"/>
          <w:color w:val="auto"/>
        </w:rPr>
      </w:pPr>
    </w:p>
    <w:p>
      <w:pPr>
        <w:ind w:left="180" w:hanging="172"/>
        <w:spacing w:after="0" w:line="226"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Common and Preferred Shares of Fortress Transportation and Infrastructure Investors LLC were exchanged for Ordinary and Preferred Shares of FTAI Aviation Ltd. when the Merger was completed on November 10,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8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8,682</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243,817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(212,027)</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46,971</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(377,909)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(141,677)</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(16,783)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(41,845)</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6,006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2,623</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termination fee to affiliate (issuance of ordinary shares)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218,064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169,877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193,236</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(63,626)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2,161</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Change in fair value of guarantees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37,135</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11,458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19,018</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47,975</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7220" w:type="dxa"/>
            <w:vAlign w:val="bottom"/>
          </w:tcPr>
          <w:p>
            <w:pPr>
              <w:ind w:left="16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(41,196)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(40,357)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(65,969)</w:t>
            </w:r>
          </w:p>
        </w:tc>
      </w:tr>
      <w:tr>
        <w:trPr>
          <w:trHeight w:val="204"/>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(206,880)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(23,267)</w:t>
            </w:r>
          </w:p>
        </w:tc>
      </w:tr>
      <w:tr>
        <w:trPr>
          <w:trHeight w:val="201"/>
        </w:trPr>
        <w:tc>
          <w:tcPr>
            <w:tcW w:w="72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(14,372)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(23,037)</w:t>
            </w:r>
          </w:p>
        </w:tc>
      </w:tr>
      <w:tr>
        <w:trPr>
          <w:trHeight w:val="204"/>
        </w:trPr>
        <w:tc>
          <w:tcPr>
            <w:tcW w:w="7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(19,599)</w:t>
            </w:r>
          </w:p>
        </w:tc>
      </w:tr>
      <w:tr>
        <w:trPr>
          <w:trHeight w:val="201"/>
        </w:trPr>
        <w:tc>
          <w:tcPr>
            <w:tcW w:w="722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(5,507)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804</w:t>
            </w:r>
          </w:p>
        </w:tc>
      </w:tr>
      <w:tr>
        <w:trPr>
          <w:trHeight w:val="204"/>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2,340</w:t>
            </w:r>
          </w:p>
        </w:tc>
      </w:tr>
      <w:tr>
        <w:trPr>
          <w:trHeight w:val="19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(187,956)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128,982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(20,657)</w:t>
            </w:r>
          </w:p>
        </w:tc>
      </w:tr>
      <w:tr>
        <w:trPr>
          <w:trHeight w:val="251"/>
        </w:trPr>
        <w:tc>
          <w:tcPr>
            <w:tcW w:w="7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notes receivable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(147,624)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(3,819)</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(1,147,341)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(749,780)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(638,329)</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Investments in financing receivables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(66,858)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(144,196)</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(31,127)</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promissory notes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Deposits for acquisitions of leasing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(158,297)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(6,671)</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969,280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408,937</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5,289</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deposits on sale of leasing equipment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w:t>
            </w:r>
          </w:p>
        </w:tc>
      </w:tr>
      <w:tr>
        <w:trPr>
          <w:trHeight w:val="201"/>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Return of deposits for acquisition of leasing equipment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(469,498)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(373,349)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(411,253)</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2,581,819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951,665</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813,980</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(1,672,304)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(1,144,529)</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(17,356)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(18,607)</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 under operating lease agreements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Return of security deposits under operating lease agreements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 under operating lease agreements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49,333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47,846</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Release of maintenance deposits under operating lease agreements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ordinary shares, net of underwriter's discount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Redemption of preferred shares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(105,353)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from spin-off of FTAI Infrastructure, net of cash transferred</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500,562</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 shares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Cash dividends - ordinary shares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(121,577)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(119,847)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(128,483)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681,814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282,208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44,914</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24,360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(386,996)</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90,906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53,065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440,061</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115,266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90,906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53,065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222,122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185,144</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5,655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271"/>
        </w:trPr>
        <w:tc>
          <w:tcPr>
            <w:tcW w:w="7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1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(see Note 2 for additional non-cash information):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notes receivable in connection with the sale of leasing equipment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88,271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16,463</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leasing equipment in accrued liabilities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(22,119)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(15,570)</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leasing equipment in settlement of accounts receivable</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Purchase deposits reclassified to leasing equipment from other assets upon acquisition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(19,608)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(13,658)</w:t>
            </w:r>
          </w:p>
        </w:tc>
        <w:tc>
          <w:tcPr>
            <w:tcW w:w="0" w:type="dxa"/>
            <w:vAlign w:val="bottom"/>
          </w:tcPr>
          <w:p>
            <w:pPr>
              <w:spacing w:after="0"/>
              <w:rPr>
                <w:sz w:val="1"/>
                <w:szCs w:val="1"/>
                <w:color w:val="auto"/>
              </w:rPr>
            </w:pPr>
          </w:p>
        </w:tc>
      </w:tr>
      <w:tr>
        <w:trPr>
          <w:trHeight w:val="154"/>
        </w:trPr>
        <w:tc>
          <w:tcPr>
            <w:tcW w:w="71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Decrease in leasing equipment for engines provided to aircraft lessees in lieu of cash reimbursements of</w:t>
            </w:r>
          </w:p>
        </w:tc>
        <w:tc>
          <w:tcPr>
            <w:tcW w:w="28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6,108</w:t>
            </w:r>
          </w:p>
        </w:tc>
        <w:tc>
          <w:tcPr>
            <w:tcW w:w="0" w:type="dxa"/>
            <w:vAlign w:val="bottom"/>
          </w:tcPr>
          <w:p>
            <w:pPr>
              <w:spacing w:after="0"/>
              <w:rPr>
                <w:sz w:val="1"/>
                <w:szCs w:val="1"/>
                <w:color w:val="auto"/>
              </w:rPr>
            </w:pPr>
          </w:p>
        </w:tc>
      </w:tr>
      <w:tr>
        <w:trPr>
          <w:trHeight w:val="185"/>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2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Accounts receivable settled with security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(13,461)</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settled with maintenance deposits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(9,358)</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(182,963)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FTAI Aviation Ltd. (“we”, “us”, “our” or the “Company”) is a Cayman Islands exempted company which through its subsidiaries owns, leases, and sells aviation equipment and also develops and manufactures, through a joint venture, and repairs and sells, through our maintenance facilities and exclusivity arrangements, aftermarket components for aircraft engines. We have two reportable segments, (i) Aviation Leasing and (ii) Aerospace Products (see Note 14).</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Prior to May 28, 2024, FTAI Aviation Ltd. operated under a management agreement (the “Management Agreement”) with FIG LLC (the “Former Manager”), and Fortress Worldwide Transportation and Infrastructure Master GP LLC (the “Master GP”), each an affiliate of Fortress Investment Group LLC (“Fortress”). For their services, the Former Manager was entitled to management fees and the Master GP was entitled to certain incentive allocations, both defined in, and in accordance with the terms of, the Management Agreement. On May 28, 2024, the Company entered into an Internalization Agreement with the Former Manager and the Master GP (the “Internalization Agreement”), pursuant to which the Management Agreement was terminated effective May 28, 2024 (the “Effective Date”), except that certain indemnification and other obligations survive, and the Company internalized its management functions (such transactions, the “Internalization”).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$150.0 million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1,866,949 ordinary shares of the Company (the “Share Consideration”); and (iii) purchased from Master GP all of its partnership interests in FTAI Aviation Holdco Ltd., a subsidiary of the Company, in exchange for $30 thousand. In addition, the Former Manager repaid to the Company certain annual bonus payments due to certain employees of the Former Manager or its affiliates who provide services to the Company with respect to the 2024 calendar year on a pro rata basis. The Company financed the cash payments through one or more debt financings, along with cash on hand.</w:t>
      </w: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May 28, 2024, the Company also entered into a Transition Services Agreement (the “Transition Services Agreement”) with the Former Manager. Under the Transition Services Agreement, the Former Manager was required to continue to provide the Company and its affiliates with all of the services provided by the Former Manager to the Company and its affiliates immediately prior to May 28, 2024 (the “Services”) for a transition period until October 31, 2024, during which the Company procured replacements for the Services. The Services were provided to the Company for a fee equal to the Former Manager’s cost of providing the Services, plus a mark-up of ten percent (10%).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the accounts of us and our subsidiaries.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ownership interest of other investors in the Company’s consolidated subsidiaries is recorded as non-controlling interest.</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 xml:space="preserve">Use of Estimates </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7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00497F"/>
        </w:rPr>
        <w:t>Restructuring Charges</w:t>
      </w:r>
      <w:r>
        <w:rPr>
          <w:rFonts w:ascii="Arial" w:cs="Arial" w:eastAsia="Arial" w:hAnsi="Arial"/>
          <w:sz w:val="16"/>
          <w:szCs w:val="16"/>
          <w:color w:val="00497F"/>
        </w:rPr>
        <w:t>—</w:t>
      </w:r>
      <w:r>
        <w:rPr>
          <w:rFonts w:ascii="Arial" w:cs="Arial" w:eastAsia="Arial" w:hAnsi="Arial"/>
          <w:sz w:val="16"/>
          <w:szCs w:val="16"/>
          <w:color w:val="000000"/>
        </w:rPr>
        <w:t>The termination of the Management Agreement was a material change in the management structure of the business and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accounted for under ASC 420, </w:t>
      </w:r>
      <w:r>
        <w:rPr>
          <w:rFonts w:ascii="Arial" w:cs="Arial" w:eastAsia="Arial" w:hAnsi="Arial"/>
          <w:sz w:val="16"/>
          <w:szCs w:val="16"/>
          <w:i w:val="1"/>
          <w:iCs w:val="1"/>
          <w:color w:val="000000"/>
        </w:rPr>
        <w:t>Exit or Disposal Cost Obligations</w:t>
      </w:r>
      <w:r>
        <w:rPr>
          <w:rFonts w:ascii="Arial" w:cs="Arial" w:eastAsia="Arial" w:hAnsi="Arial"/>
          <w:sz w:val="16"/>
          <w:szCs w:val="16"/>
          <w:color w:val="000000"/>
        </w:rPr>
        <w:t>. The termination fee payment to the Former Manager under the Internalization Agreement is recorded within Internalization Fee to Affiliate. See Note 17 for additional discussion of the restructuring charges related to the Internalization.</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Reclassifications</w:t>
      </w:r>
      <w:r>
        <w:rPr>
          <w:rFonts w:ascii="Arial" w:cs="Arial" w:eastAsia="Arial" w:hAnsi="Arial"/>
          <w:sz w:val="16"/>
          <w:szCs w:val="16"/>
          <w:color w:val="00497F"/>
        </w:rPr>
        <w:t>—</w:t>
      </w:r>
      <w:r>
        <w:rPr>
          <w:rFonts w:ascii="Arial" w:cs="Arial" w:eastAsia="Arial" w:hAnsi="Arial"/>
          <w:sz w:val="16"/>
          <w:szCs w:val="16"/>
          <w:color w:val="000000"/>
        </w:rPr>
        <w:t>Certain amounts from prior periods in the Company’s consolidated financial statements have been reclassified to align with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presentation in the current period.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 net</w:t>
      </w:r>
      <w:r>
        <w:rPr>
          <w:rFonts w:ascii="Arial" w:cs="Arial" w:eastAsia="Arial" w:hAnsi="Arial"/>
          <w:sz w:val="16"/>
          <w:szCs w:val="16"/>
          <w:color w:val="000000"/>
        </w:rPr>
        <w:t>—We hold aircraft engines, engine modules, spare parts and used material inventory for sale. Additionally, at time inventory is transferred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leasing equipment in connection with a rebuilt engine or engine repair. Inventory is carried at the lower of cost or net realizable value on our consolidated balance sheets.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its estimated useful lives, to estimated residual values which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85"/>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Aviation tooling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Buildings and improvements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40 to 50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0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- 23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0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20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195"/>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ind w:left="20"/>
              <w:spacing w:after="0"/>
              <w:rPr>
                <w:sz w:val="20"/>
                <w:szCs w:val="20"/>
                <w:color w:val="auto"/>
              </w:rPr>
            </w:pPr>
            <w:r>
              <w:rPr>
                <w:rFonts w:ascii="Arial" w:cs="Arial" w:eastAsia="Arial" w:hAnsi="Arial"/>
                <w:sz w:val="14"/>
                <w:szCs w:val="14"/>
                <w:color w:val="auto"/>
              </w:rPr>
              <w:t>5</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- 7 years</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bl>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capitalizable engineering costs and other costs directly related to the development or construction of a project, are capitalized and depreciation commences once it is placed into service for leasing equipment and once it is ready for service for property, plant and equipment. Interest costs directly related to and incurred during the construction period of property, plant and equipment are capitalized.</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 Major maintenance and overhauls of the Company’s maintenance repair facilities and related equipment that extend the life of the asset are capitalized and depreciated over the expected period until the next anticipated major maintenance or overhaul.</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retirement or disposal of property, plant and equipment, the cost and related accumulated depreciation are removed from the account, and the resulting gains or losses, if any, are recorded.</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rates. If a lease is below or above the range of current lease rates, the resulting lease discount or premium is recognized as a lease intangible and amortized into lease income over the remaining term of the lease.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and construction projects are capitalized and included in the cost of the project.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capitalization ceases once a project is substantially complete or no longer undergoing construction activities to prepare it for its intended use. We capitalized interest of $0.2 million, $0.7 million and $2.7 million during the years ended December 31, 2024, 2023 and 2022, respectively.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 was $9.8 million, $7.7 million and $7.2 million during the years ended December 31, 2024, 2023 and 2022, respectively, and are included in Operating expenses.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the introduction of newer technology and the length of time an asset is off lease related to leasing equipment, engines or for manufacturing equipment; a significant decrease in market value; adverse changes in use or condition; legal or regulatory changes; or cash flow reductions.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a quantitative recoverability assessment is determined to be needed, we measure whether the estimated future undiscounted net cash flows expected to be generated by the asset exceeds its net book value. The undiscounted cash flows consist of cash flows of the asset or asset group. For long lived assets, the undiscounted cash flows consist of cash flows from currently contracted leases and contracts, future projected leases, transition costs, estimated down time and estimated residual or scrap values for leasing equipment or operating cash flows for manufacturing equipment, and maintenance and operating costs. In the event that an asset does not meet the recoverability test, the carrying value of the asset will be adjusted to fair value resulting in an impairment charge.</w:t>
      </w: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information received from third party industry sources, usage assumptions, asset lifespan for leasing equipment, and expected operating income and costs associated with operating and maintaining the manufacturing asset. The factors considered in estimating the undiscounted cash flows are impacted by changes in future periods due to changes in contracted lease rates, residual values, economic conditions, technology, demand for a particular asset type and other factors, expected income and operating costs, maintenance and repairs, capital expenditures, and duration of the cash flows.</w:t>
      </w:r>
    </w:p>
    <w:p>
      <w:pPr>
        <w:spacing w:after="0" w:line="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Recoverability of Goodwill</w:t>
      </w:r>
      <w:r>
        <w:rPr>
          <w:rFonts w:ascii="Arial" w:cs="Arial" w:eastAsia="Arial" w:hAnsi="Arial"/>
          <w:sz w:val="16"/>
          <w:szCs w:val="16"/>
          <w:color w:val="000000"/>
        </w:rPr>
        <w:t>—Goodwill is not amortized but rather is tested at least annually during the fourth quarter for impairment, or more often if events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or circumstances indicate the carrying value of an asset may not be recoverable.</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assess the recoverability of goodwill using a qualitative evaluation or a quantitative test to determine whether it is more likely than not that the fair value of a reporting unit is less than its carrying amount, including goodwill. The determination of fair value requires management to make assumptions and to apply judgment to estimate industry and economic factors and the profitability of future business strategies. The Company conducts impairment testing based on current business strategy in light of present industry and economic conditions, as well as future expectations.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performed a qualitative assessment for our goodwill impairment test for the year ended December 31, 2024. No impairment was recorded as a result of these tests for the years ended December 31, 2024, 2023 and 2022, respectively.</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are included in Intangible assets, net.</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lease income over the remaining term of the lease. Acquired lease intangibles are amortized on a straight-line basis over the remaining lease terms, which collectively had a weighted-average remaining amortization period of approximately 45 months as of December 31, 2024, and are recorded as a component of revenues.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$55.5 million and $33.2 million as of December 31, 2024 and 2023, respectively, are included in Long-term debt, net.</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have unamortized deferred revolver fees related to our revolving debt of $8.2 million and $5.1 million as of December 31, 2024 and 2023, respectively, which are included in Other non-current assets.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expense was $11.5 million, $8.9 million and $17.0 million for the years ended December 31, 2024, 2023 and 2022, respectively, and is included in Interest expense.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shift that has or will have a material impact on our operations and financial results. See Note 3 for additional information related to our discontinued operations.</w:t>
      </w: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Revenues</w:t>
      </w:r>
      <w:r>
        <w:rPr>
          <w:rFonts w:ascii="Arial" w:cs="Arial" w:eastAsia="Arial" w:hAnsi="Arial"/>
          <w:sz w:val="16"/>
          <w:szCs w:val="16"/>
          <w:color w:val="00497F"/>
        </w:rPr>
        <w:t>—</w:t>
      </w:r>
      <w:r>
        <w:rPr>
          <w:rFonts w:ascii="Arial" w:cs="Arial" w:eastAsia="Arial" w:hAnsi="Arial"/>
          <w:sz w:val="16"/>
          <w:szCs w:val="16"/>
          <w:color w:val="000000"/>
        </w:rPr>
        <w:t>Revenues are within the scope of ASC 842,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ASC 606, Revenue from contracts with customers, unless otherwise noted. We have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elected to exclude sales and other similar taxes from revenues.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Asset sales revenue beginning in the third quarter of 2022 and are accounted for in accordance with ASC 606. The corresponding net book values of the assets sold are recorded in Cost of sales beginning in the third quarter of 2022. Sales transactions of aircraft and engines prior to the third quarter of 2022 were accounted for in accordance with ASC 610-20, Gains and losses from the derecognition of nonfinancial assets and were included in Gain on sale of assets, net, as we were previously only occasionally selling these assets. Generally, assets sold were under leasing arrangements prior to sales and are included in Leasing equipment, net.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lessee is placed on non-accrual status and revenue is recognized when cash payments are received.</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current and non-current Maintenance deposits in our Consolidated Balance Sheets. All excess maintenance payments received that we do not expect to repay to the lessee are recorded as Maintenance revenue on our Consolidated Statements of Operations.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lessee is placed on non-accrual status and revenue is recognized when cash payments are received.</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gross when a performance obligation is satisfied by transferring control over an asset to a customer along with corresponding costs of sales.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CFM56-7B, CFM56-5B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V2500 engines, engine modules, spare parts and used material inventory, and are accounted for within the scope of ASC 606. Revenue is recognized gross when a performance obligation is satisfied by transferring control over the related asset to a customer along with corresponding costs of sales.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are included in Other non-current assets and lease liabilities are included in Other current and non-current liabilities. Finance lease ROU assets are recognized in Other non-current assets and lease liabilities are recognized in Other current and non-current liabilities.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and is recorded in Operating expenses. Variable lease payments, which are primarily based on usage, are recognized when the associated activity occurs.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and lessees. We attempt to limit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our credit risk by performing ongoing credit evaluations. No single customer or lessee accounted for greater than 10% of total revenue during the years ended December 31, 2024, 2023 and 2022.</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and 2023 no single customer or lessee accounted for greater than 10% of total accounts receivable, net.</w:t>
      </w:r>
    </w:p>
    <w:p>
      <w:pPr>
        <w:spacing w:after="0" w:line="12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lessee-by-lessee basis. Bad debt expense is included in Operating expenses. Receivables are written off after all reasonable means to collect the full amount have been exhausted. The activity in the allowance for doubtful accounts is as follows: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17,703</w:t>
            </w:r>
          </w:p>
        </w:tc>
      </w:tr>
      <w:tr>
        <w:trPr>
          <w:trHeight w:val="201"/>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Bad debt expense</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47,877</w:t>
            </w:r>
          </w:p>
        </w:tc>
      </w:tr>
      <w:tr>
        <w:trPr>
          <w:trHeight w:val="22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at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74,947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72,163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and our allowance for doubtful accounts at December 31, 2024 includes all accounts receivable exposure to Russian and Ukrainian lessees.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Our comprehensive income (loss) represents net income (loss) adjusted for comprehensive loss related to cash flow</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hedges of our equity method investees of discontinued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Current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current assets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165,338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102,304</w:t>
            </w: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color w:val="auto"/>
              </w:rPr>
              <w:t>Prepaid expenses including prepayments for maintenance that has not yet been incurred</w:t>
            </w:r>
          </w:p>
        </w:tc>
        <w:tc>
          <w:tcPr>
            <w:tcW w:w="10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87,323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7,617</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83,229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w:t>
            </w: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color w:val="auto"/>
              </w:rPr>
              <w:t>Financing receivable resulting from failed sale-leaseback transactions</w:t>
            </w:r>
          </w:p>
        </w:tc>
        <w:tc>
          <w:tcPr>
            <w:tcW w:w="10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32,486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right assets</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w:t>
            </w: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40,547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8,311</w:t>
            </w:r>
          </w:p>
        </w:tc>
      </w:tr>
      <w:tr>
        <w:trPr>
          <w:trHeight w:val="22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408,923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Non-Current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non-current assets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incentives</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56,812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43,453</w:t>
            </w: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0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42,893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72,185</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receivable resulting from failed sale-leaseback transactions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28,412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820" w:type="dxa"/>
            <w:vAlign w:val="bottom"/>
          </w:tcPr>
          <w:p>
            <w:pPr>
              <w:ind w:left="20"/>
              <w:spacing w:after="0"/>
              <w:rPr>
                <w:sz w:val="20"/>
                <w:szCs w:val="20"/>
                <w:color w:val="auto"/>
              </w:rPr>
            </w:pPr>
            <w:r>
              <w:rPr>
                <w:rFonts w:ascii="Arial" w:cs="Arial" w:eastAsia="Arial" w:hAnsi="Arial"/>
                <w:sz w:val="14"/>
                <w:szCs w:val="14"/>
                <w:color w:val="auto"/>
              </w:rPr>
              <w:t>Maintenance right assets</w:t>
            </w:r>
          </w:p>
        </w:tc>
        <w:tc>
          <w:tcPr>
            <w:tcW w:w="10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25,907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9,628</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54,406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12,455</w:t>
            </w: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Other non-current assets</w:t>
            </w: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208,430</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137,721</w:t>
            </w:r>
          </w:p>
        </w:tc>
      </w:tr>
      <w:tr>
        <w:trPr>
          <w:trHeight w:val="21"/>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The Board of Directors declared cash dividends of $1.20, $1.20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$1.26 per ordinary share during each of the years ended December 31, 2024, 2023 and 2022, respectively.</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Additionally, the Board of Directors declared cash dividends on the Series A Preferred Shares of $1.55, $2.06 and $2.06 per share for the years ended December 31, 2024, 2023, and 2022, respectively, the Series B Preferred Shares of $2.00, $2.00 and $2.00 per share for the years ended December 31, 2024, 2023 and 2022, respectively, the Series C Preferred Shares of $2.06, $2.06, $2.06 per share for the year ended December 31, 2024, 2022 and 2021, respectively, and the Series D Preferred Shares of $2.38 and $1.78 per share for the year ended December 31, 2024 and 2023.</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Cash Flow Presentation—</w:t>
      </w:r>
      <w:r>
        <w:rPr>
          <w:rFonts w:ascii="Arial" w:cs="Arial" w:eastAsia="Arial" w:hAnsi="Arial"/>
          <w:sz w:val="16"/>
          <w:szCs w:val="16"/>
          <w:color w:val="000000"/>
        </w:rPr>
        <w:t>Included in net cash (used in) provided by operating activities are inflows from the sale of engine modules and parts that were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engines originally purchased and reported as Leasing equipment. The purchase of the original engine was reported as an outflow in net cash used in investing activities at the time of purchase through the Acquisition of leasing equipment line item. As part of the Aerospace products business, the Company breaks down generally unserviceable engines with the intent to manufacture modules and parts for creation and sale of new assets. To manufacture the modules and parts and bring them into a salable condition, the Company spends significant costs, often over multiple reporting periods, for new inventory and capitalizable labor (e.g., engineering) that are included in net cash (used in) provided by operating activities as components of the changes in the related working capital accounts.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Therefore, when the costs to manufacture the assets are greater than (predominant to) the estimated value transferred from Leasing equipment into inventory, the related cash receipt has been recorded as an inflow in net cash (used in) provided by operating activities.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the Company buys inventory from third parties with the intent to use the parts in the manufacturing of the items discussed above, which is reported as an outflow in net cash (used in) provided by operating activities. When rebuilding whole engines for resale, for which the cash inflow upon sale is reported as a cash inflow from investing activities, the Company will transfer modules and parts needed (those purchased from third parties as well as parts from engines previously transferred to inventory from leasing equipment and rebuilt as discussed above) in the rebuild from inventory to leasing equipment.</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respect to purchases of aircraft and engines, when the expected predominant source of cash inflows from the acquired leasing equipment at the time of acquisition is from leasing activities, the related cash outflow is reported as outflows in net cash used in investing activities. When the expected predominant source of cash inflows is from sales transactions, the related cash outflow is reported as outflows in net cash (used in) provided by operating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cash and noncash related activities described above during the years ended December 31, 2024, 2023 and 2022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4"/>
          <w:szCs w:val="14"/>
          <w:color w:val="auto"/>
        </w:rPr>
        <w:t>Cost of modules and parts sold sourced from engines originally within leasing equipment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0" w:right="920"/>
        <w:spacing w:after="0" w:line="301" w:lineRule="auto"/>
        <w:rPr>
          <w:sz w:val="20"/>
          <w:szCs w:val="20"/>
          <w:color w:val="auto"/>
        </w:rPr>
      </w:pPr>
      <w:r>
        <w:rPr>
          <w:rFonts w:ascii="Arial" w:cs="Arial" w:eastAsia="Arial" w:hAnsi="Arial"/>
          <w:sz w:val="14"/>
          <w:szCs w:val="14"/>
          <w:color w:val="auto"/>
        </w:rPr>
        <w:t>Transfers of engines from leasing equipment to inventory for manufacturing and sale Transfers of inventory to leasing equipment for rebuilding and sale of engines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20" w:right="600"/>
        <w:spacing w:after="0" w:line="252" w:lineRule="auto"/>
        <w:rPr>
          <w:sz w:val="20"/>
          <w:szCs w:val="20"/>
          <w:color w:val="auto"/>
        </w:rPr>
      </w:pPr>
      <w:r>
        <w:rPr>
          <w:rFonts w:ascii="Arial" w:cs="Arial" w:eastAsia="Arial" w:hAnsi="Arial"/>
          <w:sz w:val="14"/>
          <w:szCs w:val="14"/>
          <w:color w:val="auto"/>
        </w:rPr>
        <w:t>Total outflows related to manufacturing modules and parts - included in net cash (used in) provided by operating activities</w:t>
      </w:r>
    </w:p>
    <w:p>
      <w:pPr>
        <w:spacing w:after="0" w:line="1" w:lineRule="exact"/>
        <w:rPr>
          <w:sz w:val="20"/>
          <w:szCs w:val="20"/>
          <w:color w:val="auto"/>
        </w:rPr>
      </w:pPr>
    </w:p>
    <w:p>
      <w:pPr>
        <w:ind w:left="20" w:right="160"/>
        <w:spacing w:after="0" w:line="251" w:lineRule="auto"/>
        <w:rPr>
          <w:sz w:val="20"/>
          <w:szCs w:val="20"/>
          <w:color w:val="auto"/>
        </w:rPr>
      </w:pPr>
      <w:r>
        <w:rPr>
          <w:rFonts w:ascii="Arial" w:cs="Arial" w:eastAsia="Arial" w:hAnsi="Arial"/>
          <w:sz w:val="14"/>
          <w:szCs w:val="14"/>
          <w:color w:val="auto"/>
        </w:rPr>
        <w:t>Cash received for assets sold sourced from leasing equipment - inflow included in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20" w:right="240"/>
        <w:spacing w:after="0" w:line="251" w:lineRule="auto"/>
        <w:rPr>
          <w:sz w:val="20"/>
          <w:szCs w:val="20"/>
          <w:color w:val="auto"/>
        </w:rPr>
      </w:pPr>
      <w:r>
        <w:rPr>
          <w:rFonts w:ascii="Arial" w:cs="Arial" w:eastAsia="Arial" w:hAnsi="Arial"/>
          <w:sz w:val="14"/>
          <w:szCs w:val="14"/>
          <w:color w:val="auto"/>
        </w:rPr>
        <w:t>Cash received for sales of leasing equipment that include components sourced from inventory - inflow included in cash used in investing activities</w:t>
      </w:r>
    </w:p>
    <w:p>
      <w:pPr>
        <w:spacing w:after="0" w:line="1" w:lineRule="exact"/>
        <w:rPr>
          <w:sz w:val="20"/>
          <w:szCs w:val="20"/>
          <w:color w:val="auto"/>
        </w:rPr>
      </w:pPr>
    </w:p>
    <w:p>
      <w:pPr>
        <w:ind w:left="20" w:right="540"/>
        <w:spacing w:after="0" w:line="263" w:lineRule="auto"/>
        <w:rPr>
          <w:sz w:val="20"/>
          <w:szCs w:val="20"/>
          <w:color w:val="auto"/>
        </w:rPr>
      </w:pPr>
      <w:r>
        <w:rPr>
          <w:rFonts w:ascii="Arial" w:cs="Arial" w:eastAsia="Arial" w:hAnsi="Arial"/>
          <w:sz w:val="14"/>
          <w:szCs w:val="14"/>
          <w:color w:val="auto"/>
        </w:rPr>
        <w:t>Cash paid for engine and aircraft inventory - outflow included in cash provided by (used in) operating activities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23495</wp:posOffset>
            </wp:positionV>
            <wp:extent cx="3180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jc w:val="right"/>
              <w:ind w:right="608"/>
              <w:spacing w:after="0"/>
              <w:rPr>
                <w:sz w:val="20"/>
                <w:szCs w:val="20"/>
                <w:color w:val="auto"/>
              </w:rPr>
            </w:pPr>
            <w:r>
              <w:rPr>
                <w:rFonts w:ascii="Arial" w:cs="Arial" w:eastAsia="Arial" w:hAnsi="Arial"/>
                <w:sz w:val="14"/>
                <w:szCs w:val="14"/>
                <w:b w:val="1"/>
                <w:bCs w:val="1"/>
                <w:color w:val="auto"/>
                <w:w w:val="96"/>
              </w:rPr>
              <w:t>2024</w:t>
            </w:r>
          </w:p>
        </w:tc>
        <w:tc>
          <w:tcPr>
            <w:tcW w:w="420" w:type="dxa"/>
            <w:vAlign w:val="bottom"/>
          </w:tcPr>
          <w:p>
            <w:pPr>
              <w:spacing w:after="0"/>
              <w:rPr>
                <w:sz w:val="17"/>
                <w:szCs w:val="17"/>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12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473"/>
        </w:trPr>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38,300</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41,167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36,946</w:t>
            </w:r>
          </w:p>
        </w:tc>
      </w:tr>
      <w:tr>
        <w:trPr>
          <w:trHeight w:val="203"/>
        </w:trPr>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239,462</w:t>
            </w:r>
          </w:p>
        </w:tc>
        <w:tc>
          <w:tcPr>
            <w:tcW w:w="4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178,740</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127,349</w:t>
            </w:r>
          </w:p>
        </w:tc>
      </w:tr>
      <w:tr>
        <w:trPr>
          <w:trHeight w:val="203"/>
        </w:trPr>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(223,129)</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(78,788)</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(89,041)</w:t>
            </w:r>
          </w:p>
        </w:tc>
      </w:tr>
      <w:tr>
        <w:trPr>
          <w:trHeight w:val="338"/>
        </w:trPr>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(345,821)</w:t>
            </w: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(138,045)</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(101,249)</w:t>
            </w:r>
          </w:p>
        </w:tc>
      </w:tr>
      <w:tr>
        <w:trPr>
          <w:trHeight w:val="338"/>
        </w:trPr>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76,157</w:t>
            </w:r>
          </w:p>
        </w:tc>
        <w:tc>
          <w:tcPr>
            <w:tcW w:w="42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94,222</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43,859</w:t>
            </w:r>
          </w:p>
        </w:tc>
      </w:tr>
      <w:tr>
        <w:trPr>
          <w:trHeight w:val="338"/>
        </w:trPr>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436,217</w:t>
            </w:r>
          </w:p>
        </w:tc>
        <w:tc>
          <w:tcPr>
            <w:tcW w:w="42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79,474</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118,735</w:t>
            </w:r>
          </w:p>
        </w:tc>
      </w:tr>
      <w:tr>
        <w:trPr>
          <w:trHeight w:val="338"/>
        </w:trPr>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(8,280)</w:t>
            </w:r>
          </w:p>
        </w:tc>
        <w:tc>
          <w:tcPr>
            <w:tcW w:w="42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90" w:lineRule="exact"/>
        <w:rPr>
          <w:sz w:val="20"/>
          <w:szCs w:val="20"/>
          <w:color w:val="auto"/>
        </w:rPr>
      </w:pPr>
    </w:p>
    <w:p>
      <w:pPr>
        <w:sectPr>
          <w:pgSz w:w="11900" w:h="16838" w:orient="portrait"/>
          <w:cols w:equalWidth="0" w:num="2">
            <w:col w:w="6320" w:space="540"/>
            <w:col w:w="4380"/>
          </w:cols>
          <w:pgMar w:left="320" w:top="122" w:right="33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November 2023, the FASB issued ASU 2023-07,</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Reporting (Topic 280) - Improvements to Reportable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Disclosures</w:t>
      </w:r>
      <w:r>
        <w:rPr>
          <w:rFonts w:ascii="Arial" w:cs="Arial" w:eastAsia="Arial" w:hAnsi="Arial"/>
          <w:sz w:val="16"/>
          <w:szCs w:val="16"/>
          <w:color w:val="000000"/>
        </w:rPr>
        <w:t>. This ASU modifies the disclosure and presentation requirements of reportable segments. The new guidance requires the disclosure of</w:t>
      </w:r>
      <w:r>
        <w:rPr>
          <w:rFonts w:ascii="Arial" w:cs="Arial" w:eastAsia="Arial" w:hAnsi="Arial"/>
          <w:sz w:val="16"/>
          <w:szCs w:val="16"/>
          <w:i w:val="1"/>
          <w:iCs w:val="1"/>
          <w:color w:val="000000"/>
        </w:rPr>
        <w:t xml:space="preserve"> </w:t>
      </w:r>
      <w:r>
        <w:rPr>
          <w:rFonts w:ascii="Arial" w:cs="Arial" w:eastAsia="Arial" w:hAnsi="Arial"/>
          <w:sz w:val="16"/>
          <w:szCs w:val="16"/>
          <w:color w:val="000000"/>
        </w:rPr>
        <w:t>significant segment expenses that are regularly provided to the chief operating decision maker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standard is effective retrospectively for all public entities for fiscal years beginning after December 15, 2023, and interim periods within fiscal years beginning after December 15, 2024, with early adoption permitted. We adopted this guidance in the fourth quarter of 2024, and it did not have a material impact on our consolidated financial statements and related disclosures.</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December 2023, the FASB issued ASU 2023-09,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Income Taxes (Topic 740) - Improvements to Income Tax</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Disclosures</w:t>
      </w:r>
      <w:r>
        <w:rPr>
          <w:rFonts w:ascii="Arial" w:cs="Arial" w:eastAsia="Arial" w:hAnsi="Arial"/>
          <w:sz w:val="16"/>
          <w:szCs w:val="16"/>
          <w:color w:val="000000"/>
        </w:rPr>
        <w:t>. This ASU enhances the transparency and decision usefulness of income tax disclosures by expanding the disclosures of an entity’s income tax</w:t>
      </w:r>
      <w:r>
        <w:rPr>
          <w:rFonts w:ascii="Arial" w:cs="Arial" w:eastAsia="Arial" w:hAnsi="Arial"/>
          <w:sz w:val="16"/>
          <w:szCs w:val="16"/>
          <w:i w:val="1"/>
          <w:iCs w:val="1"/>
          <w:color w:val="000000"/>
        </w:rPr>
        <w:t xml:space="preserve"> </w:t>
      </w:r>
      <w:r>
        <w:rPr>
          <w:rFonts w:ascii="Arial" w:cs="Arial" w:eastAsia="Arial" w:hAnsi="Arial"/>
          <w:sz w:val="16"/>
          <w:szCs w:val="16"/>
          <w:color w:val="000000"/>
        </w:rPr>
        <w:t>rate reconciliation and disaggregation of income taxes paid and income tax expense. Under the new guidance, public business entities must annually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prospectively for all public entities for annual periods beginning after December 15, 2024, with early adoption and retrospective application permitted. We are currently assessing the impact this guidance will have on our consolidated financial statements and related disclosures.</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March 2024, the FASB issued ASU 2024-02, </w:t>
      </w:r>
      <w:r>
        <w:rPr>
          <w:rFonts w:ascii="Arial" w:cs="Arial" w:eastAsia="Arial" w:hAnsi="Arial"/>
          <w:sz w:val="16"/>
          <w:szCs w:val="16"/>
          <w:i w:val="1"/>
          <w:iCs w:val="1"/>
          <w:color w:val="auto"/>
        </w:rPr>
        <w:t>Codification Improvements - Amendments to Remove References to the Concept Statements.</w:t>
      </w:r>
      <w:r>
        <w:rPr>
          <w:rFonts w:ascii="Arial" w:cs="Arial" w:eastAsia="Arial" w:hAnsi="Arial"/>
          <w:sz w:val="16"/>
          <w:szCs w:val="16"/>
          <w:color w:val="auto"/>
        </w:rPr>
        <w:t xml:space="preserve"> This ASU amends the Codification to remove references to various concepts statements and impacts a variety of topics in the Codification. The amendments apply to all reporting entities within the scope of the affected accounting guidance. Generally, the amendments in ASU 2024-02 are not intended to result in significant accounting changes for most entities. ASU 2024-02 is effective January 1, 2025 and we are currently assessing the impact this guidance will have on our consolidated financial statements and related disclosures.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In January 2025, the FASB issued Clarifying the Effective Date (“ASU 2025-01”) to add some</w:t>
      </w:r>
    </w:p>
    <w:p>
      <w:pPr>
        <w:jc w:val="both"/>
        <w:spacing w:after="0" w:line="267" w:lineRule="auto"/>
        <w:rPr>
          <w:sz w:val="20"/>
          <w:szCs w:val="20"/>
          <w:color w:val="auto"/>
        </w:rPr>
      </w:pPr>
      <w:r>
        <w:rPr>
          <w:rFonts w:ascii="Arial" w:cs="Arial" w:eastAsia="Arial" w:hAnsi="Arial"/>
          <w:sz w:val="16"/>
          <w:szCs w:val="16"/>
          <w:color w:val="auto"/>
        </w:rPr>
        <w:t>clarity around the effective date of the guidance. This ASU requires disaggregated information for specified categories of expenses, including inventory purchases, employee compensation, depreciation, amortization, and depletion, to be presented in certain expense captions on the face of the income statement. This standard is effective for annual periods beginning after December 15, 2026, and interim periods beginning after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December 15, 2027, with early adoption and either prospective or retrospective application permitted. We are currently assessing the impact this guidance will have on our consolidated financial statements and related disclosures.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Infrastructure Inc. (“FTAI Infrastructure”) Spin-Off</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spin-off met the criteria to be reported as a discontinued operation. Therefore, FTAI Infrastructure is presented as a discontinued operation within the Company’s financial statements for all periods prior to August 1, 2022.</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spin-off, the Company and the Former Manager assigned the Company’s then-existing management agreement to FTAI Infrastructure, and FTAI Infrastructure and the Former Manager executed an amended and restated agreement.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Revenues of discontinued operations consist of the following revenue streams: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other revenue consists of revenue related to derivative trading activities and also includes revenue related to providing roadside assistance services to customers in the intermodal and over-the-road trucking industries. Revenue is recognized when a performance obligation is satisfied by completing a repair service at a point in time. Revenues are typically invoiced for each repair and generally have 30-day payment terms.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Intangibles included the value of existing customer relationships acquired in connection with the acquisition of Jefferson Terminal and Transtar.</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Customer relationship intangible assets were amortized on a straight-line basis over their useful lives as the pattern in which the asset’s economic benefits are consumed cannot reliably be determined. Customer relationship intangible assets have useful lives ranging from 5 to 15 years, no estimated residual value, and amortization was recorded as a component of Depreciation and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Financial Information of Discontinued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loss from discontinued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9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140,009</w:t>
            </w:r>
          </w:p>
        </w:tc>
      </w:tr>
      <w:tr>
        <w:trPr>
          <w:trHeight w:val="18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12,732</w:t>
            </w:r>
          </w:p>
        </w:tc>
      </w:tr>
      <w:tr>
        <w:trPr>
          <w:trHeight w:val="20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92,478</w:t>
            </w:r>
          </w:p>
        </w:tc>
      </w:tr>
      <w:tr>
        <w:trPr>
          <w:trHeight w:val="199"/>
        </w:trPr>
        <w:tc>
          <w:tcPr>
            <w:tcW w:w="95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2,694</w:t>
            </w:r>
          </w:p>
        </w:tc>
      </w:tr>
      <w:tr>
        <w:trPr>
          <w:trHeight w:val="20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13,971</w:t>
            </w:r>
          </w:p>
        </w:tc>
      </w:tr>
      <w:tr>
        <w:trPr>
          <w:trHeight w:val="199"/>
        </w:trPr>
        <w:tc>
          <w:tcPr>
            <w:tcW w:w="95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8,134</w:t>
            </w:r>
          </w:p>
        </w:tc>
      </w:tr>
      <w:tr>
        <w:trPr>
          <w:trHeight w:val="20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40,319</w:t>
            </w:r>
          </w:p>
        </w:tc>
      </w:tr>
      <w:tr>
        <w:trPr>
          <w:trHeight w:val="19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15,105</w:t>
            </w:r>
          </w:p>
        </w:tc>
      </w:tr>
      <w:tr>
        <w:trPr>
          <w:trHeight w:val="20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185,433</w:t>
            </w:r>
          </w:p>
        </w:tc>
      </w:tr>
      <w:tr>
        <w:trPr>
          <w:trHeight w:val="192"/>
        </w:trPr>
        <w:tc>
          <w:tcPr>
            <w:tcW w:w="95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(46,600)</w:t>
            </w:r>
          </w:p>
        </w:tc>
      </w:tr>
      <w:tr>
        <w:trPr>
          <w:trHeight w:val="20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9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w:t>
            </w:r>
          </w:p>
        </w:tc>
      </w:tr>
      <w:tr>
        <w:trPr>
          <w:trHeight w:val="20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(47,765)</w:t>
            </w:r>
          </w:p>
        </w:tc>
      </w:tr>
      <w:tr>
        <w:trPr>
          <w:trHeight w:val="195"/>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(93,189)</w:t>
            </w: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r>
      <w:tr>
        <w:trPr>
          <w:trHeight w:val="195"/>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from discontinued operations, net of income taxes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(101,416)</w:t>
            </w:r>
          </w:p>
        </w:tc>
      </w:tr>
      <w:tr>
        <w:trPr>
          <w:trHeight w:val="19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(18,817)</w:t>
            </w:r>
          </w:p>
        </w:tc>
      </w:tr>
      <w:tr>
        <w:trPr>
          <w:trHeight w:val="200"/>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(82,599)</w:t>
            </w: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the year ended December 31, 2022. The following table summarizes depreciation and amortization, capital expenditures, and other significant operating and investing noncash items of discontinued operations for each period presented: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 December</w:t>
            </w:r>
          </w:p>
        </w:tc>
      </w:tr>
      <w:tr>
        <w:trPr>
          <w:trHeight w:val="185"/>
        </w:trPr>
        <w:tc>
          <w:tcPr>
            <w:tcW w:w="95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31, 2022</w:t>
            </w:r>
          </w:p>
        </w:tc>
      </w:tr>
      <w:tr>
        <w:trPr>
          <w:trHeight w:val="18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46,601</w:t>
            </w:r>
          </w:p>
        </w:tc>
      </w:tr>
      <w:tr>
        <w:trPr>
          <w:trHeight w:val="20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40,319</w:t>
            </w: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2,623</w:t>
            </w:r>
          </w:p>
        </w:tc>
      </w:tr>
      <w:tr>
        <w:trPr>
          <w:trHeight w:val="20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(129,920)</w:t>
            </w:r>
          </w:p>
        </w:tc>
      </w:tr>
      <w:tr>
        <w:trPr>
          <w:trHeight w:val="20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(7,954)</w:t>
            </w:r>
          </w:p>
        </w:tc>
      </w:tr>
      <w:tr>
        <w:trPr>
          <w:trHeight w:val="20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w:t>
            </w:r>
          </w:p>
        </w:tc>
      </w:tr>
      <w:tr>
        <w:trPr>
          <w:trHeight w:val="198"/>
        </w:trPr>
        <w:tc>
          <w:tcPr>
            <w:tcW w:w="952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(182,963)</w:t>
            </w:r>
          </w:p>
        </w:tc>
      </w:tr>
      <w:tr>
        <w:trPr>
          <w:trHeight w:val="20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(21,302)</w:t>
            </w:r>
          </w:p>
        </w:tc>
      </w:tr>
    </w:tbl>
    <w:p>
      <w:pPr>
        <w:spacing w:after="0" w:line="17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Company accounted for Long Ridge Terminal LLC, included in discontinued operations for the year ended December 31, 2022 included above, using the equity method of accounting. Summarized financial data for Long Ridge Terminal LLC are shown in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15,199</w:t>
            </w:r>
          </w:p>
        </w:tc>
      </w:tr>
      <w:tr>
        <w:trPr>
          <w:trHeight w:val="251"/>
        </w:trPr>
        <w:tc>
          <w:tcPr>
            <w:tcW w:w="9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95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36,693</w:t>
            </w: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29,381</w:t>
            </w:r>
          </w:p>
        </w:tc>
      </w:tr>
      <w:tr>
        <w:trPr>
          <w:trHeight w:val="202"/>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30,622</w:t>
            </w:r>
          </w:p>
        </w:tc>
      </w:tr>
      <w:tr>
        <w:trPr>
          <w:trHeight w:val="19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96,696</w:t>
            </w:r>
          </w:p>
        </w:tc>
      </w:tr>
      <w:tr>
        <w:trPr>
          <w:trHeight w:val="195"/>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r>
      <w:tr>
        <w:trPr>
          <w:trHeight w:val="222"/>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(81,731)</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ACQUISITION OF LOCKHEED MARTIN COMMERCIAL ENGINE SOLUTIONS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September 9, 2024, the Company, through its subsidiary FTAIC Aviation Inc. (“FTAIC”) created on April 25, 2024, acquired certain assets and assumed certain liabilities of Lockheed Martin Commercial Engine Solutions (“LMCES”) from Lockheed Martin Canada for total consideration of $170.0 million. LMCES is a 526,000-square-foot aircraft engine maintenance repair facility located in Montréal, Quebec. We acquired LMCES to further enhance our Maintenance, Repair, and Exchange business and establish permanent engine and module manufacturing capabilities in Canada. The facility operates within our Aerospace Products segment, providing extensive engine and piece-part repair capabilities for the CFM56 engines. See Note 14 for additional information. The results of operations of LMCES have been included in the Company’s results since the effective date of the acquisition. In connection with the acquisition, we recorded $6.9 million of acquisition and transaction expense during the year ended December 31, 2024.</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acquisition of LMCES was accounted for as a business combination and, as such, the following fair values were assigned to assets acquired and liabilities assumed based on the Company’s estimates and assumptions and are preliminary. The significant assumptions used to estimate the fair values of the property, plant, and equipment and inventory included replacement cost estimates and market data for similar assets where available. The consideration paid and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fair values of inventory; (iii) changes in goodwill; (iv) changes due to net working capital adjustments; and (v) changes to other assets and other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Subsequent to the acquisition, in the quarter ended December 31, 2024, measurement period adjustments as of the acquisition date were made to decrease accounts receivable by $1.5 million, decrease inventory by $21.5 million, increase other current assets by $4.1 million, increase property, plant and equipment by $1.0 million, increase other non-current assets by $0.1 million, decrease accounts payable by $0.4 million, decrease accrued liabilities by $0.1 million, decrease other current liabilities by $5.0 million, increase other non-current liabilities by $1.5 million an increase in total consideration transferred of $15.8 million. These adjustments resulted in an increase to goodwill of $29.6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net assets acquired: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September 9, 2024</w:t>
            </w:r>
          </w:p>
        </w:tc>
      </w:tr>
      <w:tr>
        <w:trPr>
          <w:trHeight w:val="182"/>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94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10,758</w:t>
            </w:r>
          </w:p>
        </w:tc>
      </w:tr>
      <w:tr>
        <w:trPr>
          <w:trHeight w:val="207"/>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25,947</w:t>
            </w:r>
          </w:p>
        </w:tc>
      </w:tr>
      <w:tr>
        <w:trPr>
          <w:trHeight w:val="19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6,795</w:t>
            </w:r>
          </w:p>
        </w:tc>
      </w:tr>
      <w:tr>
        <w:trPr>
          <w:trHeight w:val="200"/>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43,500</w:t>
            </w:r>
          </w:p>
        </w:tc>
      </w:tr>
      <w:tr>
        <w:trPr>
          <w:trHeight w:val="198"/>
        </w:trPr>
        <w:tc>
          <w:tcPr>
            <w:tcW w:w="946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72,414</w:t>
            </w:r>
          </w:p>
        </w:tc>
      </w:tr>
      <w:tr>
        <w:trPr>
          <w:trHeight w:val="207"/>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Leasing equipment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5,675</w:t>
            </w:r>
          </w:p>
        </w:tc>
      </w:tr>
      <w:tr>
        <w:trPr>
          <w:trHeight w:val="19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10,270</w:t>
            </w:r>
          </w:p>
        </w:tc>
      </w:tr>
      <w:tr>
        <w:trPr>
          <w:trHeight w:val="200"/>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131,859</w:t>
            </w:r>
          </w:p>
        </w:tc>
      </w:tr>
      <w:tr>
        <w:trPr>
          <w:trHeight w:val="202"/>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94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7,669</w:t>
            </w:r>
          </w:p>
        </w:tc>
      </w:tr>
      <w:tr>
        <w:trPr>
          <w:trHeight w:val="207"/>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r>
      <w:tr>
        <w:trPr>
          <w:trHeight w:val="19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r>
      <w:tr>
        <w:trPr>
          <w:trHeight w:val="200"/>
        </w:trPr>
        <w:tc>
          <w:tcPr>
            <w:tcW w:w="94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14,491</w:t>
            </w:r>
          </w:p>
        </w:tc>
      </w:tr>
      <w:tr>
        <w:trPr>
          <w:trHeight w:val="19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14,347</w:t>
            </w:r>
          </w:p>
        </w:tc>
      </w:tr>
      <w:tr>
        <w:trPr>
          <w:trHeight w:val="200"/>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28,838</w:t>
            </w:r>
          </w:p>
        </w:tc>
      </w:tr>
      <w:tr>
        <w:trPr>
          <w:trHeight w:val="19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9"/>
                <w:szCs w:val="9"/>
                <w:color w:val="auto"/>
              </w:rPr>
              <w:t>(1)</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56,476</w:t>
            </w:r>
          </w:p>
        </w:tc>
      </w:tr>
      <w:tr>
        <w:trPr>
          <w:trHeight w:val="225"/>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assets acquired </w:t>
            </w:r>
            <w:r>
              <w:rPr>
                <w:rFonts w:ascii="Arial" w:cs="Arial" w:eastAsia="Arial" w:hAnsi="Arial"/>
                <w:sz w:val="9"/>
                <w:szCs w:val="9"/>
                <w:b w:val="1"/>
                <w:bCs w:val="1"/>
                <w:color w:val="auto"/>
              </w:rPr>
              <w:t>(2)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159,497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firstLine="8"/>
        <w:spacing w:after="0" w:line="305" w:lineRule="auto"/>
        <w:tabs>
          <w:tab w:leader="none" w:pos="154" w:val="left"/>
        </w:tabs>
        <w:numPr>
          <w:ilvl w:val="0"/>
          <w:numId w:val="38"/>
        </w:numPr>
        <w:rPr>
          <w:rFonts w:ascii="Arial" w:cs="Arial" w:eastAsia="Arial" w:hAnsi="Arial"/>
          <w:sz w:val="9"/>
          <w:szCs w:val="9"/>
          <w:color w:val="auto"/>
        </w:rPr>
      </w:pPr>
      <w:r>
        <w:rPr>
          <w:rFonts w:ascii="Arial" w:cs="Arial" w:eastAsia="Arial" w:hAnsi="Arial"/>
          <w:sz w:val="14"/>
          <w:szCs w:val="14"/>
          <w:color w:val="auto"/>
        </w:rPr>
        <w:t>Goodwill is primarily attributable to the assembled workforce of FTAIC and the synergies expected to be achieved. This goodwill is assigned to the Aerospace Products segment and is deductible for income tax purposes.</w:t>
      </w:r>
    </w:p>
    <w:p>
      <w:pPr>
        <w:spacing w:after="0" w:line="103" w:lineRule="exact"/>
        <w:rPr>
          <w:rFonts w:ascii="Arial" w:cs="Arial" w:eastAsia="Arial" w:hAnsi="Arial"/>
          <w:sz w:val="9"/>
          <w:szCs w:val="9"/>
          <w:color w:val="auto"/>
        </w:rPr>
      </w:pPr>
    </w:p>
    <w:p>
      <w:pPr>
        <w:ind w:firstLine="8"/>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Total consideration is calculated as cash paid, adjusted for the settlement of pre-existing relationships. Cash consideration is also preliminary, as it is subject to net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preliminary fair values of the components of property, plant and equipment acquired and their estimated useful lives: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1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 Fair</w:t>
            </w:r>
          </w:p>
        </w:tc>
      </w:tr>
      <w:tr>
        <w:trPr>
          <w:trHeight w:val="185"/>
        </w:trPr>
        <w:tc>
          <w:tcPr>
            <w:tcW w:w="786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value</w:t>
            </w:r>
          </w:p>
        </w:tc>
      </w:tr>
      <w:tr>
        <w:trPr>
          <w:trHeight w:val="19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96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40,953</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1960" w:type="dxa"/>
            <w:vAlign w:val="bottom"/>
          </w:tcPr>
          <w:p>
            <w:pPr>
              <w:jc w:val="right"/>
              <w:ind w:right="728"/>
              <w:spacing w:after="0"/>
              <w:rPr>
                <w:sz w:val="20"/>
                <w:szCs w:val="20"/>
                <w:color w:val="auto"/>
              </w:rPr>
            </w:pPr>
            <w:r>
              <w:rPr>
                <w:rFonts w:ascii="Arial" w:cs="Arial" w:eastAsia="Arial" w:hAnsi="Arial"/>
                <w:sz w:val="14"/>
                <w:szCs w:val="14"/>
                <w:color w:val="auto"/>
              </w:rPr>
              <w:t>2 - 21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30,660</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r>
      <w:tr>
        <w:trPr>
          <w:trHeight w:val="188"/>
        </w:trPr>
        <w:tc>
          <w:tcPr>
            <w:tcW w:w="7860" w:type="dxa"/>
            <w:vAlign w:val="bottom"/>
          </w:tcPr>
          <w:p>
            <w:pPr>
              <w:ind w:left="20"/>
              <w:spacing w:after="0"/>
              <w:rPr>
                <w:sz w:val="20"/>
                <w:szCs w:val="20"/>
                <w:color w:val="auto"/>
              </w:rPr>
            </w:pPr>
            <w:r>
              <w:rPr>
                <w:rFonts w:ascii="Arial" w:cs="Arial" w:eastAsia="Arial" w:hAnsi="Arial"/>
                <w:sz w:val="14"/>
                <w:szCs w:val="14"/>
                <w:color w:val="auto"/>
              </w:rPr>
              <w:t>Total</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72,414</w:t>
            </w:r>
          </w:p>
        </w:tc>
      </w:tr>
    </w:tbl>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and LMCES on a pro forma basis. These pro forma results were based on estimates and assumptions which we believe are reasonable. The pro forma adjustments are primarily comprised of the following:</w:t>
      </w:r>
    </w:p>
    <w:p>
      <w:pPr>
        <w:spacing w:after="0" w:line="194" w:lineRule="exact"/>
        <w:rPr>
          <w:sz w:val="20"/>
          <w:szCs w:val="20"/>
          <w:color w:val="auto"/>
        </w:rPr>
      </w:pPr>
    </w:p>
    <w:p>
      <w:pPr>
        <w:ind w:left="660" w:hanging="328"/>
        <w:spacing w:after="0" w:line="29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w:t>
      </w: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unaudited pro forma financial information is presented for informational purposes only and is not indicative of the results of operations that would have been achieved if the acquisition had taken place as of January 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1,782,339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1,257,302</w:t>
            </w:r>
          </w:p>
        </w:tc>
      </w:tr>
      <w:tr>
        <w:trPr>
          <w:trHeight w:val="194"/>
        </w:trPr>
        <w:tc>
          <w:tcPr>
            <w:tcW w:w="8100" w:type="dxa"/>
            <w:vAlign w:val="bottom"/>
          </w:tcPr>
          <w:p>
            <w:pPr>
              <w:ind w:left="20"/>
              <w:spacing w:after="0"/>
              <w:rPr>
                <w:sz w:val="20"/>
                <w:szCs w:val="20"/>
                <w:color w:val="auto"/>
              </w:rPr>
            </w:pPr>
            <w:r>
              <w:rPr>
                <w:rFonts w:ascii="Arial" w:cs="Arial" w:eastAsia="Arial" w:hAnsi="Arial"/>
                <w:sz w:val="14"/>
                <w:szCs w:val="14"/>
                <w:color w:val="auto"/>
              </w:rPr>
              <w:t>Net (loss) income attributable to shareholders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(35,850)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211,582</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ACQUISITION OF QUICKTURN</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1, 2023, we completed the acquisition of the remaining equity interest of Quick Turn Engine Center LLC (“QuickTurn”) from Unical Aviation Inc. (“Unical”) for total cash consideration of $30.3 million to obtain full ownership.</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acquired QuickTurn to better position the Company to have tighter integration over the development and delivery of aerospace products. QuickTurn is a hospital maintenance and testing facility dedicated to the CFM56 engine located in Miami, Florida that operates within our Aerospace Products segment. The results of operations at QuickTurn have been included in the Consolidated Statements of Operations beginning on the acquisition date.</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acquisition of QuickTurn was accounted for as a business combination and, as such, the following fair values were assigned to assets acquired and liabilities assumed based on management’s estimates and assumptions. The significant assumptions used to estimate the fair value of the property, plant, and equipment included replacement cost estimates and market data for similar assets where available. The significant assumptions used to estimate the value of the customer relationship intangible assets included the discount rate and future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net assets acquired: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December 1, 2023</w:t>
            </w:r>
          </w:p>
        </w:tc>
      </w:tr>
      <w:tr>
        <w:trPr>
          <w:trHeight w:val="181"/>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4"/>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9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07"/>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952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5,133</w:t>
            </w:r>
          </w:p>
        </w:tc>
      </w:tr>
      <w:tr>
        <w:trPr>
          <w:trHeight w:val="207"/>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9,332</w:t>
            </w:r>
          </w:p>
        </w:tc>
      </w:tr>
      <w:tr>
        <w:trPr>
          <w:trHeight w:val="198"/>
        </w:trPr>
        <w:tc>
          <w:tcPr>
            <w:tcW w:w="9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w:t>
            </w:r>
          </w:p>
        </w:tc>
      </w:tr>
      <w:tr>
        <w:trPr>
          <w:trHeight w:val="200"/>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18,022</w:t>
            </w:r>
          </w:p>
        </w:tc>
      </w:tr>
      <w:tr>
        <w:trPr>
          <w:trHeight w:val="198"/>
        </w:trPr>
        <w:tc>
          <w:tcPr>
            <w:tcW w:w="952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30,559</w:t>
            </w:r>
          </w:p>
        </w:tc>
      </w:tr>
      <w:tr>
        <w:trPr>
          <w:trHeight w:val="207"/>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r>
      <w:tr>
        <w:trPr>
          <w:trHeight w:val="198"/>
        </w:trPr>
        <w:tc>
          <w:tcPr>
            <w:tcW w:w="9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r>
      <w:tr>
        <w:trPr>
          <w:trHeight w:val="20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52,370</w:t>
            </w:r>
          </w:p>
        </w:tc>
      </w:tr>
      <w:tr>
        <w:trPr>
          <w:trHeight w:val="201"/>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4"/>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95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3,424</w:t>
            </w:r>
          </w:p>
        </w:tc>
      </w:tr>
      <w:tr>
        <w:trPr>
          <w:trHeight w:val="207"/>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198"/>
        </w:trPr>
        <w:tc>
          <w:tcPr>
            <w:tcW w:w="9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r>
      <w:tr>
        <w:trPr>
          <w:trHeight w:val="200"/>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r>
      <w:tr>
        <w:trPr>
          <w:trHeight w:val="198"/>
        </w:trPr>
        <w:tc>
          <w:tcPr>
            <w:tcW w:w="9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r>
      <w:tr>
        <w:trPr>
          <w:trHeight w:val="20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w:t>
            </w:r>
          </w:p>
        </w:tc>
      </w:tr>
      <w:tr>
        <w:trPr>
          <w:trHeight w:val="198"/>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9"/>
                <w:szCs w:val="9"/>
                <w:color w:val="auto"/>
              </w:rPr>
              <w:t>(1)</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r>
      <w:tr>
        <w:trPr>
          <w:trHeight w:val="225"/>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assets acquired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50,596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4" w:lineRule="exact"/>
        <w:rPr>
          <w:sz w:val="20"/>
          <w:szCs w:val="20"/>
          <w:color w:val="auto"/>
        </w:rPr>
      </w:pPr>
    </w:p>
    <w:p>
      <w:pPr>
        <w:ind w:left="180" w:hanging="172"/>
        <w:spacing w:after="0" w:line="305" w:lineRule="auto"/>
        <w:tabs>
          <w:tab w:leader="none" w:pos="158" w:val="left"/>
        </w:tabs>
        <w:numPr>
          <w:ilvl w:val="0"/>
          <w:numId w:val="40"/>
        </w:numPr>
        <w:rPr>
          <w:rFonts w:ascii="Arial" w:cs="Arial" w:eastAsia="Arial" w:hAnsi="Arial"/>
          <w:sz w:val="9"/>
          <w:szCs w:val="9"/>
          <w:color w:val="auto"/>
        </w:rPr>
      </w:pPr>
      <w:r>
        <w:rPr>
          <w:rFonts w:ascii="Arial" w:cs="Arial" w:eastAsia="Arial" w:hAnsi="Arial"/>
          <w:sz w:val="14"/>
          <w:szCs w:val="14"/>
          <w:color w:val="auto"/>
        </w:rPr>
        <w:t>Goodwill is primarily attributable to the assembled workforce of QuickTurn and the synergies expected to be achieved. This goodwill is assigned to the Aerospace Products segment and is deductible for income tax purposes.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LEASING EQUIPMENT,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2,963,452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2,574,394</w:t>
            </w: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(589,722)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(541,981)</w:t>
            </w:r>
          </w:p>
        </w:tc>
      </w:tr>
      <w:tr>
        <w:trPr>
          <w:trHeight w:val="22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2,373,730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2,032,413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Due to specific transactions, we identified certain assets in our leasing equipment portfolio with indicators of impairment. As a result, we adjusted the carrying value of these assets to fair value and recognized transactional impairment charges of $1.0 million and $2.1 million, net of redelivery compensation, for the years ended December 31, 2024 and 2023, respectively. We recognized an impairment charge totaling $120.0 million, net of maintenance deposits, to write-off the entire carrying value of leasing equipment assets that we did not expect to recover from Ukraine and Russia during the year ended December 31, 2022.</w:t>
      </w:r>
    </w:p>
    <w:p>
      <w:pPr>
        <w:spacing w:after="0" w:line="2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fourth quarter of 2024, the Company completed the sale of the two vessels included within Corporate and Other. We sold the two offshore vessels for total proceeds of $142.6 million and the book value was $123.9 million. This transaction resulted in a gain of $18.7 million and is reflected in the Gain on sale of assets, net, for the year ended December 31,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2920" w:type="dxa"/>
            <w:vAlign w:val="bottom"/>
            <w:gridSpan w:val="2"/>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211,047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152,378</w:t>
            </w:r>
          </w:p>
        </w:tc>
      </w:tr>
      <w:tr>
        <w:trPr>
          <w:trHeight w:val="910"/>
        </w:trPr>
        <w:tc>
          <w:tcPr>
            <w:tcW w:w="4180" w:type="dxa"/>
            <w:vAlign w:val="bottom"/>
          </w:tcPr>
          <w:p>
            <w:pPr>
              <w:spacing w:after="0"/>
              <w:rPr>
                <w:sz w:val="24"/>
                <w:szCs w:val="24"/>
                <w:color w:val="auto"/>
              </w:rPr>
            </w:pPr>
          </w:p>
        </w:tc>
        <w:tc>
          <w:tcPr>
            <w:tcW w:w="1900" w:type="dxa"/>
            <w:vAlign w:val="bottom"/>
          </w:tcPr>
          <w:p>
            <w:pPr>
              <w:jc w:val="right"/>
              <w:ind w:right="308"/>
              <w:spacing w:after="0"/>
              <w:rPr>
                <w:sz w:val="20"/>
                <w:szCs w:val="20"/>
                <w:color w:val="auto"/>
              </w:rPr>
            </w:pPr>
            <w:r>
              <w:rPr>
                <w:rFonts w:ascii="Arial" w:cs="Arial" w:eastAsia="Arial" w:hAnsi="Arial"/>
                <w:sz w:val="14"/>
                <w:szCs w:val="14"/>
                <w:color w:val="auto"/>
              </w:rPr>
              <w:t>73</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9"/>
        </w:trPr>
        <w:tc>
          <w:tcPr>
            <w:tcW w:w="41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428"/>
              <w:spacing w:after="0"/>
              <w:rPr>
                <w:sz w:val="20"/>
                <w:szCs w:val="20"/>
                <w:color w:val="auto"/>
              </w:rPr>
            </w:pPr>
            <w:r>
              <w:rPr>
                <w:rFonts w:ascii="Arial" w:cs="Arial" w:eastAsia="Arial" w:hAnsi="Arial"/>
                <w:sz w:val="14"/>
                <w:szCs w:val="14"/>
                <w:b w:val="1"/>
                <w:bCs w:val="1"/>
                <w:color w:val="auto"/>
              </w:rPr>
              <w:t>Carrying Value</w:t>
            </w:r>
          </w:p>
        </w:tc>
      </w:tr>
      <w:tr>
        <w:trPr>
          <w:trHeight w:val="197"/>
        </w:trPr>
        <w:tc>
          <w:tcPr>
            <w:tcW w:w="26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21,040</w:t>
            </w:r>
          </w:p>
        </w:tc>
      </w:tr>
      <w:tr>
        <w:trPr>
          <w:trHeight w:val="310"/>
        </w:trPr>
        <w:tc>
          <w:tcPr>
            <w:tcW w:w="268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1,682</w:t>
            </w:r>
          </w:p>
        </w:tc>
      </w:tr>
      <w:tr>
        <w:trPr>
          <w:trHeight w:val="221"/>
        </w:trPr>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22,722</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r>
      <w:tr>
        <w:trPr>
          <w:trHeight w:val="201"/>
        </w:trPr>
        <w:tc>
          <w:tcPr>
            <w:tcW w:w="610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741</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Quick Turn Engine Center LLC</w:t>
            </w:r>
          </w:p>
        </w:tc>
        <w:tc>
          <w:tcPr>
            <w:tcW w:w="10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(2,200)</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
        </w:trPr>
        <w:tc>
          <w:tcPr>
            <w:tcW w:w="6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This joint venture is focused on developing new cost savings programs for engine repairs.</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 We exercise significant influence over this investment and account for this investment as an equity method investment.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November 2021, we owned a 50% interest in Falcon MSN 177 LLC (“Falcon”), an entity that consists of one Dassault Falcon 2000 aircraft. Falcon leases the aircraft to charter operators on aircraft, crew maintenance, and insurance contracts. We accounted for our investment in Falcon as an equity method investment as we have significant influence through our interest.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May 3, 2024, we purchased the remaining interest from S7 Aerospace for total cash consideration of $0.8 million and it is now a consolidated subsidiary.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Quick Turn Engine Center LLC</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4, 2023, we invested $19.5 million for a 50% interest (45% pro rata distribution of income until return of the JV partner’s initial investment) in Quick Turn Engine Center LLC (previously iAero Thrust LLC), a hospital maintenance and testing facility dedicated to the CFM56 engine. We account for our investment in QuickTurn as an equity method investment as we have significant influence through our interest.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December 1, 2023, we purchased the remaining interest in QuickTurn.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2023</w:t>
            </w:r>
          </w:p>
        </w:tc>
      </w:tr>
      <w:tr>
        <w:trPr>
          <w:trHeight w:val="18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auto"/>
              </w:rPr>
              <w:t>70,375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68,041</w:t>
            </w: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(29,664)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(19,347)</w:t>
            </w:r>
          </w:p>
        </w:tc>
      </w:tr>
      <w:tr>
        <w:trPr>
          <w:trHeight w:val="19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220" w:type="dxa"/>
            <w:vAlign w:val="bottom"/>
          </w:tcPr>
          <w:p>
            <w:pPr>
              <w:spacing w:after="0"/>
              <w:rPr>
                <w:sz w:val="16"/>
                <w:szCs w:val="16"/>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auto"/>
              </w:rPr>
              <w:t>40,711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48,694</w:t>
            </w:r>
          </w:p>
        </w:tc>
      </w:tr>
      <w:tr>
        <w:trPr>
          <w:trHeight w:val="204"/>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customer relationships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r>
      <w:tr>
        <w:trPr>
          <w:trHeight w:val="20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r>
      <w:tr>
        <w:trPr>
          <w:trHeight w:val="197"/>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42,205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50,590</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r>
      <w:tr>
        <w:trPr>
          <w:trHeight w:val="20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w:t>
            </w:r>
          </w:p>
        </w:tc>
      </w:tr>
      <w:tr>
        <w:trPr>
          <w:trHeight w:val="22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12,508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non-current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2580" w:type="dxa"/>
            <w:vAlign w:val="bottom"/>
          </w:tcPr>
          <w:p>
            <w:pPr>
              <w:spacing w:after="0"/>
              <w:rPr>
                <w:sz w:val="5"/>
                <w:szCs w:val="5"/>
                <w:color w:val="auto"/>
              </w:rPr>
            </w:pPr>
          </w:p>
        </w:tc>
        <w:tc>
          <w:tcPr>
            <w:tcW w:w="34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15,597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w:t>
            </w:r>
          </w:p>
        </w:tc>
        <w:tc>
          <w:tcPr>
            <w:tcW w:w="0" w:type="dxa"/>
            <w:vAlign w:val="bottom"/>
          </w:tcPr>
          <w:p>
            <w:pPr>
              <w:spacing w:after="0"/>
              <w:rPr>
                <w:sz w:val="1"/>
                <w:szCs w:val="1"/>
                <w:color w:val="auto"/>
              </w:rPr>
            </w:pPr>
          </w:p>
        </w:tc>
      </w:tr>
      <w:tr>
        <w:trPr>
          <w:trHeight w:val="202"/>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estimated net annual amortization of intangibles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12,278</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2026</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8,643</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2028</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3,947</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r>
      <w:tr>
        <w:trPr>
          <w:trHeight w:val="198"/>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r>
      <w:tr>
        <w:trPr>
          <w:trHeight w:val="22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29,697</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 xml:space="preserve">Revolving Credit Facility </w:t>
            </w:r>
            <w:r>
              <w:rPr>
                <w:rFonts w:ascii="Arial" w:cs="Arial" w:eastAsia="Arial" w:hAnsi="Arial"/>
                <w:sz w:val="9"/>
                <w:szCs w:val="9"/>
                <w:color w:val="auto"/>
              </w:rPr>
              <w:t>(1)</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78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Base Rate + 1.75%; or</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5/22/27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5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9"/>
                <w:szCs w:val="9"/>
                <w:color w:val="auto"/>
              </w:rPr>
              <w:t>(2)</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652,043</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9"/>
                <w:szCs w:val="9"/>
                <w:color w:val="auto"/>
              </w:rPr>
              <w:t>(3)</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1,001,382</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1,001,746</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color w:val="auto"/>
              </w:rPr>
              <w:t xml:space="preserve">Senior Notes due 2030 </w:t>
            </w:r>
            <w:r>
              <w:rPr>
                <w:rFonts w:ascii="Arial" w:cs="Arial" w:eastAsia="Arial" w:hAnsi="Arial"/>
                <w:sz w:val="9"/>
                <w:szCs w:val="9"/>
                <w:color w:val="auto"/>
              </w:rPr>
              <w:t>(4)</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497,071</w:t>
            </w:r>
          </w:p>
        </w:tc>
        <w:tc>
          <w:tcPr>
            <w:tcW w:w="3780" w:type="dxa"/>
            <w:vAlign w:val="bottom"/>
            <w:gridSpan w:val="2"/>
          </w:tcPr>
          <w:p>
            <w:pPr>
              <w:jc w:val="center"/>
              <w:ind w:left="4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12/1/30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496,704</w:t>
            </w: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700,000</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color w:val="auto"/>
              </w:rPr>
              <w:t>Senior Notes due 2032</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800,000</w:t>
            </w:r>
          </w:p>
        </w:tc>
        <w:tc>
          <w:tcPr>
            <w:tcW w:w="3780" w:type="dxa"/>
            <w:vAlign w:val="bottom"/>
            <w:gridSpan w:val="2"/>
          </w:tcPr>
          <w:p>
            <w:pPr>
              <w:jc w:val="center"/>
              <w:ind w:lef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6/15/32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2033 </w:t>
            </w:r>
            <w:r>
              <w:rPr>
                <w:rFonts w:ascii="Arial" w:cs="Arial" w:eastAsia="Arial" w:hAnsi="Arial"/>
                <w:sz w:val="9"/>
                <w:szCs w:val="9"/>
                <w:color w:val="auto"/>
              </w:rPr>
              <w:t>(5)</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497,551</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bonds payable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3,496,004</w:t>
            </w:r>
          </w:p>
        </w:tc>
        <w:tc>
          <w:tcPr>
            <w:tcW w:w="10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2,550,493</w:t>
            </w:r>
          </w:p>
        </w:tc>
        <w:tc>
          <w:tcPr>
            <w:tcW w:w="0" w:type="dxa"/>
            <w:vAlign w:val="bottom"/>
          </w:tcPr>
          <w:p>
            <w:pPr>
              <w:spacing w:after="0"/>
              <w:rPr>
                <w:sz w:val="1"/>
                <w:szCs w:val="1"/>
                <w:color w:val="auto"/>
              </w:rPr>
            </w:pPr>
          </w:p>
        </w:tc>
      </w:tr>
      <w:tr>
        <w:trPr>
          <w:trHeight w:val="197"/>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3,496,004</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2,550,493</w:t>
            </w:r>
          </w:p>
        </w:tc>
        <w:tc>
          <w:tcPr>
            <w:tcW w:w="0" w:type="dxa"/>
            <w:vAlign w:val="bottom"/>
          </w:tcPr>
          <w:p>
            <w:pPr>
              <w:spacing w:after="0"/>
              <w:rPr>
                <w:sz w:val="1"/>
                <w:szCs w:val="1"/>
                <w:color w:val="auto"/>
              </w:rPr>
            </w:pPr>
          </w:p>
        </w:tc>
      </w:tr>
      <w:tr>
        <w:trPr>
          <w:trHeight w:val="201"/>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(55,526)</w:t>
            </w:r>
          </w:p>
        </w:tc>
        <w:tc>
          <w:tcPr>
            <w:tcW w:w="10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(33,150)</w:t>
            </w:r>
          </w:p>
        </w:tc>
        <w:tc>
          <w:tcPr>
            <w:tcW w:w="0" w:type="dxa"/>
            <w:vAlign w:val="bottom"/>
          </w:tcPr>
          <w:p>
            <w:pPr>
              <w:spacing w:after="0"/>
              <w:rPr>
                <w:sz w:val="1"/>
                <w:szCs w:val="1"/>
                <w:color w:val="auto"/>
              </w:rPr>
            </w:pPr>
          </w:p>
        </w:tc>
      </w:tr>
      <w:tr>
        <w:trPr>
          <w:trHeight w:val="22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3,440,478</w:t>
            </w:r>
          </w:p>
        </w:tc>
        <w:tc>
          <w:tcPr>
            <w:tcW w:w="10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2,517,343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w:t>
      </w:r>
    </w:p>
    <w:p>
      <w:pPr>
        <w:spacing w:after="0" w:line="63"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Includes an unamortized discount of $866 at December 31, 2023 and an unamortized premium of $2,908 at December 31, 2023.</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Includes an unamortized premium of $1,382 and $1,746 at December 31, 2024 and 2023, respectively.</w:t>
      </w:r>
    </w:p>
    <w:p>
      <w:pPr>
        <w:spacing w:after="0" w:line="5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$2,929 and $3,296 at December 31, 2024 and 2023, respectively.</w:t>
      </w:r>
    </w:p>
    <w:p>
      <w:pPr>
        <w:spacing w:after="0" w:line="53"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Includes an unamortized discount of $2,449 at December 31, 2024.</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b w:val="1"/>
          <w:bCs w:val="1"/>
          <w:color w:val="00497F"/>
        </w:rPr>
        <w:t>—</w:t>
      </w:r>
      <w:r>
        <w:rPr>
          <w:rFonts w:ascii="Arial" w:cs="Arial" w:eastAsia="Arial" w:hAnsi="Arial"/>
          <w:sz w:val="16"/>
          <w:szCs w:val="16"/>
          <w:color w:val="000000"/>
        </w:rPr>
        <w:t>On May 23, 2024, the Company amended and restated its Revolving Credit Facility by executing a Third Amended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Restated Credit Agreement (the “Revolver Amendment”). The Revolver Amendment provides for revolving loans to be made available to the Company in an aggregate principal amount of up to $400.0 million, of which up to $25.0 million may be utilized for the issuance of letters of credit.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Senior Notes due 2031</w:t>
      </w:r>
      <w:r>
        <w:rPr>
          <w:rFonts w:ascii="Arial" w:cs="Arial" w:eastAsia="Arial" w:hAnsi="Arial"/>
          <w:sz w:val="16"/>
          <w:szCs w:val="16"/>
          <w:b w:val="1"/>
          <w:bCs w:val="1"/>
          <w:color w:val="00497F"/>
        </w:rPr>
        <w:t>—</w:t>
      </w:r>
      <w:r>
        <w:rPr>
          <w:rFonts w:ascii="Arial" w:cs="Arial" w:eastAsia="Arial" w:hAnsi="Arial"/>
          <w:sz w:val="16"/>
          <w:szCs w:val="16"/>
          <w:color w:val="000000"/>
        </w:rPr>
        <w:t>On April 11, 2024, we issued $700.0 million aggregate principal amount of senior unsecured notes due 2031 (the “Senior Notes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due 2031”). The Senior Notes due 2031 bear interest at a rate of 7.00% per annum, payable semi-annually in arrears on May 1 and November 1 of each year, commencing on November 1, 2024. Using a portion of the net proceeds, the Company completed a cash tender offer for $324.6 million aggregate principal amount of 2025 Notes validly tendered on April 11, 2024. Holders whose notes were accepted for purchase received equal consideration per $1,000 principal amount of 2025 Notes, plus accrued and unpaid interest to, but not including, April 11, 2024. The Company used the remaining net proceeds to redeem the remaining $325.4 million aggregate principal amount of Senior Notes due 2025, plus accrued and unpaid interest, and recognized a loss on extinguishment of debt of $2.7 million. The remaining net proceeds were used for general corporate purposes, including the funding of acquisitions and investments.</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Senior Notes due 2032</w:t>
      </w:r>
      <w:r>
        <w:rPr>
          <w:rFonts w:ascii="Arial" w:cs="Arial" w:eastAsia="Arial" w:hAnsi="Arial"/>
          <w:sz w:val="16"/>
          <w:szCs w:val="16"/>
          <w:b w:val="1"/>
          <w:bCs w:val="1"/>
          <w:color w:val="00497F"/>
        </w:rPr>
        <w:t>—</w:t>
      </w:r>
      <w:r>
        <w:rPr>
          <w:rFonts w:ascii="Arial" w:cs="Arial" w:eastAsia="Arial" w:hAnsi="Arial"/>
          <w:sz w:val="16"/>
          <w:szCs w:val="16"/>
          <w:color w:val="000000"/>
        </w:rPr>
        <w:t>On June 17, 2024, we issued $800.0 million aggregate principal amount of senior unsecured notes due 2032 (the “Senior Notes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due 2032”). These notes bear interest at a rate of 7.00% per annum, payable semi-annually in arrears on June 15 and December 15 of each year, commencing on December 15, 2024. The Company utilized the net proceeds from the issuance for several purposes: (i) to fully repay outstanding amounts under our Revolving Credit Facility provided under the Revolver Amendment, without reduction in commitments, (ii) to fund the cash termination fee for the previously announced management Internalization described in Note 12, (iii) to complete a cash tender offer for up to $300.0 million in aggregate principal amount of Senior Notes due 2027 validly tendered on June 18, 2024, plus accrued and unpaid interest, and recognized a loss on extinguishment of debt of $11.2 million, (iv) to cover fees and expenses related to the aforementioned transactions, and (v)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00497F"/>
        </w:rPr>
        <w:t>Senior Notes due 2033—</w:t>
      </w:r>
      <w:r>
        <w:rPr>
          <w:rFonts w:ascii="Arial" w:cs="Arial" w:eastAsia="Arial" w:hAnsi="Arial"/>
          <w:sz w:val="16"/>
          <w:szCs w:val="16"/>
          <w:color w:val="000000"/>
        </w:rPr>
        <w:t>On October 9, 2024, we issued $500.0 million aggregate principal amount of senior unsecured notes due 2033 (the “Senior Notes</w:t>
      </w:r>
      <w:r>
        <w:rPr>
          <w:rFonts w:ascii="Arial" w:cs="Arial" w:eastAsia="Arial" w:hAnsi="Arial"/>
          <w:sz w:val="16"/>
          <w:szCs w:val="16"/>
          <w:b w:val="1"/>
          <w:bCs w:val="1"/>
          <w:color w:val="00497F"/>
        </w:rPr>
        <w:t xml:space="preserve"> </w:t>
      </w:r>
      <w:r>
        <w:rPr>
          <w:rFonts w:ascii="Arial" w:cs="Arial" w:eastAsia="Arial" w:hAnsi="Arial"/>
          <w:sz w:val="16"/>
          <w:szCs w:val="16"/>
          <w:color w:val="000000"/>
        </w:rPr>
        <w:t>due 2033”). The Senior Notes due 2033 bear interest at a rate of 5.875% per annum, payable semi-annually in arrears on April 15 and October 15 of each year, commencing on April 15, 2025. Using a portion of the net proceeds, the Company redeemed the remaining $130.5 million aggregate principal amount of Senior Notes due 2027, plus accrued and unpaid interest, and recognized a loss on extinguishment of debt of $3.2 million. The Company used the remaining net proceeds to pay down in full the Company’s Revolving Credit Facility, with any excess proceeds intended for general corporate purposes, including funding acquisitions and investments.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scheduled principal repayments under our debt agreements for the next five years and thereafter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8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80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8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4"/>
                <w:szCs w:val="14"/>
                <w:color w:val="auto"/>
              </w:rPr>
              <w:t>Senior Notes due 2028</w:t>
            </w:r>
          </w:p>
        </w:tc>
        <w:tc>
          <w:tcPr>
            <w:tcW w:w="80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2030</w:t>
            </w:r>
          </w:p>
        </w:tc>
        <w:tc>
          <w:tcPr>
            <w:tcW w:w="8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4"/>
                <w:szCs w:val="14"/>
                <w:color w:val="auto"/>
              </w:rPr>
              <w:t>Senior Notes due 2031</w:t>
            </w:r>
          </w:p>
        </w:tc>
        <w:tc>
          <w:tcPr>
            <w:tcW w:w="80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2032</w:t>
            </w:r>
          </w:p>
        </w:tc>
        <w:tc>
          <w:tcPr>
            <w:tcW w:w="8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19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2033</w:t>
            </w: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33"/>
        </w:trPr>
        <w:tc>
          <w:tcPr>
            <w:tcW w:w="28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Total principal payments on loans and</w:t>
            </w:r>
          </w:p>
        </w:tc>
        <w:tc>
          <w:tcPr>
            <w:tcW w:w="80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120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6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1,000,000</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vMerge w:val="restart"/>
            <w:shd w:val="clear" w:color="auto" w:fill="CCEEFF"/>
          </w:tcPr>
          <w:p>
            <w:pPr>
              <w:ind w:left="660"/>
              <w:spacing w:after="0"/>
              <w:rPr>
                <w:sz w:val="20"/>
                <w:szCs w:val="20"/>
                <w:color w:val="auto"/>
              </w:rPr>
            </w:pPr>
            <w:r>
              <w:rPr>
                <w:rFonts w:ascii="Arial" w:cs="Arial" w:eastAsia="Arial" w:hAnsi="Arial"/>
                <w:sz w:val="14"/>
                <w:szCs w:val="14"/>
                <w:b w:val="1"/>
                <w:bCs w:val="1"/>
                <w:color w:val="auto"/>
              </w:rPr>
              <w:t>—   $</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2,500,000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3,500,000</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800" w:type="dxa"/>
            <w:vAlign w:val="bottom"/>
            <w:vMerge w:val="continue"/>
            <w:shd w:val="clear" w:color="auto" w:fill="CCEEFF"/>
          </w:tcPr>
          <w:p>
            <w:pPr>
              <w:spacing w:after="0"/>
              <w:rPr>
                <w:sz w:val="15"/>
                <w:szCs w:val="15"/>
                <w:color w:val="auto"/>
              </w:rPr>
            </w:pPr>
          </w:p>
        </w:tc>
        <w:tc>
          <w:tcPr>
            <w:tcW w:w="1200" w:type="dxa"/>
            <w:vAlign w:val="bottom"/>
            <w:gridSpan w:val="3"/>
            <w:vMerge w:val="continue"/>
            <w:shd w:val="clear" w:color="auto" w:fill="CCEEFF"/>
          </w:tcPr>
          <w:p>
            <w:pPr>
              <w:spacing w:after="0"/>
              <w:rPr>
                <w:sz w:val="15"/>
                <w:szCs w:val="15"/>
                <w:color w:val="auto"/>
              </w:rPr>
            </w:pPr>
          </w:p>
        </w:tc>
        <w:tc>
          <w:tcPr>
            <w:tcW w:w="1200" w:type="dxa"/>
            <w:vAlign w:val="bottom"/>
            <w:gridSpan w:val="3"/>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7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304" w:lineRule="auto"/>
        <w:tabs>
          <w:tab w:leader="none" w:pos="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33" w:lineRule="exact"/>
        <w:rPr>
          <w:rFonts w:ascii="Arial" w:cs="Arial" w:eastAsia="Arial" w:hAnsi="Arial"/>
          <w:sz w:val="16"/>
          <w:szCs w:val="16"/>
          <w:color w:val="auto"/>
        </w:rPr>
      </w:pPr>
    </w:p>
    <w:p>
      <w:pPr>
        <w:ind w:left="340" w:hanging="332"/>
        <w:spacing w:after="0" w:line="304" w:lineRule="auto"/>
        <w:tabs>
          <w:tab w:leader="none" w:pos="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26" w:lineRule="exact"/>
        <w:rPr>
          <w:rFonts w:ascii="Arial" w:cs="Arial" w:eastAsia="Arial" w:hAnsi="Arial"/>
          <w:sz w:val="16"/>
          <w:szCs w:val="16"/>
          <w:color w:val="auto"/>
        </w:rPr>
      </w:pPr>
    </w:p>
    <w:p>
      <w:pPr>
        <w:ind w:left="340" w:hanging="332"/>
        <w:spacing w:after="0" w:line="286" w:lineRule="auto"/>
        <w:tabs>
          <w:tab w:leader="none" w:pos="3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47"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notes receivable, accounts payable and accrued liabilities, security deposits, maintenance deposits and management fees payable, whose fair values approximate their carrying values based on an evaluation of pricing data, vendor quotes, and historical trading activity or due to their short maturity profiles, which are classified on the balance sheet.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bonds payable are presented in the table below and classified as Level 2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4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34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980,140</w:t>
            </w:r>
          </w:p>
        </w:tc>
      </w:tr>
      <w:tr>
        <w:trPr>
          <w:trHeight w:val="198"/>
        </w:trPr>
        <w:tc>
          <w:tcPr>
            <w:tcW w:w="9340" w:type="dxa"/>
            <w:vAlign w:val="bottom"/>
          </w:tcPr>
          <w:p>
            <w:pPr>
              <w:ind w:left="20"/>
              <w:spacing w:after="0"/>
              <w:rPr>
                <w:sz w:val="20"/>
                <w:szCs w:val="20"/>
                <w:color w:val="auto"/>
              </w:rPr>
            </w:pPr>
            <w:r>
              <w:rPr>
                <w:rFonts w:ascii="Arial" w:cs="Arial" w:eastAsia="Arial" w:hAnsi="Arial"/>
                <w:sz w:val="14"/>
                <w:szCs w:val="14"/>
                <w:color w:val="auto"/>
              </w:rPr>
              <w:t>Senior Notes due 2030</w:t>
            </w:r>
          </w:p>
        </w:tc>
        <w:tc>
          <w:tcPr>
            <w:tcW w:w="1900" w:type="dxa"/>
            <w:vAlign w:val="bottom"/>
          </w:tcPr>
          <w:p>
            <w:pPr>
              <w:jc w:val="right"/>
              <w:spacing w:after="0"/>
              <w:rPr>
                <w:sz w:val="20"/>
                <w:szCs w:val="20"/>
                <w:color w:val="auto"/>
              </w:rPr>
            </w:pPr>
            <w:r>
              <w:rPr>
                <w:rFonts w:ascii="Arial" w:cs="Arial" w:eastAsia="Arial" w:hAnsi="Arial"/>
                <w:sz w:val="14"/>
                <w:szCs w:val="14"/>
                <w:color w:val="auto"/>
              </w:rPr>
              <w:t>526,380</w:t>
            </w:r>
          </w:p>
        </w:tc>
      </w:tr>
      <w:tr>
        <w:trPr>
          <w:trHeight w:val="207"/>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2031</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713,923</w:t>
            </w:r>
          </w:p>
        </w:tc>
      </w:tr>
      <w:tr>
        <w:trPr>
          <w:trHeight w:val="198"/>
        </w:trPr>
        <w:tc>
          <w:tcPr>
            <w:tcW w:w="9340" w:type="dxa"/>
            <w:vAlign w:val="bottom"/>
          </w:tcPr>
          <w:p>
            <w:pPr>
              <w:ind w:left="20"/>
              <w:spacing w:after="0"/>
              <w:rPr>
                <w:sz w:val="20"/>
                <w:szCs w:val="20"/>
                <w:color w:val="auto"/>
              </w:rPr>
            </w:pPr>
            <w:r>
              <w:rPr>
                <w:rFonts w:ascii="Arial" w:cs="Arial" w:eastAsia="Arial" w:hAnsi="Arial"/>
                <w:sz w:val="14"/>
                <w:szCs w:val="14"/>
                <w:color w:val="auto"/>
              </w:rPr>
              <w:t>Senior Notes due 2032</w:t>
            </w:r>
          </w:p>
        </w:tc>
        <w:tc>
          <w:tcPr>
            <w:tcW w:w="1900" w:type="dxa"/>
            <w:vAlign w:val="bottom"/>
          </w:tcPr>
          <w:p>
            <w:pPr>
              <w:jc w:val="right"/>
              <w:spacing w:after="0"/>
              <w:rPr>
                <w:sz w:val="20"/>
                <w:szCs w:val="20"/>
                <w:color w:val="auto"/>
              </w:rPr>
            </w:pPr>
            <w:r>
              <w:rPr>
                <w:rFonts w:ascii="Arial" w:cs="Arial" w:eastAsia="Arial" w:hAnsi="Arial"/>
                <w:sz w:val="14"/>
                <w:szCs w:val="14"/>
                <w:color w:val="auto"/>
              </w:rPr>
              <w:t>816,904</w:t>
            </w:r>
          </w:p>
        </w:tc>
      </w:tr>
      <w:tr>
        <w:trPr>
          <w:trHeight w:val="207"/>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2033</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483,100</w:t>
            </w:r>
          </w:p>
        </w:tc>
      </w:tr>
    </w:tbl>
    <w:p>
      <w:pPr>
        <w:spacing w:after="0" w:line="6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 xml:space="preserve">The Company has contingent obligations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in connection with certain sales of aircraft on lease, which are measured at fair value. The guarantees are valued at $8.9 million and $6.8 million as of December 31, 2024 and December 31, 2023, respectively, and are reflected as a component of Other non-current liabilities. The fair values of the guarantees, which were first recorded in 2022, are determined based on the estimated condition of the engines at the end of each lease term and the estimated cost of replacement and applicable discount rates and are classified as Level 3. During the year ended December 31, 2024, the Company recorded a $2.1 million increase related to the change in fair value, which is recorded in Asset sales revenue. During the year ended December 31, 2023, the Company recorded a $4.8 million increase in guarantees related to the sale of seven aircraft and a $1.8 million decrease related to the change in fair value, which is recorded in Asset sales revenue. During the year ended December 31, 2022, the Company recorded $3.8 million in guarantees related to the sale of four aircraft, which is recorded in Asset sale revenue. During the years ended December 31, 2024, 2023 and 2022, there were no significant transfers into or out of Level 3.</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Given variability in the condition of the engines at the end of the lease terms, which range from 3 to 8 years, the maximum potential amount of undiscounted future payments that could be required under the guarantees at December 31, 2024 was $37.2 million, which is not reasonably expected.</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leasing and eventual sale of assets.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EQUITY-BASED COMPENSATION</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spacing w:after="0" w:line="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2024, the Incentive Plan provides for the issuance of up to 28.3 million shares. Equity-based compensation expense is reported within Operating expenses in the Consolidated Statements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Unvested equity-based awards are subject to forfeiture. The Company’s accounting policy is to record the impact of forfeitures when they occur.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equity offerings (see Note 15 for details), we granted options to the Former Manager related to ordinary shares. The fair value of these options were recorded as an increase in equity with an offsetting reduction of capital proceeds received.</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granted options to select employees of FTAI Aviation LLC (a wholly owned subsidiary of the Company) related to 60,000 ordinary shares at an exercise price of $79.13, which had a grant date fair value of $2.1 million. The assumptions used in valuing the options were: a 4.52% risk-free rate, a 1.50% dividend yield, a 43.00% volatility and a 6.8 year term.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options granted related to our 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options</w:t>
            </w:r>
          </w:p>
        </w:tc>
        <w:tc>
          <w:tcPr>
            <w:tcW w:w="30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left="568"/>
              <w:spacing w:after="0"/>
              <w:rPr>
                <w:sz w:val="20"/>
                <w:szCs w:val="20"/>
                <w:color w:val="auto"/>
              </w:rPr>
            </w:pPr>
            <w:r>
              <w:rPr>
                <w:rFonts w:ascii="Arial" w:cs="Arial" w:eastAsia="Arial" w:hAnsi="Arial"/>
                <w:sz w:val="14"/>
                <w:szCs w:val="14"/>
                <w:color w:val="auto"/>
              </w:rPr>
              <w:t>60,000</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left="588"/>
              <w:spacing w:after="0"/>
              <w:rPr>
                <w:sz w:val="20"/>
                <w:szCs w:val="20"/>
                <w:color w:val="auto"/>
              </w:rPr>
            </w:pPr>
            <w:r>
              <w:rPr>
                <w:rFonts w:ascii="Arial" w:cs="Arial" w:eastAsia="Arial" w:hAnsi="Arial"/>
                <w:sz w:val="14"/>
                <w:szCs w:val="14"/>
                <w:color w:val="auto"/>
              </w:rPr>
              <w:t>248,947</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Fair value ($ millions)</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center"/>
              <w:ind w:right="208"/>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left="588"/>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center"/>
              <w:ind w:right="2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Ranges</w:t>
            </w:r>
          </w:p>
        </w:tc>
        <w:tc>
          <w:tcPr>
            <w:tcW w:w="30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3060" w:type="dxa"/>
            <w:vAlign w:val="bottom"/>
            <w:tcBorders>
              <w:top w:val="single" w:sz="8" w:color="CCEEFF"/>
            </w:tcBorders>
          </w:tcPr>
          <w:p>
            <w:pPr>
              <w:ind w:left="140"/>
              <w:spacing w:after="0" w:line="149" w:lineRule="exact"/>
              <w:rPr>
                <w:sz w:val="20"/>
                <w:szCs w:val="20"/>
                <w:color w:val="auto"/>
              </w:rPr>
            </w:pPr>
            <w:r>
              <w:rPr>
                <w:rFonts w:ascii="Arial" w:cs="Arial" w:eastAsia="Arial" w:hAnsi="Arial"/>
                <w:sz w:val="14"/>
                <w:szCs w:val="14"/>
                <w:color w:val="auto"/>
              </w:rPr>
              <w:t>The expected share volatility is based on an</w:t>
            </w:r>
          </w:p>
        </w:tc>
        <w:tc>
          <w:tcPr>
            <w:tcW w:w="9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Expected volatility</w:t>
            </w:r>
          </w:p>
        </w:tc>
        <w:tc>
          <w:tcPr>
            <w:tcW w:w="3060" w:type="dxa"/>
            <w:vAlign w:val="bottom"/>
          </w:tcPr>
          <w:p>
            <w:pPr>
              <w:ind w:left="140"/>
              <w:spacing w:after="0" w:line="139" w:lineRule="exact"/>
              <w:rPr>
                <w:sz w:val="20"/>
                <w:szCs w:val="20"/>
                <w:color w:val="auto"/>
              </w:rPr>
            </w:pPr>
            <w:r>
              <w:rPr>
                <w:rFonts w:ascii="Arial" w:cs="Arial" w:eastAsia="Arial" w:hAnsi="Arial"/>
                <w:sz w:val="14"/>
                <w:szCs w:val="14"/>
                <w:color w:val="auto"/>
              </w:rPr>
              <w:t>assessment of the volatility of our publicly</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43.00 %</w:t>
            </w:r>
          </w:p>
        </w:tc>
        <w:tc>
          <w:tcPr>
            <w:tcW w:w="560" w:type="dxa"/>
            <w:vAlign w:val="bottom"/>
            <w:vMerge w:val="restart"/>
          </w:tcPr>
          <w:p>
            <w:pPr>
              <w:jc w:val="center"/>
              <w:ind w:right="208"/>
              <w:spacing w:after="0"/>
              <w:rPr>
                <w:sz w:val="20"/>
                <w:szCs w:val="20"/>
                <w:color w:val="auto"/>
              </w:rPr>
            </w:pPr>
            <w:r>
              <w:rPr>
                <w:rFonts w:ascii="Arial" w:cs="Arial" w:eastAsia="Arial" w:hAnsi="Arial"/>
                <w:sz w:val="14"/>
                <w:szCs w:val="14"/>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43.00 %</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37.88 %</w:t>
            </w:r>
          </w:p>
        </w:tc>
        <w:tc>
          <w:tcPr>
            <w:tcW w:w="480" w:type="dxa"/>
            <w:vAlign w:val="bottom"/>
            <w:vMerge w:val="restart"/>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37.88 %</w:t>
            </w:r>
          </w:p>
        </w:tc>
        <w:tc>
          <w:tcPr>
            <w:tcW w:w="80" w:type="dxa"/>
            <w:vAlign w:val="bottom"/>
          </w:tcPr>
          <w:p>
            <w:pPr>
              <w:spacing w:after="0"/>
              <w:rPr>
                <w:sz w:val="12"/>
                <w:szCs w:val="12"/>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tcPr>
          <w:p>
            <w:pPr>
              <w:jc w:val="center"/>
              <w:ind w:right="268"/>
              <w:spacing w:after="0"/>
              <w:rPr>
                <w:sz w:val="20"/>
                <w:szCs w:val="20"/>
                <w:color w:val="auto"/>
              </w:rPr>
            </w:pPr>
            <w:r>
              <w:rPr>
                <w:rFonts w:ascii="Arial" w:cs="Arial" w:eastAsia="Arial" w:hAnsi="Arial"/>
                <w:sz w:val="14"/>
                <w:szCs w:val="14"/>
                <w:color w:val="auto"/>
                <w:w w:val="84"/>
              </w:rPr>
              <w:t>-</w:t>
            </w:r>
          </w:p>
        </w:tc>
        <w:tc>
          <w:tcPr>
            <w:tcW w:w="580" w:type="dxa"/>
            <w:vAlign w:val="bottom"/>
            <w:vMerge w:val="restart"/>
          </w:tcPr>
          <w:p>
            <w:pPr>
              <w:ind w:left="2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traded ordinary shares</w:t>
            </w:r>
          </w:p>
        </w:tc>
        <w:tc>
          <w:tcPr>
            <w:tcW w:w="9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The risk-free rate is determined using the</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implied yield currently available on U.S.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Risk free interest rate</w:t>
            </w:r>
          </w:p>
        </w:tc>
        <w:tc>
          <w:tcPr>
            <w:tcW w:w="3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government bonds with a term consistent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560" w:type="dxa"/>
            <w:vAlign w:val="bottom"/>
            <w:vMerge w:val="restart"/>
            <w:shd w:val="clear" w:color="auto" w:fill="CCEEFF"/>
          </w:tcPr>
          <w:p>
            <w:pPr>
              <w:jc w:val="center"/>
              <w:ind w:right="208"/>
              <w:spacing w:after="0"/>
              <w:rPr>
                <w:sz w:val="20"/>
                <w:szCs w:val="20"/>
                <w:color w:val="auto"/>
              </w:rPr>
            </w:pPr>
            <w:r>
              <w:rPr>
                <w:rFonts w:ascii="Arial" w:cs="Arial" w:eastAsia="Arial" w:hAnsi="Arial"/>
                <w:sz w:val="14"/>
                <w:szCs w:val="14"/>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480" w:type="dxa"/>
            <w:vAlign w:val="bottom"/>
            <w:vMerge w:val="restart"/>
            <w:shd w:val="clear" w:color="auto" w:fill="CCEEFF"/>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shd w:val="clear" w:color="auto" w:fill="CCEEFF"/>
          </w:tcPr>
          <w:p>
            <w:pPr>
              <w:jc w:val="center"/>
              <w:ind w:right="268"/>
              <w:spacing w:after="0"/>
              <w:rPr>
                <w:sz w:val="20"/>
                <w:szCs w:val="20"/>
                <w:color w:val="auto"/>
              </w:rPr>
            </w:pPr>
            <w:r>
              <w:rPr>
                <w:rFonts w:ascii="Arial" w:cs="Arial" w:eastAsia="Arial" w:hAnsi="Arial"/>
                <w:sz w:val="14"/>
                <w:szCs w:val="14"/>
                <w:color w:val="auto"/>
                <w:w w:val="84"/>
              </w:rPr>
              <w:t>-</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the expected term on the date of grant.</w:t>
            </w:r>
          </w:p>
        </w:tc>
        <w:tc>
          <w:tcPr>
            <w:tcW w:w="92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60" w:type="dxa"/>
            <w:vAlign w:val="bottom"/>
          </w:tcPr>
          <w:p>
            <w:pPr>
              <w:ind w:left="140"/>
              <w:spacing w:after="0" w:line="149" w:lineRule="exact"/>
              <w:rPr>
                <w:sz w:val="20"/>
                <w:szCs w:val="20"/>
                <w:color w:val="auto"/>
              </w:rPr>
            </w:pPr>
            <w:r>
              <w:rPr>
                <w:rFonts w:ascii="Arial" w:cs="Arial" w:eastAsia="Arial" w:hAnsi="Arial"/>
                <w:sz w:val="14"/>
                <w:szCs w:val="14"/>
                <w:color w:val="auto"/>
              </w:rPr>
              <w:t>The expected dividend yield is based on</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Expected dividend yield</w:t>
            </w:r>
          </w:p>
        </w:tc>
        <w:tc>
          <w:tcPr>
            <w:tcW w:w="3060" w:type="dxa"/>
            <w:vAlign w:val="bottom"/>
          </w:tcPr>
          <w:p>
            <w:pPr>
              <w:ind w:left="140"/>
              <w:spacing w:after="0" w:line="139" w:lineRule="exact"/>
              <w:rPr>
                <w:sz w:val="20"/>
                <w:szCs w:val="20"/>
                <w:color w:val="auto"/>
              </w:rPr>
            </w:pPr>
            <w:r>
              <w:rPr>
                <w:rFonts w:ascii="Arial" w:cs="Arial" w:eastAsia="Arial" w:hAnsi="Arial"/>
                <w:sz w:val="14"/>
                <w:szCs w:val="14"/>
                <w:color w:val="auto"/>
              </w:rPr>
              <w:t>management’s current expected dividend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1.50 %</w:t>
            </w:r>
          </w:p>
        </w:tc>
        <w:tc>
          <w:tcPr>
            <w:tcW w:w="560" w:type="dxa"/>
            <w:vAlign w:val="bottom"/>
            <w:vMerge w:val="restart"/>
          </w:tcPr>
          <w:p>
            <w:pPr>
              <w:jc w:val="center"/>
              <w:ind w:right="208"/>
              <w:spacing w:after="0"/>
              <w:rPr>
                <w:sz w:val="20"/>
                <w:szCs w:val="20"/>
                <w:color w:val="auto"/>
              </w:rPr>
            </w:pPr>
            <w:r>
              <w:rPr>
                <w:rFonts w:ascii="Arial" w:cs="Arial" w:eastAsia="Arial" w:hAnsi="Arial"/>
                <w:sz w:val="14"/>
                <w:szCs w:val="14"/>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1.50 %</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6.26 %</w:t>
            </w:r>
          </w:p>
        </w:tc>
        <w:tc>
          <w:tcPr>
            <w:tcW w:w="480" w:type="dxa"/>
            <w:vAlign w:val="bottom"/>
            <w:vMerge w:val="restart"/>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6.26 %</w:t>
            </w:r>
          </w:p>
        </w:tc>
        <w:tc>
          <w:tcPr>
            <w:tcW w:w="80" w:type="dxa"/>
            <w:vAlign w:val="bottom"/>
          </w:tcPr>
          <w:p>
            <w:pPr>
              <w:spacing w:after="0"/>
              <w:rPr>
                <w:sz w:val="12"/>
                <w:szCs w:val="12"/>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tcPr>
          <w:p>
            <w:pPr>
              <w:jc w:val="center"/>
              <w:ind w:right="268"/>
              <w:spacing w:after="0"/>
              <w:rPr>
                <w:sz w:val="20"/>
                <w:szCs w:val="20"/>
                <w:color w:val="auto"/>
              </w:rPr>
            </w:pPr>
            <w:r>
              <w:rPr>
                <w:rFonts w:ascii="Arial" w:cs="Arial" w:eastAsia="Arial" w:hAnsi="Arial"/>
                <w:sz w:val="14"/>
                <w:szCs w:val="14"/>
                <w:color w:val="auto"/>
                <w:w w:val="84"/>
              </w:rPr>
              <w:t>-</w:t>
            </w:r>
          </w:p>
        </w:tc>
        <w:tc>
          <w:tcPr>
            <w:tcW w:w="580" w:type="dxa"/>
            <w:vAlign w:val="bottom"/>
            <w:vMerge w:val="restart"/>
          </w:tcPr>
          <w:p>
            <w:pPr>
              <w:ind w:left="2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rate.</w:t>
            </w:r>
          </w:p>
        </w:tc>
        <w:tc>
          <w:tcPr>
            <w:tcW w:w="9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Expected term used represents the period of</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Expected term</w:t>
            </w:r>
          </w:p>
        </w:tc>
        <w:tc>
          <w:tcPr>
            <w:tcW w:w="30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time the options granted are expected to be</w:t>
            </w:r>
          </w:p>
        </w:tc>
        <w:tc>
          <w:tcPr>
            <w:tcW w:w="14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6.8 years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10 years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0 years</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48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2024 we issued the following restricted shares of the Company to select employees and officers of FTAI Aviation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May 2024, we issued restricted shares to (i) select officers with a grant date fair value of $5.5 million, vesting over 3.0 years and (ii) select employees with a grant date fair value of $5.7 million, vesting over 4.0 years.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2024, we issued restricted shares to select employees with a grant date fair value of $0.8 million, vesting over 3.0 years.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awards are subject to continued employment, with compensation expense recognized ratably over the vesting periods. The fair value was based on the closing price of FTAI Aviation Ltd.’s ordinary shares on the respective grant dates. The unrecognized compensation expense of restricted shares is expected to be recognized over a weighted-average period of 2.6 years.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Performance Shares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November 2024, we granted up to 1,000,000 shares of performance shares to certain employees of the Company for which the ultimate number of units that will vest are determined based on the achievement of market conditions at the end of the stated performance period. The awards which are to be earned is based on the “Performance Level” of the Company’s Compound Annualized Total Shareholder Return (“CAGR”) for the Performance Period. The Performance Period is measured from November 5, 2024 through November 5, 2027. The number of shares earned could range from 0% to a maximum of 100%. The Earned Units from the Performance-based Awards become exercisable in three equal installments over a two-year period beginning with the completion of the Performance Period. The three equal installments of Earned Units vest on (i) November 5, 2027, (ii) November 5, 2028, and (iii) November 5, 2029. Compensation expense for the units is based on the estimated value of the awards on the grant date, and is recognized over the period from the grant date through the expected vest dates of each vesting condition.</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grant date fair value was $48.1 million and was determined using the Monte Carlo simulation, assuming a Geometric Brownian Motion (GBM) to model various simulation paths, which relies on highly subjective assumptions, including simulated share prices and simulated vesting percentages to simulate payoff paths. Key assumptions in this method include the historical and implied equity volatility, an implied volatility weight, and the risk-free rate of returns. The valuation model assumes dividends are immediately reinvested.</w:t>
      </w:r>
    </w:p>
    <w:p>
      <w:pPr>
        <w:spacing w:after="0" w:line="2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of December 31, 2024, there was $46.2 million in unrecognized compensation cost related to unvested performance shares. This cost is expected to be recognized over a weighted-average period of 3.8 years.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equity-based compensation arrangements which are recorded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ind w:right="109"/>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vMerge w:val="restart"/>
          </w:tcPr>
          <w:p>
            <w:pPr>
              <w:jc w:val="center"/>
              <w:ind w:right="109"/>
              <w:spacing w:after="0" w:line="113" w:lineRule="exact"/>
              <w:rPr>
                <w:sz w:val="20"/>
                <w:szCs w:val="20"/>
                <w:color w:val="auto"/>
              </w:rPr>
            </w:pPr>
            <w:r>
              <w:rPr>
                <w:rFonts w:ascii="Arial" w:cs="Arial" w:eastAsia="Arial" w:hAnsi="Arial"/>
                <w:sz w:val="13"/>
                <w:szCs w:val="13"/>
                <w:b w:val="1"/>
                <w:bCs w:val="1"/>
                <w:color w:val="auto"/>
              </w:rPr>
              <w:t>Recognized, If All Vesting</w:t>
            </w:r>
          </w:p>
        </w:tc>
        <w:tc>
          <w:tcPr>
            <w:tcW w:w="0" w:type="dxa"/>
            <w:vAlign w:val="bottom"/>
          </w:tcPr>
          <w:p>
            <w:pPr>
              <w:spacing w:after="0"/>
              <w:rPr>
                <w:sz w:val="1"/>
                <w:szCs w:val="1"/>
                <w:color w:val="auto"/>
              </w:rPr>
            </w:pPr>
          </w:p>
        </w:tc>
      </w:tr>
      <w:tr>
        <w:trPr>
          <w:trHeight w:val="38"/>
        </w:trPr>
        <w:tc>
          <w:tcPr>
            <w:tcW w:w="444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Conditions Are Met</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1,778</w:t>
            </w:r>
          </w:p>
        </w:tc>
        <w:tc>
          <w:tcPr>
            <w:tcW w:w="0" w:type="dxa"/>
            <w:vAlign w:val="bottom"/>
          </w:tcPr>
          <w:p>
            <w:pPr>
              <w:spacing w:after="0"/>
              <w:rPr>
                <w:sz w:val="1"/>
                <w:szCs w:val="1"/>
                <w:color w:val="auto"/>
              </w:rPr>
            </w:pPr>
          </w:p>
        </w:tc>
      </w:tr>
      <w:tr>
        <w:trPr>
          <w:trHeight w:val="202"/>
        </w:trPr>
        <w:tc>
          <w:tcPr>
            <w:tcW w:w="4440" w:type="dxa"/>
            <w:vAlign w:val="bottom"/>
          </w:tcPr>
          <w:p>
            <w:pPr>
              <w:ind w:left="20"/>
              <w:spacing w:after="0"/>
              <w:rPr>
                <w:sz w:val="20"/>
                <w:szCs w:val="20"/>
                <w:color w:val="auto"/>
              </w:rPr>
            </w:pPr>
            <w:r>
              <w:rPr>
                <w:rFonts w:ascii="Arial" w:cs="Arial" w:eastAsia="Arial" w:hAnsi="Arial"/>
                <w:sz w:val="14"/>
                <w:szCs w:val="14"/>
                <w:color w:val="auto"/>
              </w:rPr>
              <w:t>Performance shares</w:t>
            </w:r>
          </w:p>
        </w:tc>
        <w:tc>
          <w:tcPr>
            <w:tcW w:w="9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1,954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46,156</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14,766</w:t>
            </w:r>
          </w:p>
        </w:tc>
        <w:tc>
          <w:tcPr>
            <w:tcW w:w="0" w:type="dxa"/>
            <w:vAlign w:val="bottom"/>
          </w:tcPr>
          <w:p>
            <w:pPr>
              <w:spacing w:after="0"/>
              <w:rPr>
                <w:sz w:val="1"/>
                <w:szCs w:val="1"/>
                <w:color w:val="auto"/>
              </w:rPr>
            </w:pPr>
          </w:p>
        </w:tc>
      </w:tr>
      <w:tr>
        <w:trPr>
          <w:trHeight w:val="197"/>
        </w:trPr>
        <w:tc>
          <w:tcPr>
            <w:tcW w:w="4440" w:type="dxa"/>
            <w:vAlign w:val="bottom"/>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6,006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62,700</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provide details on our stock options, performance shares, and restricted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Options</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Performance Shares</w:t>
            </w: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Restricted Shares</w:t>
            </w: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9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Exercise/Issuance</w:t>
            </w: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0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616,177</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98"/>
        </w:trPr>
        <w:tc>
          <w:tcPr>
            <w:tcW w:w="4500" w:type="dxa"/>
            <w:vAlign w:val="bottom"/>
          </w:tcPr>
          <w:p>
            <w:pPr>
              <w:ind w:left="140"/>
              <w:spacing w:after="0"/>
              <w:rPr>
                <w:sz w:val="20"/>
                <w:szCs w:val="20"/>
                <w:color w:val="auto"/>
              </w:rPr>
            </w:pPr>
            <w:r>
              <w:rPr>
                <w:rFonts w:ascii="Arial" w:cs="Arial" w:eastAsia="Arial" w:hAnsi="Arial"/>
                <w:sz w:val="14"/>
                <w:szCs w:val="14"/>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79.13</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48.11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141,138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84.94</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exercised / vested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563,834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forfeited and canceled</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2024</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112,343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1,000,000</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481,138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ind w:left="560"/>
              <w:spacing w:after="0"/>
              <w:rPr>
                <w:sz w:val="20"/>
                <w:szCs w:val="20"/>
                <w:color w:val="auto"/>
              </w:rPr>
            </w:pPr>
            <w:r>
              <w:rPr>
                <w:rFonts w:ascii="Arial" w:cs="Arial" w:eastAsia="Arial" w:hAnsi="Arial"/>
                <w:sz w:val="14"/>
                <w:szCs w:val="14"/>
                <w:b w:val="1"/>
                <w:bCs w:val="1"/>
                <w:color w:val="auto"/>
              </w:rPr>
              <w:t>Stock Options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Performance Shares</w:t>
            </w:r>
          </w:p>
        </w:tc>
        <w:tc>
          <w:tcPr>
            <w:tcW w:w="160" w:type="dxa"/>
            <w:vAlign w:val="bottom"/>
          </w:tcPr>
          <w:p>
            <w:pPr>
              <w:spacing w:after="0"/>
              <w:rPr>
                <w:sz w:val="24"/>
                <w:szCs w:val="24"/>
                <w:color w:val="auto"/>
              </w:rPr>
            </w:pPr>
          </w:p>
        </w:tc>
        <w:tc>
          <w:tcPr>
            <w:tcW w:w="192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Restricted Shares</w:t>
            </w:r>
          </w:p>
        </w:tc>
        <w:tc>
          <w:tcPr>
            <w:tcW w:w="0" w:type="dxa"/>
            <w:vAlign w:val="bottom"/>
          </w:tcPr>
          <w:p>
            <w:pPr>
              <w:spacing w:after="0"/>
              <w:rPr>
                <w:sz w:val="1"/>
                <w:szCs w:val="1"/>
                <w:color w:val="auto"/>
              </w:rPr>
            </w:pPr>
          </w:p>
        </w:tc>
      </w:tr>
      <w:tr>
        <w:trPr>
          <w:trHeight w:val="18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9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52.70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48.11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41.90</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10,262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N/A</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20,159</w:t>
            </w:r>
          </w:p>
        </w:tc>
        <w:tc>
          <w:tcPr>
            <w:tcW w:w="0" w:type="dxa"/>
            <w:vAlign w:val="bottom"/>
          </w:tcPr>
          <w:p>
            <w:pPr>
              <w:spacing w:after="0"/>
              <w:rPr>
                <w:sz w:val="1"/>
                <w:szCs w:val="1"/>
                <w:color w:val="auto"/>
              </w:rPr>
            </w:pPr>
          </w:p>
        </w:tc>
      </w:tr>
      <w:tr>
        <w:trPr>
          <w:trHeight w:val="201"/>
        </w:trPr>
        <w:tc>
          <w:tcPr>
            <w:tcW w:w="4500" w:type="dxa"/>
            <w:vAlign w:val="bottom"/>
          </w:tcPr>
          <w:p>
            <w:pPr>
              <w:ind w:left="140"/>
              <w:spacing w:after="0"/>
              <w:rPr>
                <w:sz w:val="20"/>
                <w:szCs w:val="20"/>
                <w:color w:val="auto"/>
              </w:rPr>
            </w:pPr>
            <w:r>
              <w:rPr>
                <w:rFonts w:ascii="Arial" w:cs="Arial" w:eastAsia="Arial" w:hAnsi="Arial"/>
                <w:sz w:val="14"/>
                <w:szCs w:val="14"/>
                <w:color w:val="auto"/>
              </w:rPr>
              <w:t>Weighted average remaining contractual term (in years)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domestic and foreign components of the Company’s pre-tax income (loss)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84"/>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Pre-tax book income (loss)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Domestic</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14,428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184,299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(105,064)</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14,169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184,017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(105,311)</w:t>
            </w:r>
          </w:p>
        </w:tc>
      </w:tr>
      <w:tr>
        <w:trPr>
          <w:trHeight w:val="20"/>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provision for (benefit from) income taxes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624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r>
      <w:tr>
        <w:trPr>
          <w:trHeight w:val="202"/>
        </w:trPr>
        <w:tc>
          <w:tcPr>
            <w:tcW w:w="624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1,687</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Non-U.S.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195"/>
        </w:trPr>
        <w:tc>
          <w:tcPr>
            <w:tcW w:w="6240" w:type="dxa"/>
            <w:vAlign w:val="bottom"/>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3,609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2,652</w:t>
            </w:r>
          </w:p>
        </w:tc>
      </w:tr>
      <w:tr>
        <w:trPr>
          <w:trHeight w:val="204"/>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r>
      <w:tr>
        <w:trPr>
          <w:trHeight w:val="201"/>
        </w:trPr>
        <w:tc>
          <w:tcPr>
            <w:tcW w:w="624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4"/>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Non-U.S.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(5,846)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95"/>
        </w:trPr>
        <w:tc>
          <w:tcPr>
            <w:tcW w:w="6240" w:type="dxa"/>
            <w:vAlign w:val="bottom"/>
          </w:tcPr>
          <w:p>
            <w:pPr>
              <w:ind w:left="20"/>
              <w:spacing w:after="0"/>
              <w:rPr>
                <w:sz w:val="20"/>
                <w:szCs w:val="20"/>
                <w:color w:val="auto"/>
              </w:rPr>
            </w:pPr>
            <w:r>
              <w:rPr>
                <w:rFonts w:ascii="Arial" w:cs="Arial" w:eastAsia="Arial" w:hAnsi="Arial"/>
                <w:sz w:val="14"/>
                <w:szCs w:val="14"/>
                <w:color w:val="auto"/>
              </w:rPr>
              <w:t>Total deferred (benefit) provision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1,878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(63,626)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2,648</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(benefit from) income taxes: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r>
      <w:tr>
        <w:trPr>
          <w:trHeight w:val="195"/>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5,487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5,300</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5,487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(59,800)</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13,527</w:t>
            </w:r>
          </w:p>
        </w:tc>
      </w:tr>
      <w:tr>
        <w:trPr>
          <w:trHeight w:val="20"/>
        </w:trPr>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Historically, the Company’s Bermuda operations have not been subject to Bermuda income tax. However, on December 27, 2023, the Government of Bermuda enacted a 15% corporate income tax regime (the “Bermuda CIT”) that applies to Bermuda businesses that are part of multinational enterprise groups with annual revenue of €750 million or more and is effective for tax years beginning on or after January 1, 2025. As a result of the Bermuda CIT, the exemption of certain of the Company’s Bermuda subsidiaries from Bermuda corporate income taxes will cease in 2025. The Company recorded the impact of this enactment in their provision for the year ended December 31, 2023.</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income tax rate and the Cayman Islands statutory rate of 0%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20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subject to tax in the United States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1"/>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80.1 %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13.5 %</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(94.4)%</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Income tax rate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38.7 %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1"/>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34,097</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38,911</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Investment in partnerships</w:t>
            </w:r>
          </w:p>
        </w:tc>
        <w:tc>
          <w:tcPr>
            <w:tcW w:w="10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963</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16,985</w:t>
            </w: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Customer relationship intangibles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28,500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28,500</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71,738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87,220</w:t>
            </w:r>
          </w:p>
        </w:tc>
      </w:tr>
      <w:tr>
        <w:trPr>
          <w:trHeight w:val="204"/>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(5,228)</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(18,599)</w:t>
            </w:r>
          </w:p>
        </w:tc>
      </w:tr>
      <w:tr>
        <w:trPr>
          <w:trHeight w:val="195"/>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66,510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68,621</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Fixed assets and goodwill</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(32,545)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(8,186)</w:t>
            </w:r>
          </w:p>
        </w:tc>
      </w:tr>
      <w:tr>
        <w:trPr>
          <w:trHeight w:val="20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(2,377)</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31,588</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60,372</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Deferred tax assets and liabilities are reported net in Other non-current assets or Other non-current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2024, 2023 and 2022 of $5.2 million, $18.6 million and $27.6 million, respectively, related to certain deductible temporary differences and net operating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r>
      <w:tr>
        <w:trPr>
          <w:trHeight w:val="201"/>
        </w:trPr>
        <w:tc>
          <w:tcPr>
            <w:tcW w:w="6080" w:type="dxa"/>
            <w:vAlign w:val="bottom"/>
          </w:tcPr>
          <w:p>
            <w:pPr>
              <w:ind w:left="140"/>
              <w:spacing w:after="0"/>
              <w:rPr>
                <w:sz w:val="20"/>
                <w:szCs w:val="20"/>
                <w:color w:val="auto"/>
              </w:rPr>
            </w:pPr>
            <w:r>
              <w:rPr>
                <w:rFonts w:ascii="Arial" w:cs="Arial" w:eastAsia="Arial" w:hAnsi="Arial"/>
                <w:sz w:val="14"/>
                <w:szCs w:val="14"/>
                <w:color w:val="auto"/>
              </w:rPr>
              <w:t>Change due to current year losses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885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22,094</w:t>
            </w:r>
          </w:p>
        </w:tc>
      </w:tr>
      <w:tr>
        <w:trPr>
          <w:trHeight w:val="203"/>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due to current year releases</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w:t>
            </w:r>
          </w:p>
        </w:tc>
      </w:tr>
      <w:tr>
        <w:trPr>
          <w:trHeight w:val="197"/>
        </w:trPr>
        <w:tc>
          <w:tcPr>
            <w:tcW w:w="608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5,228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27,565</w:t>
            </w:r>
          </w:p>
        </w:tc>
      </w:tr>
      <w:tr>
        <w:trPr>
          <w:trHeight w:val="20"/>
        </w:trPr>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2024, certain of our corporate subsidiaries had U.S. federal net operating loss carryforwards of $6.0 million which can be carried forward indefinitely against future business income. As of December 31, 2024, we also had net operating loss carryforwards for Irish income tax purposes of $249.9 million, which can be carried forward indefinitely against future business income, $1.8 million of net operating loss carryforwards for Malaysian income tax purposes, which will begin to expire in the year 2030, $1.3 million of net operating loss carryforward for Singaporean income tax purpose, which can be carried forward indefinitely against the future business income and $2.5 million of net operating loss carryforward for Canadian income tax purpose, which will begin to expire in the year 2044.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share ownership.</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Organization for Economic Cooperation and Development (“OECD”) is coordinating negotiations among more than 140 countries with the goal of achieving consensus around substantial changes to international tax policies, including the implementation of a minimum global effective tax rate of 15%. While certain jurisdictions in which the Company operates have adopted the relevant legislation effective for tax years beginning on or after January 1, 2024, the Company was not subject to any changes in their income tax provision for the year ended December 31, 2024. For the period ended December 31, 2025, the Company expects to be subject to a minimum global effective tax rate in certain jurisdictions. The Company continues to monitor developments and evaluate the impacts of these new rules and will present any impacts in the December 31, 2025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 has not accrued taxes on $44.8 million of foreign earnings which are permanently reinvested outside the domicile.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that taxes associated with any future repatriation of these earnings to be $2.2 million.</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and for the period ended December 31, 2024,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2020. We do not believe that it is reasonably possible that the total amount of unrecognized tax benefits will significantly change within 12 months of the reporting date.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AFFILIATE TRANSACTIONS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through October 31, 2024, during which the Company procured replacements for the Services. The Services were provided to the Company for a fee equal to the Former Manager’s cost of providing the Services, plus a mark-up of ten percent (10%).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Internalization, the Former Manager was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Former Manager was reimbursed for various expenses incurred by the Former Manager on our behalf, including the costs of legal, accounting and other administrative activities. Additionally, we entered into certain incentive allocation arrangements with Master GP, which owned approximately 0.01% of FTAI Aviation Holdco Ltd. (a wholly owned subsidiary of the Company).</w:t>
      </w:r>
    </w:p>
    <w:p>
      <w:pPr>
        <w:spacing w:after="0" w:line="13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which was payable monthly in arrears in cash.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did not include any Income Incentive Allocation or Capital Gains Incentive Allocation (described below) paid to Master GP during the relevant quarter.</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Prior to the Internalization, Capital Gains Incentive Allocation was calculated and distributable in arrears as of the end of each calendar year and was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prior to the Internalization on May 28,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02"/>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incentive allocation</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w:t>
            </w:r>
          </w:p>
        </w:tc>
      </w:tr>
      <w:tr>
        <w:trPr>
          <w:trHeight w:val="21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8,449</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paid all of our operating expenses, except those specifically required to be borne by the Former Manager under the Management Agreement. The expenses required to be paid by us included, but were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Former Manager), the costs of printing and mailing proxies and reports to our shareholders, costs incurred by the Former Manager or its affiliates for travel on our behalf, costs associated with any computer software or hardware that was used by us, costs to obtain liability insurance to indemnify our directors and officers and the compensation and expenses of our transfer agent.</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paid or reimbursed the Former Manager and its affiliates for performing certain legal, accounting, due diligence tasks and other services that outside professionals or outside consultants otherwise would perform, provided that such costs and reimbursements were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we did not reimburse the Former Manager for these expenses.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Former Manager: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2"/>
        </w:trPr>
        <w:tc>
          <w:tcPr>
            <w:tcW w:w="646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6,788</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7,137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6,891</w:t>
            </w:r>
          </w:p>
        </w:tc>
      </w:tr>
      <w:tr>
        <w:trPr>
          <w:trHeight w:val="203"/>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8,925</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7,815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8,035</w:t>
            </w:r>
          </w:p>
        </w:tc>
      </w:tr>
      <w:tr>
        <w:trPr>
          <w:trHeight w:val="20"/>
        </w:trPr>
        <w:tc>
          <w:tcPr>
            <w:tcW w:w="6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Upon the successful completion of an offering of our ordinary shares or other equity securities (including securities issued as consideration in an acquisition), we granted the Former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have been an affiliate of the Former Manager.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SEGMENT INFORMATION</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lessees. The Aerospace Products segment, through our maintenance facilities, equity method investment and exclusivity arrangements, develops and manufactures, repairs/refurbishes and sells aircraft engines and aftermarket components for the CFM56-7B, CFM56-5B and V2500 commercial aircraft engines. During the fourth quarter of 2023, the Company changed the composition of its operating segments to include V2500 engines within the Aerospace Products segment. Prior periods have been restated to reflect the change in accordance with the requirements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See Note 2 for additional information.</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results from an offshore energy business, which consists of vessels and equipment that support offshore oil and gas activities and production which are typically subject to operating leases. We sold the two offshore vessels in 2024.</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based on net income (loss) attributable to shareholders and is used to monitor budget vs. actual results.</w:t>
      </w:r>
    </w:p>
    <w:p>
      <w:pPr>
        <w:spacing w:after="0" w:line="11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CODM determined that segment asset information is not a key factor in measuring performance or allocating resources. Therefore, segment asset information is not included in the tables below as it is not provided to or reviewed by our CODM.</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which include all significant expenses reviewed by the CODM, for each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234,411</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20,927</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255,338</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200,809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200,809</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192,176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192,176</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6,757</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628,437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26,643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1,734,901</w:t>
            </w:r>
          </w:p>
        </w:tc>
        <w:tc>
          <w:tcPr>
            <w:tcW w:w="0" w:type="dxa"/>
            <w:vAlign w:val="bottom"/>
          </w:tcPr>
          <w:p>
            <w:pPr>
              <w:spacing w:after="0"/>
              <w:rPr>
                <w:sz w:val="1"/>
                <w:szCs w:val="1"/>
                <w:color w:val="auto"/>
              </w:rPr>
            </w:pPr>
          </w:p>
        </w:tc>
      </w:tr>
      <w:tr>
        <w:trPr>
          <w:trHeight w:val="197"/>
        </w:trPr>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151,977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673,907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825,884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115,861</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14,263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14,263</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32,296</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8,449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8,449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Internalization fee to affiliate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300,000</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6,630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9,937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218,064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(18,705)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(18,705)</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399,671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709,261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388,142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1,497,074</w:t>
            </w:r>
          </w:p>
        </w:tc>
        <w:tc>
          <w:tcPr>
            <w:tcW w:w="0" w:type="dxa"/>
            <w:vAlign w:val="bottom"/>
          </w:tcPr>
          <w:p>
            <w:pPr>
              <w:spacing w:after="0"/>
              <w:rPr>
                <w:sz w:val="1"/>
                <w:szCs w:val="1"/>
                <w:color w:val="auto"/>
              </w:rPr>
            </w:pPr>
          </w:p>
        </w:tc>
      </w:tr>
      <w:tr>
        <w:trPr>
          <w:trHeight w:val="197"/>
        </w:trPr>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(221,721)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(221,721)</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(17,101)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(17,101)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17,364</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14,462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(236,127)</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(223,658)</w:t>
            </w: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243,228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(597,626)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14,169</w:t>
            </w:r>
          </w:p>
        </w:tc>
        <w:tc>
          <w:tcPr>
            <w:tcW w:w="0" w:type="dxa"/>
            <w:vAlign w:val="bottom"/>
          </w:tcPr>
          <w:p>
            <w:pPr>
              <w:spacing w:after="0"/>
              <w:rPr>
                <w:sz w:val="1"/>
                <w:szCs w:val="1"/>
                <w:color w:val="auto"/>
              </w:rPr>
            </w:pPr>
          </w:p>
        </w:tc>
      </w:tr>
      <w:tr>
        <w:trPr>
          <w:trHeight w:val="20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32,979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5,487</w:t>
            </w: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210,249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346,346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(547,913)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32,763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32,763</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210,249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346,346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(588,674)</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(32,079)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and lessee,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4,643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8,271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12,914</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135,579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26,643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340,474</w:t>
            </w: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324,327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364,384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688,711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108,426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504,936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613,362</w:t>
            </w: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55,462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23,978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79,440</w:t>
            </w:r>
          </w:p>
        </w:tc>
        <w:tc>
          <w:tcPr>
            <w:tcW w:w="0" w:type="dxa"/>
            <w:vAlign w:val="bottom"/>
          </w:tcPr>
          <w:p>
            <w:pPr>
              <w:spacing w:after="0"/>
              <w:rPr>
                <w:sz w:val="1"/>
                <w:szCs w:val="1"/>
                <w:color w:val="auto"/>
              </w:rPr>
            </w:pPr>
          </w:p>
        </w:tc>
      </w:tr>
      <w:tr>
        <w:trPr>
          <w:trHeight w:val="222"/>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Total revenues </w:t>
            </w:r>
            <w:r>
              <w:rPr>
                <w:rFonts w:ascii="Arial" w:cs="Arial" w:eastAsia="Arial" w:hAnsi="Arial"/>
                <w:sz w:val="9"/>
                <w:szCs w:val="9"/>
                <w:b w:val="1"/>
                <w:bCs w:val="1"/>
                <w:color w:val="auto"/>
              </w:rPr>
              <w:t>(1)</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628,437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1,079,821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1,734,901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w:t>
      </w:r>
    </w:p>
    <w:p>
      <w:pPr>
        <w:spacing w:after="0" w:line="172" w:lineRule="exact"/>
        <w:rPr>
          <w:sz w:val="20"/>
          <w:szCs w:val="20"/>
          <w:color w:val="auto"/>
        </w:rPr>
      </w:pPr>
    </w:p>
    <w:p>
      <w:pPr>
        <w:ind w:firstLine="8"/>
        <w:spacing w:after="0" w:line="305" w:lineRule="auto"/>
        <w:tabs>
          <w:tab w:leader="none" w:pos="160" w:val="left"/>
        </w:tabs>
        <w:numPr>
          <w:ilvl w:val="0"/>
          <w:numId w:val="44"/>
        </w:numPr>
        <w:rPr>
          <w:rFonts w:ascii="Arial" w:cs="Arial" w:eastAsia="Arial" w:hAnsi="Arial"/>
          <w:sz w:val="9"/>
          <w:szCs w:val="9"/>
          <w:color w:val="auto"/>
        </w:rPr>
      </w:pPr>
      <w:r>
        <w:rPr>
          <w:rFonts w:ascii="Arial" w:cs="Arial" w:eastAsia="Arial" w:hAnsi="Arial"/>
          <w:sz w:val="14"/>
          <w:szCs w:val="14"/>
          <w:color w:val="auto"/>
        </w:rPr>
        <w:t>The United States, included in North America, and Ireland, included in Europe, represent 31% and 16% of total revenues, respectively, based on the location of our lessees. No other country represents more than 10% of total revenues.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238,141</w:t>
            </w:r>
          </w:p>
        </w:tc>
      </w:tr>
      <w:tr>
        <w:trPr>
          <w:trHeight w:val="198"/>
        </w:trPr>
        <w:tc>
          <w:tcPr>
            <w:tcW w:w="9140" w:type="dxa"/>
            <w:vAlign w:val="bottom"/>
          </w:tcPr>
          <w:p>
            <w:pPr>
              <w:ind w:left="20"/>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181,835</w:t>
            </w:r>
          </w:p>
        </w:tc>
      </w:tr>
      <w:tr>
        <w:trPr>
          <w:trHeight w:val="207"/>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141,750</w:t>
            </w:r>
          </w:p>
        </w:tc>
      </w:tr>
      <w:tr>
        <w:trPr>
          <w:trHeight w:val="198"/>
        </w:trPr>
        <w:tc>
          <w:tcPr>
            <w:tcW w:w="9140" w:type="dxa"/>
            <w:vAlign w:val="bottom"/>
          </w:tcPr>
          <w:p>
            <w:pPr>
              <w:ind w:left="20"/>
              <w:spacing w:after="0"/>
              <w:rPr>
                <w:sz w:val="20"/>
                <w:szCs w:val="20"/>
                <w:color w:val="auto"/>
              </w:rPr>
            </w:pPr>
            <w:r>
              <w:rPr>
                <w:rFonts w:ascii="Arial" w:cs="Arial" w:eastAsia="Arial" w:hAnsi="Arial"/>
                <w:sz w:val="14"/>
                <w:szCs w:val="14"/>
                <w:color w:val="auto"/>
              </w:rPr>
              <w:t>2028</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123,447</w:t>
            </w:r>
          </w:p>
        </w:tc>
      </w:tr>
      <w:tr>
        <w:trPr>
          <w:trHeight w:val="207"/>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79,469</w:t>
            </w:r>
          </w:p>
        </w:tc>
      </w:tr>
      <w:tr>
        <w:trPr>
          <w:trHeight w:val="198"/>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94,634</w:t>
            </w:r>
          </w:p>
        </w:tc>
      </w:tr>
      <w:tr>
        <w:trPr>
          <w:trHeight w:val="225"/>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859,276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179,704</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28,232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207,936</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191,347</w:t>
            </w:r>
          </w:p>
        </w:tc>
        <w:tc>
          <w:tcPr>
            <w:tcW w:w="0" w:type="dxa"/>
            <w:vAlign w:val="bottom"/>
          </w:tcPr>
          <w:p>
            <w:pPr>
              <w:spacing w:after="0"/>
              <w:rPr>
                <w:sz w:val="1"/>
                <w:szCs w:val="1"/>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303,141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303,141</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454,970</w:t>
            </w:r>
          </w:p>
        </w:tc>
        <w:tc>
          <w:tcPr>
            <w:tcW w:w="0" w:type="dxa"/>
            <w:vAlign w:val="bottom"/>
          </w:tcPr>
          <w:p>
            <w:pPr>
              <w:spacing w:after="0"/>
              <w:rPr>
                <w:sz w:val="1"/>
                <w:szCs w:val="1"/>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13,502</w:t>
            </w:r>
          </w:p>
        </w:tc>
        <w:tc>
          <w:tcPr>
            <w:tcW w:w="0" w:type="dxa"/>
            <w:vAlign w:val="bottom"/>
          </w:tcPr>
          <w:p>
            <w:pPr>
              <w:spacing w:after="0"/>
              <w:rPr>
                <w:sz w:val="1"/>
                <w:szCs w:val="1"/>
                <w:color w:val="auto"/>
              </w:rPr>
            </w:pPr>
          </w:p>
        </w:tc>
      </w:tr>
      <w:tr>
        <w:trPr>
          <w:trHeight w:val="20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681,611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454,970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1,170,896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221,852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502,132</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110,163</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13,700</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18,037</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169,877</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427,353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303,122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100,749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831,224</w:t>
            </w:r>
          </w:p>
        </w:tc>
        <w:tc>
          <w:tcPr>
            <w:tcW w:w="0" w:type="dxa"/>
            <w:vAlign w:val="bottom"/>
          </w:tcPr>
          <w:p>
            <w:pPr>
              <w:spacing w:after="0"/>
              <w:rPr>
                <w:sz w:val="1"/>
                <w:szCs w:val="1"/>
                <w:color w:val="auto"/>
              </w:rPr>
            </w:pPr>
          </w:p>
        </w:tc>
      </w:tr>
      <w:tr>
        <w:trPr>
          <w:trHeight w:val="200"/>
        </w:trPr>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(161,639)</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7,590</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(160,696)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(155,655)</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255,410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155,737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(227,130)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184,017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(36,193)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(59,800)</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291,603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(227,963)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243,817</w:t>
            </w: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31,795</w:t>
            </w:r>
          </w:p>
        </w:tc>
        <w:tc>
          <w:tcPr>
            <w:tcW w:w="0" w:type="dxa"/>
            <w:vAlign w:val="bottom"/>
          </w:tcPr>
          <w:p>
            <w:pPr>
              <w:spacing w:after="0"/>
              <w:rPr>
                <w:sz w:val="1"/>
                <w:szCs w:val="1"/>
                <w:color w:val="auto"/>
              </w:rPr>
            </w:pPr>
          </w:p>
        </w:tc>
      </w:tr>
      <w:tr>
        <w:trPr>
          <w:trHeight w:val="20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291,603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180,177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(259,758)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212,022</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9920" w:type="dxa"/>
            <w:vAlign w:val="bottom"/>
            <w:gridSpan w:val="10"/>
          </w:tcPr>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and lessee, is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153,984</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244,055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120,439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364,494</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587,054</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63,667</w:t>
            </w: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Total revenues </w:t>
            </w:r>
            <w:r>
              <w:rPr>
                <w:rFonts w:ascii="Arial" w:cs="Arial" w:eastAsia="Arial" w:hAnsi="Arial"/>
                <w:sz w:val="9"/>
                <w:szCs w:val="9"/>
                <w:b w:val="1"/>
                <w:bCs w:val="1"/>
                <w:color w:val="auto"/>
              </w:rPr>
              <w:t>(1)</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681,611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1,170,896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w:t>
      </w:r>
    </w:p>
    <w:p>
      <w:pPr>
        <w:spacing w:after="0" w:line="172" w:lineRule="exact"/>
        <w:rPr>
          <w:sz w:val="20"/>
          <w:szCs w:val="20"/>
          <w:color w:val="auto"/>
        </w:rPr>
      </w:pPr>
    </w:p>
    <w:p>
      <w:pPr>
        <w:ind w:firstLine="8"/>
        <w:spacing w:after="0" w:line="305" w:lineRule="auto"/>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The United States, included in North America, represents 47% of total revenues based on the location of our lessees. No other country represents more than 10%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159,068</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20,246</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179,314</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183,535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183,535</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6,702</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18,201</w:t>
            </w:r>
          </w:p>
        </w:tc>
        <w:tc>
          <w:tcPr>
            <w:tcW w:w="0" w:type="dxa"/>
            <w:vAlign w:val="bottom"/>
          </w:tcPr>
          <w:p>
            <w:pPr>
              <w:spacing w:after="0"/>
              <w:rPr>
                <w:sz w:val="1"/>
                <w:szCs w:val="1"/>
                <w:color w:val="auto"/>
              </w:rPr>
            </w:pPr>
          </w:p>
        </w:tc>
      </w:tr>
      <w:tr>
        <w:trPr>
          <w:trHeight w:val="20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502,948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708,411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138,904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109,481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248,385</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132,264</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14,164</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152,917</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137,219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137,219</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(77,211)</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444,488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103,786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76,233</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624,507</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(169,194)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(169,194)</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(189,092)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(189,215)</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(238,377)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(105,311)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(110,611)</w:t>
            </w: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20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(265,378)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(137,775)</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and lessee,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124,632</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130,128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167,623</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372,146</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42,068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42,145</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 xml:space="preserve">Total revenues </w:t>
            </w:r>
            <w:r>
              <w:rPr>
                <w:rFonts w:ascii="Arial" w:cs="Arial" w:eastAsia="Arial" w:hAnsi="Arial"/>
                <w:sz w:val="18"/>
                <w:szCs w:val="18"/>
                <w:b w:val="1"/>
                <w:bCs w:val="1"/>
                <w:color w:val="auto"/>
                <w:vertAlign w:val="superscript"/>
              </w:rPr>
              <w:t>(1)</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firstLine="8"/>
        <w:spacing w:after="0"/>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2"/>
          <w:szCs w:val="12"/>
          <w:color w:val="auto"/>
        </w:rPr>
        <w:t>The United States, included in North America, represents 44% of total revenues based on the location of our lessees. No other country represents more than 10% of total revenues.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Location of long-lived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geographic location of property, plant and equipment and leasing equipment,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84"/>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r>
      <w:tr>
        <w:trPr>
          <w:trHeight w:val="201"/>
        </w:trPr>
        <w:tc>
          <w:tcPr>
            <w:tcW w:w="76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37,369</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18,380</w:t>
            </w:r>
          </w:p>
        </w:tc>
      </w:tr>
      <w:tr>
        <w:trPr>
          <w:trHeight w:val="204"/>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596,547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478,120</w:t>
            </w:r>
          </w:p>
        </w:tc>
      </w:tr>
      <w:tr>
        <w:trPr>
          <w:trHeight w:val="201"/>
        </w:trPr>
        <w:tc>
          <w:tcPr>
            <w:tcW w:w="76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1,038,176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934,817</w:t>
            </w:r>
          </w:p>
        </w:tc>
      </w:tr>
      <w:tr>
        <w:trPr>
          <w:trHeight w:val="204"/>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592,675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416,811</w:t>
            </w:r>
          </w:p>
        </w:tc>
      </w:tr>
      <w:tr>
        <w:trPr>
          <w:trHeight w:val="201"/>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216,414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229,460</w:t>
            </w:r>
          </w:p>
        </w:tc>
      </w:tr>
      <w:tr>
        <w:trPr>
          <w:trHeight w:val="22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 leasing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2,481,181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2,077,588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right="480" w:firstLine="8"/>
        <w:spacing w:after="0" w:line="305" w:lineRule="auto"/>
        <w:tabs>
          <w:tab w:leader="none" w:pos="140" w:val="left"/>
        </w:tabs>
        <w:numPr>
          <w:ilvl w:val="0"/>
          <w:numId w:val="47"/>
        </w:numPr>
        <w:rPr>
          <w:rFonts w:ascii="Arial" w:cs="Arial" w:eastAsia="Arial" w:hAnsi="Arial"/>
          <w:sz w:val="9"/>
          <w:szCs w:val="9"/>
          <w:color w:val="auto"/>
        </w:rPr>
      </w:pPr>
      <w:r>
        <w:rPr>
          <w:rFonts w:ascii="Arial" w:cs="Arial" w:eastAsia="Arial" w:hAnsi="Arial"/>
          <w:sz w:val="14"/>
          <w:szCs w:val="14"/>
          <w:color w:val="auto"/>
        </w:rPr>
        <w:t>The United States, included in North America, and Italy, included in Europe, represent 17% and 12% of property, plant and equipment and leasing equipment, net as of December 31, 2024 and 2023, respectively. No other country represents more than 10% of property, plant and equipment and leasing equipment,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EARNINGS PER SHARE AND EQUITY</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Basic earnings per ordinary share (“EPS”) is calculated by dividing net income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(110,611)</w:t>
            </w:r>
          </w:p>
        </w:tc>
        <w:tc>
          <w:tcPr>
            <w:tcW w:w="0" w:type="dxa"/>
            <w:vAlign w:val="bottom"/>
          </w:tcPr>
          <w:p>
            <w:pPr>
              <w:spacing w:after="0"/>
              <w:rPr>
                <w:sz w:val="1"/>
                <w:szCs w:val="1"/>
                <w:color w:val="auto"/>
              </w:rPr>
            </w:pP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(101,416)</w:t>
            </w:r>
          </w:p>
        </w:tc>
        <w:tc>
          <w:tcPr>
            <w:tcW w:w="0" w:type="dxa"/>
            <w:vAlign w:val="bottom"/>
          </w:tcPr>
          <w:p>
            <w:pPr>
              <w:spacing w:after="0"/>
              <w:rPr>
                <w:sz w:val="1"/>
                <w:szCs w:val="1"/>
                <w:color w:val="auto"/>
              </w:rPr>
            </w:pPr>
          </w:p>
        </w:tc>
      </w:tr>
      <w:tr>
        <w:trPr>
          <w:trHeight w:val="197"/>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243,817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(212,027)</w:t>
            </w:r>
          </w:p>
        </w:tc>
        <w:tc>
          <w:tcPr>
            <w:tcW w:w="0" w:type="dxa"/>
            <w:vAlign w:val="bottom"/>
          </w:tcPr>
          <w:p>
            <w:pPr>
              <w:spacing w:after="0"/>
              <w:rPr>
                <w:sz w:val="1"/>
                <w:szCs w:val="1"/>
                <w:color w:val="auto"/>
              </w:rPr>
            </w:pPr>
          </w:p>
        </w:tc>
      </w:tr>
      <w:tr>
        <w:trPr>
          <w:trHeight w:val="178"/>
        </w:trPr>
        <w:tc>
          <w:tcPr>
            <w:tcW w:w="62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(18,817)</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32,763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202"/>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7,998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(220,374)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Ordinary Shares Outstanding - 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101,538,835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99,908,214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99,421,008</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Ordinary Shares Outstanding - Diluted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101,538,835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100,425,777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99,421,008</w:t>
            </w: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Basic</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58"/>
        </w:trPr>
        <w:tc>
          <w:tcPr>
            <w:tcW w:w="6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calculation of Diluted EPS excludes 0, 0 and 582,200 shares for the years ended December 31, 2024, 2023 and 2022, respectively, because the impact would be anti-dilutive.</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Ordinary shares issued to certain directors as compensation were 6,148, 26,287 and 19,811 for the years ended December 31, 2024,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Ordinary Shares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2024, in connection with the Internalization and termination of the Management Agreement, the Company issued 1,866,949 ordinary shares, par value $0.01 per share, at a price of $80.34 per share, to its Former Manager.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2023, in a public offering, we issued 2,600,000 shares of 9.50% Fixed- Rate Reset Series D Cumulative Perpetual Redeemable Preferred Shares (“Series D Preferred Shares”), par value $0.01 per share, with a liquidation preference of $25.00 per share for net proceeds before expenses of $63.0 million.</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October 2024, the Company redeemed in full the outstanding 4,180,000 8.25% Fixed-to-Floating Rate Series A Cumulative Perpetual Redeemable Preferred Shares at a redemption price equal to $25.00 per share in cash, plus $1.6 million of accumulated and unpaid distributions thereon to, but not including, the redemption date of October 29,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COMMITMENTS AND CONTINGENCIES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00497F"/>
        </w:rPr>
        <w:t>Internalization</w:t>
      </w:r>
      <w:r>
        <w:rPr>
          <w:rFonts w:ascii="Arial" w:cs="Arial" w:eastAsia="Arial" w:hAnsi="Arial"/>
          <w:sz w:val="16"/>
          <w:szCs w:val="16"/>
          <w:color w:val="00497F"/>
        </w:rPr>
        <w:t>—</w:t>
      </w:r>
      <w:r>
        <w:rPr>
          <w:rFonts w:ascii="Arial" w:cs="Arial" w:eastAsia="Arial" w:hAnsi="Arial"/>
          <w:sz w:val="16"/>
          <w:szCs w:val="16"/>
          <w:color w:val="000000"/>
        </w:rPr>
        <w:t>During the second quarter of 2024, the Company entered into the Internalization Agreement with the Former Manager and Master GP.</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Pursuant to the Internalization Agreement, the Management Agreement was terminated effective May 28, 2024, except that certain indemnification and other obligations survive, and the Company was no longer required to pay management fees or incentive distributions with respect to any period thereafter.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thousand.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RESTRUCTURING CHARGES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Internalization and termination of the Management Agreement, the Company agreed to pay a total of $300.0 million to its Former Manager (for itself and on behalf of the Master GP, as applicable). At closing, the Company issued 1,866,949 ordinary shares valued at $150.0 million. The remaining balance was paid in cash on June 17, 2024. The restructuring charge paid in connection with the Internalization and termination of the Management Agreement is reflected in Internalization Fee to Affiliate expense in the Consolidated Statements of Operations for the year ended December 31, 2024. See Note 13 for additional discussion. There were no restructuring charges recorded for the years ended December 31, 2023 and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SUBSEQUENT EVENTS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Strategic Capital Initiative</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30, 2024, the Company announced the launch of Strategic Capital Initiative, a new investment focused on acquiring 737NG and A320ceo aircraft, allowing the Company to maintain an asset-light business model while the partnerships actively acquire on-lease narrowbody aircraft. The initial capital call for this fund was made on December 31, 2024. As of December 31, 2024, no funds have been transferred under this capital call.</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Series B Shares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17, 2025, the Company issued the notice to redeem in full the outstanding 4,940,000 8.00% Fixed-to-Floating Rate Series B Cumulative Perpetual Redeemable Preferred Shares at a redemption price equal to $25.00 per share in cash, plus $2.4 million of accumulated and unpaid distributions thereon to, but not including, the redemption date of February 16, 2025.</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26, 2025, our Board of Directors declared a cash dividend on our ordinary shares and eligible participating securities of $0.30 per share for the quarter ended December 31, 2024, payable on March 24, 2025 to the holders of record on March 14, 2025.</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on February 26, 2025, our Board of Directors declared cash dividends on the Series C Preferred Shares and Series D Preferred Shares of $0.52 and $0.59 per share, respectively, for the quarter ended December 31, 2024, payable on March 17, 2025 to the holders of record on March 10,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8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9, 2024, we completed the acquisition of Lockheed Martin Commercial Engine Solutions. Our management is in the process of reviewing the operations of LMCES and integrating its controls into our internal control structure. In accordance with SEC guidance permitting a company to exclude an acquired business from management’s assessment of the effectiveness of internal control over financial reporting for the year in which the acquisition is completed, we have excluded LMCES from our assessment of the effectiveness of internal control over financial reporting as of December 31, 2024. LMCES represented 5.3% of our total assets and less than 1.2% of our total revenues as of and for the year ended December 31, 2024. See Note 4 to the consolidated financial statements for additional information about the acquisition of LMCES.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2024.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2024, our internal control over financial reporting was effective.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effectiveness of the Company’s internal control over financial reporting as of December 31, 2024 has been audited by Ernst &amp; Young LLP, an independent registered public accounting firm, as stated in their report included herein.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4" w:name="page95"/>
    <w:bookmarkEnd w:id="94"/>
    <w:p>
      <w:pPr>
        <w:ind w:right="3380" w:firstLine="3379"/>
        <w:spacing w:after="0" w:line="39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audited FTAI Aviation Ltd.’s internal control over financial reporting as of December 31, 2024, based on criteria established in Internal Control— Integrated Framework issued by the Committee of Sponsoring Organizations of the Treadway Commission (2013 framework) (the COSO criteria). In our opinion, FTAI Aviation Ltd. (the Company) maintained, in all material respects, effective internal control over financial reporting as of December 31, 2024, based on the COSO criteria.</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Lockheed Martin Commercial Engine Solutions, which is included in the 2024 consolidated financial statements of the Company and constituted 5.3% of total assets as of December 31, 2024 and 1.2% of total revenues for the year then ended. Our audit of internal control over financial reporting of the Company also did not include an evaluation of the internal control over financial reporting of Lockheed Martin Commercial Engine Solutions.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changes in equity and cash flows for each of the three years in the period ended December 31, 2024, and the related notes and our report dated March 3, 2025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00497F"/>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2025 annual meeting of shareholders to be filed with the SEC pursuant to Regulation 14A within 120 days after the fiscal year ended December 31, 2024 (our “Definitive Proxy Statement”) under the headings “Proposal No. 1 Election of Directors”, “Executive Officers” and if applicable, “Delinquent Section 16(a) Reports.”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maintain a Public Company Insider Trading Compliance Policy that applies to members of our Board of Directors, our officers and all other employees, which we believe is reasonably designed to promote compliance with applicable insider trading laws,rules and regulations and listing standards. Our Public Company Insider Trading Compliance Policy is filed 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Exhibit 19.1 to this Annual Report.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2024.</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55" w:lineRule="exact"/>
        <w:rPr>
          <w:sz w:val="20"/>
          <w:szCs w:val="20"/>
          <w:color w:val="auto"/>
        </w:rPr>
      </w:pPr>
    </w:p>
    <w:p>
      <w:pPr>
        <w:ind w:left="20" w:right="40"/>
        <w:spacing w:after="0" w:line="252" w:lineRule="auto"/>
        <w:rPr>
          <w:sz w:val="20"/>
          <w:szCs w:val="20"/>
          <w:color w:val="auto"/>
        </w:rPr>
      </w:pPr>
      <w:r>
        <w:rPr>
          <w:rFonts w:ascii="Arial" w:cs="Arial" w:eastAsia="Arial" w:hAnsi="Arial"/>
          <w:sz w:val="14"/>
          <w:szCs w:val="14"/>
          <w:color w:val="auto"/>
        </w:rPr>
        <w:t>Equity compensation plans approved by security holders</w:t>
      </w:r>
    </w:p>
    <w:p>
      <w:pPr>
        <w:spacing w:after="0" w:line="1" w:lineRule="exact"/>
        <w:rPr>
          <w:sz w:val="20"/>
          <w:szCs w:val="20"/>
          <w:color w:val="auto"/>
        </w:rPr>
      </w:pPr>
    </w:p>
    <w:p>
      <w:pPr>
        <w:ind w:left="20"/>
        <w:spacing w:after="0" w:line="263" w:lineRule="auto"/>
        <w:rPr>
          <w:sz w:val="20"/>
          <w:szCs w:val="20"/>
          <w:color w:val="auto"/>
        </w:rPr>
      </w:pPr>
      <w:r>
        <w:rPr>
          <w:rFonts w:ascii="Arial" w:cs="Arial" w:eastAsia="Arial" w:hAnsi="Arial"/>
          <w:sz w:val="14"/>
          <w:szCs w:val="14"/>
          <w:color w:val="auto"/>
        </w:rPr>
        <w:t>Equity compensation plans not approved by security holders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 securities to be issued</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Weighted-average exercise price of</w:t>
            </w:r>
          </w:p>
        </w:tc>
        <w:tc>
          <w:tcPr>
            <w:tcW w:w="2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 securities remaining available</w:t>
            </w:r>
          </w:p>
        </w:tc>
      </w:tr>
      <w:tr>
        <w:trPr>
          <w:trHeight w:val="146"/>
        </w:trPr>
        <w:tc>
          <w:tcPr>
            <w:tcW w:w="26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upon exercise of outstanding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outstanding options, warrants, and</w:t>
            </w:r>
          </w:p>
        </w:tc>
        <w:tc>
          <w:tcPr>
            <w:tcW w:w="28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for future issuance under equity</w:t>
            </w:r>
          </w:p>
        </w:tc>
      </w:tr>
      <w:tr>
        <w:trPr>
          <w:trHeight w:val="187"/>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2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r>
      <w:tr>
        <w:trPr>
          <w:trHeight w:val="323"/>
        </w:trPr>
        <w:tc>
          <w:tcPr>
            <w:tcW w:w="2640" w:type="dxa"/>
            <w:vAlign w:val="bottom"/>
          </w:tcPr>
          <w:p>
            <w:pPr>
              <w:jc w:val="right"/>
              <w:spacing w:after="0"/>
              <w:rPr>
                <w:sz w:val="20"/>
                <w:szCs w:val="20"/>
                <w:color w:val="auto"/>
              </w:rPr>
            </w:pPr>
            <w:r>
              <w:rPr>
                <w:rFonts w:ascii="Arial" w:cs="Arial" w:eastAsia="Arial" w:hAnsi="Arial"/>
                <w:sz w:val="14"/>
                <w:szCs w:val="14"/>
                <w:color w:val="auto"/>
              </w:rPr>
              <w:t>112,343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52.70</w:t>
            </w:r>
          </w:p>
        </w:tc>
        <w:tc>
          <w:tcPr>
            <w:tcW w:w="100" w:type="dxa"/>
            <w:vAlign w:val="bottom"/>
          </w:tcPr>
          <w:p>
            <w:pPr>
              <w:spacing w:after="0"/>
              <w:rPr>
                <w:sz w:val="24"/>
                <w:szCs w:val="24"/>
                <w:color w:val="auto"/>
              </w:rPr>
            </w:pPr>
          </w:p>
        </w:tc>
        <w:tc>
          <w:tcPr>
            <w:tcW w:w="2860" w:type="dxa"/>
            <w:vAlign w:val="bottom"/>
          </w:tcPr>
          <w:p>
            <w:pPr>
              <w:jc w:val="right"/>
              <w:ind w:right="8"/>
              <w:spacing w:after="0"/>
              <w:rPr>
                <w:sz w:val="20"/>
                <w:szCs w:val="20"/>
                <w:color w:val="auto"/>
              </w:rPr>
            </w:pPr>
            <w:r>
              <w:rPr>
                <w:rFonts w:ascii="Arial" w:cs="Arial" w:eastAsia="Arial" w:hAnsi="Arial"/>
                <w:sz w:val="14"/>
                <w:szCs w:val="14"/>
                <w:color w:val="auto"/>
              </w:rPr>
              <w:t>28,254,370</w:t>
            </w:r>
          </w:p>
        </w:tc>
      </w:tr>
      <w:tr>
        <w:trPr>
          <w:trHeight w:val="342"/>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28,254,370</w:t>
            </w: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-170815</wp:posOffset>
            </wp:positionV>
            <wp:extent cx="708914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-607695</wp:posOffset>
            </wp:positionV>
            <wp:extent cx="708914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2620" w:space="200"/>
            <w:col w:w="8420"/>
          </w:cols>
          <w:pgMar w:left="320" w:top="1043"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59"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Excludes 15,000 stock options and 189,492 ordinary shares issued to directors as compensation.</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additional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ectPr>
          <w:pgSz w:w="11900" w:h="16838" w:orient="portrait"/>
          <w:cols w:equalWidth="0" w:num="1">
            <w:col w:w="11240"/>
          </w:cols>
          <w:pgMar w:left="320" w:top="10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96" w:name="page97"/>
    <w:bookmarkEnd w:id="96"/>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497F"/>
        </w:rPr>
        <w:t>PART IV</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6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71995" cy="222885"/>
                    </a:xfrm>
                    <a:prstGeom prst="rect">
                      <a:avLst/>
                    </a:prstGeom>
                    <a:noFill/>
                  </pic:spPr>
                </pic:pic>
              </a:graphicData>
            </a:graphic>
          </wp:anchor>
        </w:drawing>
      </w:r>
    </w:p>
    <w:p>
      <w:pPr>
        <w:spacing w:after="0" w:line="35" w:lineRule="exact"/>
        <w:rPr>
          <w:sz w:val="20"/>
          <w:szCs w:val="20"/>
          <w:color w:val="auto"/>
        </w:rPr>
      </w:pPr>
    </w:p>
    <w:p>
      <w:pPr>
        <w:ind w:left="1480" w:hanging="343"/>
        <w:spacing w:after="0" w:line="244" w:lineRule="auto"/>
        <w:tabs>
          <w:tab w:leader="none" w:pos="1460"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August 12, 2022, by and among, FTAI, the Company and FTAI Aviation Merger Sub LLC (incorporated by reference to Annex A to FTAI’s Registration Statement on Form S-4, filed on October 11, 2022).</w:t>
      </w:r>
    </w:p>
    <w:p>
      <w:pPr>
        <w:spacing w:after="0" w:line="10" w:lineRule="exact"/>
        <w:rPr>
          <w:sz w:val="20"/>
          <w:szCs w:val="20"/>
          <w:color w:val="auto"/>
        </w:rPr>
      </w:pPr>
    </w:p>
    <w:p>
      <w:pPr>
        <w:ind w:left="1480" w:right="180" w:hanging="343"/>
        <w:spacing w:after="0" w:line="244" w:lineRule="auto"/>
        <w:tabs>
          <w:tab w:leader="none" w:pos="1460" w:val="left"/>
        </w:tabs>
        <w:rPr>
          <w:rFonts w:ascii="Arial" w:cs="Arial" w:eastAsia="Arial" w:hAnsi="Arial"/>
          <w:sz w:val="14"/>
          <w:szCs w:val="14"/>
          <w:color w:val="0000FF"/>
        </w:rPr>
      </w:pPr>
      <w:hyperlink r:id="rId118">
        <w:r>
          <w:rPr>
            <w:rFonts w:ascii="Arial" w:cs="Arial" w:eastAsia="Arial" w:hAnsi="Arial"/>
            <w:sz w:val="14"/>
            <w:szCs w:val="14"/>
            <w:u w:val="single" w:color="auto"/>
            <w:color w:val="0000FF"/>
          </w:rPr>
          <w:t>2.2</w:t>
        </w:r>
      </w:hyperlink>
      <w:r>
        <w:rPr>
          <w:rFonts w:ascii="Arial" w:cs="Arial" w:eastAsia="Arial" w:hAnsi="Arial"/>
          <w:sz w:val="14"/>
          <w:szCs w:val="14"/>
          <w:color w:val="0000FF"/>
        </w:rPr>
        <w:tab/>
        <w:t>Separation and Distribution Agreement, dated as of August 1, 2022, between FTAI Infrastructure Inc. and the Company (incorporated by reference to Exhibit 2.1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7199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140" w:hanging="343"/>
        <w:spacing w:after="0" w:line="244" w:lineRule="auto"/>
        <w:tabs>
          <w:tab w:leader="none" w:pos="146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3.1</w:t>
        </w:r>
      </w:hyperlink>
      <w:r>
        <w:rPr>
          <w:rFonts w:ascii="Arial" w:cs="Arial" w:eastAsia="Arial" w:hAnsi="Arial"/>
          <w:sz w:val="14"/>
          <w:szCs w:val="14"/>
          <w:color w:val="0000FF"/>
        </w:rPr>
        <w:tab/>
        <w:t>Amended and Restated Memorandum and Articles of Association of the Company (incorporated by reference to Exhibit 3.1 of the Company’s Current Report on Form 8-K, filed on November 14, 2022).</w:t>
      </w:r>
    </w:p>
    <w:p>
      <w:pPr>
        <w:spacing w:after="0" w:line="10" w:lineRule="exact"/>
        <w:rPr>
          <w:sz w:val="20"/>
          <w:szCs w:val="20"/>
          <w:color w:val="auto"/>
        </w:rPr>
      </w:pPr>
    </w:p>
    <w:p>
      <w:pPr>
        <w:ind w:left="1480" w:right="380" w:hanging="343"/>
        <w:spacing w:after="0" w:line="244" w:lineRule="auto"/>
        <w:tabs>
          <w:tab w:leader="none" w:pos="1460" w:val="left"/>
        </w:tabs>
        <w:rPr>
          <w:rFonts w:ascii="Arial" w:cs="Arial" w:eastAsia="Arial" w:hAnsi="Arial"/>
          <w:sz w:val="14"/>
          <w:szCs w:val="14"/>
          <w:color w:val="0000FF"/>
        </w:rPr>
      </w:pPr>
      <w:hyperlink r:id="rId121">
        <w:r>
          <w:rPr>
            <w:rFonts w:ascii="Arial" w:cs="Arial" w:eastAsia="Arial" w:hAnsi="Arial"/>
            <w:sz w:val="14"/>
            <w:szCs w:val="14"/>
            <w:u w:val="single" w:color="auto"/>
            <w:color w:val="0000FF"/>
          </w:rPr>
          <w:t>3.2</w:t>
        </w:r>
      </w:hyperlink>
      <w:r>
        <w:rPr>
          <w:rFonts w:ascii="Arial" w:cs="Arial" w:eastAsia="Arial" w:hAnsi="Arial"/>
          <w:sz w:val="14"/>
          <w:szCs w:val="14"/>
          <w:color w:val="0000FF"/>
        </w:rPr>
        <w:tab/>
        <w:t>Share Designation with respect to the 8.25% Fixed-Rate Reset Series C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71995"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40"/>
        <w:spacing w:after="0" w:line="237" w:lineRule="auto"/>
        <w:tabs>
          <w:tab w:leader="none" w:pos="1460"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9.500% Fixed-Rate Reset Series D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(incorporated by reference to Exhibit 4.1 of the Company’s Registration Statement on Form 8-A, filed on March 15, 2023).</w:t>
      </w:r>
    </w:p>
    <w:p>
      <w:pPr>
        <w:spacing w:after="0" w:line="16"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21">
        <w:r>
          <w:rPr>
            <w:rFonts w:ascii="Arial" w:cs="Arial" w:eastAsia="Arial" w:hAnsi="Arial"/>
            <w:sz w:val="14"/>
            <w:szCs w:val="14"/>
            <w:u w:val="single" w:color="auto"/>
            <w:color w:val="0000FF"/>
          </w:rPr>
          <w:t>3.4</w:t>
        </w:r>
      </w:hyperlink>
      <w:r>
        <w:rPr>
          <w:rFonts w:ascii="Arial" w:cs="Arial" w:eastAsia="Arial" w:hAnsi="Arial"/>
          <w:sz w:val="14"/>
          <w:szCs w:val="14"/>
          <w:color w:val="0000FF"/>
        </w:rPr>
        <w:tab/>
        <w:t>Form of Certificate representing the 8.25% Fixed-Rate Reset Series C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3.5</w:t>
        </w:r>
      </w:hyperlink>
      <w:r>
        <w:rPr>
          <w:rFonts w:ascii="Arial" w:cs="Arial" w:eastAsia="Arial" w:hAnsi="Arial"/>
          <w:sz w:val="14"/>
          <w:szCs w:val="14"/>
          <w:color w:val="0000FF"/>
        </w:rPr>
        <w:tab/>
        <w:t>Form of certificate representing the 9.500% Fixed-Rate Reset Series D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(incorporated by reference to Exhibit 4.2 of the Company’s Registration Statement on Form 8-A, filed on March 15, 2023).</w:t>
      </w:r>
    </w:p>
    <w:p>
      <w:pPr>
        <w:spacing w:after="0" w:line="28" w:lineRule="exact"/>
        <w:rPr>
          <w:sz w:val="20"/>
          <w:szCs w:val="20"/>
          <w:color w:val="auto"/>
        </w:rPr>
      </w:pPr>
    </w:p>
    <w:p>
      <w:pPr>
        <w:ind w:left="1480" w:right="540" w:hanging="343"/>
        <w:spacing w:after="0" w:line="244" w:lineRule="auto"/>
        <w:tabs>
          <w:tab w:leader="none" w:pos="1460"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April 12, 2021, between the Company and U.S. Bank National Association, as trustee, relating to the Company’s 5.50% senior unsecured notes due 2028 (incorporated by reference to Exhibit 4.1 to the Company’s Current Report on Form 8-K, filed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71995"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100" w:hanging="343"/>
        <w:spacing w:after="0" w:line="244" w:lineRule="auto"/>
        <w:tabs>
          <w:tab w:leader="none" w:pos="1460"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5.50% senior unsecured notes due 2028 (included in Exhibit 4.1 of the Company’s Current Report on Form 8-K, filed on April 12, 2021).</w:t>
      </w:r>
    </w:p>
    <w:p>
      <w:pPr>
        <w:spacing w:after="0" w:line="10" w:lineRule="exact"/>
        <w:rPr>
          <w:sz w:val="20"/>
          <w:szCs w:val="20"/>
          <w:color w:val="auto"/>
        </w:rPr>
      </w:pPr>
    </w:p>
    <w:p>
      <w:pPr>
        <w:jc w:val="right"/>
        <w:ind w:left="1140" w:right="160"/>
        <w:spacing w:after="0" w:line="221" w:lineRule="auto"/>
        <w:rPr>
          <w:rFonts w:ascii="Arial" w:cs="Arial" w:eastAsia="Arial" w:hAnsi="Arial"/>
          <w:sz w:val="14"/>
          <w:szCs w:val="14"/>
          <w:color w:val="0000FF"/>
        </w:rPr>
      </w:pPr>
      <w:hyperlink r:id="rId128">
        <w:r>
          <w:rPr>
            <w:rFonts w:ascii="Arial" w:cs="Arial" w:eastAsia="Arial" w:hAnsi="Arial"/>
            <w:sz w:val="14"/>
            <w:szCs w:val="14"/>
            <w:u w:val="single" w:color="auto"/>
            <w:color w:val="0000FF"/>
          </w:rPr>
          <w:t>4.3</w:t>
        </w:r>
        <w:r>
          <w:rPr>
            <w:rFonts w:ascii="Arial" w:cs="Arial" w:eastAsia="Arial" w:hAnsi="Arial"/>
            <w:sz w:val="14"/>
            <w:szCs w:val="14"/>
            <w:color w:val="0000FF"/>
          </w:rPr>
          <w:t xml:space="preserve">  </w:t>
        </w:r>
      </w:hyperlink>
      <w:r>
        <w:rPr>
          <w:rFonts w:ascii="Arial" w:cs="Arial" w:eastAsia="Arial" w:hAnsi="Arial"/>
          <w:sz w:val="14"/>
          <w:szCs w:val="14"/>
          <w:color w:val="000000"/>
        </w:rPr>
        <w:t>First</w:t>
      </w:r>
      <w:r>
        <w:rPr>
          <w:rFonts w:ascii="Arial" w:cs="Arial" w:eastAsia="Arial" w:hAnsi="Arial"/>
          <w:sz w:val="14"/>
          <w:szCs w:val="14"/>
          <w:color w:val="0000FF"/>
        </w:rPr>
        <w:t xml:space="preserve"> </w:t>
      </w:r>
      <w:r>
        <w:rPr>
          <w:rFonts w:ascii="Arial" w:cs="Arial" w:eastAsia="Arial" w:hAnsi="Arial"/>
          <w:sz w:val="14"/>
          <w:szCs w:val="14"/>
          <w:color w:val="000000"/>
        </w:rPr>
        <w:t>Supplemental Indenture, dated as of September 24, 2021, between the Company and U.S. Bank National Association, as trustee, relating to the</w:t>
      </w:r>
      <w:r>
        <w:rPr>
          <w:rFonts w:ascii="Arial" w:cs="Arial" w:eastAsia="Arial" w:hAnsi="Arial"/>
          <w:sz w:val="14"/>
          <w:szCs w:val="14"/>
          <w:color w:val="0000FF"/>
        </w:rPr>
        <w:t xml:space="preserve"> </w:t>
      </w:r>
      <w:r>
        <w:rPr>
          <w:rFonts w:ascii="Arial" w:cs="Arial" w:eastAsia="Arial" w:hAnsi="Arial"/>
          <w:sz w:val="14"/>
          <w:szCs w:val="14"/>
          <w:color w:val="000000"/>
        </w:rPr>
        <w:t>Company’s 5.50% senior unsecured notes due 2028 (incorporated by reference to Exhibit 4.1 of the Company’s Current Report on Form 8-K, filed on</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8" w:lineRule="exact"/>
        <w:rPr>
          <w:sz w:val="20"/>
          <w:szCs w:val="20"/>
          <w:color w:val="auto"/>
        </w:rPr>
      </w:pPr>
    </w:p>
    <w:p>
      <w:pPr>
        <w:ind w:left="1480" w:right="300" w:hanging="343"/>
        <w:spacing w:after="0" w:line="244" w:lineRule="auto"/>
        <w:tabs>
          <w:tab w:leader="none" w:pos="1460" w:val="left"/>
        </w:tabs>
        <w:rPr>
          <w:rFonts w:ascii="Arial" w:cs="Arial" w:eastAsia="Arial" w:hAnsi="Arial"/>
          <w:sz w:val="14"/>
          <w:szCs w:val="14"/>
          <w:color w:val="0000FF"/>
        </w:rPr>
      </w:pPr>
      <w:hyperlink r:id="rId130">
        <w:r>
          <w:rPr>
            <w:rFonts w:ascii="Arial" w:cs="Arial" w:eastAsia="Arial" w:hAnsi="Arial"/>
            <w:sz w:val="14"/>
            <w:szCs w:val="14"/>
            <w:u w:val="single" w:color="auto"/>
            <w:color w:val="0000FF"/>
          </w:rPr>
          <w:t>4.4</w:t>
        </w:r>
      </w:hyperlink>
      <w:r>
        <w:rPr>
          <w:rFonts w:ascii="Arial" w:cs="Arial" w:eastAsia="Arial" w:hAnsi="Arial"/>
          <w:sz w:val="14"/>
          <w:szCs w:val="14"/>
          <w:color w:val="0000FF"/>
        </w:rPr>
        <w:tab/>
        <w:t>2028 Notes Guarantee, dated November 10, 2022 (incorporated by reference to Exhibit 4.3 of the Company’s Current Report on Form 8-K, filed on November 14, 2022).</w:t>
      </w:r>
    </w:p>
    <w:p>
      <w:pPr>
        <w:spacing w:after="0" w:line="10" w:lineRule="exact"/>
        <w:rPr>
          <w:sz w:val="20"/>
          <w:szCs w:val="20"/>
          <w:color w:val="auto"/>
        </w:rPr>
      </w:pPr>
    </w:p>
    <w:p>
      <w:pPr>
        <w:jc w:val="center"/>
        <w:ind w:left="1380" w:right="80"/>
        <w:spacing w:after="0" w:line="244" w:lineRule="auto"/>
        <w:rPr>
          <w:rFonts w:ascii="Arial" w:cs="Arial" w:eastAsia="Arial" w:hAnsi="Arial"/>
          <w:sz w:val="14"/>
          <w:szCs w:val="14"/>
          <w:color w:val="0000FF"/>
        </w:rPr>
      </w:pPr>
      <w:hyperlink r:id="rId131">
        <w:r>
          <w:rPr>
            <w:rFonts w:ascii="Arial" w:cs="Arial" w:eastAsia="Arial" w:hAnsi="Arial"/>
            <w:sz w:val="14"/>
            <w:szCs w:val="14"/>
            <w:u w:val="single" w:color="auto"/>
            <w:color w:val="0000FF"/>
          </w:rPr>
          <w:t>4.5</w:t>
        </w:r>
        <w:r>
          <w:rPr>
            <w:rFonts w:ascii="Arial" w:cs="Arial" w:eastAsia="Arial" w:hAnsi="Arial"/>
            <w:sz w:val="14"/>
            <w:szCs w:val="14"/>
            <w:color w:val="0000FF"/>
          </w:rPr>
          <w:t xml:space="preserve">  </w:t>
        </w:r>
      </w:hyperlink>
      <w:r>
        <w:rPr>
          <w:rFonts w:ascii="Arial" w:cs="Arial" w:eastAsia="Arial" w:hAnsi="Arial"/>
          <w:sz w:val="14"/>
          <w:szCs w:val="14"/>
          <w:color w:val="000000"/>
        </w:rPr>
        <w:t>Indenture,</w:t>
      </w:r>
      <w:r>
        <w:rPr>
          <w:rFonts w:ascii="Arial" w:cs="Arial" w:eastAsia="Arial" w:hAnsi="Arial"/>
          <w:sz w:val="14"/>
          <w:szCs w:val="14"/>
          <w:color w:val="0000FF"/>
        </w:rPr>
        <w:t xml:space="preserve"> </w:t>
      </w:r>
      <w:r>
        <w:rPr>
          <w:rFonts w:ascii="Arial" w:cs="Arial" w:eastAsia="Arial" w:hAnsi="Arial"/>
          <w:sz w:val="14"/>
          <w:szCs w:val="14"/>
          <w:color w:val="000000"/>
        </w:rPr>
        <w:t>dated November 21, 2023, between the Company and U.S. Bank National Association, as trustee, relating to the Company’s 7.875% senior</w:t>
      </w:r>
      <w:r>
        <w:rPr>
          <w:rFonts w:ascii="Arial" w:cs="Arial" w:eastAsia="Arial" w:hAnsi="Arial"/>
          <w:sz w:val="14"/>
          <w:szCs w:val="14"/>
          <w:color w:val="0000FF"/>
        </w:rPr>
        <w:t xml:space="preserve"> </w:t>
      </w:r>
      <w:r>
        <w:rPr>
          <w:rFonts w:ascii="Arial" w:cs="Arial" w:eastAsia="Arial" w:hAnsi="Arial"/>
          <w:sz w:val="14"/>
          <w:szCs w:val="14"/>
          <w:color w:val="000000"/>
        </w:rPr>
        <w:t>unsecured notes due 2030 (incorporated by reference to Exhibit 4.1 of the Company’s Current Report on Form 8-K, filed on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71995"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20" w:hanging="343"/>
        <w:spacing w:after="0" w:line="244" w:lineRule="auto"/>
        <w:tabs>
          <w:tab w:leader="none" w:pos="1460" w:val="left"/>
        </w:tabs>
        <w:rPr>
          <w:rFonts w:ascii="Arial" w:cs="Arial" w:eastAsia="Arial" w:hAnsi="Arial"/>
          <w:sz w:val="14"/>
          <w:szCs w:val="14"/>
          <w:color w:val="0000FF"/>
        </w:rPr>
      </w:pPr>
      <w:hyperlink r:id="rId131">
        <w:r>
          <w:rPr>
            <w:rFonts w:ascii="Arial" w:cs="Arial" w:eastAsia="Arial" w:hAnsi="Arial"/>
            <w:sz w:val="14"/>
            <w:szCs w:val="14"/>
            <w:u w:val="single" w:color="auto"/>
            <w:color w:val="0000FF"/>
          </w:rPr>
          <w:t>4.6</w:t>
        </w:r>
      </w:hyperlink>
      <w:r>
        <w:rPr>
          <w:rFonts w:ascii="Arial" w:cs="Arial" w:eastAsia="Arial" w:hAnsi="Arial"/>
          <w:sz w:val="14"/>
          <w:szCs w:val="14"/>
          <w:color w:val="0000FF"/>
        </w:rPr>
        <w:tab/>
        <w:t>Form of global note representing the Company’s 7.875% senior unsecured notes due 2030 (included in Exhibit 4.1 of the Company’s Current Report on Form 8-K, filed on November 22, 2023).</w:t>
      </w:r>
    </w:p>
    <w:p>
      <w:pPr>
        <w:spacing w:after="0" w:line="10" w:lineRule="exact"/>
        <w:rPr>
          <w:sz w:val="20"/>
          <w:szCs w:val="20"/>
          <w:color w:val="auto"/>
        </w:rPr>
      </w:pPr>
    </w:p>
    <w:p>
      <w:pPr>
        <w:ind w:left="1480" w:right="160" w:hanging="343"/>
        <w:spacing w:after="0" w:line="221" w:lineRule="auto"/>
        <w:tabs>
          <w:tab w:leader="none" w:pos="1460"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4.7</w:t>
        </w:r>
      </w:hyperlink>
      <w:r>
        <w:rPr>
          <w:rFonts w:ascii="Arial" w:cs="Arial" w:eastAsia="Arial" w:hAnsi="Arial"/>
          <w:sz w:val="14"/>
          <w:szCs w:val="14"/>
          <w:color w:val="0000FF"/>
        </w:rPr>
        <w:tab/>
        <w:t>Indenture, dated April 11, 2024, among Fortress Transportation and Infrastructure Investors LLC, the Company as guarantor, and U.S. Bank Trust Company, National Association, as trustee, relating to the Company’s 7.000% senior unsecured notes due 2031 (incorporated by reference to Exhibit</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4.1 of the Company’s Current Report on Form 8-K, filed on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8" w:lineRule="exact"/>
        <w:rPr>
          <w:sz w:val="20"/>
          <w:szCs w:val="20"/>
          <w:color w:val="auto"/>
        </w:rPr>
      </w:pPr>
    </w:p>
    <w:p>
      <w:pPr>
        <w:ind w:left="1480" w:right="20" w:hanging="343"/>
        <w:spacing w:after="0" w:line="244" w:lineRule="auto"/>
        <w:tabs>
          <w:tab w:leader="none" w:pos="1460"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4.8</w:t>
        </w:r>
      </w:hyperlink>
      <w:r>
        <w:rPr>
          <w:rFonts w:ascii="Arial" w:cs="Arial" w:eastAsia="Arial" w:hAnsi="Arial"/>
          <w:sz w:val="14"/>
          <w:szCs w:val="14"/>
          <w:color w:val="0000FF"/>
        </w:rPr>
        <w:tab/>
        <w:t>Form of global note representing the Company’s 7.000% senior unsecured notes due 2031 (included in Exhibit 4.1 of the Company’s Current Report on Form 8-K, filed on April 11, 2024).</w:t>
      </w:r>
    </w:p>
    <w:p>
      <w:pPr>
        <w:spacing w:after="0" w:line="10" w:lineRule="exact"/>
        <w:rPr>
          <w:sz w:val="20"/>
          <w:szCs w:val="20"/>
          <w:color w:val="auto"/>
        </w:rPr>
      </w:pPr>
    </w:p>
    <w:p>
      <w:pPr>
        <w:ind w:left="1480" w:right="80" w:hanging="343"/>
        <w:spacing w:after="0" w:line="221" w:lineRule="auto"/>
        <w:tabs>
          <w:tab w:leader="none" w:pos="1460" w:val="left"/>
        </w:tabs>
        <w:rPr>
          <w:rFonts w:ascii="Arial" w:cs="Arial" w:eastAsia="Arial" w:hAnsi="Arial"/>
          <w:sz w:val="14"/>
          <w:szCs w:val="14"/>
          <w:color w:val="0000FF"/>
        </w:rPr>
      </w:pPr>
      <w:hyperlink r:id="rId135">
        <w:r>
          <w:rPr>
            <w:rFonts w:ascii="Arial" w:cs="Arial" w:eastAsia="Arial" w:hAnsi="Arial"/>
            <w:sz w:val="14"/>
            <w:szCs w:val="14"/>
            <w:u w:val="single" w:color="auto"/>
            <w:color w:val="0000FF"/>
          </w:rPr>
          <w:t>4.9</w:t>
        </w:r>
      </w:hyperlink>
      <w:r>
        <w:rPr>
          <w:rFonts w:ascii="Arial" w:cs="Arial" w:eastAsia="Arial" w:hAnsi="Arial"/>
          <w:sz w:val="14"/>
          <w:szCs w:val="14"/>
          <w:color w:val="0000FF"/>
        </w:rPr>
        <w:tab/>
        <w:t>Indenture, dated as of June 17, 2024, among Fortress Transportation and Infrastructure Investors LLC, FTAI Aviation Ltd. as guarantor, and U.S. Bank Trust Company, National Association, as trustee relating to the Company’s 7.000% senior unsecured notes due 2032 (incorporated by reference to</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Exhibit 4.1 of the Company’s Current Report on Form 8-K, filed on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8" w:lineRule="exact"/>
        <w:rPr>
          <w:sz w:val="20"/>
          <w:szCs w:val="20"/>
          <w:color w:val="auto"/>
        </w:rPr>
      </w:pPr>
    </w:p>
    <w:p>
      <w:pPr>
        <w:ind w:left="1480" w:right="20" w:hanging="423"/>
        <w:spacing w:after="0" w:line="244" w:lineRule="auto"/>
        <w:tabs>
          <w:tab w:leader="none" w:pos="1460"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4.10</w:t>
        </w:r>
      </w:hyperlink>
      <w:r>
        <w:rPr>
          <w:rFonts w:ascii="Arial" w:cs="Arial" w:eastAsia="Arial" w:hAnsi="Arial"/>
          <w:sz w:val="14"/>
          <w:szCs w:val="14"/>
          <w:color w:val="0000FF"/>
        </w:rPr>
        <w:tab/>
        <w:t>Form of global note representing the Company’s 7.000% senior unsecured notes due 2032 (included in Exhibit 4.1 of the Company’s Current Report on Form 8-K, filed on June 17, 2024).</w:t>
      </w:r>
    </w:p>
    <w:p>
      <w:pPr>
        <w:spacing w:after="0" w:line="10" w:lineRule="exact"/>
        <w:rPr>
          <w:sz w:val="20"/>
          <w:szCs w:val="20"/>
          <w:color w:val="auto"/>
        </w:rPr>
      </w:pPr>
    </w:p>
    <w:p>
      <w:pPr>
        <w:ind w:left="1480" w:right="100" w:hanging="412"/>
        <w:spacing w:after="0" w:line="221" w:lineRule="auto"/>
        <w:tabs>
          <w:tab w:leader="none" w:pos="1460"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4.11</w:t>
        </w:r>
      </w:hyperlink>
      <w:r>
        <w:rPr>
          <w:rFonts w:ascii="Arial" w:cs="Arial" w:eastAsia="Arial" w:hAnsi="Arial"/>
          <w:sz w:val="14"/>
          <w:szCs w:val="14"/>
          <w:color w:val="0000FF"/>
        </w:rPr>
        <w:tab/>
        <w:t>Indenture, dated as of October 9, 2024, among Fortress Transportation and Infrastructure Investors LLC, FTAI Aviation Ltd. as guarantor, and U.S. Bank Trust Company, National Association, as trustee relating to the Company’s 5.875% senior unsecured notes due 2033 (incorporated by reference</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to Exhibit 4.1 of the Company’s Current Report on Form 8-K, filed on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8" w:lineRule="exact"/>
        <w:rPr>
          <w:sz w:val="20"/>
          <w:szCs w:val="20"/>
          <w:color w:val="auto"/>
        </w:rPr>
      </w:pPr>
    </w:p>
    <w:p>
      <w:pPr>
        <w:ind w:left="1480" w:right="20" w:hanging="423"/>
        <w:spacing w:after="0" w:line="244" w:lineRule="auto"/>
        <w:tabs>
          <w:tab w:leader="none" w:pos="1460"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4.12</w:t>
        </w:r>
      </w:hyperlink>
      <w:r>
        <w:rPr>
          <w:rFonts w:ascii="Arial" w:cs="Arial" w:eastAsia="Arial" w:hAnsi="Arial"/>
          <w:sz w:val="14"/>
          <w:szCs w:val="14"/>
          <w:color w:val="0000FF"/>
        </w:rPr>
        <w:tab/>
        <w:t>Form of global note representing the Company’s 5.875% senior unsecured notes due 2033 (included in Exhibit 4.1 of the Company’s Current Report on Form 8-K, filed on October 9, 2024).</w:t>
      </w:r>
    </w:p>
    <w:p>
      <w:pPr>
        <w:spacing w:after="0" w:line="10"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4.13</w:t>
      </w:r>
      <w:r>
        <w:rPr>
          <w:sz w:val="20"/>
          <w:szCs w:val="20"/>
          <w:color w:val="auto"/>
        </w:rPr>
        <w:tab/>
      </w:r>
      <w:r>
        <w:rPr>
          <w:rFonts w:ascii="Arial" w:cs="Arial" w:eastAsia="Arial" w:hAnsi="Arial"/>
          <w:sz w:val="14"/>
          <w:szCs w:val="14"/>
          <w:color w:val="auto"/>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22" w:lineRule="exact"/>
        <w:rPr>
          <w:sz w:val="20"/>
          <w:szCs w:val="20"/>
          <w:color w:val="auto"/>
        </w:rPr>
      </w:pPr>
    </w:p>
    <w:p>
      <w:pPr>
        <w:ind w:left="1480" w:right="140" w:hanging="1454"/>
        <w:spacing w:after="0" w:line="244" w:lineRule="auto"/>
        <w:tabs>
          <w:tab w:leader="none" w:pos="1056" w:val="left"/>
        </w:tabs>
        <w:numPr>
          <w:ilvl w:val="0"/>
          <w:numId w:val="49"/>
        </w:numPr>
        <w:rPr>
          <w:rFonts w:ascii="Arial" w:cs="Arial" w:eastAsia="Arial" w:hAnsi="Arial"/>
          <w:sz w:val="14"/>
          <w:szCs w:val="14"/>
          <w:color w:val="0000FF"/>
        </w:rPr>
      </w:pPr>
      <w:hyperlink r:id="rId141">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FTAI</w:t>
      </w:r>
      <w:r>
        <w:rPr>
          <w:rFonts w:ascii="Arial" w:cs="Arial" w:eastAsia="Arial" w:hAnsi="Arial"/>
          <w:sz w:val="14"/>
          <w:szCs w:val="14"/>
          <w:color w:val="0000FF"/>
        </w:rPr>
        <w:t xml:space="preserve"> </w:t>
      </w:r>
      <w:r>
        <w:rPr>
          <w:rFonts w:ascii="Arial" w:cs="Arial" w:eastAsia="Arial" w:hAnsi="Arial"/>
          <w:sz w:val="14"/>
          <w:szCs w:val="14"/>
          <w:color w:val="000000"/>
        </w:rPr>
        <w:t>Aviation Ltd. Nonqualified Stock Option and Incentive Award Plan, dated as of February 23, 2023 (incorporated in Exhibit 10.4 of the Company’s</w:t>
      </w:r>
      <w:r>
        <w:rPr>
          <w:rFonts w:ascii="Arial" w:cs="Arial" w:eastAsia="Arial" w:hAnsi="Arial"/>
          <w:sz w:val="14"/>
          <w:szCs w:val="14"/>
          <w:color w:val="0000FF"/>
        </w:rPr>
        <w:t xml:space="preserve"> </w:t>
      </w:r>
      <w:r>
        <w:rPr>
          <w:rFonts w:ascii="Arial" w:cs="Arial" w:eastAsia="Arial" w:hAnsi="Arial"/>
          <w:sz w:val="14"/>
          <w:szCs w:val="14"/>
          <w:color w:val="000000"/>
        </w:rPr>
        <w:t>Annual Report on Form 10-K, filed on February 27, 2023).</w:t>
      </w:r>
    </w:p>
    <w:p>
      <w:pPr>
        <w:spacing w:after="0" w:line="10" w:lineRule="exact"/>
        <w:rPr>
          <w:rFonts w:ascii="Arial" w:cs="Arial" w:eastAsia="Arial" w:hAnsi="Arial"/>
          <w:sz w:val="14"/>
          <w:szCs w:val="14"/>
          <w:color w:val="0000FF"/>
        </w:rPr>
      </w:pPr>
    </w:p>
    <w:p>
      <w:pPr>
        <w:ind w:left="1480" w:right="300" w:hanging="1454"/>
        <w:spacing w:after="0" w:line="244" w:lineRule="auto"/>
        <w:tabs>
          <w:tab w:leader="none" w:pos="1056" w:val="left"/>
        </w:tabs>
        <w:numPr>
          <w:ilvl w:val="0"/>
          <w:numId w:val="49"/>
        </w:numPr>
        <w:rPr>
          <w:rFonts w:ascii="Arial" w:cs="Arial" w:eastAsia="Arial" w:hAnsi="Arial"/>
          <w:sz w:val="14"/>
          <w:szCs w:val="14"/>
          <w:color w:val="0000FF"/>
        </w:rPr>
      </w:pPr>
      <w:hyperlink r:id="rId142">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FTAI Aviation Ltd. Director and Officer Indemnification Agreement (incorporated by reference to Exhibit 10.6 to the Company’s Registration</w:t>
      </w:r>
      <w:r>
        <w:rPr>
          <w:rFonts w:ascii="Arial" w:cs="Arial" w:eastAsia="Arial" w:hAnsi="Arial"/>
          <w:sz w:val="14"/>
          <w:szCs w:val="14"/>
          <w:color w:val="0000FF"/>
        </w:rPr>
        <w:t xml:space="preserve"> </w:t>
      </w:r>
      <w:r>
        <w:rPr>
          <w:rFonts w:ascii="Arial" w:cs="Arial" w:eastAsia="Arial" w:hAnsi="Arial"/>
          <w:sz w:val="14"/>
          <w:szCs w:val="14"/>
          <w:color w:val="000000"/>
        </w:rPr>
        <w:t>Statement on Form S-4, filed on October 4, 2022).</w:t>
      </w:r>
    </w:p>
    <w:p>
      <w:pPr>
        <w:spacing w:after="0" w:line="10" w:lineRule="exact"/>
        <w:rPr>
          <w:rFonts w:ascii="Arial" w:cs="Arial" w:eastAsia="Arial" w:hAnsi="Arial"/>
          <w:sz w:val="14"/>
          <w:szCs w:val="14"/>
          <w:color w:val="0000FF"/>
        </w:rPr>
      </w:pPr>
    </w:p>
    <w:p>
      <w:pPr>
        <w:ind w:left="1480" w:right="420" w:hanging="1454"/>
        <w:spacing w:after="0" w:line="244" w:lineRule="auto"/>
        <w:tabs>
          <w:tab w:leader="none" w:pos="1056" w:val="left"/>
        </w:tabs>
        <w:numPr>
          <w:ilvl w:val="0"/>
          <w:numId w:val="49"/>
        </w:numPr>
        <w:rPr>
          <w:rFonts w:ascii="Arial" w:cs="Arial" w:eastAsia="Arial" w:hAnsi="Arial"/>
          <w:sz w:val="14"/>
          <w:szCs w:val="14"/>
          <w:color w:val="0000FF"/>
        </w:rPr>
      </w:pPr>
      <w:hyperlink r:id="rId143">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Aviation Ltd. Nonqualified Stock Option and Incentive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10.7 to the Company’s Registration Statement on Form S-4, filed on October 4, 2022).</w:t>
      </w:r>
    </w:p>
    <w:p>
      <w:pPr>
        <w:spacing w:after="0" w:line="10" w:lineRule="exact"/>
        <w:rPr>
          <w:rFonts w:ascii="Arial" w:cs="Arial" w:eastAsia="Arial" w:hAnsi="Arial"/>
          <w:sz w:val="14"/>
          <w:szCs w:val="14"/>
          <w:color w:val="0000FF"/>
        </w:rPr>
      </w:pPr>
    </w:p>
    <w:p>
      <w:pPr>
        <w:ind w:left="1480" w:right="20" w:hanging="1454"/>
        <w:spacing w:after="0" w:line="244" w:lineRule="auto"/>
        <w:tabs>
          <w:tab w:leader="none" w:pos="1056" w:val="left"/>
        </w:tabs>
        <w:numPr>
          <w:ilvl w:val="0"/>
          <w:numId w:val="49"/>
        </w:numPr>
        <w:rPr>
          <w:rFonts w:ascii="Arial" w:cs="Arial" w:eastAsia="Arial" w:hAnsi="Arial"/>
          <w:sz w:val="14"/>
          <w:szCs w:val="14"/>
          <w:color w:val="0000FF"/>
        </w:rPr>
      </w:pPr>
      <w:hyperlink r:id="rId144">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Non-Director Award Agreement under the FTAI Aviation Ltd. Nonqualified Stock Option and Incentive Award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10.8 to the Company’s Registration Statement on Form S-4, filed on October 4, 2022).</w:t>
      </w:r>
    </w:p>
    <w:p>
      <w:pPr>
        <w:spacing w:after="0" w:line="10" w:lineRule="exact"/>
        <w:rPr>
          <w:rFonts w:ascii="Arial" w:cs="Arial" w:eastAsia="Arial" w:hAnsi="Arial"/>
          <w:sz w:val="14"/>
          <w:szCs w:val="14"/>
          <w:color w:val="0000FF"/>
        </w:rPr>
      </w:pPr>
    </w:p>
    <w:p>
      <w:pPr>
        <w:ind w:left="1480" w:right="340" w:hanging="1454"/>
        <w:spacing w:after="0" w:line="244" w:lineRule="auto"/>
        <w:tabs>
          <w:tab w:leader="none" w:pos="1056" w:val="left"/>
        </w:tabs>
        <w:numPr>
          <w:ilvl w:val="0"/>
          <w:numId w:val="49"/>
        </w:numPr>
        <w:rPr>
          <w:rFonts w:ascii="Arial" w:cs="Arial" w:eastAsia="Arial" w:hAnsi="Arial"/>
          <w:sz w:val="14"/>
          <w:szCs w:val="14"/>
          <w:color w:val="0000FF"/>
        </w:rPr>
      </w:pPr>
      <w:hyperlink r:id="rId145">
        <w:r>
          <w:rPr>
            <w:rFonts w:ascii="Arial" w:cs="Arial" w:eastAsia="Arial" w:hAnsi="Arial"/>
            <w:sz w:val="14"/>
            <w:szCs w:val="14"/>
            <w:u w:val="single" w:color="auto"/>
            <w:color w:val="0000FF"/>
          </w:rPr>
          <w:t>10.5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Restricted Stock Unit Award Agreement under the FTAI Aviation Ltd. Nonqualified Stock Option and Incentive Award Plan (incorporated in</w:t>
      </w:r>
      <w:r>
        <w:rPr>
          <w:rFonts w:ascii="Arial" w:cs="Arial" w:eastAsia="Arial" w:hAnsi="Arial"/>
          <w:sz w:val="14"/>
          <w:szCs w:val="14"/>
          <w:color w:val="0000FF"/>
        </w:rPr>
        <w:t xml:space="preserve"> </w:t>
      </w:r>
      <w:r>
        <w:rPr>
          <w:rFonts w:ascii="Arial" w:cs="Arial" w:eastAsia="Arial" w:hAnsi="Arial"/>
          <w:sz w:val="14"/>
          <w:szCs w:val="14"/>
          <w:color w:val="000000"/>
        </w:rPr>
        <w:t>Exhibit 10.5 of the Company’s Quarterly Report on Form 10-Q, filed on August 9,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071995"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071995"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6" w:lineRule="exact"/>
        <w:rPr>
          <w:rFonts w:ascii="Arial" w:cs="Arial" w:eastAsia="Arial" w:hAnsi="Arial"/>
          <w:sz w:val="14"/>
          <w:szCs w:val="14"/>
          <w:color w:val="auto"/>
        </w:rPr>
      </w:pPr>
    </w:p>
    <w:p>
      <w:pPr>
        <w:jc w:val="center"/>
        <w:ind w:right="-119"/>
        <w:spacing w:after="0"/>
        <w:rPr>
          <w:sz w:val="20"/>
          <w:szCs w:val="20"/>
          <w:color w:val="auto"/>
        </w:rPr>
      </w:pPr>
      <w:r>
        <w:rPr>
          <w:rFonts w:ascii="Arial" w:cs="Arial" w:eastAsia="Arial" w:hAnsi="Arial"/>
          <w:sz w:val="14"/>
          <w:szCs w:val="14"/>
          <w:color w:val="auto"/>
        </w:rPr>
        <w:t>96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7" w:name="page98"/>
    <w:bookmarkEnd w:id="97"/>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6926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5" w:lineRule="exact"/>
        <w:rPr>
          <w:sz w:val="20"/>
          <w:szCs w:val="20"/>
          <w:color w:val="auto"/>
        </w:rPr>
      </w:pPr>
    </w:p>
    <w:p>
      <w:pPr>
        <w:ind w:left="1480" w:right="60" w:hanging="423"/>
        <w:spacing w:after="0" w:line="252" w:lineRule="auto"/>
        <w:tabs>
          <w:tab w:leader="none" w:pos="1460" w:val="left"/>
        </w:tabs>
        <w:rPr>
          <w:rFonts w:ascii="Arial" w:cs="Arial" w:eastAsia="Arial" w:hAnsi="Arial"/>
          <w:sz w:val="14"/>
          <w:szCs w:val="14"/>
          <w:color w:val="0000FF"/>
        </w:rPr>
      </w:pPr>
      <w:hyperlink r:id="rId118">
        <w:r>
          <w:rPr>
            <w:rFonts w:ascii="Arial" w:cs="Arial" w:eastAsia="Arial" w:hAnsi="Arial"/>
            <w:sz w:val="14"/>
            <w:szCs w:val="14"/>
            <w:u w:val="single" w:color="auto"/>
            <w:color w:val="0000FF"/>
          </w:rPr>
          <w:t>10.6</w:t>
        </w:r>
      </w:hyperlink>
      <w:r>
        <w:rPr>
          <w:rFonts w:ascii="Arial" w:cs="Arial" w:eastAsia="Arial" w:hAnsi="Arial"/>
          <w:sz w:val="14"/>
          <w:szCs w:val="14"/>
          <w:color w:val="0000FF"/>
        </w:rPr>
        <w:tab/>
        <w:t>Trademark License Agreement, dated as of August 1, 2022, between Fortress Transportation and Infrastructure Investors LLC and FTAI Infrastructure Inc. (incorporated by reference to Exhibit 10.3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ind w:left="1480" w:right="100" w:hanging="1454"/>
        <w:spacing w:after="0" w:line="234" w:lineRule="auto"/>
        <w:tabs>
          <w:tab w:leader="none" w:pos="1056" w:val="left"/>
        </w:tabs>
        <w:numPr>
          <w:ilvl w:val="0"/>
          <w:numId w:val="50"/>
        </w:numPr>
        <w:rPr>
          <w:rFonts w:ascii="Arial" w:cs="Arial" w:eastAsia="Arial" w:hAnsi="Arial"/>
          <w:sz w:val="14"/>
          <w:szCs w:val="14"/>
          <w:color w:val="0000FF"/>
        </w:rPr>
      </w:pPr>
      <w:hyperlink r:id="rId151">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Third</w:t>
      </w:r>
      <w:r>
        <w:rPr>
          <w:rFonts w:ascii="Arial" w:cs="Arial" w:eastAsia="Arial" w:hAnsi="Arial"/>
          <w:sz w:val="14"/>
          <w:szCs w:val="14"/>
          <w:color w:val="0000FF"/>
        </w:rPr>
        <w:t xml:space="preserve"> </w:t>
      </w:r>
      <w:r>
        <w:rPr>
          <w:rFonts w:ascii="Arial" w:cs="Arial" w:eastAsia="Arial" w:hAnsi="Arial"/>
          <w:sz w:val="14"/>
          <w:szCs w:val="14"/>
          <w:color w:val="000000"/>
        </w:rPr>
        <w:t>Amended and Restated Credit Agreement, dated as of May 22, 2024, between the Company, the lenders and issuing banks from time to time</w:t>
      </w:r>
      <w:r>
        <w:rPr>
          <w:rFonts w:ascii="Arial" w:cs="Arial" w:eastAsia="Arial" w:hAnsi="Arial"/>
          <w:sz w:val="14"/>
          <w:szCs w:val="14"/>
          <w:color w:val="0000FF"/>
        </w:rPr>
        <w:t xml:space="preserve"> </w:t>
      </w:r>
      <w:r>
        <w:rPr>
          <w:rFonts w:ascii="Arial" w:cs="Arial" w:eastAsia="Arial" w:hAnsi="Arial"/>
          <w:sz w:val="14"/>
          <w:szCs w:val="14"/>
          <w:color w:val="000000"/>
        </w:rPr>
        <w:t>party thereto and JPMorgan Chase Bank, N.A., as administrative agent. (incorporated by reference to Exhibit 10.7 of the Company’s Quarterly Report on Form 10-Q, filed on August 9, 2024.</w:t>
      </w:r>
    </w:p>
    <w:p>
      <w:pPr>
        <w:spacing w:after="0" w:line="14" w:lineRule="exact"/>
        <w:rPr>
          <w:sz w:val="20"/>
          <w:szCs w:val="20"/>
          <w:color w:val="auto"/>
        </w:rPr>
      </w:pPr>
    </w:p>
    <w:p>
      <w:pPr>
        <w:ind w:left="1480" w:right="440" w:hanging="423"/>
        <w:spacing w:after="0" w:line="252" w:lineRule="auto"/>
        <w:tabs>
          <w:tab w:leader="none" w:pos="1460"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10.8</w:t>
        </w:r>
      </w:hyperlink>
      <w:r>
        <w:rPr>
          <w:rFonts w:ascii="Arial" w:cs="Arial" w:eastAsia="Arial" w:hAnsi="Arial"/>
          <w:sz w:val="14"/>
          <w:szCs w:val="14"/>
          <w:color w:val="0000FF"/>
        </w:rPr>
        <w:tab/>
        <w:t>Revolver Guarantee, dated November 10, 2022 (incorporated by reference to Exhibit 4.4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140" w:hanging="1454"/>
        <w:spacing w:after="0" w:line="251" w:lineRule="auto"/>
        <w:tabs>
          <w:tab w:leader="none" w:pos="1056" w:val="left"/>
        </w:tabs>
        <w:numPr>
          <w:ilvl w:val="0"/>
          <w:numId w:val="51"/>
        </w:numPr>
        <w:rPr>
          <w:rFonts w:ascii="Arial" w:cs="Arial" w:eastAsia="Arial" w:hAnsi="Arial"/>
          <w:sz w:val="14"/>
          <w:szCs w:val="14"/>
          <w:color w:val="0000FF"/>
        </w:rPr>
      </w:pPr>
      <w:hyperlink r:id="rId154">
        <w:r>
          <w:rPr>
            <w:rFonts w:ascii="Arial" w:cs="Arial" w:eastAsia="Arial" w:hAnsi="Arial"/>
            <w:sz w:val="14"/>
            <w:szCs w:val="14"/>
            <w:u w:val="single" w:color="auto"/>
            <w:color w:val="0000FF"/>
          </w:rPr>
          <w:t>10.9</w:t>
        </w:r>
        <w:r>
          <w:rPr>
            <w:rFonts w:ascii="Arial" w:cs="Arial" w:eastAsia="Arial" w:hAnsi="Arial"/>
            <w:sz w:val="14"/>
            <w:szCs w:val="14"/>
            <w:color w:val="0000FF"/>
          </w:rPr>
          <w:t xml:space="preserve"> </w:t>
        </w:r>
      </w:hyperlink>
      <w:r>
        <w:rPr>
          <w:rFonts w:ascii="Arial" w:cs="Arial" w:eastAsia="Arial" w:hAnsi="Arial"/>
          <w:sz w:val="14"/>
          <w:szCs w:val="14"/>
          <w:color w:val="000000"/>
        </w:rPr>
        <w:t>Internalization</w:t>
      </w:r>
      <w:r>
        <w:rPr>
          <w:rFonts w:ascii="Arial" w:cs="Arial" w:eastAsia="Arial" w:hAnsi="Arial"/>
          <w:sz w:val="14"/>
          <w:szCs w:val="14"/>
          <w:color w:val="0000FF"/>
        </w:rPr>
        <w:t xml:space="preserve"> </w:t>
      </w:r>
      <w:r>
        <w:rPr>
          <w:rFonts w:ascii="Arial" w:cs="Arial" w:eastAsia="Arial" w:hAnsi="Arial"/>
          <w:sz w:val="14"/>
          <w:szCs w:val="14"/>
          <w:color w:val="000000"/>
        </w:rPr>
        <w:t>Agreement, dated May 28, 2024, by and among FTAI Aviation Ltd., FIG LLC and Fortress Worldwide Transportation and Infrastructure</w:t>
      </w:r>
      <w:r>
        <w:rPr>
          <w:rFonts w:ascii="Arial" w:cs="Arial" w:eastAsia="Arial" w:hAnsi="Arial"/>
          <w:sz w:val="14"/>
          <w:szCs w:val="14"/>
          <w:color w:val="0000FF"/>
        </w:rPr>
        <w:t xml:space="preserve"> </w:t>
      </w:r>
      <w:r>
        <w:rPr>
          <w:rFonts w:ascii="Arial" w:cs="Arial" w:eastAsia="Arial" w:hAnsi="Arial"/>
          <w:sz w:val="14"/>
          <w:szCs w:val="14"/>
          <w:color w:val="000000"/>
        </w:rPr>
        <w:t>Master GP LLC (incorporated by reference to Exhibit 10.1 of the Company’s Current Report on Form 8-K, filed on May 28, 2024).</w:t>
      </w:r>
    </w:p>
    <w:p>
      <w:pPr>
        <w:ind w:left="1480" w:right="80" w:hanging="1454"/>
        <w:spacing w:after="0" w:line="251" w:lineRule="auto"/>
        <w:tabs>
          <w:tab w:leader="none" w:pos="976" w:val="left"/>
        </w:tabs>
        <w:numPr>
          <w:ilvl w:val="0"/>
          <w:numId w:val="51"/>
        </w:numPr>
        <w:rPr>
          <w:rFonts w:ascii="Arial" w:cs="Arial" w:eastAsia="Arial" w:hAnsi="Arial"/>
          <w:sz w:val="14"/>
          <w:szCs w:val="14"/>
          <w:color w:val="0000FF"/>
        </w:rPr>
      </w:pPr>
      <w:hyperlink r:id="rId155">
        <w:r>
          <w:rPr>
            <w:rFonts w:ascii="Arial" w:cs="Arial" w:eastAsia="Arial" w:hAnsi="Arial"/>
            <w:sz w:val="14"/>
            <w:szCs w:val="14"/>
            <w:u w:val="single" w:color="auto"/>
            <w:color w:val="0000FF"/>
          </w:rPr>
          <w:t>10.10</w:t>
        </w:r>
        <w:r>
          <w:rPr>
            <w:rFonts w:ascii="Arial" w:cs="Arial" w:eastAsia="Arial" w:hAnsi="Arial"/>
            <w:sz w:val="14"/>
            <w:szCs w:val="14"/>
            <w:color w:val="0000FF"/>
          </w:rPr>
          <w:t xml:space="preserve"> </w:t>
        </w:r>
      </w:hyperlink>
      <w:r>
        <w:rPr>
          <w:rFonts w:ascii="Arial" w:cs="Arial" w:eastAsia="Arial" w:hAnsi="Arial"/>
          <w:sz w:val="14"/>
          <w:szCs w:val="14"/>
          <w:color w:val="000000"/>
        </w:rPr>
        <w:t>Transition</w:t>
      </w:r>
      <w:r>
        <w:rPr>
          <w:rFonts w:ascii="Arial" w:cs="Arial" w:eastAsia="Arial" w:hAnsi="Arial"/>
          <w:sz w:val="14"/>
          <w:szCs w:val="14"/>
          <w:color w:val="0000FF"/>
        </w:rPr>
        <w:t xml:space="preserve"> </w:t>
      </w:r>
      <w:r>
        <w:rPr>
          <w:rFonts w:ascii="Arial" w:cs="Arial" w:eastAsia="Arial" w:hAnsi="Arial"/>
          <w:sz w:val="14"/>
          <w:szCs w:val="14"/>
          <w:color w:val="000000"/>
        </w:rPr>
        <w:t>Services Agreement, dated May 28, 2024, by and between FTAI Aviation Ltd. and FIG LLC (incorporated by reference to Exhibit 10.2 of the</w:t>
      </w:r>
      <w:r>
        <w:rPr>
          <w:rFonts w:ascii="Arial" w:cs="Arial" w:eastAsia="Arial" w:hAnsi="Arial"/>
          <w:sz w:val="14"/>
          <w:szCs w:val="14"/>
          <w:color w:val="0000FF"/>
        </w:rPr>
        <w:t xml:space="preserve"> </w:t>
      </w:r>
      <w:r>
        <w:rPr>
          <w:rFonts w:ascii="Arial" w:cs="Arial" w:eastAsia="Arial" w:hAnsi="Arial"/>
          <w:sz w:val="14"/>
          <w:szCs w:val="14"/>
          <w:color w:val="000000"/>
        </w:rPr>
        <w:t>Company’s Current Report on Form 8-K, filed on May 28,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180" w:hanging="1454"/>
        <w:spacing w:after="0" w:line="251" w:lineRule="auto"/>
        <w:tabs>
          <w:tab w:leader="none" w:pos="987" w:val="left"/>
        </w:tabs>
        <w:numPr>
          <w:ilvl w:val="0"/>
          <w:numId w:val="52"/>
        </w:numPr>
        <w:rPr>
          <w:rFonts w:ascii="Arial" w:cs="Arial" w:eastAsia="Arial" w:hAnsi="Arial"/>
          <w:sz w:val="14"/>
          <w:szCs w:val="14"/>
          <w:color w:val="0000FF"/>
        </w:rPr>
      </w:pPr>
      <w:hyperlink r:id="rId157">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Letter</w:t>
      </w:r>
      <w:r>
        <w:rPr>
          <w:rFonts w:ascii="Arial" w:cs="Arial" w:eastAsia="Arial" w:hAnsi="Arial"/>
          <w:sz w:val="14"/>
          <w:szCs w:val="14"/>
          <w:color w:val="0000FF"/>
        </w:rPr>
        <w:t xml:space="preserve"> </w:t>
      </w:r>
      <w:r>
        <w:rPr>
          <w:rFonts w:ascii="Arial" w:cs="Arial" w:eastAsia="Arial" w:hAnsi="Arial"/>
          <w:sz w:val="14"/>
          <w:szCs w:val="14"/>
          <w:color w:val="000000"/>
        </w:rPr>
        <w:t>Agreement, dated May 27, 2024, by and among FTAI Aviation LLC, FTAI Aviation Ltd. and Joseph P. Adams, Jr.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10.11 of the Company’s Quarterly Report on Form 10-Q, filed on August 9, 2024).</w:t>
      </w:r>
    </w:p>
    <w:p>
      <w:pPr>
        <w:ind w:left="1480" w:right="340" w:hanging="1454"/>
        <w:spacing w:after="0" w:line="251" w:lineRule="auto"/>
        <w:tabs>
          <w:tab w:leader="none" w:pos="976" w:val="left"/>
        </w:tabs>
        <w:numPr>
          <w:ilvl w:val="0"/>
          <w:numId w:val="52"/>
        </w:numPr>
        <w:rPr>
          <w:rFonts w:ascii="Arial" w:cs="Arial" w:eastAsia="Arial" w:hAnsi="Arial"/>
          <w:sz w:val="14"/>
          <w:szCs w:val="14"/>
          <w:color w:val="0000FF"/>
        </w:rPr>
      </w:pPr>
      <w:hyperlink r:id="rId158">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Letter</w:t>
      </w:r>
      <w:r>
        <w:rPr>
          <w:rFonts w:ascii="Arial" w:cs="Arial" w:eastAsia="Arial" w:hAnsi="Arial"/>
          <w:sz w:val="14"/>
          <w:szCs w:val="14"/>
          <w:color w:val="0000FF"/>
        </w:rPr>
        <w:t xml:space="preserve"> </w:t>
      </w:r>
      <w:r>
        <w:rPr>
          <w:rFonts w:ascii="Arial" w:cs="Arial" w:eastAsia="Arial" w:hAnsi="Arial"/>
          <w:sz w:val="14"/>
          <w:szCs w:val="14"/>
          <w:color w:val="000000"/>
        </w:rPr>
        <w:t>Agreement, dated May 27, 2024, by and among FTAI Aviation LLC, FTAI Aviation Ltd. and Eun (Angela) Nam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10.12 of the Company’s Quarterly Report on Form 10-Q, filed on August 9,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19.1</w:t>
      </w:r>
      <w:r>
        <w:rPr>
          <w:sz w:val="20"/>
          <w:szCs w:val="20"/>
          <w:color w:val="auto"/>
        </w:rPr>
        <w:tab/>
      </w:r>
      <w:r>
        <w:rPr>
          <w:rFonts w:ascii="Arial" w:cs="Arial" w:eastAsia="Arial" w:hAnsi="Arial"/>
          <w:sz w:val="14"/>
          <w:szCs w:val="14"/>
          <w:color w:val="auto"/>
        </w:rPr>
        <w:t>FTAI Aviation Ltd. Public Company Insider Trading Compliance Policy.</w:t>
      </w:r>
    </w:p>
    <w:p>
      <w:pPr>
        <w:spacing w:after="0" w:line="40"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21.1</w:t>
      </w:r>
      <w:r>
        <w:rPr>
          <w:sz w:val="20"/>
          <w:szCs w:val="20"/>
          <w:color w:val="auto"/>
        </w:rPr>
        <w:tab/>
      </w:r>
      <w:r>
        <w:rPr>
          <w:rFonts w:ascii="Arial" w:cs="Arial" w:eastAsia="Arial" w:hAnsi="Arial"/>
          <w:sz w:val="14"/>
          <w:szCs w:val="14"/>
          <w:color w:val="auto"/>
        </w:rPr>
        <w:t>Subsidiaries of FTAI Aviation Ltd.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23.1</w:t>
      </w:r>
      <w:r>
        <w:rPr>
          <w:sz w:val="20"/>
          <w:szCs w:val="20"/>
          <w:color w:val="auto"/>
        </w:rPr>
        <w:tab/>
      </w:r>
      <w:r>
        <w:rPr>
          <w:rFonts w:ascii="Arial" w:cs="Arial" w:eastAsia="Arial" w:hAnsi="Arial"/>
          <w:sz w:val="14"/>
          <w:szCs w:val="14"/>
          <w:color w:val="auto"/>
        </w:rPr>
        <w:t>Consent of Independent Registered Public Accounting Firm.</w:t>
      </w:r>
    </w:p>
    <w:p>
      <w:pPr>
        <w:spacing w:after="0" w:line="42"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42"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42" w:lineRule="exact"/>
        <w:rPr>
          <w:rFonts w:ascii="Arial" w:cs="Arial" w:eastAsia="Arial" w:hAnsi="Arial"/>
          <w:sz w:val="14"/>
          <w:szCs w:val="14"/>
          <w:color w:val="auto"/>
        </w:rPr>
      </w:pPr>
    </w:p>
    <w:p>
      <w:pPr>
        <w:ind w:left="1480" w:right="240" w:hanging="423"/>
        <w:spacing w:after="0" w:line="252" w:lineRule="auto"/>
        <w:tabs>
          <w:tab w:leader="none" w:pos="1460" w:val="left"/>
        </w:tabs>
        <w:rPr>
          <w:rFonts w:ascii="Arial" w:cs="Arial" w:eastAsia="Arial" w:hAnsi="Arial"/>
          <w:sz w:val="14"/>
          <w:szCs w:val="14"/>
          <w:color w:val="0000FF"/>
        </w:rPr>
      </w:pPr>
      <w:hyperlink r:id="rId163">
        <w:r>
          <w:rPr>
            <w:rFonts w:ascii="Arial" w:cs="Arial" w:eastAsia="Arial" w:hAnsi="Arial"/>
            <w:sz w:val="14"/>
            <w:szCs w:val="14"/>
            <w:u w:val="single" w:color="auto"/>
            <w:color w:val="0000FF"/>
          </w:rPr>
          <w:t>97.1</w:t>
        </w:r>
      </w:hyperlink>
      <w:r>
        <w:rPr>
          <w:rFonts w:ascii="Arial" w:cs="Arial" w:eastAsia="Arial" w:hAnsi="Arial"/>
          <w:sz w:val="14"/>
          <w:szCs w:val="14"/>
          <w:color w:val="0000FF"/>
        </w:rPr>
        <w:tab/>
        <w:t>FTAI Aviation Ltd. Clawback Policy effective as of December 1, 2023 (incorporated by reference to Exhibit 97.1 of the Company’s Annual Report on Form 10-K, filed on February 26,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4546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071995" cy="454660"/>
                    </a:xfrm>
                    <a:prstGeom prst="rect">
                      <a:avLst/>
                    </a:prstGeom>
                    <a:noFill/>
                  </pic:spPr>
                </pic:pic>
              </a:graphicData>
            </a:graphic>
          </wp:anchor>
        </w:drawing>
      </w:r>
    </w:p>
    <w:p>
      <w:pPr>
        <w:ind w:left="1480" w:hanging="380"/>
        <w:spacing w:after="0" w:line="261" w:lineRule="auto"/>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2024,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15" w:lineRule="exact"/>
        <w:rPr>
          <w:rFonts w:ascii="Arial" w:cs="Arial" w:eastAsia="Arial" w:hAnsi="Arial"/>
          <w:sz w:val="14"/>
          <w:szCs w:val="14"/>
          <w:color w:val="auto"/>
        </w:rPr>
      </w:pPr>
    </w:p>
    <w:p>
      <w:pPr>
        <w:ind w:left="1480" w:hanging="380"/>
        <w:spacing w:after="0"/>
        <w:tabs>
          <w:tab w:leader="none" w:pos="14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3" w:lineRule="exact"/>
        <w:rPr>
          <w:rFonts w:ascii="Arial" w:cs="Arial" w:eastAsia="Arial" w:hAnsi="Arial"/>
          <w:sz w:val="14"/>
          <w:szCs w:val="14"/>
          <w:color w:val="auto"/>
        </w:rPr>
      </w:pPr>
    </w:p>
    <w:p>
      <w:pPr>
        <w:ind w:left="260" w:hanging="234"/>
        <w:spacing w:after="0"/>
        <w:tabs>
          <w:tab w:leader="none" w:pos="26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71995"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071995" cy="128270"/>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260" w:hanging="234"/>
        <w:spacing w:after="0"/>
        <w:tabs>
          <w:tab w:leader="none" w:pos="26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Certain schedules or similar attachments to this exhibit have been omitted in accordance with Item 601(a)(5) of Regulation S-K.</w:t>
      </w:r>
    </w:p>
    <w:p>
      <w:pPr>
        <w:spacing w:after="0" w:line="224"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13"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1" w:lineRule="exact"/>
        <w:rPr>
          <w:rFonts w:ascii="Arial" w:cs="Arial" w:eastAsia="Arial" w:hAnsi="Arial"/>
          <w:sz w:val="14"/>
          <w:szCs w:val="14"/>
          <w:color w:val="auto"/>
        </w:rPr>
      </w:pPr>
    </w:p>
    <w:p>
      <w:pPr>
        <w:jc w:val="center"/>
        <w:ind w:right="-159"/>
        <w:spacing w:after="0"/>
        <w:rPr>
          <w:sz w:val="20"/>
          <w:szCs w:val="20"/>
          <w:color w:val="auto"/>
        </w:rPr>
      </w:pPr>
      <w:r>
        <w:rPr>
          <w:rFonts w:ascii="Arial" w:cs="Arial" w:eastAsia="Arial" w:hAnsi="Arial"/>
          <w:sz w:val="14"/>
          <w:szCs w:val="14"/>
          <w:color w:val="auto"/>
        </w:rPr>
        <w:t>97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FTAI AVIATION LTD.</w:t>
      </w:r>
    </w:p>
    <w:p>
      <w:pPr>
        <w:spacing w:after="0" w:line="50" w:lineRule="exact"/>
        <w:rPr>
          <w:sz w:val="20"/>
          <w:szCs w:val="20"/>
          <w:color w:val="auto"/>
        </w:rPr>
      </w:pPr>
    </w:p>
    <w:p>
      <w:pPr>
        <w:ind w:left="20"/>
        <w:spacing w:after="0"/>
        <w:tabs>
          <w:tab w:leader="none" w:pos="540" w:val="left"/>
          <w:tab w:leader="none" w:pos="8100" w:val="left"/>
          <w:tab w:leader="none" w:pos="102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23495</wp:posOffset>
            </wp:positionV>
            <wp:extent cx="31800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P. Adams, Jr.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9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tbl>
      <w:tblPr>
        <w:tblLayout w:type="fixed"/>
        <w:tblInd w:w="2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(Angela) Nam</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Eun (Angela) Nam</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Financial Officer and Chief Accounting Officer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2"/>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840" w:type="dxa"/>
            <w:vAlign w:val="bottom"/>
          </w:tcPr>
          <w:p>
            <w:pPr>
              <w:ind w:left="2600"/>
              <w:spacing w:after="0"/>
              <w:rPr>
                <w:sz w:val="20"/>
                <w:szCs w:val="20"/>
                <w:color w:val="auto"/>
              </w:rPr>
            </w:pPr>
            <w:r>
              <w:rPr>
                <w:rFonts w:ascii="Arial" w:cs="Arial" w:eastAsia="Arial" w:hAnsi="Arial"/>
                <w:sz w:val="14"/>
                <w:szCs w:val="14"/>
                <w:color w:val="auto"/>
              </w:rPr>
              <w:t>Date:</w:t>
            </w:r>
          </w:p>
        </w:tc>
        <w:tc>
          <w:tcPr>
            <w:tcW w:w="1820" w:type="dxa"/>
            <w:vAlign w:val="bottom"/>
          </w:tcPr>
          <w:p>
            <w:pPr>
              <w:ind w:left="900"/>
              <w:spacing w:after="0"/>
              <w:rPr>
                <w:sz w:val="20"/>
                <w:szCs w:val="20"/>
                <w:color w:val="auto"/>
              </w:rPr>
            </w:pPr>
            <w:r>
              <w:rPr>
                <w:rFonts w:ascii="Arial" w:cs="Arial" w:eastAsia="Arial" w:hAnsi="Arial"/>
                <w:sz w:val="14"/>
                <w:szCs w:val="14"/>
                <w:color w:val="auto"/>
              </w:rPr>
              <w:t>March 3, 2025</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4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40"/>
          </w:cols>
          <w:pgMar w:left="320" w:top="93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The following description of our ordinary shares (as defined below), our 8.25% Fixed-Rate Reset Series C Cumulative Perpetual Redeemable</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Preferred Shares (the “Series C Preferred Shares”), our 9.50% Fixed-Rate Reset Series D Cumulative Perpetual Redeemable Preferred Shares (the “Series D Preferred Shares”) and certain provisions of Cayman Islands law and our amended and restated memorandum and articles of association (as amended from time to time, the “Articles”) does not purport to be complete and is in all respects subject to, and qualified in its entirety by reference to, all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of our Articles and Cayman Islands law.</w:t>
      </w:r>
    </w:p>
    <w:p>
      <w:pPr>
        <w:spacing w:after="0" w:line="5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For purposes of this summary, (i) the term “Company” refers only to FTAI Aviation Ltd., a Cayman Islands exempted company, and not to any of its subsidiaries and (ii) the terms “our”, “us”, and “we” refer to the Company and its consolidated subsidiaries, unless the context requires otherwise.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Shares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Articles, our authorized share capital consists of:</w:t>
      </w:r>
    </w:p>
    <w:p>
      <w:pPr>
        <w:spacing w:after="0" w:line="77"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ordinary shares, par value $0.01 per share (“ordinary shares”); and</w:t>
      </w:r>
    </w:p>
    <w:p>
      <w:pPr>
        <w:spacing w:after="0" w:line="2" w:lineRule="exact"/>
        <w:rPr>
          <w:rFonts w:ascii="Times New Roman" w:cs="Times New Roman" w:eastAsia="Times New Roman" w:hAnsi="Times New Roman"/>
          <w:sz w:val="18"/>
          <w:szCs w:val="18"/>
          <w:color w:val="auto"/>
        </w:rPr>
      </w:pPr>
    </w:p>
    <w:p>
      <w:pPr>
        <w:ind w:left="980" w:right="20" w:hanging="324"/>
        <w:spacing w:after="0" w:line="226" w:lineRule="auto"/>
        <w:tabs>
          <w:tab w:leader="none" w:pos="9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preferred shares, par value $0.01 per share (“preferred shares”), 4,200,000 of which are designated as Series C Preferred Shares and 2,600,000 of which are designated as Series D Preferred Shares.</w:t>
      </w:r>
    </w:p>
    <w:p>
      <w:pPr>
        <w:spacing w:after="0" w:line="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of the issued and outstanding ordinary shares and our Series C Preferred Shares and Series D Preferred Shares are fully paid and non-assessable.</w:t>
      </w:r>
    </w:p>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holder of ordinary shares is entitled to preemptive, preferential or similar rights or redemption or conversion rights.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are entitled to one vote per share on all matters submitted to a vote of holders of ordinary shares. Unless a different majority is required by</w:t>
      </w:r>
    </w:p>
    <w:p>
      <w:pPr>
        <w:jc w:val="both"/>
        <w:spacing w:after="0" w:line="226" w:lineRule="auto"/>
        <w:rPr>
          <w:sz w:val="20"/>
          <w:szCs w:val="20"/>
          <w:color w:val="auto"/>
        </w:rPr>
      </w:pPr>
      <w:r>
        <w:rPr>
          <w:rFonts w:ascii="Times New Roman" w:cs="Times New Roman" w:eastAsia="Times New Roman" w:hAnsi="Times New Roman"/>
          <w:sz w:val="18"/>
          <w:szCs w:val="18"/>
          <w:color w:val="auto"/>
        </w:rPr>
        <w:t>law or by our Articles, resolutions to be approved by holders of ordinary shares require approval by a simple majority of votes cast at a meeting at which a quorum is present.</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holder of ordinary shares is entitled to one vote for each ordinary share held on all matters submitted to a vote of shareholders. Except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with respect to any other class or series of shares, the holders of our ordinary shares will possess the exclusive right to vote for the election of directors and for all other purposes. Our Articles do not provide for cumulative voting in the election of directors, which means that the holders of a majority of the outstanding ordinary shares can elect all of the directors standing for election, and the holders of the remaining shares are not able to elect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directors.</w:t>
      </w:r>
    </w:p>
    <w:p>
      <w:pPr>
        <w:spacing w:after="0" w:line="57"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while any Series C Preferred Shares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Series D Preferred Shares remain outstanding, unless the full cumulative distributions on past distribution periods for such shares have been or contemporaneously are declared and paid in full or declared and a sum sufficient for the payment of those distributions set aside, we are generally prohibited from declaring and paying or setting aside any dividends on our ordinary shares. See “Series C Preferred Shares—Priority Regarding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and “Series D Preferred Shares—Priority Regarding Distributions.” Any rights of holders of our ordinary shares to receive dividends, if any, declared from time to time by our board of directors out of legally available funds will also be subject to any preferred rights of holders of any additional preferred shares that we may issue in the future.</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can be no assurance that we will continue to pay dividends in amounts or on a basis consistent with prior distributions to our investors, if at 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including the indentures governing our senior notes and the amended and restated revolving credit facility.</w:t>
      </w:r>
    </w:p>
    <w:p>
      <w:pPr>
        <w:spacing w:after="0" w:line="6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ordinary shares are entitled to share ratably in all assets remaining after the payment of liabilities, subject to any rights of holders of our preferred shares prior to distribution.</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ordinary shares trade on Nasdaq Global Select Market (“Nasdaq”) under the symbol “FTAI.”</w:t>
      </w:r>
    </w:p>
    <w:p>
      <w:pPr>
        <w:sectPr>
          <w:pgSz w:w="11900" w:h="16838" w:orient="portrait"/>
          <w:cols w:equalWidth="0" w:num="1">
            <w:col w:w="11240"/>
          </w:cols>
          <w:pgMar w:left="320" w:top="34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C Preferred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“8.25% Fixed-Rate Reset Series C Cumulative Perpetual Redeemable Preferred Shares” are designated as one series of our authorized preferred shares, consisting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4,200,000 Series C Preferred Shares.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Series C Preferred Shares represent perpetual equity interests in us and, unlike our indebtedness, do not give rise to a claim for payment of a principal amount at a particular date. As such, the Series C Preferred Shares rank junior to all of our current and future indebtedness and other liabilities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with respect to assets available to satisfy claims against us. The Series C Preferred Shares have a fixed liquidation preference of $25.00 per Series C Preferred Share, plus an amount equal to accumulated and unpaid distributions thereon, if any, to, but excluding, the date of payment,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C Preferred Shares to receive the liquidation preference will be subject to the proportional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C Preferred Shares trade on Nasdaq under the symbol “FTAIN.”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 xml:space="preserve">With respect to the payment of distributions and rights (including redemption rights) upon our liquidation, dissolution or winding up, the Series C Preferred Shares rank (i) senior and prior to our ordinary shares and any class or series of preferred shares that by its terms is designated as ranking junior to the Series C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C</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or does not state it is junior or senior to the Series C Preferred Shares (including our Series D Preferred Shares), (iii) junior to any class or series of preferred shares that is expressly designated as ranking senior to the Series C Preferred Shares (subject to receipt of any requisite consents prior to issuance) and (iv) effectively junior to all of our existing and future indebtedness (including indebtedness convertible into our ordinary shares or preferred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other liabilities and to all liabilities and any preferred equity of our existing subsidiaries and any future subsidiaries.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Series C Preferred Shares are not convertible into, or exchangeable for, shares of any other class or series of our share capital or other securities and are not subject to any sinking fund or other obligation to redeem or repurchase the Series C Preferred Shares. The Series C Preferred Shares are not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secured, are not guaranteed by us or any of our affiliates and are not subject to any other arrangement that legally or economically enhances the ranking of the Series C Preferred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Holders of the Series C Preferred Shares are entitled to receive, only when, as, and if declared by our board of directors, out of funds legally available for such purpose, cumulative cash distributions based on the stated liquidation preference of $25.00 per Series C Preferred Share at a rate equal to (i) from, and including, the original issue date of the Series C Preferred Shares, being the date of the completion of the merger, to, but excluding, June 15, 2026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“Series C Reset Rate Period”), 8.25% per annum, and (ii) beginning June 15, 2026 (the “Series C Fixed Rate Period”), the Five-Year Treasury Rate (as defined below) plus a spread of 737.8 basis points per annum; provided that if the Five-Year Treasury Rate for any Distribution Period (as defined below) described in this clause (ii) cannot be determined pursuant to the definition of “Five-Year Treasury Rate,” the distribution rate for such Distribution Period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will be the same as the distribution rate determined for the immediately preceding Distribution Period. A “Distribution Period” means the period from, and including, each Distribution Payment Date to, but excluding, the next succeeding Distribution Payment Date, except for the initial Distribution Period, which is the period from, and including, the original issue date of the Series C Preferred Shares, being the date of the completion of the merger, to, but excluding, the next succeeding Distribution Payment Date.</w:t>
      </w:r>
    </w:p>
    <w:p>
      <w:pPr>
        <w:spacing w:after="0" w:line="173"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For purposes of calculating the distribution rate for a given Series C Fixed Rate Period, the calculation agent shall determine the “Five-Year Treasury Rate” (for any Reset Period (as defined below) commencing on or after the First Reset Date), based on the rate on the Reset Distribution Determination Date (as defined below) and equal to:</w:t>
      </w:r>
    </w:p>
    <w:p>
      <w:pPr>
        <w:spacing w:after="0" w:line="171" w:lineRule="exact"/>
        <w:rPr>
          <w:sz w:val="20"/>
          <w:szCs w:val="20"/>
          <w:color w:val="auto"/>
        </w:rPr>
      </w:pPr>
    </w:p>
    <w:p>
      <w:pPr>
        <w:jc w:val="both"/>
        <w:ind w:left="1020" w:hanging="328"/>
        <w:spacing w:after="0" w:line="226" w:lineRule="auto"/>
        <w:tabs>
          <w:tab w:leader="none" w:pos="10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w:t>
      </w:r>
    </w:p>
    <w:p>
      <w:pPr>
        <w:sectPr>
          <w:pgSz w:w="11900" w:h="16838" w:orient="portrait"/>
          <w:cols w:equalWidth="0" w:num="1">
            <w:col w:w="11240"/>
          </w:cols>
          <w:pgMar w:left="320" w:top="1400" w:right="339" w:bottom="1440" w:gutter="0" w:footer="0" w:header="0"/>
        </w:sectPr>
      </w:pPr>
    </w:p>
    <w:bookmarkStart w:id="101" w:name="page102"/>
    <w:bookmarkEnd w:id="101"/>
    <w:p>
      <w:pPr>
        <w:ind w:left="1020"/>
        <w:spacing w:after="0"/>
        <w:rPr>
          <w:sz w:val="20"/>
          <w:szCs w:val="20"/>
          <w:color w:val="auto"/>
        </w:rPr>
      </w:pPr>
      <w:r>
        <w:rPr>
          <w:rFonts w:ascii="Times New Roman" w:cs="Times New Roman" w:eastAsia="Times New Roman" w:hAnsi="Times New Roman"/>
          <w:sz w:val="18"/>
          <w:szCs w:val="18"/>
          <w:color w:val="auto"/>
        </w:rPr>
        <w:t>any successor publication which is published by the Federal Reserve Board, as determined by the calculation agent in its sole discretion; or</w:t>
      </w:r>
    </w:p>
    <w:p>
      <w:pPr>
        <w:jc w:val="both"/>
        <w:ind w:left="1020" w:hanging="328"/>
        <w:spacing w:after="0" w:line="214" w:lineRule="auto"/>
        <w:tabs>
          <w:tab w:leader="none" w:pos="10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164"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As used herein, “Reset Period” means the period from, and including, June 15, 2026 to, but excluding, the fifth-year anniversary of said date, and thereafter from, and including, the fifth-year anniversary of June 15, 2026 but excluding the following fifth-year anniversary of said date (each five-year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commencing with June 15, 2026, a “Reset Period”).</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As used herein, “Reset Distribution Determination Date” means, in respect of any Reset Period, the day falling three business days prior to the beginning of such Reset Period.</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C Preferred Shares quarterly, in arrears, on each Distribution Payment Date, which payments began on December 15, 2022. We pay cash distributions to the holders of record of Series C Preferred Shares as they appear on our share register on the applicable record date, which for any Distribution Payment Date shall be the 1st calendar day of the month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Distribution Payment Date or such other record date fixed by our board of directors as the record date for such Distribution Payment Date that is not more than 60 nor less than 10 days prior to such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Distributions on the Series C Preferred Shares are not mandatory. However, distributions on the Series C Preferred Shares accrue from and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C Preferred Shares which may be in arrears, and holders of the Series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 Preferred Shares are not entitled to any distribution, whether payable in cash, property, or shares, in excess of the full cumulative distributions described above.</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If in the future we issue additional shares of the Series C Preferred Shares, distributions on those additional shares will accrue from the most recent Distribution Payment Date at the then-applicable distribution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C Preferred Shares remain outstanding, unless the full cumulative distributions for all past Distribution Periods on all outstanding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Series C Preferred Shares have been or contemporaneously are declared and paid in full or declared and a sum sufficient for the payment of those distributions has been set aside:</w:t>
      </w:r>
    </w:p>
    <w:p>
      <w:pPr>
        <w:spacing w:after="0" w:line="157" w:lineRule="exact"/>
        <w:rPr>
          <w:sz w:val="20"/>
          <w:szCs w:val="20"/>
          <w:color w:val="auto"/>
        </w:rPr>
      </w:pPr>
    </w:p>
    <w:p>
      <w:pPr>
        <w:ind w:left="1020" w:hanging="328"/>
        <w:spacing w:after="0" w:line="222" w:lineRule="auto"/>
        <w:tabs>
          <w:tab w:leader="none" w:pos="10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Times New Roman" w:cs="Times New Roman" w:eastAsia="Times New Roman" w:hAnsi="Times New Roman"/>
          <w:sz w:val="18"/>
          <w:szCs w:val="18"/>
          <w:color w:val="auto"/>
        </w:rPr>
      </w:pPr>
    </w:p>
    <w:p>
      <w:pPr>
        <w:jc w:val="both"/>
        <w:ind w:left="1020" w:hanging="328"/>
        <w:spacing w:after="0" w:line="208" w:lineRule="auto"/>
        <w:tabs>
          <w:tab w:leader="none" w:pos="10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C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C Preferred Shares and such Parity Securities or as a result of a reclassification of Parity Securities for or into other Parity Securities, or by conversion into or exchange for other Parity Securities or Junior Securities).</w:t>
      </w:r>
    </w:p>
    <w:p>
      <w:pPr>
        <w:sectPr>
          <w:pgSz w:w="11900" w:h="16838" w:orient="portrait"/>
          <w:cols w:equalWidth="0" w:num="1">
            <w:col w:w="11240"/>
          </w:cols>
          <w:pgMar w:left="320" w:top="1392" w:right="339" w:bottom="1440" w:gutter="0" w:footer="0" w:header="0"/>
        </w:sectPr>
      </w:pPr>
    </w:p>
    <w:bookmarkStart w:id="102" w:name="page103"/>
    <w:bookmarkEnd w:id="102"/>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subsidiaries and (ii) any distribution in connection with the implementation of a shareholder rights plan or the redemption or repurchase of any rights under such a plan, including with respect to any successor shareholder rights plan.</w:t>
      </w:r>
    </w:p>
    <w:p>
      <w:pPr>
        <w:spacing w:after="0" w:line="15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C Preferred Shares on the record date for such payment, which may not be less than 10 days before such distribution. To the extent a distribution period applicable to a class of Junior Securities or Parity Securities is shorter than the Distribution Period applicable to the Series C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C Preferred Shares on the next Distribution Payment Date.</w:t>
      </w:r>
    </w:p>
    <w:p>
      <w:pPr>
        <w:spacing w:after="0" w:line="21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C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payable with respect to all Series C Preferred Shares and any Parity Securities are paid, any partial payment will be made pro rata with respect to the Series C Preferred Shares and any Parity Securities entitled to a distribution payment at such time in proportion to the aggregate amounts remaining due in respect of such Series C Preferred Shares and Parity Securities at such time.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As used in this description of Series C Preferred Shares, (i) “Junior Securities” means our ordinary shares and any other class or series of our share capital over which the Series C Preferred Shares has preference or priority in the payment of distributions or in the distribution of assets on our liquidation, dissolution or winding up, (ii) “Parity Securities” means any other class or series of our share capital that ranks equally with the Series C Preferred Shares</w:t>
      </w:r>
    </w:p>
    <w:p>
      <w:pPr>
        <w:spacing w:after="0" w:line="204" w:lineRule="auto"/>
        <w:rPr>
          <w:sz w:val="20"/>
          <w:szCs w:val="20"/>
          <w:color w:val="auto"/>
        </w:rPr>
      </w:pP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D Preferred Shares) and</w:t>
      </w:r>
    </w:p>
    <w:p>
      <w:pPr>
        <w:spacing w:after="0" w:line="1" w:lineRule="exact"/>
        <w:rPr>
          <w:sz w:val="20"/>
          <w:szCs w:val="20"/>
          <w:color w:val="auto"/>
        </w:rPr>
      </w:pPr>
    </w:p>
    <w:p>
      <w:pPr>
        <w:ind w:firstLine="8"/>
        <w:spacing w:after="0" w:line="226"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Securities” means any other class or series of our share capital that has preference or priority over the Series C Preferred Shares in the payment of distributions or in the distribution of assets on our liquidation, dissolution or winding up.</w:t>
      </w:r>
    </w:p>
    <w:p>
      <w:pPr>
        <w:spacing w:after="0" w:line="171" w:lineRule="exact"/>
        <w:rPr>
          <w:sz w:val="20"/>
          <w:szCs w:val="20"/>
          <w:color w:val="auto"/>
        </w:rPr>
      </w:pPr>
    </w:p>
    <w:p>
      <w:pPr>
        <w:jc w:val="both"/>
        <w:ind w:right="20" w:firstLine="360"/>
        <w:spacing w:after="0" w:line="226"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other Junior Securities from time to time out of any funds legally available for such payment, and the holders of the Series C Preferred Shares will not be entitled to participate in those distributions.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C Preferred Shares are entitled to be paid out of our assets legally available for distribution to our shareholders, before any distribution of assets is made to holders of ordinary shares or any other Junior Securities,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 for Distribution Periods prior to the Distribution Period in which the liquidating distribution is made and any declared and unpaid distributions for the then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current Distribution Period in which the liquidating distribution is made to the date of such liquidating distribution. After payment of the full amount of the liquidating distributions to which they are entitled, the holders of Series C Preferred Shares will have no right or claim to any of our remaining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Preemptive Rights</w:t>
      </w:r>
    </w:p>
    <w:p>
      <w:pPr>
        <w:spacing w:after="0" w:line="20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The Series C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ectPr>
          <w:pgSz w:w="11900" w:h="16838" w:orient="portrait"/>
          <w:cols w:equalWidth="0" w:num="1">
            <w:col w:w="11240"/>
          </w:cols>
          <w:pgMar w:left="320" w:top="1404" w:right="339" w:bottom="1440" w:gutter="0" w:footer="0" w:header="0"/>
        </w:sectPr>
      </w:pPr>
    </w:p>
    <w:bookmarkStart w:id="103" w:name="page104"/>
    <w:bookmarkEnd w:id="103"/>
    <w:p>
      <w:pPr>
        <w:ind w:left="360"/>
        <w:spacing w:after="0"/>
        <w:rPr>
          <w:sz w:val="20"/>
          <w:szCs w:val="20"/>
          <w:color w:val="auto"/>
        </w:rPr>
      </w:pPr>
      <w:r>
        <w:rPr>
          <w:rFonts w:ascii="Times New Roman" w:cs="Times New Roman" w:eastAsia="Times New Roman" w:hAnsi="Times New Roman"/>
          <w:sz w:val="18"/>
          <w:szCs w:val="18"/>
          <w:color w:val="auto"/>
        </w:rPr>
        <w:t>The Series C Preferred Shares are not subject to any mandatory redemption, sinking fund or other similar provisions.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Series C Preferred Shares do not have the right to require the redemption or repurchase of the Series C Preferred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on or after June 15, 2026</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We may redeem the Series C Preferred Shares, in whole or in part, at our option, at any time or from time to time on or after June 15, 2026 (“Series C Optional Redemption”), at the redemption price equal to $25.00 per Series C Preferred Share, plus an amount equal to all accumulated and unpaid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thereon, if any, to, but excluding, the date of redemption, whether or not declared. We may undertake multiple Series C Optional Redemptions. Any such redemption would be effected only out of funds legally available for such purpose and would be subject to compliance with the provisions of the instruments governing our outstanding indebtedness.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C Rating Event (as defined below), we may, at our option, redeem the Series C Preferred Shares in whole, but not in part, prior to June 15, 2026, at a redemption price per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Series C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“Series C Rating Event” means a change by any rating agency to the criteria employed by such rating agency as of March 25, 2021 for purposes of assigning ratings to securities with features similar to the Series C Preferred Shares, which change results in (i) any shortening of the length of time for which the criteria in effect as of March 25, 2021 are scheduled to be in effect with respect to the Series C Preferred Shares, or (ii) a lower equity credit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being given to the Series C Preferred Shares than the equity credit that would have been assigned to the Series C Preferred Shares by such rating agency pursuant to the criteria in effect as of March 25,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If a Change of Control (as defined in the Series C Share Designation) occurs, we may, at our option, redeem the Series C Preferred Shares, in whole but not in part, prior to June 15, 2026 and within 60 days after the occurrence of such Change of Control, at a price of $25.25 per Series C Preferred Share, plus an amount equal to all accumulated and unpaid distributions thereon, if any, to, but excluding, the date of redemption, whether or not declared. Any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(i) a Change of Control occurs (whether before, on or after June 15, 2026) and (ii) we do not give notice prior to the 31st day following the Change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Control to redeem all of the outstanding Series C Preferred Shares, the distribution rate per annum on the Series C Preferred Shares will increase by 500 basis points, beginning on the 31st day following such Change of Control.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Tax Redemption Event</w:t>
      </w:r>
    </w:p>
    <w:p>
      <w:pPr>
        <w:spacing w:after="0" w:line="22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If a Series C Tax Redemption Event (as defined in the Series C Share Designation) occurs, we may, at our option, redeem the Series C Preferred Shares, in whole but not in part, prior to June 15, 2026, and within 60 days after the occurrence of such Series C Tax Redemption Event, at a price of $25.25 per Series C Preferred Share, plus an amount equal to all accumulated and unpaid distributions thereon, if any, to, but excluding, the date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redemption, whether or not declared. Any such redemption would be effected only out of funds legally available for such purpose and would be subject to compliance with the provisions of the instruments governing our outstanding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Owners of Series C Preferred Shares do not have any voting rights, except as set forth below or as otherwise required by applicable law. To the extent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owners of Series C Preferred Shares are entitled to vote, each holder of Series C Preferred Shares will have one vote per share, except that when shares of any class or series of Parity Securities have the right to vote with the Series C Preferred Shares as a single class on any matter, the Series C</w:t>
      </w:r>
    </w:p>
    <w:p>
      <w:pPr>
        <w:sectPr>
          <w:pgSz w:w="11900" w:h="16838" w:orient="portrait"/>
          <w:cols w:equalWidth="0" w:num="1">
            <w:col w:w="11240"/>
          </w:cols>
          <w:pgMar w:left="320" w:top="1404" w:right="339" w:bottom="1440" w:gutter="0" w:footer="0" w:header="0"/>
        </w:sectPr>
      </w:pPr>
    </w:p>
    <w:bookmarkStart w:id="104" w:name="page105"/>
    <w:bookmarkEnd w:id="104"/>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Preferred Shares and the shares of each such Parity Securities will have one vote for each $25.00 of liquidation preference (for the avoidance of doubt, excluding accumulated distributions).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Whenever dividends on any shares of the Series C Preferred Shares are in arrears for six or more quarterly Distribution Periods, whether or not 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C</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voting together as a single class). The holders of the Series C Preferred Shares, voting together as a single class with the holders of any 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directors at a special meeting of the holders of the Series C Preferred Shares and such Other Voting Preferred Shares and at each subsequent annual meeting of the holders of our ordinary shares at which such directors are up for re-appointment;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all distributions accumulated on the Series C Preferred Shares for all past Distribution Periods and the then current Distribution Period shall have been fully paid, the right of holders of the Series 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C Preferred Shares shall automatically be vacated and the upper limit of the number of directors constituting the board of directors shall be automatically reduced by two. However,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right of the holders of the Series C Preferred Shares and any Other Voting Preferred Shares to appoint two additional directors will again vest if and whenever six additional quarterly distributions have not been declared and paid, as described above. In no event shall the holders of the Series C Preferred Shares be entitled pursuant to these voting rights to elect a director that would cause us to fail to satisfy a requirement relating to director independence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any national securities exchange or quotation system on which any class or series of our share capital is listed or quoted. For the avoidance of doubt, in no event shall the total number of directors elected by holders of the Series C Preferred Shares and any Other Voting Preferred Shares exceed two.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any Series C Preferred Shares remain outstanding, the following actions will be deemed a variation of the rights of the Series C Preferred Shares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Series C Preferred Shares, and shall in each case of clause (i) and (ii) require the approval of the holders of the Series C Preferred Shares and all Other Voting Preferred Shares in accordance with and following the procedures set out in the Articles; provided that in the case of the foregoing clause (ii), if such amendment affects materially and adversely the rights, designations, preferences, powers and duties of one or more but not all of the classes or series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the Other Voting Preferred Shares (including the Series C Preferred Shares for this purpose), the holders of the outstanding shares of the classes or series so affected, voting as a class, is required in lieu of (or, if such consent is required by law, in addition to) the consent of the holders of the Other Voting Preferred Shares (including the Series C Preferred Shares for this purpose) in accordance with and following the procedures set out in the Articles.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However, we may create additional series or classes of Parity Securities and Junior Securities and issue additional classes or series of Parity Securities and Junior Securities without notice to or the consent of any holder of the Series C Preferred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Parity Securities, the full cumulative distributions for all past Distribution Periods on all outstanding Series C Preferred Shares shall have been or contemporaneously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and paid in full or declared and a sum sufficient for the payment of those distributions has been set aside.</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C Preferred Shares:</w:t>
      </w:r>
    </w:p>
    <w:p>
      <w:pPr>
        <w:spacing w:after="0" w:line="158" w:lineRule="exact"/>
        <w:rPr>
          <w:sz w:val="20"/>
          <w:szCs w:val="20"/>
          <w:color w:val="auto"/>
        </w:rPr>
      </w:pPr>
    </w:p>
    <w:p>
      <w:pPr>
        <w:jc w:val="both"/>
        <w:ind w:left="1020" w:hanging="328"/>
        <w:spacing w:after="0" w:line="217" w:lineRule="auto"/>
        <w:tabs>
          <w:tab w:leader="none" w:pos="10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C Preferred Shares as to distributions or distribution of assets upon our liquidation, dissolution or winding up;</w:t>
      </w:r>
    </w:p>
    <w:p>
      <w:pPr>
        <w:ind w:left="1020" w:hanging="328"/>
        <w:spacing w:after="0" w:line="203" w:lineRule="auto"/>
        <w:tabs>
          <w:tab w:leader="none" w:pos="10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C Preferred Shares remain outstanding with identical terms as existing immediately prior to such merger or consolidation; and</w:t>
      </w:r>
    </w:p>
    <w:p>
      <w:pPr>
        <w:ind w:left="1020" w:hanging="328"/>
        <w:spacing w:after="0" w:line="219"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C Preferred Shares are converted into or exchanged for</w:t>
      </w:r>
    </w:p>
    <w:p>
      <w:pPr>
        <w:ind w:left="1020"/>
        <w:spacing w:after="0" w:line="203" w:lineRule="auto"/>
        <w:rPr>
          <w:sz w:val="20"/>
          <w:szCs w:val="20"/>
          <w:color w:val="auto"/>
        </w:rPr>
      </w:pPr>
      <w:r>
        <w:rPr>
          <w:rFonts w:ascii="Times New Roman" w:cs="Times New Roman" w:eastAsia="Times New Roman" w:hAnsi="Times New Roman"/>
          <w:sz w:val="18"/>
          <w:szCs w:val="18"/>
          <w:color w:val="auto"/>
        </w:rPr>
        <w:t>preference securities of the surviving entity or any entity, directly or indirectly, controlling such surviving entity and such new preference securities have terms identical (other than the identity of the issuer) to the terms of the Series C Preferred Shares.</w:t>
      </w:r>
    </w:p>
    <w:p>
      <w:pPr>
        <w:spacing w:after="0" w:line="1" w:lineRule="exact"/>
        <w:rPr>
          <w:sz w:val="20"/>
          <w:szCs w:val="20"/>
          <w:color w:val="auto"/>
        </w:rPr>
      </w:pPr>
    </w:p>
    <w:p>
      <w:pPr>
        <w:ind w:right="20" w:firstLine="360"/>
        <w:spacing w:after="0" w:line="233" w:lineRule="auto"/>
        <w:rPr>
          <w:sz w:val="20"/>
          <w:szCs w:val="20"/>
          <w:color w:val="auto"/>
        </w:rPr>
      </w:pPr>
      <w:r>
        <w:rPr>
          <w:rFonts w:ascii="Times New Roman" w:cs="Times New Roman" w:eastAsia="Times New Roman" w:hAnsi="Times New Roman"/>
          <w:sz w:val="18"/>
          <w:szCs w:val="18"/>
          <w:color w:val="auto"/>
        </w:rPr>
        <w:t>The foregoing voting rights of the holders of Series C Preferred Shares shall not apply if, at or prior to the time when the act with respect to which the vote would otherwise be required shall be effected, all outstanding Series C</w:t>
      </w:r>
    </w:p>
    <w:p>
      <w:pPr>
        <w:sectPr>
          <w:pgSz w:w="11900" w:h="16838" w:orient="portrait"/>
          <w:cols w:equalWidth="0" w:num="1">
            <w:col w:w="11240"/>
          </w:cols>
          <w:pgMar w:left="320" w:top="1404" w:right="339" w:bottom="1440" w:gutter="0" w:footer="0" w:header="0"/>
        </w:sectPr>
      </w:pPr>
    </w:p>
    <w:bookmarkStart w:id="105" w:name="page106"/>
    <w:bookmarkEnd w:id="105"/>
    <w:p>
      <w:pPr>
        <w:jc w:val="both"/>
        <w:spacing w:after="0" w:line="237" w:lineRule="auto"/>
        <w:rPr>
          <w:sz w:val="20"/>
          <w:szCs w:val="20"/>
          <w:color w:val="auto"/>
        </w:rPr>
      </w:pPr>
      <w:r>
        <w:rPr>
          <w:rFonts w:ascii="Times New Roman" w:cs="Times New Roman" w:eastAsia="Times New Roman" w:hAnsi="Times New Roman"/>
          <w:sz w:val="18"/>
          <w:szCs w:val="18"/>
          <w:color w:val="auto"/>
        </w:rPr>
        <w:t>Preferred Shares shall have been redeemed or called for redemption upon proper notice and we shall have set aside sufficient funds for the benefit of holders of Series C Preferred Shares to effect the redemption.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D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authorized to fix the number of shares of each series and determine the rights, designations, preferences, powers and duties of any such series. The “9.500% Fixed-Rate Reset Series D Cumulative Perpetual Redeemable Preferred Shares” are designated as one series of our authorized preferred shares, consisting of 2,600,000 Series D Preferred Shares.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Series D Preferred Shares represent perpetual equity interests in us and, unlike our indebtedness, do not give rise to a claim for payment of a principal amount at a particular date. As such, the Series D Preferred Shares rank junior to all of our current and future indebtedness and other liabilities with respect to assets available to satisfy claims against us. The Series D Preferred Shares have a fixed liquidation preference of $25.00 per Series 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Preferred Share, plus an amount equal to accumulated and unpaid distributions thereon, if any, to, but excluding, the date of payment,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D Preferred Shares to receive the liquidation preference will be subject to the proportional rights 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D Preferred Shares trade on Nasdaq under the symbol “FTAIM.”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respect to the payment of distributions and rights (including redemption rights) upon our liquidation, dissolution or winding up, the Series 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Preferred Shares rank (i) senior and prior to our ordinary shares and any class or series of preferred shares that by its terms is designated as ranking junior to the Series D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D Preferred Shares or does not state it is junior or senior to the Series D Preferred Shares (including our Series C Preferred Shares), (iii) junior to any class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series of preferred shares that is expressly designated as ranking senior to the Series D Preferred Shares (subject to receipt of any requisite consents prior to issuance) and (iv) effectively junior to all of our existing and future indebtedness (including indebtedness convertible into our ordinary shares or preferred shares) and other liabilities and to all liabilities and any preferred equity of our existing subsidiaries and any future subsidiaries.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Series D Preferred Shares are not convertible into, or exchangeable for, shares of any other class or series of our share capital or other securities and are not subject to any sinking fund or other obligation to redeem or repurchase the Series D Preferred Shares. The Series D Preferred Shares are not secured, are not guaranteed by us or any of our affiliates and are not subject to any other arrangement that legally or economically enhances the ranking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Preferred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Holders of the Series D Preferred Shares are entitled to receive, only when, as, and if declared by our board of directors, out of funds legally available for such purpose, cumulative cash distributions based on the stated liquidation preference of $25.00 per Series D Preferred Share at a rate equal to (i)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including, the original issue date of the Series D Preferred Shares to, but excluding June 15, 2028 (the “Series D Reset Rate Period”), 9.500% per annum, and (ii) beginning June 15, 2028 (the “Series D Fixed Rate Period”), the Five-Year Treasury Rate (as defined below) plus a spread of 516.2 basis points per annum; provided that if the Five-Year Treasury Rate for any Distribution Period (as defined below) described in this clause (ii) cannot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pursuant to the definition of “Five-Year Treasury Rate,” the distribution rate for such Distribution Period will be the same as the</w:t>
      </w:r>
    </w:p>
    <w:p>
      <w:pPr>
        <w:sectPr>
          <w:pgSz w:w="11900" w:h="16838" w:orient="portrait"/>
          <w:cols w:equalWidth="0" w:num="1">
            <w:col w:w="11240"/>
          </w:cols>
          <w:pgMar w:left="320" w:top="1404" w:right="339" w:bottom="1440" w:gutter="0" w:footer="0" w:header="0"/>
        </w:sectPr>
      </w:pPr>
    </w:p>
    <w:bookmarkStart w:id="106" w:name="page107"/>
    <w:bookmarkEnd w:id="106"/>
    <w:p>
      <w:pPr>
        <w:spacing w:after="0" w:line="222" w:lineRule="auto"/>
        <w:rPr>
          <w:sz w:val="20"/>
          <w:szCs w:val="20"/>
          <w:color w:val="auto"/>
        </w:rPr>
      </w:pPr>
      <w:r>
        <w:rPr>
          <w:rFonts w:ascii="Times New Roman" w:cs="Times New Roman" w:eastAsia="Times New Roman" w:hAnsi="Times New Roman"/>
          <w:sz w:val="18"/>
          <w:szCs w:val="18"/>
          <w:color w:val="auto"/>
        </w:rPr>
        <w:t>distribution rate determined or utilized for the immediately preceding Distribution Period. A “Distribution Period” means the period from, and including, each Distribution Payment Date to, but excluding, the next succeeding Distribution Payment Date, except for the initial Distribution Period, which is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from, and including, the original issue date of the Series D Preferred Shares to, but excluding, the next succeeding Distribution Payment Date.</w:t>
      </w:r>
    </w:p>
    <w:p>
      <w:pPr>
        <w:spacing w:after="0" w:line="165"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For purposes of calculating the distribution rate for a given Series D Fixed Rate Period, the calculation agent shall determine the “Five-Year Treasury Rate” (for any Reset Period (as defined below) commencing on or after the Series D Reset Rate Period), based on the rate on the Reset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Date (as defined below) and equal to:</w:t>
      </w:r>
    </w:p>
    <w:p>
      <w:pPr>
        <w:spacing w:after="0" w:line="165" w:lineRule="exact"/>
        <w:rPr>
          <w:sz w:val="20"/>
          <w:szCs w:val="20"/>
          <w:color w:val="auto"/>
        </w:rPr>
      </w:pPr>
    </w:p>
    <w:p>
      <w:pPr>
        <w:jc w:val="both"/>
        <w:ind w:left="660" w:hanging="328"/>
        <w:spacing w:after="0" w:line="224"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as of 5:00 p.m. (Eastern Time) as of any date of determination; or</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163"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As used herein, “Reset Period” means the period from, and including, June 15, 2028 to, but excluding, the fifth-year anniversary of said date, and thereafter from, and including, the fifth-year anniversary of June 15, 2028, but excluding the following fifth-year anniversary of said date (each five-year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commencing with June 15, 2028, a “Reset Period”).</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As used herein, “Reset Distribution Determination Date” means, in respect of any Reset Period, the day falling three business days prior to the beginning of such Reset Period.</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D Preferred Shares quarterly, in arrears, on each Distribution Payment Date, which payments began on June 15, 2023. We pay cash distributions to the holders of record of Series D Preferred Shares as they appear on our share register on the applicable record date, which for any Distribution Payment Date shall be the 1st calendar day of the month of such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Distribution Payment Date or such other record date fixed by our board of directors as the record date for such Distribution Payment Date that is not more than 60 nor less than 10 days prior to such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Distributions on the Series D Preferred Shares are not mandatory. However, distributions on the Series D Preferred Shares accrue from the most recent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D Preferred Shares which may be in arrears, and holders of the Series D Preferred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are not entitled to any distribution, whether payable in cash, property, or shares, in excess of the full cumulative distributions described above.</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If in the future we issue additional shares of the Series D Preferred Shares, distributions on those additional shares will accrue from the most recent Distribution Payment Date at the then-applicable distribution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202"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While any Series D Preferred Shares remain outstanding, unless the full cumulative distributions for all past Distribution Periods on all outstanding Series D Preferred Shares have been or contemporaneously are declared and paid in full or declared and a sum sufficient for the payment of those distributions has been set aside:</w:t>
      </w:r>
    </w:p>
    <w:p>
      <w:pPr>
        <w:sectPr>
          <w:pgSz w:w="11900" w:h="16838" w:orient="portrait"/>
          <w:cols w:equalWidth="0" w:num="1">
            <w:col w:w="11240"/>
          </w:cols>
          <w:pgMar w:left="320" w:top="1404" w:right="339" w:bottom="1440" w:gutter="0" w:footer="0" w:header="0"/>
        </w:sectPr>
      </w:pPr>
    </w:p>
    <w:bookmarkStart w:id="107" w:name="page108"/>
    <w:bookmarkEnd w:id="107"/>
    <w:p>
      <w:pPr>
        <w:ind w:left="980" w:right="20" w:hanging="324"/>
        <w:spacing w:after="0" w:line="222" w:lineRule="auto"/>
        <w:tabs>
          <w:tab w:leader="none" w:pos="9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08" w:lineRule="auto"/>
        <w:tabs>
          <w:tab w:leader="none" w:pos="9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Junior Securities or pursuant to a contractually binding requirement to buy Junior Securities pursuant to a binding agreement existing prior to the original issue date of the Series D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18" w:lineRule="auto"/>
        <w:tabs>
          <w:tab w:leader="none" w:pos="9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Parity Securities will be repurchased, redeemed or otherwise acquired for consideration by the Company or any of its subsidiaries (other than pursuant to pro rata offers to purchase or exchange all, or a pro rata portion of the Series D Preferred Shares and such Parity Securities or as a result of a reclassification of Parity Securities for or into other Parity Securities, or by conversion into or exchange for other Parity Securities or Junior Securities).</w:t>
      </w:r>
    </w:p>
    <w:p>
      <w:pPr>
        <w:spacing w:after="0" w:line="15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subsidiaries and (ii) any distribution in connection with the implementation of a shareholder rights plan or the redemption or repurchase of any rights under such a plan, including with respect to any successor shareholder rights plan.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board of directors, whether or not a Distribution Payment Date, to holders of the Series D Preferred Shares on the record date for such payment, which may not be less than 10 days before such distribution. To the extent a distribution period applicable to a class of Junior Securities or Parity Securities is shorter than the Distribution Period applicable to the Series D Preferred Shares (e.g., monthly rather than quarterly), the board of directors may declare and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regular distributions with respect to such Junior Securities or Parity Securities so long as, at the time of declaration of such distribution, the board of directors expects to have sufficient funds to pay the full cumulative distributions in respect of the Series D Preferred Shares on the next Distribution Payment Date.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D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payable with respect to all Series D Preferred Shares and any Parity Securities are paid, any partial payment will be made pro rata with respect to the Series D Preferred Shares and any Parity Securities entitled to a distribution payment at such time in proportion to the aggregate amounts remaining due in respect of such Series D Preferred Shares and Parity Securities at such time.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As used in this description of Series D Preferred Shares, (i) “Junior Securities” means our ordinary shares and any other class or series of our share capital over which the Series D Preferred Shares has preference or priority in the payment of distributions or in the distribution of assets on our liquidation, dissolution or winding up, (ii) “Parity Securities” means any other class or series of our share capital that ranks equally with the Series D Preferred Shares</w:t>
      </w:r>
    </w:p>
    <w:p>
      <w:pPr>
        <w:spacing w:after="0" w:line="204" w:lineRule="auto"/>
        <w:rPr>
          <w:sz w:val="20"/>
          <w:szCs w:val="20"/>
          <w:color w:val="auto"/>
        </w:rPr>
      </w:pP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C Preferred Shares) and</w:t>
      </w:r>
    </w:p>
    <w:p>
      <w:pPr>
        <w:spacing w:after="0" w:line="1" w:lineRule="exact"/>
        <w:rPr>
          <w:sz w:val="20"/>
          <w:szCs w:val="20"/>
          <w:color w:val="auto"/>
        </w:rPr>
      </w:pPr>
    </w:p>
    <w:p>
      <w:pPr>
        <w:ind w:right="20" w:firstLine="8"/>
        <w:spacing w:after="0" w:line="226" w:lineRule="auto"/>
        <w:tabs>
          <w:tab w:leader="none" w:pos="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Securities” means any other class or series of our share capital that has preference or priority over the Series D Preferred Shares in the payment of distributions or in the distribution of assets on our liquidation, dissolution or winding up.</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directors, may be declared and paid on our ordinary shares and any other Junior Securities from time to time out of any funds legally available for such payment, and the holders of the Series D Preferred Shares will not be entitled to participate in those distributions.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D Preferred Shares are entitled to be paid out of our assets legally 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thereon, if any, to, but excluding, the date of such liquidating distribution, whether or not declared, plus the sum of any declared and unpaid distributions for Distribution Periods prior to the Distribution Period in which the liquidating</w:t>
      </w:r>
    </w:p>
    <w:p>
      <w:pPr>
        <w:sectPr>
          <w:pgSz w:w="11900" w:h="16838" w:orient="portrait"/>
          <w:cols w:equalWidth="0" w:num="1">
            <w:col w:w="11240"/>
          </w:cols>
          <w:pgMar w:left="320" w:top="1404" w:right="339" w:bottom="1440" w:gutter="0" w:footer="0" w:header="0"/>
        </w:sectPr>
      </w:pPr>
    </w:p>
    <w:bookmarkStart w:id="108" w:name="page109"/>
    <w:bookmarkEnd w:id="108"/>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 will have no right or claim to any of our remaining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Preemptive Rights</w:t>
      </w:r>
    </w:p>
    <w:p>
      <w:pPr>
        <w:spacing w:after="0" w:line="18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The Series D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make all payments on the Series D Preferred Shares free and clear of and without withholding or deduction for, or on account of, any present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future taxes, fees, duties, assessments or governmental charges of whatever nature imposed or levied by or on behalf of (i) the Cayman Islands, (ii) any jurisdiction from or through which we or any successor entity make payments on the Series D Preferred Shares or (iii) any other jurisdiction in which we or any successor entity are organized, resident or doing business (a “Taxing Jurisdiction”) or any political subdivision or taxing authority thereof or therein,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unless such taxes, fees, duties, assessments or governmental charges are required to be withheld or deducted by (1) the laws (or any regulations or rulings promulgated thereunder) of a Taxing Jurisdiction or any political subdivision or taxing authority thereof or therein or (2) an official position regarding the application, administration, interpretation or enforcement of any such laws, regulations or rulings (including, without limitation, a holding by a court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competent jurisdiction or by a taxing authority in a Taxing Jurisdiction or any political subdivision thereof). If any such withholding or deduction is required, we will, subject to certain limitations and exceptions described below, pay to the holders of the Series D Preferred Shares such additional amounts as distributions as will result in receipt by each holder of any Series D Preferred Shares, after withholding or deduction for any taxes, fees, duties,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assessments or governmental charges, of such amounts as would have been received by such holder had no such withholding or deduction of such taxes, fees, duties, assessments or governmental charges been required (“Additional Amounts”); provided that if we determine that it is required by Cayman Islands law, we shall pay such Additional Amounts pro-rata to all holders such that each holder receives at least the amount that would otherwise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paid to such holder hereunder.</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be required to pay any Additional Amounts for or on account of:</w:t>
      </w:r>
    </w:p>
    <w:p>
      <w:pPr>
        <w:spacing w:after="0" w:line="185" w:lineRule="exact"/>
        <w:rPr>
          <w:sz w:val="20"/>
          <w:szCs w:val="20"/>
          <w:color w:val="auto"/>
        </w:rPr>
      </w:pPr>
    </w:p>
    <w:p>
      <w:pPr>
        <w:jc w:val="both"/>
        <w:ind w:left="980" w:hanging="324"/>
        <w:spacing w:after="0" w:line="229" w:lineRule="auto"/>
        <w:tabs>
          <w:tab w:leader="none" w:pos="97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fee, duty, assessment or governmental charge of whatever nature that would not have been imposed but for the fact that such holder was a resident, citizen, domiciliary or national of, or engaged in business or maintained a permanent establishment or was physically present in, the relevant Taxing Jurisdiction or any political subdivision thereof or otherwise had some connection with the relevant Taxing Jurisdiction other than by reason of the mere ownership of, receipt of payment under, or enforcement of any rights under, such Series D Preferred Shares;</w:t>
      </w:r>
    </w:p>
    <w:p>
      <w:pPr>
        <w:spacing w:after="0" w:line="2" w:lineRule="exact"/>
        <w:rPr>
          <w:rFonts w:ascii="Times New Roman" w:cs="Times New Roman" w:eastAsia="Times New Roman" w:hAnsi="Times New Roman"/>
          <w:sz w:val="17"/>
          <w:szCs w:val="17"/>
          <w:color w:val="auto"/>
        </w:rPr>
      </w:pPr>
    </w:p>
    <w:p>
      <w:pPr>
        <w:ind w:left="980" w:hanging="324"/>
        <w:spacing w:after="0" w:line="203"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personal property or similar tax, assessment or other governmental charge;</w:t>
      </w:r>
    </w:p>
    <w:p>
      <w:pPr>
        <w:ind w:left="980" w:hanging="324"/>
        <w:spacing w:after="0" w:line="211" w:lineRule="auto"/>
        <w:tabs>
          <w:tab w:leader="none" w:pos="9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assessment or other governmental charge that is payable otherwise than by withholding or deduction from payment on the Series D Preferred Shares;</w:t>
      </w:r>
    </w:p>
    <w:p>
      <w:pPr>
        <w:jc w:val="both"/>
        <w:ind w:left="980" w:hanging="324"/>
        <w:spacing w:after="0" w:line="206" w:lineRule="auto"/>
        <w:tabs>
          <w:tab w:leader="none" w:pos="9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duty, assessment or other governmental charge that is imposed or withheld by reason of the failure by the holder of such Series D Preferred Shares to comply with any reasonable request by us addressed to the holder within 90 days of such request (1) to provide information concerning the nationality, citizenship, residence or identity of the holder or (2) to make any declaration or other similar claim or satisfy any information or reporting requirement, which is required or imposed by statute, treaty, regulation or administrative practice of the relevant Taxing Jurisdiction or any political subdivision thereof as a precondition to exemption from all or part of such tax, fee, duty, assessment or other governmental charge;</w:t>
      </w:r>
    </w:p>
    <w:p>
      <w:pPr>
        <w:jc w:val="both"/>
        <w:ind w:left="980" w:hanging="324"/>
        <w:spacing w:after="0" w:line="208" w:lineRule="auto"/>
        <w:tabs>
          <w:tab w:leader="none" w:pos="9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as a result of the presentation of the Series D Preferred Shares for payment (where presentation is required) more than 30 days after the relevant amount is first made available for payment to the holder (except to the extent that the holder would have been entitled to Additional Amounts had the Series D Preferred Shares been presented on the last day of such 30 day period);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18" w:lineRule="auto"/>
        <w:tabs>
          <w:tab w:leader="none" w:pos="9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deduction, tax, duty, assessment or other government charge pursuant to Sections 1471 through 1474 of the U.S. Internal Revenue Code of 1986, as amended (the “Code”)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w:t>
      </w:r>
    </w:p>
    <w:p>
      <w:pPr>
        <w:sectPr>
          <w:pgSz w:w="11900" w:h="16838" w:orient="portrait"/>
          <w:cols w:equalWidth="0" w:num="1">
            <w:col w:w="11240"/>
          </w:cols>
          <w:pgMar w:left="320" w:top="1404" w:right="339" w:bottom="1440" w:gutter="0" w:footer="0" w:header="0"/>
        </w:sectPr>
      </w:pPr>
    </w:p>
    <w:bookmarkStart w:id="109" w:name="page110"/>
    <w:bookmarkEnd w:id="109"/>
    <w:p>
      <w:pPr>
        <w:ind w:left="660" w:right="2080" w:firstLine="324"/>
        <w:spacing w:after="0" w:line="237" w:lineRule="auto"/>
        <w:rPr>
          <w:sz w:val="20"/>
          <w:szCs w:val="20"/>
          <w:color w:val="auto"/>
        </w:rPr>
      </w:pPr>
      <w:r>
        <w:rPr>
          <w:rFonts w:ascii="Times New Roman" w:cs="Times New Roman" w:eastAsia="Times New Roman" w:hAnsi="Times New Roman"/>
          <w:sz w:val="18"/>
          <w:szCs w:val="18"/>
          <w:color w:val="auto"/>
        </w:rPr>
        <w:t>intergovernmental agreement entered into in connection with the implementation of such Sections of the Code; or (7) any combination of the foregoing items (1), (2), (3), (4), (5) and (6).</w:t>
      </w:r>
    </w:p>
    <w:p>
      <w:pPr>
        <w:spacing w:after="0" w:line="172" w:lineRule="exact"/>
        <w:rPr>
          <w:sz w:val="20"/>
          <w:szCs w:val="20"/>
          <w:color w:val="auto"/>
        </w:rPr>
      </w:pPr>
    </w:p>
    <w:p>
      <w:pPr>
        <w:jc w:val="both"/>
        <w:ind w:firstLine="363"/>
        <w:spacing w:after="0" w:line="216" w:lineRule="auto"/>
        <w:rPr>
          <w:sz w:val="20"/>
          <w:szCs w:val="20"/>
          <w:color w:val="auto"/>
        </w:rPr>
      </w:pPr>
      <w:r>
        <w:rPr>
          <w:rFonts w:ascii="Times New Roman" w:cs="Times New Roman" w:eastAsia="Times New Roman" w:hAnsi="Times New Roman"/>
          <w:sz w:val="18"/>
          <w:szCs w:val="18"/>
          <w:color w:val="auto"/>
        </w:rPr>
        <w:t>In addition, we will not pay Additional Amounts with respect to any payment on any Series D Preferred Shares to any holder who is a fiduciary, partnership, limited liability company or other pass-thru entity other than the sole beneficial owner of such Series D Preferred Shares if such payment would be required by the laws of the relevant Taxing Jurisdiction (or any political subdivision or relevant taxing authority thereof or therein) to be included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the income for tax purposes of a beneficiary or partner or settlor with respect to such fiduciary or a member of such partnership, limited liability company or other pass-thru entity or a beneficial owner to the extent such beneficiary, partner or settlor would not have been entitled to such Additional Amounts had it been the holder of the Series D Preferred Shares.</w:t>
      </w:r>
    </w:p>
    <w:p>
      <w:pPr>
        <w:spacing w:after="0" w:line="172"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Whenever in the Series D Preferred Share Designation or in this description of Series D Preferred Shares there is mention in any context any amount payable by the Company with respect to any of the Series D Preferred Shares, such reference shall be deemed to include payment of Additional Amounts to the extent that, in such context, such Additional Amounts are, were or would be payable in respect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89"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The Series D Preferred Shares are not subject to any mandatory redemption, sinking fund or other similar provisions. If we become obligated to pay any additional amounts, we will also have the option to redeem the Series D Preferred Shares, as described below.</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Series D Preferred Shares do not have the right to require the redemption or repurchase of the Series D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on or after June 15, 2028</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redeem the Series D Preferred Shares, in whole or in part, at our option, at any time or from time to time on or after June 15, 2028 (“Series 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Optional Redemption”), at the redemption price equal to $25.00 per Series D Preferred Share, plus an amount equal to all accumulated and unpaid distributions thereon, if any, to, but excluding, the date of redemption, whether or not declared. We may undertake multiple Series D Optional Redemptions. Any such redemption would be effected only out of funds legally available for such purpose and would be subject to compliance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instruments governing our outstanding indebtedness.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D Rating Event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defined below), we may, at our option, redeem the Series D Preferred Shares in whole, but not in part, prior to June 15, 2028, at a redemption price per Series D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 and would be subject to compliance with the provisions of the instruments governing our outstanding indebtedness.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“Series D Rating Event” means a change by any rating agency to the criteria employed by such rating agency as of March 15, 2023, for purposes of assigning ratings to securities with features similar to the Series D Preferred Shares, which change results in (i) any shortening of the length of time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which the criteria in effect as of March 15, 2023, are scheduled to be in effect with respect to the Series D Preferred Shares, or (ii) a lower equity credit being given to the Series D Preferred Shares than the equity credit that would have been assigned to the Series D Preferred Shares by such rating agency pursuant to the criteria in effect as of March 15,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18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If a Change of Control (as defined in the Series D Preferred Share Designation) occurs, we may, at our option, redeem the Series D Preferred Shares, in whole but not in part, prior to June 15, 2028 and within 60 days after the occurrence of such Change of Control, at a price of $25.25 (101% of the liquidation preference of $25.00) per Series D Preferred Share, plus an amount equal to all accumulated and unpaid distributions thereon, if any, to, but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excluding, the date of redemption, whether or not declared. Any such redemption would be effected only out of funds legally available for such purpose and would be subject to compliance with the provisions of the instruments governing our outstanding indebtedness.</w:t>
      </w:r>
    </w:p>
    <w:p>
      <w:pPr>
        <w:sectPr>
          <w:pgSz w:w="11900" w:h="16838" w:orient="portrait"/>
          <w:cols w:equalWidth="0" w:num="1">
            <w:col w:w="11240"/>
          </w:cols>
          <w:pgMar w:left="320" w:top="1404" w:right="339" w:bottom="1440" w:gutter="0" w:footer="0" w:header="0"/>
        </w:sectPr>
      </w:pPr>
    </w:p>
    <w:bookmarkStart w:id="110" w:name="page111"/>
    <w:bookmarkEnd w:id="110"/>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June 15, 2028) and (ii) we do not give notice prior to the 31st day following the Change of Control to redeem all of the outstanding Series D Preferred Shares, the distribution rate per annum on the Series D Preferred Shares will increase by 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points, beginning on the 31st day following such Change of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Series D Preferred Share Tax Redemption Event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Series D Preferred Share Tax Redemption Event (as defined in the Series D Preferred Share Designation) occurs, we may, at our option, redeem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Series D Preferred Shares, in whole but not in part, prior to June 15, 2028, at a redemption price of $25.00 per Series D Preferred Share, plus an amount equal to all accumulated and unpaid distributions thereon, if any, to, but excluding, the date of redemption,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redemption may occur if the Series D Preferred Share Tax Redemption Event results directly from any action taken by the Company with the principal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purpose of triggering the optional redemption pursuant to this paragraph. Any such redemption would be effected only out of funds legally available for such purpose and would be subject to compliance with the provisions of the instruments governing our outstanding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Owners of Series D Preferred Shares do not have any voting rights, except as set forth below or as otherwise required by applicable law. To the extent that owners of Series D Preferred Shares are entitled to vote, each holder of Series D Preferred Shares will have one vote per share, except that when shares of any class or series of Parity Securities have the right to vote with the Series D Preferred Shares as a single class on any matter, the Series D Preferred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Shares and the Parity Securities will have one vote for each $25.00 of liquidation preference (for the avoidance of doubt, excluding accumulated distributions).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Whenever dividends on any Series D Preferred Shares are in arrears for six or more quarterly Distribution Periods, whether or not consecutive,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D Preferred Shares, voting together as a single class). The holders of the Series D Preferred Shares, voting together as a single class with the holders of any series of Parity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 directors at a special meeting of the holders of the Series D Preferred Shares and such Other Voting Preferred Shares and at each subsequent annual meeting of the holders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ordinary shares at which such directors are up for re-appointment;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all distributions accumulated on the Series D Preferred Shares for all past Distribution Periods and the then current Distribution Period shall have been fully paid, the right of holders of the Series D Preferred Shares to appoint any directors will cease and, unless there are any Other Voting Preferred Shares entitled to vote for the election of directors, the term of office of those two</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directors will forthwith terminate, the office of any directors appointed by holders of the Series D Preferred Shares shall automatically be vacated and the upper limit of the number of directors constituting the board of directors shall be automatically reduced by two. However, the right of the holders of the Series D Preferred Shares and any Other Voting Preferred Shares to appoint two additional directors will again vest if and whenever six additional quarterly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distributions have not been declared and paid, as described above. In no event shall the holders of the Series D Preferred Shares be entitled pursuant to these voting rights to elect a director that would cause us to fail to satisfy a requirement relating to director independence of any national securities exchange or quotation system on which any class or series of our share capital is listed or quoted. For the avoidance of doubt, in no event shall the total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directors elected by holders of the Series D Preferred Shares and any Other Voting Preferred Shares exceed two.</w:t>
      </w:r>
    </w:p>
    <w:p>
      <w:pPr>
        <w:spacing w:after="0" w:line="165"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While any Series D Preferred Shares remain outstanding, the following actions will be deemed a variation of the rights of the Series D Preferred 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alter or repeal any provision of the Articles, including by merger, consolidation or otherwise, so as to adversely affect the powers, preferences or special rights of the Series D Preferred Shares, and shall in each case of clause (i) and (ii) require the approval of the holders of the Series D Preferred Shares and all Other Voting Preferred Shares in accordance with and following the procedures set out in the Articles;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(ii), if such amendment affects materially and adversely the rights, designations, preferences, powers and duties of one or more but not all of the classes or series of the Other Voting Preferred Shares (including the Series D Preferred Shares for this purpose), the holders of the outstanding shares of the classes or series so affected, voting as a class, is required in lieu of (or, if such consent is required by law, in addition to) the consent of the holders of the Other Voting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Preferred Shares (including the Series D Preferred Shares for this purpose) in accordance with and following the procedures set out in the Articles. However, we may create additional series or</w:t>
      </w:r>
    </w:p>
    <w:p>
      <w:pPr>
        <w:sectPr>
          <w:pgSz w:w="11900" w:h="16838" w:orient="portrait"/>
          <w:cols w:equalWidth="0" w:num="1">
            <w:col w:w="11240"/>
          </w:cols>
          <w:pgMar w:left="320" w:top="1404" w:right="339" w:bottom="1440" w:gutter="0" w:footer="0" w:header="0"/>
        </w:sectPr>
      </w:pPr>
    </w:p>
    <w:bookmarkStart w:id="111" w:name="page112"/>
    <w:bookmarkEnd w:id="111"/>
    <w:p>
      <w:pPr>
        <w:spacing w:after="0" w:line="222" w:lineRule="auto"/>
        <w:rPr>
          <w:sz w:val="20"/>
          <w:szCs w:val="20"/>
          <w:color w:val="auto"/>
        </w:rPr>
      </w:pPr>
      <w:r>
        <w:rPr>
          <w:rFonts w:ascii="Times New Roman" w:cs="Times New Roman" w:eastAsia="Times New Roman" w:hAnsi="Times New Roman"/>
          <w:sz w:val="18"/>
          <w:szCs w:val="18"/>
          <w:color w:val="auto"/>
        </w:rPr>
        <w:t xml:space="preserve">classes of Parity Securities and Junior Securities and issue additional classes or series of Parity Securities and Junior Securities without notice to or the consent of any holder of the Series D Preferred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Parity Securities, the full cumulative distributions for all past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Distribution Periods on all outstanding Series D Preferred Shares shall have been or contemporaneously are declared and paid in full or declared and a sum sufficient for the payment of those distributions has been set aside.</w:t>
      </w:r>
    </w:p>
    <w:p>
      <w:pPr>
        <w:spacing w:after="0" w:line="157"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D Preferred Shares:</w:t>
      </w:r>
    </w:p>
    <w:p>
      <w:pPr>
        <w:spacing w:after="0" w:line="149" w:lineRule="exact"/>
        <w:rPr>
          <w:sz w:val="20"/>
          <w:szCs w:val="20"/>
          <w:color w:val="auto"/>
        </w:rPr>
      </w:pPr>
    </w:p>
    <w:p>
      <w:pPr>
        <w:jc w:val="both"/>
        <w:ind w:left="1020" w:hanging="328"/>
        <w:spacing w:after="0" w:line="213" w:lineRule="auto"/>
        <w:tabs>
          <w:tab w:leader="none" w:pos="10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D Preferred Shares as to distributions or distribution of assets upon our liquidation, dissolution or winding up;</w:t>
      </w:r>
    </w:p>
    <w:p>
      <w:pPr>
        <w:ind w:left="1020" w:right="20" w:hanging="328"/>
        <w:spacing w:after="0" w:line="211" w:lineRule="auto"/>
        <w:tabs>
          <w:tab w:leader="none" w:pos="10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D Preferred Shares remain outstanding with identical terms as existing immediately prior to such merger or consolidation; and</w:t>
      </w:r>
    </w:p>
    <w:p>
      <w:pPr>
        <w:jc w:val="both"/>
        <w:ind w:left="1020" w:hanging="328"/>
        <w:spacing w:after="0" w:line="223" w:lineRule="auto"/>
        <w:tabs>
          <w:tab w:leader="none" w:pos="10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D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D Preferred Shares.</w:t>
      </w:r>
    </w:p>
    <w:p>
      <w:pPr>
        <w:spacing w:after="0" w:line="159" w:lineRule="exact"/>
        <w:rPr>
          <w:sz w:val="20"/>
          <w:szCs w:val="20"/>
          <w:color w:val="auto"/>
        </w:rPr>
      </w:pPr>
    </w:p>
    <w:p>
      <w:pPr>
        <w:jc w:val="both"/>
        <w:ind w:right="20" w:firstLine="363"/>
        <w:spacing w:after="0" w:line="222" w:lineRule="auto"/>
        <w:rPr>
          <w:sz w:val="20"/>
          <w:szCs w:val="20"/>
          <w:color w:val="auto"/>
        </w:rPr>
      </w:pPr>
      <w:r>
        <w:rPr>
          <w:rFonts w:ascii="Times New Roman" w:cs="Times New Roman" w:eastAsia="Times New Roman" w:hAnsi="Times New Roman"/>
          <w:sz w:val="18"/>
          <w:szCs w:val="18"/>
          <w:color w:val="auto"/>
        </w:rPr>
        <w:t>The foregoing voting rights of the holders of Series D Preferred Shares shall not apply if, at or prior to the time when the act with respect to which the vote would otherwise be required shall be effected, all outstanding Series D Preferred Shares shall have been redeemed or called for redemption upon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 notice and we shall have set aside sufficient funds for the benefit of holders of Series D Preferred Shares to effect the redemption.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 claim.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Dividends are recorded if and when declared by the board of directors. The board of directors of FTAI declared cash dividends of $1.20, $1.20 and $1.26 per ordinary share during each of the years ended December 31, 2024, 2023 and 2022, respectively.</w:t>
      </w:r>
    </w:p>
    <w:p>
      <w:pPr>
        <w:spacing w:after="0" w:line="14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Additionally, the board of directors of FTAI declared cash dividends on the Series C Preferred Shares of $2.06, $2.06 and $2.06 per share for the years ended December 31, 2024, 2023 and 2022, respectively and the Series D Preferred Shares of $2.38 and $1.78 per share for the years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Cayman Islands. The Companies Act (As Revised)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Cayman Islands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ectPr>
          <w:pgSz w:w="11900" w:h="16838" w:orient="portrait"/>
          <w:cols w:equalWidth="0" w:num="1">
            <w:col w:w="11240"/>
          </w:cols>
          <w:pgMar w:left="320" w:top="1404" w:right="339" w:bottom="1440" w:gutter="0" w:footer="0" w:header="0"/>
        </w:sectPr>
      </w:pPr>
    </w:p>
    <w:bookmarkStart w:id="112" w:name="page113"/>
    <w:bookmarkEnd w:id="112"/>
    <w:p>
      <w:pPr>
        <w:ind w:left="660" w:right="180" w:hanging="328"/>
        <w:spacing w:after="0" w:line="273"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Cayman Islands Law and Our Articles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following is a summary of certain provisions of our Articles that may function to have an anti-takeover effect and may delay, deter or prevent a tender offer or takeover attempt that a shareholder might consider to be in its best interest, including those attempts that might result in a premium over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 for the shares held by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authorized but unissued ordinary shares and preferred shares will be available for future issuance without obtaining shareholder approval. These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 shares may be utilized for a variety of corporate purposes, including future offerings to raise additional capital and corporate acquisitions. The existence of authorized but unissued ordinary shares and preferred shares could render more difficult or discourage an attempt to obtain control over us by means of a proxy contest, tender offer, merger or otherwise.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Articles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Our Articles provide that our board shall consist of not fewer than three and not more than nine directors as the board of directors may from time to time determine. Our board of directors consists of seven directors and is divided into three classes that are, as nearly as possible, of equal size. Each class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is elected for a three-year term of office, but the terms are staggered so that the term of only one class of directors expires at each annual general 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effect of making the replacement of incumbent directors more time consuming and difficult. At least two annual meetings of shareholders, instead of one, are generally required to effect a change in a majority of our board of directors.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delay, defer or prevent a tender offer or an attempt to change control of us, even though a tender offer or change in control might be believed by our shareholders to be in their best interest.</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In addition, our Articles provide that a director may be removed, only for cause, and only by the affirmative vote of at least 80% of the then issued and outstanding ordinary shares entitled to vote in the election of directors.</w:t>
      </w:r>
    </w:p>
    <w:p>
      <w:pPr>
        <w:spacing w:after="0" w:line="149"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72"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Pursuant to our Articles, preferred shares may be issued from time to time, and the board of directors is authorized to determine and alter all designations, preferences, rights, powers and duties without limitation. Our Articles do not provide our shareholders with the ability to call general meetings of the shareholders.</w:t>
      </w:r>
    </w:p>
    <w:p>
      <w:pPr>
        <w:spacing w:after="0" w:line="16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Series C Preferred Shares-Optional Redemption upon a Change of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Series D Preferred Shares-Optional Redemption upon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of Our Shareholders to Act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Articles do not permit our shareholders to call general meetings. General meetings of shareholders may be called by the Board of Directors,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Chief Executive Officer, the Chairperson or a committee of the Board of Directors that has been duly designated by the Board of Directors and whose powers include the authority to call such meetings. Written notice of any general meeting so called shall be given to each shareholder of record entitled</w:t>
      </w:r>
    </w:p>
    <w:p>
      <w:pPr>
        <w:sectPr>
          <w:pgSz w:w="11900" w:h="16838" w:orient="portrait"/>
          <w:cols w:equalWidth="0" w:num="1">
            <w:col w:w="11240"/>
          </w:cols>
          <w:pgMar w:left="320" w:top="143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to vote at such meeting not less than 10 or more than 60 days before the date of such meeting, unless otherwise required by law.</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Articles do not permit our shareholders to pass resolutions in writing.</w:t>
      </w:r>
    </w:p>
    <w:p>
      <w:pPr>
        <w:spacing w:after="0" w:line="198"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Our Articles provide that nominations of persons for election to our board of directors at any annual general meeting, or at any extraordinary meeting of our shareholders called for the purpose of electing directors, may be made (a) by or at the direction of our board of directors or (b) by certain shareholders. In addition to any other applicable requirements, for business to be properly brought before an annual general meeting by a shareholder, such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must have given timely notice thereof in proper written form. To be timely, a shareholder’s notice must be delivered to or mailed and received at our registered office (i) in the case of an annual general meeting, not less than 90 days nor more than 120 days prior to the anniversary date of the immediately preceding annual general meeting; and (ii) in the case of an extraordinary meeting, not later than the tenth day following the day on which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notice of the date of the extraordinary meeting was mailed or such public disclosure of the date of the extraordinary meeting was made, whichever first occurs.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Directors and Officers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Our Articles provide that our directors shall not, to the maximum extent permitted by law, be liable to us for any loss or damage incurred by us as a result (whether direct or indirect) of the carrying out of their functions unless that liability arises through the actual fraud, willful neglect or willful default of such director, and provided further that such director acted in good faith and in a manner such director reasonably believed to be in or not opposed to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interests and had no reasonable cause to believe such director’s conduct was unlawful.</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Our Articles provide that we indemnify our directors and officers to the fullest extent permitted by law. We are also expressly authorized to advance certain expenses (including attorneys’ fees and disbursements and court costs) to our directors and officers and carry directors’ and officers’ insurance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providing indemnification for our directors and officers for some liabilities. We believe that these indemnification provisions and insurance are useful to attract and retain qualified directors and officers.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have entered into separate indemnification agreements with each of our directors and executive officers. Each indemnification agreement provides,</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among other things, for indemnification to the fullest extent permitted by law and our Articles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Articles.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our Articles, to the extent permitted by law:</w:t>
      </w:r>
    </w:p>
    <w:p>
      <w:pPr>
        <w:spacing w:after="0" w:line="185" w:lineRule="exact"/>
        <w:rPr>
          <w:sz w:val="20"/>
          <w:szCs w:val="20"/>
          <w:color w:val="auto"/>
        </w:rPr>
      </w:pPr>
    </w:p>
    <w:p>
      <w:pPr>
        <w:ind w:left="1020" w:right="220" w:hanging="328"/>
        <w:spacing w:after="0" w:line="216" w:lineRule="auto"/>
        <w:tabs>
          <w:tab w:leader="none" w:pos="10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Fortress Investment Group LLC (“Fortress”) and its respective affiliates, including FIG LLC (the “Former Manager”) and Master GP,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 w:lineRule="exact"/>
        <w:rPr>
          <w:rFonts w:ascii="Times New Roman" w:cs="Times New Roman" w:eastAsia="Times New Roman" w:hAnsi="Times New Roman"/>
          <w:sz w:val="18"/>
          <w:szCs w:val="18"/>
          <w:color w:val="auto"/>
        </w:rPr>
      </w:pPr>
    </w:p>
    <w:p>
      <w:pPr>
        <w:ind w:left="1020" w:right="280" w:hanging="328"/>
        <w:spacing w:after="0" w:line="208" w:lineRule="auto"/>
        <w:tabs>
          <w:tab w:leader="none" w:pos="10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Fortress and its respective affiliates, including the Former Manager and the Master GP, or any of their officers, directors or employees acquire knowledge of a potential transaction that could be a corporate opportunity, it has no duty to offer such corporate opportunity to us, our shareholders or affiliates;</w:t>
      </w:r>
    </w:p>
    <w:p>
      <w:pPr>
        <w:spacing w:after="0" w:line="1" w:lineRule="exact"/>
        <w:rPr>
          <w:rFonts w:ascii="Times New Roman" w:cs="Times New Roman" w:eastAsia="Times New Roman" w:hAnsi="Times New Roman"/>
          <w:sz w:val="18"/>
          <w:szCs w:val="18"/>
          <w:color w:val="auto"/>
        </w:rPr>
      </w:pPr>
    </w:p>
    <w:p>
      <w:pPr>
        <w:ind w:left="1020" w:right="60" w:hanging="328"/>
        <w:spacing w:after="0" w:line="214" w:lineRule="auto"/>
        <w:tabs>
          <w:tab w:leader="none" w:pos="10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 in the event that any of our directors and officers who is also a director, officer or employee of Fortress and their respective affiliates, including the Former Manager and the Master GP,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Former Manager and the Master GP, pursues or acquires the corporate opportunity or if such person did not present the corporate opportunity to us.</w:t>
      </w:r>
    </w:p>
    <w:p>
      <w:pPr>
        <w:sectPr>
          <w:pgSz w:w="11900" w:h="16838" w:orient="portrait"/>
          <w:cols w:equalWidth="0" w:num="1">
            <w:col w:w="11240"/>
          </w:cols>
          <w:pgMar w:left="320" w:top="14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The Company’s Transfer Agent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transfer agent for the Company’s shares is Equiniti Trust Company LLC, 48 Wall Street, Floor 23, New York, NY 10005.</w:t>
      </w:r>
    </w:p>
    <w:p>
      <w:pPr>
        <w:sectPr>
          <w:pgSz w:w="11900" w:h="16838" w:orient="portrait"/>
          <w:cols w:equalWidth="0" w:num="1">
            <w:col w:w="10139"/>
          </w:cols>
          <w:pgMar w:left="320" w:top="1400"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FTAI AVIATION LTD.</w:t>
      </w:r>
    </w:p>
    <w:p>
      <w:pPr>
        <w:spacing w:after="0" w:line="3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PUBLIC COMPANY INSIDER TRADING COMPLIANCE POLICY</w:t>
      </w:r>
    </w:p>
    <w:p>
      <w:pPr>
        <w:spacing w:after="0" w:line="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May 28, 2024 (THE “POLICY”)</w:t>
      </w:r>
    </w:p>
    <w:p>
      <w:pPr>
        <w:spacing w:after="0" w:line="196" w:lineRule="exact"/>
        <w:rPr>
          <w:sz w:val="20"/>
          <w:szCs w:val="20"/>
          <w:color w:val="auto"/>
        </w:rPr>
      </w:pPr>
    </w:p>
    <w:p>
      <w:pPr>
        <w:jc w:val="both"/>
        <w:ind w:left="20" w:right="40" w:firstLine="648"/>
        <w:spacing w:after="0" w:line="249" w:lineRule="auto"/>
        <w:rPr>
          <w:sz w:val="20"/>
          <w:szCs w:val="20"/>
          <w:color w:val="auto"/>
        </w:rPr>
      </w:pPr>
      <w:r>
        <w:rPr>
          <w:rFonts w:ascii="Times New Roman" w:cs="Times New Roman" w:eastAsia="Times New Roman" w:hAnsi="Times New Roman"/>
          <w:sz w:val="22"/>
          <w:szCs w:val="22"/>
          <w:color w:val="auto"/>
        </w:rPr>
        <w:t>Federal and state securities laws prohibit the purchase or sale of a security on the basis of Material Nonpublic Information (defined below). These laws also prohibit the dissemination of Material Nonpublic Information to others who may use that knowledge to trade securities, also known as “tipping.” Additionally, Regulation FD prohibits the selective disclosure of Material Nonpublic Information to certain enumerated persons. Thus, failing to honor confidentiality obligations or misusing confidential information could violate U.S. federal and state securities laws, and the laws of jurisdictions around the world in which we operate. These violations can result in consequences, including criminal penalties, for the individual who commits the violation, for that individual’s employer or other “control persons,” and for people who “tip” or otherwise assist an individual in misusing information. In order to take an active role in the prevention of these violations by Covered Persons (defined below), FTAI Aviation Ltd. and its subsidiaries (the “Company”) have adopted this Policy with respect to trading in all securities (including derivative securities) of the Company.</w:t>
      </w:r>
    </w:p>
    <w:p>
      <w:pPr>
        <w:spacing w:after="0" w:line="170" w:lineRule="exact"/>
        <w:rPr>
          <w:sz w:val="20"/>
          <w:szCs w:val="20"/>
          <w:color w:val="auto"/>
        </w:rPr>
      </w:pPr>
    </w:p>
    <w:p>
      <w:pPr>
        <w:jc w:val="both"/>
        <w:ind w:left="20" w:right="40" w:firstLine="648"/>
        <w:spacing w:after="0" w:line="241" w:lineRule="auto"/>
        <w:rPr>
          <w:sz w:val="20"/>
          <w:szCs w:val="20"/>
          <w:color w:val="auto"/>
        </w:rPr>
      </w:pPr>
      <w:r>
        <w:rPr>
          <w:rFonts w:ascii="Times New Roman" w:cs="Times New Roman" w:eastAsia="Times New Roman" w:hAnsi="Times New Roman"/>
          <w:sz w:val="22"/>
          <w:szCs w:val="22"/>
          <w:color w:val="auto"/>
        </w:rPr>
        <w:t>The Company has appointed its General Counsel as its “Insider Trading Compliance Officer.” The General Counsel is permitted to delegate any responsibilities of this Policy to the extent he or she so elects to any other employee of the Company who, in the General Counsel’s reasonable judgment, is qualified to perform such duties. Throughout the Policy, the term “Insider Trading Compliance Officer” shall apply to any such person to whom the General Counsel has delegated a particular responsibility. However, the General Counsel retains ultimate responsibility for all matters pertaining to the interpretation and enforcement of the Policy.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Policy (and/or a summary thereof) will be made available to directors, officers and employees of FTAI Aviation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Ltd.</w:t>
      </w:r>
    </w:p>
    <w:p>
      <w:pPr>
        <w:spacing w:after="0" w:line="207" w:lineRule="exact"/>
        <w:rPr>
          <w:sz w:val="20"/>
          <w:szCs w:val="20"/>
          <w:color w:val="auto"/>
        </w:rPr>
      </w:pPr>
    </w:p>
    <w:p>
      <w:pPr>
        <w:jc w:val="both"/>
        <w:ind w:left="20" w:right="60" w:firstLine="648"/>
        <w:spacing w:after="0" w:line="257" w:lineRule="auto"/>
        <w:rPr>
          <w:sz w:val="20"/>
          <w:szCs w:val="20"/>
          <w:color w:val="auto"/>
        </w:rPr>
      </w:pPr>
      <w:r>
        <w:rPr>
          <w:rFonts w:ascii="Times New Roman" w:cs="Times New Roman" w:eastAsia="Times New Roman" w:hAnsi="Times New Roman"/>
          <w:sz w:val="22"/>
          <w:szCs w:val="22"/>
          <w:color w:val="auto"/>
        </w:rPr>
        <w:t>The Company monitors compliance with the Policy and will enforce the Policy as necessary. Violations of the Policy may result in a variety of disciplinary actions, including termination of employment. The Company also may report violations to the Securities and Exchange Commission (“SEC”) or other regulatory authorities.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It is the responsibility of each person to whom the Policy applies to ensure that he or she fully complies with the Policy.</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All questions or concerns regarding the Policy should be directed to the Insider Trading Compliance Officer.</w:t>
      </w:r>
    </w:p>
    <w:p>
      <w:pPr>
        <w:spacing w:after="0" w:line="203" w:lineRule="exact"/>
        <w:rPr>
          <w:sz w:val="20"/>
          <w:szCs w:val="20"/>
          <w:color w:val="auto"/>
        </w:rPr>
      </w:pPr>
    </w:p>
    <w:p>
      <w:pPr>
        <w:ind w:left="380" w:hanging="364"/>
        <w:spacing w:after="0"/>
        <w:tabs>
          <w:tab w:leader="none" w:pos="38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Applicability</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22"/>
          <w:szCs w:val="22"/>
          <w:color w:val="auto"/>
        </w:rPr>
        <w:t>The Policy applies to all Transactions in Covered Securities (defined below) and covers all directors, officers and employees of the Company, as well as their spouses, minor children, adult family members sharing the same household on a continuous basis, financial dependents, and any other person or entity over whom the officer, director or employee exercises substantial influence or control over his, her or its securities trading decisions. This Policy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420" w:top="94" w:right="339" w:bottom="1440" w:gutter="0" w:footer="0" w:header="0"/>
        </w:sectPr>
      </w:pPr>
    </w:p>
    <w:bookmarkStart w:id="116" w:name="page117"/>
    <w:bookmarkEnd w:id="116"/>
    <w:p>
      <w:pPr>
        <w:spacing w:after="0" w:line="212" w:lineRule="exact"/>
        <w:rPr>
          <w:sz w:val="20"/>
          <w:szCs w:val="20"/>
          <w:color w:val="auto"/>
        </w:rPr>
      </w:pPr>
    </w:p>
    <w:p>
      <w:pPr>
        <w:jc w:val="both"/>
        <w:ind w:left="100" w:right="60"/>
        <w:spacing w:after="0" w:line="256" w:lineRule="auto"/>
        <w:rPr>
          <w:sz w:val="20"/>
          <w:szCs w:val="20"/>
          <w:color w:val="auto"/>
        </w:rPr>
      </w:pPr>
      <w:r>
        <w:rPr>
          <w:rFonts w:ascii="Times New Roman" w:cs="Times New Roman" w:eastAsia="Times New Roman" w:hAnsi="Times New Roman"/>
          <w:sz w:val="22"/>
          <w:szCs w:val="22"/>
          <w:color w:val="auto"/>
        </w:rPr>
        <w:t>applies to any trust or other estate in which an officer, director or employee has a substantial beneficial interest or as to which he or she serves as trustee or in a similar capacity. Each individual and entity described above is referred to in this Policy as a “Covered Person.” The Insider Trading Compliance Officer has the discretion to determine whether the Policy should apply to any additional persons.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The term “Covered Securities” includes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1040" w:hanging="294"/>
        <w:spacing w:after="0"/>
        <w:tabs>
          <w:tab w:leader="none" w:pos="1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equity securities (including options or rights for such securities);</w:t>
      </w:r>
    </w:p>
    <w:p>
      <w:pPr>
        <w:spacing w:after="0" w:line="14" w:lineRule="exact"/>
        <w:rPr>
          <w:rFonts w:ascii="Times New Roman" w:cs="Times New Roman" w:eastAsia="Times New Roman" w:hAnsi="Times New Roman"/>
          <w:sz w:val="22"/>
          <w:szCs w:val="22"/>
          <w:color w:val="auto"/>
        </w:rPr>
      </w:pPr>
    </w:p>
    <w:p>
      <w:pPr>
        <w:ind w:left="1120" w:hanging="374"/>
        <w:spacing w:after="0"/>
        <w:tabs>
          <w:tab w:leader="none" w:pos="11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and any other securities that the Company may issue from time to time, such as preferred shares,</w:t>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warrants and convertible debentures; and</w:t>
      </w:r>
    </w:p>
    <w:p>
      <w:pPr>
        <w:spacing w:after="0" w:line="4" w:lineRule="exact"/>
        <w:rPr>
          <w:sz w:val="20"/>
          <w:szCs w:val="20"/>
          <w:color w:val="auto"/>
        </w:rPr>
      </w:pPr>
    </w:p>
    <w:p>
      <w:pPr>
        <w:ind w:left="1060" w:right="60" w:hanging="314"/>
        <w:spacing w:after="0" w:line="261" w:lineRule="auto"/>
        <w:tabs>
          <w:tab w:leader="none" w:pos="10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derivatives of Covered Securities, including any security convertible or exchangeable into, or whose value is derived from the value of, Covered Securities, whether or not issued by the Company.</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With respect to Covered Securities, the term “Transaction” includes any:</w:t>
      </w:r>
    </w:p>
    <w:p>
      <w:pPr>
        <w:spacing w:after="0" w:line="220" w:lineRule="exact"/>
        <w:rPr>
          <w:sz w:val="20"/>
          <w:szCs w:val="20"/>
          <w:color w:val="auto"/>
        </w:rPr>
      </w:pPr>
    </w:p>
    <w:p>
      <w:pPr>
        <w:ind w:left="1060" w:hanging="301"/>
        <w:spacing w:after="0"/>
        <w:tabs>
          <w:tab w:leader="none" w:pos="10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sale, including any contract or offer to purchase or sell;</w:t>
      </w:r>
    </w:p>
    <w:p>
      <w:pPr>
        <w:spacing w:after="0" w:line="27" w:lineRule="exact"/>
        <w:rPr>
          <w:rFonts w:ascii="Times New Roman" w:cs="Times New Roman" w:eastAsia="Times New Roman" w:hAnsi="Times New Roman"/>
          <w:sz w:val="22"/>
          <w:szCs w:val="22"/>
          <w:color w:val="auto"/>
        </w:rPr>
      </w:pPr>
    </w:p>
    <w:p>
      <w:pPr>
        <w:ind w:left="1060" w:hanging="296"/>
        <w:spacing w:after="0"/>
        <w:tabs>
          <w:tab w:leader="none" w:pos="10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sale through the use of derivative arrangements;</w:t>
      </w:r>
    </w:p>
    <w:p>
      <w:pPr>
        <w:spacing w:after="0" w:line="3" w:lineRule="exact"/>
        <w:rPr>
          <w:rFonts w:ascii="Times New Roman" w:cs="Times New Roman" w:eastAsia="Times New Roman" w:hAnsi="Times New Roman"/>
          <w:sz w:val="22"/>
          <w:szCs w:val="22"/>
          <w:color w:val="auto"/>
        </w:rPr>
      </w:pPr>
    </w:p>
    <w:p>
      <w:pPr>
        <w:ind w:left="1060" w:hanging="296"/>
        <w:spacing w:after="0"/>
        <w:tabs>
          <w:tab w:leader="none" w:pos="10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gift, pledge or other transfer resulting in a change of beneficial ownership or investment decision making power; and</w:t>
      </w:r>
    </w:p>
    <w:p>
      <w:pPr>
        <w:spacing w:after="0" w:line="16" w:lineRule="exact"/>
        <w:rPr>
          <w:rFonts w:ascii="Times New Roman" w:cs="Times New Roman" w:eastAsia="Times New Roman" w:hAnsi="Times New Roman"/>
          <w:sz w:val="21"/>
          <w:szCs w:val="21"/>
          <w:color w:val="auto"/>
        </w:rPr>
      </w:pPr>
    </w:p>
    <w:p>
      <w:pPr>
        <w:ind w:left="1080" w:right="60" w:hanging="316"/>
        <w:spacing w:after="0" w:line="259" w:lineRule="auto"/>
        <w:tabs>
          <w:tab w:leader="none" w:pos="113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decision to purchase or sell Covered Securities, including by recommending or advising such decision.</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 decision not to engage in a purchase or sale does not constitute a Transaction under the Policy.</w:t>
      </w:r>
    </w:p>
    <w:p>
      <w:pPr>
        <w:spacing w:after="0" w:line="206" w:lineRule="exact"/>
        <w:rPr>
          <w:sz w:val="20"/>
          <w:szCs w:val="20"/>
          <w:color w:val="auto"/>
        </w:rPr>
      </w:pPr>
    </w:p>
    <w:p>
      <w:pPr>
        <w:jc w:val="both"/>
        <w:ind w:left="80" w:firstLine="648"/>
        <w:spacing w:after="0" w:line="236" w:lineRule="auto"/>
        <w:rPr>
          <w:sz w:val="20"/>
          <w:szCs w:val="20"/>
          <w:color w:val="auto"/>
        </w:rPr>
      </w:pPr>
      <w:r>
        <w:rPr>
          <w:rFonts w:ascii="Times New Roman" w:cs="Times New Roman" w:eastAsia="Times New Roman" w:hAnsi="Times New Roman"/>
          <w:sz w:val="22"/>
          <w:szCs w:val="22"/>
          <w:color w:val="auto"/>
        </w:rPr>
        <w:t>Each Covered Person is individually responsible for complying with the Policy. A Covered Person may, from time to time, have to forego a proposed Transaction in Covered Securities when they enter into possession of Material Nonpublic Information, even if they planned to make the Transaction before learning of the Material Nonpublic Information and even though they may suffer an economic loss or forego anticipated profit by waiting. Each Covered Person who is a director, officer or employee of the Company should make each of those members of his or her family or household who is subject to the Policy aware of the applicability of this Policy and the need to confer with the Covered Person (and possibly with the Insider Trading Compliance Officer) before trading in Covered Securities. In addition, although the Insider Trading Compliance Officer will assist Section 16 Individuals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Section VIII) in preparing and filing required reports, the reporting person retains ultimate responsibility for the reports.</w:t>
      </w:r>
    </w:p>
    <w:p>
      <w:pPr>
        <w:spacing w:after="0" w:line="187" w:lineRule="exact"/>
        <w:rPr>
          <w:sz w:val="20"/>
          <w:szCs w:val="20"/>
          <w:color w:val="auto"/>
        </w:rPr>
      </w:pPr>
    </w:p>
    <w:p>
      <w:pPr>
        <w:ind w:left="560" w:hanging="444"/>
        <w:spacing w:after="0"/>
        <w:tabs>
          <w:tab w:leader="none" w:pos="5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120" w:right="60" w:firstLine="648"/>
        <w:spacing w:after="0" w:line="250" w:lineRule="auto"/>
        <w:rPr>
          <w:sz w:val="20"/>
          <w:szCs w:val="20"/>
          <w:color w:val="auto"/>
        </w:rPr>
      </w:pPr>
      <w:r>
        <w:rPr>
          <w:rFonts w:ascii="Times New Roman" w:cs="Times New Roman" w:eastAsia="Times New Roman" w:hAnsi="Times New Roman"/>
          <w:sz w:val="22"/>
          <w:szCs w:val="22"/>
          <w:color w:val="auto"/>
        </w:rPr>
        <w:t>It is not possible to define all categories of Material Nonpublic Information. However, information should be regarded as material if there is a substantial likelihood that it would be considered important to an investor in making an investment decision regarding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5" w:lineRule="exact"/>
        <w:rPr>
          <w:sz w:val="20"/>
          <w:szCs w:val="20"/>
          <w:color w:val="auto"/>
        </w:rPr>
      </w:pPr>
    </w:p>
    <w:p>
      <w:pPr>
        <w:ind w:left="300" w:hanging="292"/>
        <w:spacing w:after="0"/>
        <w:tabs>
          <w:tab w:leader="none" w:pos="300" w:val="left"/>
        </w:tabs>
        <w:numPr>
          <w:ilvl w:val="0"/>
          <w:numId w:val="75"/>
        </w:numPr>
        <w:rPr>
          <w:rFonts w:ascii="Calibri" w:cs="Calibri" w:eastAsia="Calibri" w:hAnsi="Calibri"/>
          <w:sz w:val="12"/>
          <w:szCs w:val="12"/>
          <w:color w:val="auto"/>
        </w:rPr>
      </w:pPr>
      <w:r>
        <w:rPr>
          <w:rFonts w:ascii="Times New Roman" w:cs="Times New Roman" w:eastAsia="Times New Roman" w:hAnsi="Times New Roman"/>
          <w:sz w:val="18"/>
          <w:szCs w:val="18"/>
          <w:color w:val="auto"/>
        </w:rPr>
        <w:t>In this Policy, the term “includes” means “includes, but is not limited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Covered Securities, or the information, if made public, likely would affect the market price of such Covered Securities.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Either positive or negative information may be material. It is important to remember that materiality will be judged with the benefit of hindsight. Therefore, questions you have concerning the materiality of particular information should be resolved in favor of assuming materiality unless advised otherwise by the Insider Trading Compliance Officer.</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may be material even if it relates to future, speculative or contingent events and even if it is significant only when considered in combination with publicly available information. Nonpublic information can be material even with respect to companies that do not have publicly traded stock. Determining whether something is material is a legal determination, and you should seek help from the Insider Trading Compliance Officer before making a materiality determination. Examples of information that may be material include:</w:t>
      </w:r>
    </w:p>
    <w:p>
      <w:pPr>
        <w:spacing w:after="0" w:line="179" w:lineRule="exact"/>
        <w:rPr>
          <w:sz w:val="20"/>
          <w:szCs w:val="20"/>
          <w:color w:val="auto"/>
        </w:rPr>
      </w:pPr>
    </w:p>
    <w:p>
      <w:pPr>
        <w:ind w:left="940" w:hanging="296"/>
        <w:spacing w:after="0"/>
        <w:tabs>
          <w:tab w:leader="none" w:pos="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or changes to previously released financial results or estimates;</w:t>
      </w:r>
    </w:p>
    <w:p>
      <w:pPr>
        <w:spacing w:after="0" w:line="27" w:lineRule="exact"/>
        <w:rPr>
          <w:rFonts w:ascii="Times New Roman" w:cs="Times New Roman" w:eastAsia="Times New Roman" w:hAnsi="Times New Roman"/>
          <w:sz w:val="22"/>
          <w:szCs w:val="22"/>
          <w:color w:val="auto"/>
        </w:rPr>
      </w:pPr>
    </w:p>
    <w:p>
      <w:pPr>
        <w:ind w:left="940" w:hanging="296"/>
        <w:spacing w:after="0"/>
        <w:tabs>
          <w:tab w:leader="none" w:pos="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information or earnings guidance;</w:t>
      </w:r>
    </w:p>
    <w:p>
      <w:pPr>
        <w:spacing w:after="0" w:line="6"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significant contracts;</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tender offer, joint venture or changes in assets;</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the disposition of significant assets;</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to the Company’s relationships with counterparties;</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announcements of a significant nature;</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investments or financings or developments regarding investments or financings;</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splits;</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senior securities, calls of securities for redemption or repurchase plans;</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Positive or negative developments in outstanding litigation or government actions;</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due to actual or threatened litigation;</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Write-downs and additions to reserves for contingencies;</w:t>
      </w:r>
    </w:p>
    <w:p>
      <w:pPr>
        <w:spacing w:after="0" w:line="17" w:lineRule="exact"/>
        <w:rPr>
          <w:rFonts w:ascii="Times New Roman" w:cs="Times New Roman" w:eastAsia="Times New Roman" w:hAnsi="Times New Roman"/>
          <w:sz w:val="22"/>
          <w:szCs w:val="22"/>
          <w:color w:val="auto"/>
        </w:rPr>
      </w:pPr>
    </w:p>
    <w:p>
      <w:pPr>
        <w:ind w:left="900" w:hanging="274"/>
        <w:spacing w:after="0"/>
        <w:tabs>
          <w:tab w:leader="none" w:pos="9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 or risk that may adversely impact the Company’s business, reputation or share value;</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operations;</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analyst recommendations or debt ratings;</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 or other financing transactions out of the ordinary course;</w:t>
      </w:r>
    </w:p>
    <w:p>
      <w:pPr>
        <w:spacing w:after="0" w:line="17"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auditor notification that the Company may no longer rely on an audit report;</w:t>
      </w:r>
    </w:p>
    <w:p>
      <w:pPr>
        <w:spacing w:after="0" w:line="18"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approvals or changes in regulations and any analysis of how they affect the Company; and</w:t>
      </w:r>
    </w:p>
    <w:p>
      <w:pPr>
        <w:spacing w:after="0" w:line="29" w:lineRule="exact"/>
        <w:rPr>
          <w:rFonts w:ascii="Times New Roman" w:cs="Times New Roman" w:eastAsia="Times New Roman" w:hAnsi="Times New Roman"/>
          <w:sz w:val="22"/>
          <w:szCs w:val="22"/>
          <w:color w:val="auto"/>
        </w:rPr>
      </w:pPr>
    </w:p>
    <w:p>
      <w:pPr>
        <w:ind w:left="920" w:hanging="294"/>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440" w:top="1440" w:right="399" w:bottom="1440" w:gutter="0" w:footer="0" w:header="0"/>
        </w:sectPr>
      </w:pPr>
    </w:p>
    <w:bookmarkStart w:id="118" w:name="page119"/>
    <w:bookmarkEnd w:id="118"/>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Nonpublic information is information that has not been previously disclosed to the general public and is otherwise not available to the general public. In order for information to be considered public, it must be widely disseminated in a manner making it generally available to investors, such as by a press release by the Company, a filing with the SEC or, in certain circumstances, posting on the Company’s website. The circulation of rumors, even if accurate and reported in the media, may not constitute effective public dissemination, and you should presume that information is nonpublic unless you can point to the official release of that information by the Company. Even after nonpublic information has been disclosed, a reasonable period of time must elapse in order for the market to digest the information. Like the assessment of materiality, determining whether information is “public” is a legal determination, and you should seek help in making this determination from the Insider Trading Compliance Officer.</w:t>
      </w:r>
    </w:p>
    <w:p>
      <w:pPr>
        <w:spacing w:after="0" w:line="176" w:lineRule="exact"/>
        <w:rPr>
          <w:sz w:val="20"/>
          <w:szCs w:val="20"/>
          <w:color w:val="auto"/>
        </w:rPr>
      </w:pPr>
    </w:p>
    <w:p>
      <w:pPr>
        <w:ind w:left="540" w:hanging="524"/>
        <w:spacing w:after="0"/>
        <w:tabs>
          <w:tab w:leader="none" w:pos="54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Prohibition Against Trading While in Possession of Material Nonpublic Information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 Covered Person shall engage in any Transaction involving Covered Securities during any time that he or she is in possession of Material Nonpublic Information concerning the Company or its securities.</w:t>
      </w:r>
    </w:p>
    <w:p>
      <w:pPr>
        <w:spacing w:after="0" w:line="158" w:lineRule="exact"/>
        <w:rPr>
          <w:sz w:val="20"/>
          <w:szCs w:val="20"/>
          <w:color w:val="auto"/>
        </w:rPr>
      </w:pPr>
    </w:p>
    <w:p>
      <w:pPr>
        <w:jc w:val="both"/>
        <w:ind w:left="20"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Transactions that may be necessary or justifiable for independent reasons (such as the need to raise money for an emergency expenditure)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exempt from this Policy. Securities laws do not recognize such mitigating circumstances, and, in any event, even the appearance of an improper transaction must be avoided to preserve the Company’s reputation for adhering to the highest standards of conduct.</w:t>
      </w:r>
    </w:p>
    <w:p>
      <w:pPr>
        <w:spacing w:after="0" w:line="159"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Confidentiality of Nonpublic Information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left="20" w:firstLine="648"/>
        <w:spacing w:after="0" w:line="268" w:lineRule="auto"/>
        <w:rPr>
          <w:sz w:val="20"/>
          <w:szCs w:val="20"/>
          <w:color w:val="auto"/>
        </w:rPr>
      </w:pPr>
      <w:r>
        <w:rPr>
          <w:rFonts w:ascii="Times New Roman" w:cs="Times New Roman" w:eastAsia="Times New Roman" w:hAnsi="Times New Roman"/>
          <w:sz w:val="21"/>
          <w:szCs w:val="21"/>
          <w:color w:val="auto"/>
        </w:rPr>
        <w:t>Nonpublic information relating to the Company is the property of the Company, and the unauthorized disclosure of such information is prohibited. In the event any Covered Person receives any inquiry from outside the Company, such as a stock analyst, for information (particularly financial results and/or projections), the inquiry should be referred to the Insider Trading Compliance Officer or the Company’s Head of Investor Relations, who will be responsible for coordinating and overseeing the release of such information to the investing public, analysts and others in compliance with applicable laws and regulations.</w:t>
      </w:r>
    </w:p>
    <w:p>
      <w:pPr>
        <w:spacing w:after="0" w:line="160" w:lineRule="exact"/>
        <w:rPr>
          <w:sz w:val="20"/>
          <w:szCs w:val="20"/>
          <w:color w:val="auto"/>
        </w:rPr>
      </w:pPr>
    </w:p>
    <w:p>
      <w:pPr>
        <w:ind w:left="420" w:hanging="404"/>
        <w:spacing w:after="0"/>
        <w:tabs>
          <w:tab w:leader="none" w:pos="4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Chat Rooms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20" w:right="20" w:firstLine="648"/>
        <w:spacing w:after="0" w:line="284" w:lineRule="auto"/>
        <w:rPr>
          <w:sz w:val="20"/>
          <w:szCs w:val="20"/>
          <w:color w:val="auto"/>
        </w:rPr>
      </w:pPr>
      <w:r>
        <w:rPr>
          <w:rFonts w:ascii="Times New Roman" w:cs="Times New Roman" w:eastAsia="Times New Roman" w:hAnsi="Times New Roman"/>
          <w:sz w:val="22"/>
          <w:szCs w:val="22"/>
          <w:color w:val="auto"/>
        </w:rPr>
        <w:t>Covered Persons may not discuss the Company or its businesses in Internet “chat rooms,” social networking sites or similar public or internet-based forums.</w:t>
      </w:r>
    </w:p>
    <w:p>
      <w:pPr>
        <w:spacing w:after="0" w:line="126"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Tipping</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left="20" w:right="20" w:firstLine="648"/>
        <w:spacing w:after="0" w:line="257" w:lineRule="auto"/>
        <w:rPr>
          <w:sz w:val="20"/>
          <w:szCs w:val="20"/>
          <w:color w:val="auto"/>
        </w:rPr>
      </w:pPr>
      <w:r>
        <w:rPr>
          <w:rFonts w:ascii="Times New Roman" w:cs="Times New Roman" w:eastAsia="Times New Roman" w:hAnsi="Times New Roman"/>
          <w:sz w:val="22"/>
          <w:szCs w:val="22"/>
          <w:color w:val="auto"/>
        </w:rPr>
        <w:t>No Covered Person shall “tip” Material Nonpublic Information about the Company to any other person (including family members), nor shall any Covered Person make recommendations or express opinions on the basis of Material Nonpublic Information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00"/>
          </w:cols>
          <w:pgMar w:left="420" w:top="1440" w:right="379" w:bottom="1440" w:gutter="0" w:footer="0" w:header="0"/>
        </w:sectPr>
      </w:pPr>
    </w:p>
    <w:bookmarkStart w:id="119" w:name="page120"/>
    <w:bookmarkEnd w:id="119"/>
    <w:p>
      <w:pPr>
        <w:spacing w:after="0" w:line="21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trading in any Covered Security. A violation of securities laws can result in civil or criminal penalties for the primary violator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person who trades in possession of Material Nonpublic Information) and for any person who “tips” or otherwise aids the primary violator.</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Post-Termination Transactions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No Covered Person who has terminated his or her employment or relationship with the Company may trade in Covered Securities until the later of: (i) the passage of two full Trading Days following the date of public disclosure of the Company’s financial results for that particular fiscal quarter or year or (ii) the date on which the Covered Person is no longer in possession of Material Nonpublic Information concerning the Company.</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Designation of Section 16 Individuals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The Board of Directors has determined the officers that are subject to the reporting and liability provisions of Section 16 of the Securities Exchange Act of 1934, as amended (the “Exchange Act”) and the rules and regulations promulgated thereunder (“Section 16 Individuals”), with respect to the Company’s securities. In addition, all members of the Company’s Board of Directors are Section 16 Individuals. The Insider Trading Compliance Officer will periodically determine which of the Company’s officers qualify as Section 16 Individuals.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References in the Policy to Section 16 Individuals do not include persons who are subject to the reporting and liability provisions of Section 16 of the Exchange Act (“Section 16”) solely by virtue of their equity ownership in the Company.</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Trading Window</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Covered Persons are prohibited from engaging in any Transaction in any Covered Security except during an open trading window. The trading window for the Company will be scheduled to open at the beginning of the first Trading Day following the date of public disclosure of the Company’s financial results for a particular fiscal quarter or year. The trading window will be scheduled to close at the end of the last day of the second month of the quarter in which the window opened. The Insider Trading Compliance Officer, however, may modify the scheduled opening or closing dates of the trading window using his or her reasonable judgment.</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As used herein, the term “Trading Day” shall mean a day on which the Nasdaq Stock Market is open for trading, commencing at the time trading begins on such day and ending at the end of the regular trading session on such day.</w:t>
      </w:r>
    </w:p>
    <w:p>
      <w:pPr>
        <w:spacing w:after="0" w:line="14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The Company, at the sole discretion of the Insider Trading Compliance Officer, shall have the right to (a) decline to open the window or otherwise prohibit trading in some or all Covered Securities for some or all Covered Persons at a time when the trading window would otherwise be open, (b) open the trading window for some or all Covered Persons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440" w:top="1440" w:right="379" w:bottom="1440" w:gutter="0" w:footer="0" w:header="0"/>
        </w:sectPr>
      </w:pPr>
    </w:p>
    <w:bookmarkStart w:id="120" w:name="page121"/>
    <w:bookmarkEnd w:id="120"/>
    <w:p>
      <w:pPr>
        <w:spacing w:after="0" w:line="212" w:lineRule="exact"/>
        <w:rPr>
          <w:sz w:val="20"/>
          <w:szCs w:val="20"/>
          <w:color w:val="auto"/>
        </w:rPr>
      </w:pPr>
    </w:p>
    <w:p>
      <w:pPr>
        <w:ind w:left="112" w:right="60"/>
        <w:spacing w:after="0" w:line="271" w:lineRule="auto"/>
        <w:rPr>
          <w:sz w:val="20"/>
          <w:szCs w:val="20"/>
          <w:color w:val="auto"/>
        </w:rPr>
      </w:pPr>
      <w:r>
        <w:rPr>
          <w:rFonts w:ascii="Times New Roman" w:cs="Times New Roman" w:eastAsia="Times New Roman" w:hAnsi="Times New Roman"/>
          <w:sz w:val="22"/>
          <w:szCs w:val="22"/>
          <w:color w:val="auto"/>
        </w:rPr>
        <w:t>allow trading in some or all Covered Securities by one or more Covered Persons at any time during which the trading window would otherwise be closed or (c) amend the Policy.</w:t>
      </w:r>
    </w:p>
    <w:p>
      <w:pPr>
        <w:spacing w:after="0" w:line="167" w:lineRule="exact"/>
        <w:rPr>
          <w:sz w:val="20"/>
          <w:szCs w:val="20"/>
          <w:color w:val="auto"/>
        </w:rPr>
      </w:pPr>
    </w:p>
    <w:p>
      <w:pPr>
        <w:ind w:left="532" w:hanging="429"/>
        <w:spacing w:after="0"/>
        <w:tabs>
          <w:tab w:leader="none" w:pos="532"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of Trades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112" w:right="60" w:firstLine="648"/>
        <w:spacing w:after="0" w:line="252" w:lineRule="auto"/>
        <w:rPr>
          <w:sz w:val="20"/>
          <w:szCs w:val="20"/>
          <w:color w:val="auto"/>
        </w:rPr>
      </w:pPr>
      <w:r>
        <w:rPr>
          <w:rFonts w:ascii="Times New Roman" w:cs="Times New Roman" w:eastAsia="Times New Roman" w:hAnsi="Times New Roman"/>
          <w:sz w:val="22"/>
          <w:szCs w:val="22"/>
          <w:color w:val="auto"/>
        </w:rPr>
        <w:t>Covered Persons must refrain from trading in any Covered Security, even during an open trading window, without first complying with the Company’s “pre-clearance” process. In particular, prior to trading in the Company’s securities, Covered Persons must notify the Insider Trading Compliance Officer prior to the proposed Transaction of the amount and nature of the proposed trade.</w:t>
      </w:r>
    </w:p>
    <w:p>
      <w:pPr>
        <w:spacing w:after="0" w:line="179" w:lineRule="exact"/>
        <w:rPr>
          <w:sz w:val="20"/>
          <w:szCs w:val="20"/>
          <w:color w:val="auto"/>
        </w:rPr>
      </w:pPr>
    </w:p>
    <w:p>
      <w:pPr>
        <w:jc w:val="both"/>
        <w:ind w:left="112" w:right="60" w:firstLine="648"/>
        <w:spacing w:after="0" w:line="284" w:lineRule="auto"/>
        <w:rPr>
          <w:sz w:val="20"/>
          <w:szCs w:val="20"/>
          <w:color w:val="auto"/>
        </w:rPr>
      </w:pPr>
      <w:r>
        <w:rPr>
          <w:rFonts w:ascii="Times New Roman" w:cs="Times New Roman" w:eastAsia="Times New Roman" w:hAnsi="Times New Roman"/>
          <w:sz w:val="22"/>
          <w:szCs w:val="22"/>
          <w:color w:val="auto"/>
        </w:rPr>
        <w:t>With respect to Section 16 Individuals: if a Section 16 Individual’s trade is approved, the Insider Trading Compliance Officer will facilitate the timely submission of regulatory filings,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as necessary.</w:t>
      </w:r>
    </w:p>
    <w:p>
      <w:pPr>
        <w:spacing w:after="0" w:line="58" w:lineRule="exact"/>
        <w:rPr>
          <w:sz w:val="20"/>
          <w:szCs w:val="20"/>
          <w:color w:val="auto"/>
        </w:rPr>
      </w:pPr>
    </w:p>
    <w:p>
      <w:pPr>
        <w:jc w:val="both"/>
        <w:ind w:left="112" w:right="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Even if the Insider Trading Compliance Officer pre-clears a trade, ultimate responsibility rests with the individual to ensure that he or she is not trading while in possession of Material Nonpublic Information.</w:t>
      </w:r>
    </w:p>
    <w:p>
      <w:pPr>
        <w:spacing w:after="0" w:line="149" w:lineRule="exact"/>
        <w:rPr>
          <w:sz w:val="20"/>
          <w:szCs w:val="20"/>
          <w:color w:val="auto"/>
        </w:rPr>
      </w:pPr>
    </w:p>
    <w:p>
      <w:pPr>
        <w:ind w:left="112"/>
        <w:spacing w:after="0"/>
        <w:tabs>
          <w:tab w:leader="none" w:pos="592"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u w:val="single" w:color="auto"/>
          <w:color w:val="auto"/>
        </w:rPr>
        <w:t>Gifts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Covered Persons must pre-clear any gift of Covered Securities.</w:t>
      </w:r>
    </w:p>
    <w:p>
      <w:pPr>
        <w:spacing w:after="0" w:line="216" w:lineRule="exact"/>
        <w:rPr>
          <w:sz w:val="20"/>
          <w:szCs w:val="20"/>
          <w:color w:val="auto"/>
        </w:rPr>
      </w:pPr>
    </w:p>
    <w:p>
      <w:pPr>
        <w:ind w:left="112"/>
        <w:spacing w:after="0"/>
        <w:tabs>
          <w:tab w:leader="none" w:pos="692" w:val="left"/>
        </w:tabs>
        <w:rPr>
          <w:sz w:val="20"/>
          <w:szCs w:val="20"/>
          <w:color w:val="auto"/>
        </w:rPr>
      </w:pPr>
      <w:r>
        <w:rPr>
          <w:rFonts w:ascii="Times New Roman" w:cs="Times New Roman" w:eastAsia="Times New Roman" w:hAnsi="Times New Roman"/>
          <w:sz w:val="22"/>
          <w:szCs w:val="22"/>
          <w:b w:val="1"/>
          <w:bCs w:val="1"/>
          <w:color w:val="auto"/>
        </w:rPr>
        <w:t>XII.</w:t>
      </w:r>
      <w:r>
        <w:rPr>
          <w:sz w:val="20"/>
          <w:szCs w:val="20"/>
          <w:color w:val="auto"/>
        </w:rPr>
        <w:tab/>
      </w:r>
      <w:r>
        <w:rPr>
          <w:rFonts w:ascii="Times New Roman" w:cs="Times New Roman" w:eastAsia="Times New Roman" w:hAnsi="Times New Roman"/>
          <w:sz w:val="21"/>
          <w:szCs w:val="21"/>
          <w:b w:val="1"/>
          <w:bCs w:val="1"/>
          <w:u w:val="single" w:color="auto"/>
          <w:color w:val="auto"/>
        </w:rPr>
        <w:t>Transfer of Covered Securities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left="112" w:right="60" w:firstLine="648"/>
        <w:spacing w:after="0" w:line="250" w:lineRule="auto"/>
        <w:rPr>
          <w:sz w:val="20"/>
          <w:szCs w:val="20"/>
          <w:color w:val="auto"/>
        </w:rPr>
      </w:pPr>
      <w:r>
        <w:rPr>
          <w:rFonts w:ascii="Times New Roman" w:cs="Times New Roman" w:eastAsia="Times New Roman" w:hAnsi="Times New Roman"/>
          <w:sz w:val="22"/>
          <w:szCs w:val="22"/>
          <w:color w:val="auto"/>
        </w:rPr>
        <w:t>Covered Persons must hold Covered Securities only in accounts for which: (a) all account activity is reported to the Legal and Compliance Department, and (b) the Covered Person makes all buy and sell decisions or, in the case of joint accounts, the Covered Person participates in all buy and sell decisions. Covered Persons may not transfer Covered Securities to accounts over which a third party has trading authority, including personal money managers, without the prior written approval of the Insider Trading Compliance Officer.</w:t>
      </w:r>
    </w:p>
    <w:p>
      <w:pPr>
        <w:spacing w:after="0" w:line="177" w:lineRule="exact"/>
        <w:rPr>
          <w:sz w:val="20"/>
          <w:szCs w:val="20"/>
          <w:color w:val="auto"/>
        </w:rPr>
      </w:pPr>
    </w:p>
    <w:p>
      <w:pPr>
        <w:ind w:left="112"/>
        <w:spacing w:after="0"/>
        <w:tabs>
          <w:tab w:leader="none" w:pos="772" w:val="left"/>
        </w:tabs>
        <w:rPr>
          <w:sz w:val="20"/>
          <w:szCs w:val="20"/>
          <w:color w:val="auto"/>
        </w:rPr>
      </w:pPr>
      <w:r>
        <w:rPr>
          <w:rFonts w:ascii="Times New Roman" w:cs="Times New Roman" w:eastAsia="Times New Roman" w:hAnsi="Times New Roman"/>
          <w:sz w:val="22"/>
          <w:szCs w:val="22"/>
          <w:b w:val="1"/>
          <w:bCs w:val="1"/>
          <w:color w:val="auto"/>
        </w:rPr>
        <w:t>XIII.</w:t>
      </w:r>
      <w:r>
        <w:rPr>
          <w:sz w:val="20"/>
          <w:szCs w:val="20"/>
          <w:color w:val="auto"/>
        </w:rPr>
        <w:tab/>
      </w:r>
      <w:r>
        <w:rPr>
          <w:rFonts w:ascii="Times New Roman" w:cs="Times New Roman" w:eastAsia="Times New Roman" w:hAnsi="Times New Roman"/>
          <w:sz w:val="21"/>
          <w:szCs w:val="21"/>
          <w:b w:val="1"/>
          <w:bCs w:val="1"/>
          <w:u w:val="single" w:color="auto"/>
          <w:color w:val="auto"/>
        </w:rPr>
        <w:t>Prohibited Transactions</w:t>
      </w:r>
      <w:r>
        <w:rPr>
          <w:rFonts w:ascii="Times New Roman" w:cs="Times New Roman" w:eastAsia="Times New Roman" w:hAnsi="Times New Roman"/>
          <w:sz w:val="21"/>
          <w:szCs w:val="21"/>
          <w:b w:val="1"/>
          <w:bCs w:val="1"/>
          <w:color w:val="auto"/>
        </w:rPr>
        <w:t>.</w:t>
      </w:r>
    </w:p>
    <w:p>
      <w:pPr>
        <w:spacing w:after="0" w:line="206" w:lineRule="exact"/>
        <w:rPr>
          <w:sz w:val="20"/>
          <w:szCs w:val="20"/>
          <w:color w:val="auto"/>
        </w:rPr>
      </w:pPr>
    </w:p>
    <w:p>
      <w:pPr>
        <w:ind w:left="1112" w:hanging="383"/>
        <w:spacing w:after="0"/>
        <w:tabs>
          <w:tab w:leader="none" w:pos="111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Short Sales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752" w:right="60" w:firstLine="648"/>
        <w:spacing w:after="0" w:line="271" w:lineRule="auto"/>
        <w:rPr>
          <w:sz w:val="20"/>
          <w:szCs w:val="20"/>
          <w:color w:val="auto"/>
        </w:rPr>
      </w:pPr>
      <w:r>
        <w:rPr>
          <w:rFonts w:ascii="Times New Roman" w:cs="Times New Roman" w:eastAsia="Times New Roman" w:hAnsi="Times New Roman"/>
          <w:sz w:val="22"/>
          <w:szCs w:val="22"/>
          <w:color w:val="auto"/>
        </w:rPr>
        <w:t>Pursuant to this Policy, no Covered Person shall engage in a short sale of any Covered Security, even during an open trading window. A short sale is a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14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1" w:lineRule="exact"/>
        <w:rPr>
          <w:sz w:val="20"/>
          <w:szCs w:val="20"/>
          <w:color w:val="auto"/>
        </w:rPr>
      </w:pPr>
    </w:p>
    <w:p>
      <w:pPr>
        <w:jc w:val="both"/>
        <w:ind w:left="332" w:hanging="332"/>
        <w:spacing w:after="0" w:line="244" w:lineRule="auto"/>
        <w:tabs>
          <w:tab w:leader="none" w:pos="298"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Section 16 Individuals are typically required to submit an initial Form 3 upon becoming a Section 16 Individual, and make additional filings on Form 4 at the time of effecting most Transactions to reflect changes in beneficial ownership. A Form 4 must be filed within two business days after a reportable transaction. A Form 5 is required to be filed at the end of the year to report any unreported transactions. The Company is required to disclose any delinquent filings by Section 16 Individuals in its annual proxy statement. Additionally, Form 144 is required to be filed in advance of the proposed sale of (i) restricted securities or (ii) securities held by an affiliate of the Company if the amount to be sold during any three-month period exceeds 5,000 shares or has an aggregate sale price in excess of $50,000. All Section 16 Individuals selling securities by relying on Rule 144 must comply with Rule 144.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32"/>
          </w:cols>
          <w:pgMar w:left="328" w:top="1440" w:right="339" w:bottom="1440" w:gutter="0" w:footer="0" w:header="0"/>
        </w:sectPr>
      </w:pPr>
    </w:p>
    <w:bookmarkStart w:id="121" w:name="page122"/>
    <w:bookmarkEnd w:id="121"/>
    <w:p>
      <w:pPr>
        <w:spacing w:after="0" w:line="212" w:lineRule="exact"/>
        <w:rPr>
          <w:sz w:val="20"/>
          <w:szCs w:val="20"/>
          <w:color w:val="auto"/>
        </w:rPr>
      </w:pPr>
    </w:p>
    <w:p>
      <w:pPr>
        <w:jc w:val="both"/>
        <w:ind w:left="640" w:right="20"/>
        <w:spacing w:after="0" w:line="263" w:lineRule="auto"/>
        <w:rPr>
          <w:sz w:val="20"/>
          <w:szCs w:val="20"/>
          <w:color w:val="auto"/>
        </w:rPr>
      </w:pPr>
      <w:r>
        <w:rPr>
          <w:rFonts w:ascii="Times New Roman" w:cs="Times New Roman" w:eastAsia="Times New Roman" w:hAnsi="Times New Roman"/>
          <w:sz w:val="22"/>
          <w:szCs w:val="22"/>
          <w:color w:val="auto"/>
        </w:rPr>
        <w:t>securities not owned by the seller or, if owned, not delivered against such sale within 20 days thereafter (a “short against the box”). Certain put and call options may in some instances constitute a short sale, and are therefore prohibited by this Policy.</w:t>
      </w:r>
    </w:p>
    <w:p>
      <w:pPr>
        <w:spacing w:after="0" w:line="167" w:lineRule="exact"/>
        <w:rPr>
          <w:sz w:val="20"/>
          <w:szCs w:val="20"/>
          <w:color w:val="auto"/>
        </w:rPr>
      </w:pPr>
    </w:p>
    <w:p>
      <w:pPr>
        <w:jc w:val="both"/>
        <w:ind w:left="640" w:right="20" w:firstLine="648"/>
        <w:spacing w:after="0" w:line="271" w:lineRule="auto"/>
        <w:rPr>
          <w:sz w:val="20"/>
          <w:szCs w:val="20"/>
          <w:color w:val="auto"/>
        </w:rPr>
      </w:pPr>
      <w:r>
        <w:rPr>
          <w:rFonts w:ascii="Times New Roman" w:cs="Times New Roman" w:eastAsia="Times New Roman" w:hAnsi="Times New Roman"/>
          <w:sz w:val="22"/>
          <w:szCs w:val="22"/>
          <w:color w:val="auto"/>
        </w:rPr>
        <w:t>Additionally, Section 16(c) of the Exchange Act explicitly prohibits officers, directors and certain shareholders of the Company that are subject to Section 16 from engaging in short sales.</w:t>
      </w:r>
    </w:p>
    <w:p>
      <w:pPr>
        <w:spacing w:after="0" w:line="140" w:lineRule="exact"/>
        <w:rPr>
          <w:sz w:val="20"/>
          <w:szCs w:val="20"/>
          <w:color w:val="auto"/>
        </w:rPr>
      </w:pPr>
    </w:p>
    <w:p>
      <w:pPr>
        <w:ind w:left="1020" w:hanging="381"/>
        <w:spacing w:after="0"/>
        <w:tabs>
          <w:tab w:leader="none" w:pos="10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Options and Certain Derivatives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a security. Therefore, a transaction by a Covered Person in options relating to Covered Securities may create the appearance that the trade is based on Material Nonpublic Information. In addition, transactions in options also may focus the Covered Person’s attention on short-term performance at the expense of the applicable Covered Entity’s long-term objectives. Accordingly, any transaction in puts, calls or other derivative securities relating to a Covered Security, including transactions on an exchange or in any other organized market, are prohibited by this Policy. (The section below captioned “Hedging Transactions” governs option positions arising from certain types of hedging transactions.)</w:t>
      </w:r>
    </w:p>
    <w:p>
      <w:pPr>
        <w:spacing w:after="0" w:line="163" w:lineRule="exact"/>
        <w:rPr>
          <w:sz w:val="20"/>
          <w:szCs w:val="20"/>
          <w:color w:val="auto"/>
        </w:rPr>
      </w:pPr>
    </w:p>
    <w:p>
      <w:pPr>
        <w:ind w:left="1020" w:hanging="376"/>
        <w:spacing w:after="0"/>
        <w:tabs>
          <w:tab w:leader="none" w:pos="10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Reinvestment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Automatic dividend reinvestment into additional shares of the Company is prohibited under this Policy.</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Dividends paid by the Company must be received as cash.</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XIV.</w:t>
      </w:r>
      <w:r>
        <w:rPr>
          <w:sz w:val="20"/>
          <w:szCs w:val="20"/>
          <w:color w:val="auto"/>
        </w:rPr>
        <w:tab/>
      </w:r>
      <w:r>
        <w:rPr>
          <w:rFonts w:ascii="Times New Roman" w:cs="Times New Roman" w:eastAsia="Times New Roman" w:hAnsi="Times New Roman"/>
          <w:sz w:val="21"/>
          <w:szCs w:val="21"/>
          <w:b w:val="1"/>
          <w:bCs w:val="1"/>
          <w:u w:val="single" w:color="auto"/>
          <w:color w:val="auto"/>
        </w:rPr>
        <w:t>Hedging Transactions; Margin Accounts and Pledges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As a general rule, Covered Persons are prohibited from hedging, margining or pledging Covered Securities; however, the Insider Trading Compliance Officer may grant exceptions under limited circumstances. Covered Persons must submit pre-clearance requests to the Insider Trading Compliance Officer at least one week prior to the proposed execution of documents evidencing a transaction involving the hedging, margining or pledging of Covered Securities.</w:t>
      </w:r>
    </w:p>
    <w:p>
      <w:pPr>
        <w:spacing w:after="0" w:line="159" w:lineRule="exact"/>
        <w:rPr>
          <w:sz w:val="20"/>
          <w:szCs w:val="20"/>
          <w:color w:val="auto"/>
        </w:rPr>
      </w:pPr>
    </w:p>
    <w:p>
      <w:pPr>
        <w:ind w:left="1020" w:hanging="376"/>
        <w:spacing w:after="0"/>
        <w:tabs>
          <w:tab w:leader="none" w:pos="10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Hedging Transactions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22"/>
          <w:szCs w:val="22"/>
          <w:color w:val="auto"/>
        </w:rPr>
        <w:t>Certain forms of hedging or monetization transactions allow an investor to lock in much of the value of his or her shares, often in exchange for all or part of the potential for upside appreciation. Hedging transactions include (but are not limited to) collars, equity swaps, exchange funds and prepaid variable forward sale contracts. These transactions allow investors to continue to own the securities, but without the full risks and rewards of ownership. When that occurs, an investor may no longer have the same objectives as the issuer’s other shareholders. Therefore, Covered Persons are prohibited from entering into hedging transactions related to Covered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0"/>
          </w:cols>
          <w:pgMar w:left="440" w:top="1440" w:right="379" w:bottom="1440" w:gutter="0" w:footer="0" w:header="0"/>
        </w:sectPr>
      </w:pPr>
    </w:p>
    <w:bookmarkStart w:id="122" w:name="page123"/>
    <w:bookmarkEnd w:id="122"/>
    <w:p>
      <w:pPr>
        <w:spacing w:after="0" w:line="208" w:lineRule="exact"/>
        <w:rPr>
          <w:sz w:val="20"/>
          <w:szCs w:val="20"/>
          <w:color w:val="auto"/>
        </w:rPr>
      </w:pPr>
    </w:p>
    <w:p>
      <w:pPr>
        <w:ind w:left="1020" w:hanging="376"/>
        <w:spacing w:after="0"/>
        <w:tabs>
          <w:tab w:leader="none" w:pos="102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Margin Accounts and Pledges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Securities that are margined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Covered Securities, Covered Persons are prohibited from margining Covered Securities or pledging Covered Securities as collateral for a loan.</w:t>
      </w:r>
    </w:p>
    <w:p>
      <w:pPr>
        <w:spacing w:after="0" w:line="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XV.</w:t>
      </w:r>
      <w:r>
        <w:rPr>
          <w:sz w:val="20"/>
          <w:szCs w:val="20"/>
          <w:color w:val="auto"/>
        </w:rPr>
        <w:tab/>
      </w:r>
      <w:r>
        <w:rPr>
          <w:rFonts w:ascii="Times New Roman" w:cs="Times New Roman" w:eastAsia="Times New Roman" w:hAnsi="Times New Roman"/>
          <w:sz w:val="21"/>
          <w:szCs w:val="21"/>
          <w:b w:val="1"/>
          <w:bCs w:val="1"/>
          <w:u w:val="single" w:color="auto"/>
          <w:color w:val="auto"/>
        </w:rPr>
        <w:t>Policy Exceptions</w:t>
      </w:r>
      <w:r>
        <w:rPr>
          <w:rFonts w:ascii="Times New Roman" w:cs="Times New Roman" w:eastAsia="Times New Roman" w:hAnsi="Times New Roman"/>
          <w:sz w:val="21"/>
          <w:szCs w:val="21"/>
          <w:b w:val="1"/>
          <w:bCs w:val="1"/>
          <w:color w:val="auto"/>
        </w:rPr>
        <w:t>.</w:t>
      </w:r>
    </w:p>
    <w:p>
      <w:pPr>
        <w:spacing w:after="0" w:line="178" w:lineRule="exact"/>
        <w:rPr>
          <w:sz w:val="20"/>
          <w:szCs w:val="20"/>
          <w:color w:val="auto"/>
        </w:rPr>
      </w:pPr>
    </w:p>
    <w:p>
      <w:pPr>
        <w:ind w:left="1020" w:hanging="376"/>
        <w:spacing w:after="0"/>
        <w:tabs>
          <w:tab w:leader="none" w:pos="10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Rule 10b5-1 Trading Plan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left="640" w:right="20" w:firstLine="648"/>
        <w:spacing w:after="0" w:line="263" w:lineRule="auto"/>
        <w:rPr>
          <w:sz w:val="20"/>
          <w:szCs w:val="20"/>
          <w:color w:val="auto"/>
        </w:rPr>
      </w:pPr>
      <w:r>
        <w:rPr>
          <w:rFonts w:ascii="Times New Roman" w:cs="Times New Roman" w:eastAsia="Times New Roman" w:hAnsi="Times New Roman"/>
          <w:sz w:val="21"/>
          <w:szCs w:val="21"/>
          <w:color w:val="auto"/>
        </w:rPr>
        <w:t>This Policy does not apply to Transactions made pursuant a written trading plan that was entered into in good faith and that complies with the requirements of Rule 10b5-1 of the Exchange Act (including specified waiting periods and limitations on multiple overlapping plans and single trade plans). Any Covered Person desiring to enter into a Rule 10b5-1 Trading Plan should contact the Insider Trading Compliance Officer for guidance on establishing the plan. Such plans may only be established (and thereafter may only be amended) at a time when the (i) Covered Person is not in possession of Material Nonpublic Information about the Company and (ii) the Company’s trading window is open.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XVI.</w:t>
      </w:r>
      <w:r>
        <w:rPr>
          <w:sz w:val="20"/>
          <w:szCs w:val="20"/>
          <w:color w:val="auto"/>
        </w:rPr>
        <w:tab/>
      </w:r>
      <w:r>
        <w:rPr>
          <w:rFonts w:ascii="Times New Roman" w:cs="Times New Roman" w:eastAsia="Times New Roman" w:hAnsi="Times New Roman"/>
          <w:sz w:val="21"/>
          <w:szCs w:val="21"/>
          <w:b w:val="1"/>
          <w:bCs w:val="1"/>
          <w:u w:val="single" w:color="auto"/>
          <w:color w:val="auto"/>
        </w:rPr>
        <w:t>Applicability of Policy to Other Companies’ Material Nonpublic Information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The Policy also applies to Material Nonpublic Information relating to other companies, including the Company’s investors, vendors or suppliers (“Business Partners”), when that information is obtained in the course of employment with, or other services performed on behalf of, the Company. Civil and criminal penalties, and termination of employment, may result from trading while in possession of Material Nonpublic Information regarding the Company’s Business Partners. All Covered Persons should treat Material Nonpublic Information about the Company’s Business Partners with the same care required with respect to the Company’s Material Nonpublic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XVII. </w:t>
      </w:r>
      <w:r>
        <w:rPr>
          <w:rFonts w:ascii="Times New Roman" w:cs="Times New Roman" w:eastAsia="Times New Roman" w:hAnsi="Times New Roman"/>
          <w:sz w:val="22"/>
          <w:szCs w:val="22"/>
          <w:b w:val="1"/>
          <w:bCs w:val="1"/>
          <w:u w:val="single" w:color="auto"/>
          <w:color w:val="auto"/>
        </w:rPr>
        <w:t>Duties of the Insider Trading Compliance Officer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Insider Trading Compliance Officer’s duties include the following:</w:t>
      </w:r>
    </w:p>
    <w:p>
      <w:pPr>
        <w:spacing w:after="0" w:line="220" w:lineRule="exact"/>
        <w:rPr>
          <w:sz w:val="20"/>
          <w:szCs w:val="20"/>
          <w:color w:val="auto"/>
        </w:rPr>
      </w:pPr>
    </w:p>
    <w:p>
      <w:pPr>
        <w:ind w:left="1300" w:right="20" w:hanging="656"/>
        <w:spacing w:after="0" w:line="272" w:lineRule="auto"/>
        <w:tabs>
          <w:tab w:leader="none" w:pos="107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Overseeing the pre-clearance of Transactions involving Covered Securities by Covered Persons in order to monitor compliance with the Policy, insider trading laws, Section 16 and Rule 144 promulgated under the Securities Act of 1933, as amended. The Insider Trading Compliance Officer may consult with outside counsel on such matters as he deems appropriate and is entitled to rely conclusively on any advice provided by such outside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440" w:top="1440" w:right="379" w:bottom="1440" w:gutter="0" w:footer="0" w:header="0"/>
        </w:sectPr>
      </w:pPr>
    </w:p>
    <w:bookmarkStart w:id="123" w:name="page124"/>
    <w:bookmarkEnd w:id="123"/>
    <w:p>
      <w:pPr>
        <w:spacing w:after="0" w:line="212" w:lineRule="exact"/>
        <w:rPr>
          <w:sz w:val="20"/>
          <w:szCs w:val="20"/>
          <w:color w:val="auto"/>
        </w:rPr>
      </w:pPr>
    </w:p>
    <w:p>
      <w:pPr>
        <w:ind w:left="1300" w:hanging="656"/>
        <w:spacing w:after="0" w:line="271" w:lineRule="auto"/>
        <w:tabs>
          <w:tab w:leader="none" w:pos="11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Ensuring the timely preparation and filing of Section 16 Individuals’ Section 16 reports (Forms 3, 4 and 5) with respect to securities of FTAI Aviation Ltd., including appointment as attorney-in-fact.</w:t>
      </w:r>
    </w:p>
    <w:p>
      <w:pPr>
        <w:spacing w:after="0" w:line="171" w:lineRule="exact"/>
        <w:rPr>
          <w:rFonts w:ascii="Times New Roman" w:cs="Times New Roman" w:eastAsia="Times New Roman" w:hAnsi="Times New Roman"/>
          <w:sz w:val="22"/>
          <w:szCs w:val="22"/>
          <w:b w:val="1"/>
          <w:bCs w:val="1"/>
          <w:color w:val="auto"/>
        </w:rPr>
      </w:pPr>
    </w:p>
    <w:p>
      <w:pPr>
        <w:ind w:left="1060" w:hanging="416"/>
        <w:spacing w:after="0"/>
        <w:tabs>
          <w:tab w:leader="none" w:pos="10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Serving as the designated recipient at the Company of copies of reports filed with the SEC.</w:t>
      </w:r>
    </w:p>
    <w:p>
      <w:pPr>
        <w:spacing w:after="0" w:line="219" w:lineRule="exact"/>
        <w:rPr>
          <w:rFonts w:ascii="Times New Roman" w:cs="Times New Roman" w:eastAsia="Times New Roman" w:hAnsi="Times New Roman"/>
          <w:sz w:val="22"/>
          <w:szCs w:val="22"/>
          <w:b w:val="1"/>
          <w:bCs w:val="1"/>
          <w:color w:val="auto"/>
        </w:rPr>
      </w:pPr>
    </w:p>
    <w:p>
      <w:pPr>
        <w:ind w:left="1300" w:hanging="656"/>
        <w:spacing w:after="0" w:line="271" w:lineRule="auto"/>
        <w:tabs>
          <w:tab w:leader="none" w:pos="121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Overseeing circulation of the Policy (and/or a summary thereof) and appropriate training with respect to the matters addressed herein.</w:t>
      </w:r>
    </w:p>
    <w:p>
      <w:pPr>
        <w:spacing w:after="0" w:line="117" w:lineRule="exact"/>
        <w:rPr>
          <w:rFonts w:ascii="Times New Roman" w:cs="Times New Roman" w:eastAsia="Times New Roman" w:hAnsi="Times New Roman"/>
          <w:sz w:val="22"/>
          <w:szCs w:val="22"/>
          <w:b w:val="1"/>
          <w:bCs w:val="1"/>
          <w:color w:val="auto"/>
        </w:rPr>
      </w:pPr>
    </w:p>
    <w:p>
      <w:pPr>
        <w:ind w:left="1060" w:hanging="416"/>
        <w:spacing w:after="0"/>
        <w:tabs>
          <w:tab w:leader="none" w:pos="10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Assisting the Company in implementing the Policy.</w:t>
      </w:r>
    </w:p>
    <w:p>
      <w:pPr>
        <w:spacing w:after="0" w:line="233" w:lineRule="exact"/>
        <w:rPr>
          <w:rFonts w:ascii="Times New Roman" w:cs="Times New Roman" w:eastAsia="Times New Roman" w:hAnsi="Times New Roman"/>
          <w:sz w:val="22"/>
          <w:szCs w:val="22"/>
          <w:b w:val="1"/>
          <w:bCs w:val="1"/>
          <w:color w:val="auto"/>
        </w:rPr>
      </w:pPr>
    </w:p>
    <w:p>
      <w:pPr>
        <w:ind w:left="1300" w:hanging="656"/>
        <w:spacing w:after="0" w:line="252" w:lineRule="auto"/>
        <w:tabs>
          <w:tab w:leader="none" w:pos="121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Insider Trading Compliance Officer deems appropriate, coordinating with outside counsel regarding compliance activities, including with respect to Rule 144 requirements and regarding changing requirements and recommendations for compliance with Section 16 and insider trading laws to ensure that the Policy is amended as necessary to comply with such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XVIII. </w:t>
      </w:r>
      <w:r>
        <w:rPr>
          <w:rFonts w:ascii="Times New Roman" w:cs="Times New Roman" w:eastAsia="Times New Roman" w:hAnsi="Times New Roman"/>
          <w:sz w:val="22"/>
          <w:szCs w:val="22"/>
          <w:b w:val="1"/>
          <w:bCs w:val="1"/>
          <w:u w:val="single" w:color="auto"/>
          <w:color w:val="auto"/>
        </w:rPr>
        <w:t>Potential Criminal and Civil Liability and/or Disciplinary Action</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1020" w:hanging="376"/>
        <w:spacing w:after="0"/>
        <w:tabs>
          <w:tab w:leader="none" w:pos="10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Liability for Insider Trading</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Pursuant to federal and state securities laws, Covered Persons may be subject to penalties of up to $5,000,000 and up to 20 years in jail for transacting in any Covered Security at a time when they have knowledge of Material Nonpublic Information regarding the Company.</w:t>
      </w:r>
    </w:p>
    <w:p>
      <w:pPr>
        <w:spacing w:after="0" w:line="169" w:lineRule="exact"/>
        <w:rPr>
          <w:sz w:val="20"/>
          <w:szCs w:val="20"/>
          <w:color w:val="auto"/>
        </w:rPr>
      </w:pPr>
    </w:p>
    <w:p>
      <w:pPr>
        <w:ind w:left="1020" w:hanging="376"/>
        <w:spacing w:after="0"/>
        <w:tabs>
          <w:tab w:leader="none" w:pos="10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Liability for Tipping</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22"/>
          <w:szCs w:val="22"/>
          <w:color w:val="auto"/>
        </w:rPr>
        <w:t>Covered Persons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the applicable Covered Securities. The SEC has imposed large penalties even when the disclosing person did not profit from the trading.</w:t>
      </w:r>
    </w:p>
    <w:p>
      <w:pPr>
        <w:spacing w:after="0" w:line="159" w:lineRule="exact"/>
        <w:rPr>
          <w:sz w:val="20"/>
          <w:szCs w:val="20"/>
          <w:color w:val="auto"/>
        </w:rPr>
      </w:pPr>
    </w:p>
    <w:p>
      <w:pPr>
        <w:ind w:left="1020" w:hanging="376"/>
        <w:spacing w:after="0"/>
        <w:tabs>
          <w:tab w:leader="none" w:pos="102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Liability of Control Persons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640" w:firstLine="648"/>
        <w:spacing w:after="0" w:line="271" w:lineRule="auto"/>
        <w:rPr>
          <w:sz w:val="20"/>
          <w:szCs w:val="20"/>
          <w:color w:val="auto"/>
        </w:rPr>
      </w:pPr>
      <w:r>
        <w:rPr>
          <w:rFonts w:ascii="Times New Roman" w:cs="Times New Roman" w:eastAsia="Times New Roman" w:hAnsi="Times New Roman"/>
          <w:sz w:val="22"/>
          <w:szCs w:val="22"/>
          <w:color w:val="auto"/>
        </w:rPr>
        <w:t>If any Covered Entity or its supervisory personnel fail to take appropriate steps to prevent insider trading, they may be subject to the following penalties:</w:t>
      </w:r>
    </w:p>
    <w:p>
      <w:pPr>
        <w:spacing w:after="0" w:line="171" w:lineRule="exact"/>
        <w:rPr>
          <w:sz w:val="20"/>
          <w:szCs w:val="20"/>
          <w:color w:val="auto"/>
        </w:rPr>
      </w:pPr>
    </w:p>
    <w:p>
      <w:pPr>
        <w:ind w:left="1840" w:hanging="548"/>
        <w:spacing w:after="0" w:line="271" w:lineRule="auto"/>
        <w:tabs>
          <w:tab w:leader="none" w:pos="168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$2,500,000 or, if greater, three times the profit gained or loss avoided as a result of the employee’s violation; and</w:t>
      </w:r>
    </w:p>
    <w:p>
      <w:pPr>
        <w:spacing w:after="0" w:line="157" w:lineRule="exact"/>
        <w:rPr>
          <w:rFonts w:ascii="Times New Roman" w:cs="Times New Roman" w:eastAsia="Times New Roman" w:hAnsi="Times New Roman"/>
          <w:sz w:val="22"/>
          <w:szCs w:val="22"/>
          <w:color w:val="auto"/>
        </w:rPr>
      </w:pPr>
    </w:p>
    <w:p>
      <w:pPr>
        <w:ind w:left="1660" w:hanging="368"/>
        <w:spacing w:after="0"/>
        <w:tabs>
          <w:tab w:leader="none" w:pos="1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penalty of up to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60"/>
          </w:cols>
          <w:pgMar w:left="440" w:top="1440" w:right="399" w:bottom="1440" w:gutter="0" w:footer="0" w:header="0"/>
        </w:sectPr>
      </w:pPr>
    </w:p>
    <w:bookmarkStart w:id="124" w:name="page125"/>
    <w:bookmarkEnd w:id="124"/>
    <w:p>
      <w:pPr>
        <w:spacing w:after="0" w:line="212"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22"/>
          <w:szCs w:val="22"/>
          <w:color w:val="auto"/>
        </w:rPr>
        <w:t>In addition to penalties, firms or persons sanctioned for violations of securities laws may be limited from engaging in other types of business in the future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many regulated industries will not permit such firms or persons to engage in regulated activity). Further, for a person or entity to even be accused of securities law violations would have very damaging reputational effects on the person or entity.</w:t>
      </w:r>
    </w:p>
    <w:p>
      <w:pPr>
        <w:spacing w:after="0" w:line="172" w:lineRule="exact"/>
        <w:rPr>
          <w:sz w:val="20"/>
          <w:szCs w:val="20"/>
          <w:color w:val="auto"/>
        </w:rPr>
      </w:pPr>
    </w:p>
    <w:p>
      <w:pPr>
        <w:ind w:left="1040" w:hanging="376"/>
        <w:spacing w:after="0"/>
        <w:tabs>
          <w:tab w:leader="none" w:pos="104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Possible Disciplinary Actions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660" w:right="20" w:firstLine="648"/>
        <w:spacing w:after="0" w:line="271" w:lineRule="auto"/>
        <w:rPr>
          <w:sz w:val="20"/>
          <w:szCs w:val="20"/>
          <w:color w:val="auto"/>
        </w:rPr>
      </w:pPr>
      <w:r>
        <w:rPr>
          <w:rFonts w:ascii="Times New Roman" w:cs="Times New Roman" w:eastAsia="Times New Roman" w:hAnsi="Times New Roman"/>
          <w:sz w:val="22"/>
          <w:szCs w:val="22"/>
          <w:color w:val="auto"/>
        </w:rPr>
        <w:t>Covered Persons who violate this Policy shall be subject to disciplinary action by the Company, which may include ineligibility for future participation in the Company’s equity incentive plans or termination of employment.</w:t>
      </w:r>
    </w:p>
    <w:p>
      <w:pPr>
        <w:spacing w:after="0" w:line="154"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XIX.</w:t>
      </w:r>
      <w:r>
        <w:rPr>
          <w:sz w:val="20"/>
          <w:szCs w:val="20"/>
          <w:color w:val="auto"/>
        </w:rPr>
        <w:tab/>
      </w:r>
      <w:r>
        <w:rPr>
          <w:rFonts w:ascii="Times New Roman" w:cs="Times New Roman" w:eastAsia="Times New Roman" w:hAnsi="Times New Roman"/>
          <w:sz w:val="21"/>
          <w:szCs w:val="21"/>
          <w:b w:val="1"/>
          <w:bCs w:val="1"/>
          <w:u w:val="single" w:color="auto"/>
          <w:color w:val="auto"/>
        </w:rPr>
        <w:t>Reporting Violations/Inquiries</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Covered Persons should refer suspected violations of this Policy to the Insider Trading Compliance Officer. Any person who has a question about this Policy or its application may obtain additional guidance from the Insider Trading Compliance Officer. Ultimately, however, the responsibility for adhering to this Policy and avoiding unlawful transactions rests with the individual employee or other applicable individual.</w:t>
      </w:r>
    </w:p>
    <w:p>
      <w:pPr>
        <w:spacing w:after="0" w:line="159"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00"/>
          </w:cols>
          <w:pgMar w:left="420" w:top="1440" w:right="3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3"/>
        </w:trPr>
        <w:tc>
          <w:tcPr>
            <w:tcW w:w="7200" w:type="dxa"/>
            <w:vAlign w:val="bottom"/>
          </w:tcPr>
          <w:p>
            <w:pPr>
              <w:ind w:left="5180"/>
              <w:spacing w:after="0"/>
              <w:rPr>
                <w:sz w:val="20"/>
                <w:szCs w:val="20"/>
                <w:color w:val="auto"/>
              </w:rPr>
            </w:pPr>
            <w:r>
              <w:rPr>
                <w:rFonts w:ascii="Arial" w:cs="Arial" w:eastAsia="Arial" w:hAnsi="Arial"/>
                <w:sz w:val="16"/>
                <w:szCs w:val="16"/>
                <w:b w:val="1"/>
                <w:bCs w:val="1"/>
                <w:color w:val="auto"/>
              </w:rPr>
              <w:t>Exhibit 21.1</w:t>
            </w:r>
          </w:p>
        </w:tc>
        <w:tc>
          <w:tcPr>
            <w:tcW w:w="4040" w:type="dxa"/>
            <w:vAlign w:val="bottom"/>
          </w:tcPr>
          <w:p>
            <w:pPr>
              <w:spacing w:after="0"/>
              <w:rPr>
                <w:sz w:val="19"/>
                <w:szCs w:val="19"/>
                <w:color w:val="auto"/>
              </w:rPr>
            </w:pPr>
          </w:p>
        </w:tc>
      </w:tr>
      <w:tr>
        <w:trPr>
          <w:trHeight w:val="20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40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State of Incorporation/Formation</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1ET Bermuda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Bermuda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AirOpCo I SD Ireland DAC</w:t>
            </w:r>
          </w:p>
        </w:tc>
        <w:tc>
          <w:tcPr>
            <w:tcW w:w="4040" w:type="dxa"/>
            <w:vAlign w:val="bottom"/>
          </w:tcPr>
          <w:p>
            <w:pPr>
              <w:ind w:left="1120"/>
              <w:spacing w:after="0"/>
              <w:rPr>
                <w:sz w:val="20"/>
                <w:szCs w:val="20"/>
                <w:color w:val="auto"/>
              </w:rPr>
            </w:pPr>
            <w:r>
              <w:rPr>
                <w:rFonts w:ascii="Arial" w:cs="Arial" w:eastAsia="Arial" w:hAnsi="Arial"/>
                <w:sz w:val="14"/>
                <w:szCs w:val="14"/>
                <w:color w:val="auto"/>
              </w:rPr>
              <w:t>Ireland</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Falcon MSN 177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Financing Ireland (2025) DAC</w:t>
            </w:r>
          </w:p>
        </w:tc>
        <w:tc>
          <w:tcPr>
            <w:tcW w:w="4040" w:type="dxa"/>
            <w:vAlign w:val="bottom"/>
          </w:tcPr>
          <w:p>
            <w:pPr>
              <w:ind w:left="1120"/>
              <w:spacing w:after="0"/>
              <w:rPr>
                <w:sz w:val="20"/>
                <w:szCs w:val="20"/>
                <w:color w:val="auto"/>
              </w:rPr>
            </w:pPr>
            <w:r>
              <w:rPr>
                <w:rFonts w:ascii="Arial" w:cs="Arial" w:eastAsia="Arial" w:hAnsi="Arial"/>
                <w:sz w:val="14"/>
                <w:szCs w:val="14"/>
                <w:color w:val="auto"/>
              </w:rPr>
              <w:t>Ireland</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Financing US (2025)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(2025) GP, L.P.</w:t>
            </w:r>
          </w:p>
        </w:tc>
        <w:tc>
          <w:tcPr>
            <w:tcW w:w="4040" w:type="dxa"/>
            <w:vAlign w:val="bottom"/>
          </w:tcPr>
          <w:p>
            <w:pPr>
              <w:ind w:left="1120"/>
              <w:spacing w:after="0"/>
              <w:rPr>
                <w:sz w:val="20"/>
                <w:szCs w:val="20"/>
                <w:color w:val="auto"/>
              </w:rPr>
            </w:pPr>
            <w:r>
              <w:rPr>
                <w:rFonts w:ascii="Arial" w:cs="Arial" w:eastAsia="Arial" w:hAnsi="Arial"/>
                <w:sz w:val="14"/>
                <w:szCs w:val="14"/>
                <w:color w:val="auto"/>
              </w:rPr>
              <w:t>Cayman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(2025) UGP,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Cayman Islands</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Bermuda (2025)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Bermuda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Holdings (2025) Inc.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Holdings Malta (2025)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Malta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Holdings US (2025)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Ireland (2025)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Master SPV (2025) L.P.</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Offshore Holdings (2025) L.P.</w:t>
            </w:r>
          </w:p>
        </w:tc>
        <w:tc>
          <w:tcPr>
            <w:tcW w:w="4040" w:type="dxa"/>
            <w:vAlign w:val="bottom"/>
          </w:tcPr>
          <w:p>
            <w:pPr>
              <w:ind w:left="1120"/>
              <w:spacing w:after="0"/>
              <w:rPr>
                <w:sz w:val="20"/>
                <w:szCs w:val="20"/>
                <w:color w:val="auto"/>
              </w:rPr>
            </w:pPr>
            <w:r>
              <w:rPr>
                <w:rFonts w:ascii="Arial" w:cs="Arial" w:eastAsia="Arial" w:hAnsi="Arial"/>
                <w:sz w:val="14"/>
                <w:szCs w:val="14"/>
                <w:color w:val="auto"/>
              </w:rPr>
              <w:t>Cayman Islands</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Offshore Master SPV (2025) L.P.</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Cayman Islands</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Offshore SPV (2025) L.P.</w:t>
            </w:r>
          </w:p>
        </w:tc>
        <w:tc>
          <w:tcPr>
            <w:tcW w:w="4040" w:type="dxa"/>
            <w:vAlign w:val="bottom"/>
          </w:tcPr>
          <w:p>
            <w:pPr>
              <w:ind w:left="1120"/>
              <w:spacing w:after="0"/>
              <w:rPr>
                <w:sz w:val="20"/>
                <w:szCs w:val="20"/>
                <w:color w:val="auto"/>
              </w:rPr>
            </w:pPr>
            <w:r>
              <w:rPr>
                <w:rFonts w:ascii="Arial" w:cs="Arial" w:eastAsia="Arial" w:hAnsi="Arial"/>
                <w:sz w:val="14"/>
                <w:szCs w:val="14"/>
                <w:color w:val="auto"/>
              </w:rPr>
              <w:t>Cayman Islands</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Aircraft Leasing SPV (2025) L.P.</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FTAI Aircraft Leasing US (2025)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AirOpCo UK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England and Wales</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Canada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Holdco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Cayman Islands</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Investors LLC (f/k/a Fortress Transportation and Infrastructure Investors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Ireland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Cayman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Aviation Management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UAE</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Avion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CHR JV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JV Parent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Delaware, USA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Irish Finco DAC</w:t>
            </w:r>
          </w:p>
        </w:tc>
        <w:tc>
          <w:tcPr>
            <w:tcW w:w="4040" w:type="dxa"/>
            <w:vAlign w:val="bottom"/>
          </w:tcPr>
          <w:p>
            <w:pPr>
              <w:ind w:left="1120"/>
              <w:spacing w:after="0"/>
              <w:rPr>
                <w:sz w:val="20"/>
                <w:szCs w:val="20"/>
                <w:color w:val="auto"/>
              </w:rPr>
            </w:pPr>
            <w:r>
              <w:rPr>
                <w:rFonts w:ascii="Arial" w:cs="Arial" w:eastAsia="Arial" w:hAnsi="Arial"/>
                <w:sz w:val="14"/>
                <w:szCs w:val="14"/>
                <w:color w:val="auto"/>
              </w:rPr>
              <w:t>Ireland</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Italia DAC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Ireland</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Ocean LLC</w:t>
            </w:r>
          </w:p>
        </w:tc>
        <w:tc>
          <w:tcPr>
            <w:tcW w:w="4040" w:type="dxa"/>
            <w:vAlign w:val="bottom"/>
          </w:tcPr>
          <w:p>
            <w:pPr>
              <w:ind w:left="1120"/>
              <w:spacing w:after="0"/>
              <w:rPr>
                <w:sz w:val="20"/>
                <w:szCs w:val="20"/>
                <w:color w:val="auto"/>
              </w:rPr>
            </w:pPr>
            <w:r>
              <w:rPr>
                <w:rFonts w:ascii="Arial" w:cs="Arial" w:eastAsia="Arial" w:hAnsi="Arial"/>
                <w:sz w:val="14"/>
                <w:szCs w:val="14"/>
                <w:color w:val="auto"/>
              </w:rPr>
              <w:t>Marshall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Ocean Pty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Australia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Offshore Holdco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Pte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Singapore</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4040" w:type="dxa"/>
            <w:vAlign w:val="bottom"/>
          </w:tcPr>
          <w:p>
            <w:pPr>
              <w:ind w:left="1120"/>
              <w:spacing w:after="0"/>
              <w:rPr>
                <w:sz w:val="20"/>
                <w:szCs w:val="20"/>
                <w:color w:val="auto"/>
              </w:rPr>
            </w:pPr>
            <w:r>
              <w:rPr>
                <w:rFonts w:ascii="Arial" w:cs="Arial" w:eastAsia="Arial" w:hAnsi="Arial"/>
                <w:sz w:val="14"/>
                <w:szCs w:val="14"/>
                <w:color w:val="auto"/>
              </w:rPr>
              <w:t>Delaware, USA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Marshall LLC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Marshall Islands</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Pioneer MI LLC</w:t>
            </w:r>
          </w:p>
        </w:tc>
        <w:tc>
          <w:tcPr>
            <w:tcW w:w="4040" w:type="dxa"/>
            <w:vAlign w:val="bottom"/>
          </w:tcPr>
          <w:p>
            <w:pPr>
              <w:ind w:left="1120"/>
              <w:spacing w:after="0"/>
              <w:rPr>
                <w:sz w:val="20"/>
                <w:szCs w:val="20"/>
                <w:color w:val="auto"/>
              </w:rPr>
            </w:pPr>
            <w:r>
              <w:rPr>
                <w:rFonts w:ascii="Arial" w:cs="Arial" w:eastAsia="Arial" w:hAnsi="Arial"/>
                <w:sz w:val="14"/>
                <w:szCs w:val="14"/>
                <w:color w:val="auto"/>
              </w:rPr>
              <w:t>Marshall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Singapore Pte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Singapore</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Pride Chartering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Marshall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Labuan Limited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Malaysia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Pride LLC</w:t>
            </w:r>
          </w:p>
        </w:tc>
        <w:tc>
          <w:tcPr>
            <w:tcW w:w="4040" w:type="dxa"/>
            <w:vAlign w:val="bottom"/>
          </w:tcPr>
          <w:p>
            <w:pPr>
              <w:ind w:left="1120"/>
              <w:spacing w:after="0"/>
              <w:rPr>
                <w:sz w:val="20"/>
                <w:szCs w:val="20"/>
                <w:color w:val="auto"/>
              </w:rPr>
            </w:pPr>
            <w:r>
              <w:rPr>
                <w:rFonts w:ascii="Arial" w:cs="Arial" w:eastAsia="Arial" w:hAnsi="Arial"/>
                <w:sz w:val="14"/>
                <w:szCs w:val="14"/>
                <w:color w:val="auto"/>
              </w:rPr>
              <w:t>Marshall Islands</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Malaysia SDN BHD</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Malaysia</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FTAI Subsea 88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Bermuda</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FTAIC Aviation Inc.</w:t>
            </w:r>
          </w:p>
        </w:tc>
        <w:tc>
          <w:tcPr>
            <w:tcW w:w="40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Canada</w:t>
            </w:r>
          </w:p>
        </w:tc>
      </w:tr>
    </w:tbl>
    <w:p>
      <w:pPr>
        <w:sectPr>
          <w:pgSz w:w="11900" w:h="16838" w:orient="portrait"/>
          <w:cols w:equalWidth="0" w:num="1">
            <w:col w:w="11240"/>
          </w:cols>
          <w:pgMar w:left="320" w:top="895"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51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State of Incorporation/Formation</w:t>
            </w:r>
          </w:p>
        </w:tc>
      </w:tr>
      <w:tr>
        <w:trPr>
          <w:trHeight w:val="193"/>
        </w:trPr>
        <w:tc>
          <w:tcPr>
            <w:tcW w:w="6140" w:type="dxa"/>
            <w:vAlign w:val="bottom"/>
          </w:tcPr>
          <w:p>
            <w:pPr>
              <w:ind w:left="20"/>
              <w:spacing w:after="0"/>
              <w:rPr>
                <w:sz w:val="20"/>
                <w:szCs w:val="20"/>
                <w:color w:val="auto"/>
              </w:rPr>
            </w:pPr>
            <w:r>
              <w:rPr>
                <w:rFonts w:ascii="Arial" w:cs="Arial" w:eastAsia="Arial" w:hAnsi="Arial"/>
                <w:sz w:val="14"/>
                <w:szCs w:val="14"/>
                <w:color w:val="auto"/>
              </w:rPr>
              <w:t>High Turbine Technologies LLC</w:t>
            </w:r>
          </w:p>
        </w:tc>
        <w:tc>
          <w:tcPr>
            <w:tcW w:w="5100" w:type="dxa"/>
            <w:vAlign w:val="bottom"/>
          </w:tcPr>
          <w:p>
            <w:pPr>
              <w:ind w:left="2180"/>
              <w:spacing w:after="0"/>
              <w:rPr>
                <w:sz w:val="20"/>
                <w:szCs w:val="20"/>
                <w:color w:val="auto"/>
              </w:rPr>
            </w:pPr>
            <w:r>
              <w:rPr>
                <w:rFonts w:ascii="Arial" w:cs="Arial" w:eastAsia="Arial" w:hAnsi="Arial"/>
                <w:sz w:val="14"/>
                <w:szCs w:val="14"/>
                <w:color w:val="auto"/>
              </w:rPr>
              <w:t>Delaware, USA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Victoire 3 Holdings Sarl</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France</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Quick Turn Engine Center LLC (d/b/a FTAI Aviation USA LLC)</w:t>
            </w:r>
          </w:p>
        </w:tc>
        <w:tc>
          <w:tcPr>
            <w:tcW w:w="5100" w:type="dxa"/>
            <w:vAlign w:val="bottom"/>
          </w:tcPr>
          <w:p>
            <w:pPr>
              <w:ind w:left="2180"/>
              <w:spacing w:after="0"/>
              <w:rPr>
                <w:sz w:val="20"/>
                <w:szCs w:val="20"/>
                <w:color w:val="auto"/>
              </w:rPr>
            </w:pPr>
            <w:r>
              <w:rPr>
                <w:rFonts w:ascii="Arial" w:cs="Arial" w:eastAsia="Arial" w:hAnsi="Arial"/>
                <w:sz w:val="14"/>
                <w:szCs w:val="14"/>
                <w:color w:val="auto"/>
              </w:rPr>
              <w:t>Delaware, USA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 Bermuda Limited</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Bermuda</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WWTAI AirOpCo 1 USA LLC</w:t>
            </w:r>
          </w:p>
        </w:tc>
        <w:tc>
          <w:tcPr>
            <w:tcW w:w="5100" w:type="dxa"/>
            <w:vAlign w:val="bottom"/>
          </w:tcPr>
          <w:p>
            <w:pPr>
              <w:ind w:left="2180"/>
              <w:spacing w:after="0"/>
              <w:rPr>
                <w:sz w:val="20"/>
                <w:szCs w:val="20"/>
                <w:color w:val="auto"/>
              </w:rPr>
            </w:pPr>
            <w:r>
              <w:rPr>
                <w:rFonts w:ascii="Arial" w:cs="Arial" w:eastAsia="Arial" w:hAnsi="Arial"/>
                <w:sz w:val="14"/>
                <w:szCs w:val="14"/>
                <w:color w:val="auto"/>
              </w:rPr>
              <w:t>Delaware, USA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 USA Sub LLC</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Delaware, USA</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WWTAI AirOpCo 2 Bermuda Limited</w:t>
            </w:r>
          </w:p>
        </w:tc>
        <w:tc>
          <w:tcPr>
            <w:tcW w:w="5100" w:type="dxa"/>
            <w:vAlign w:val="bottom"/>
          </w:tcPr>
          <w:p>
            <w:pPr>
              <w:ind w:left="2180"/>
              <w:spacing w:after="0"/>
              <w:rPr>
                <w:sz w:val="20"/>
                <w:szCs w:val="20"/>
                <w:color w:val="auto"/>
              </w:rPr>
            </w:pPr>
            <w:r>
              <w:rPr>
                <w:rFonts w:ascii="Arial" w:cs="Arial" w:eastAsia="Arial" w:hAnsi="Arial"/>
                <w:sz w:val="14"/>
                <w:szCs w:val="14"/>
                <w:color w:val="auto"/>
              </w:rPr>
              <w:t>Bermuda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Ireland</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WWTAI AirOpCo 2 USA LLC</w:t>
            </w:r>
          </w:p>
        </w:tc>
        <w:tc>
          <w:tcPr>
            <w:tcW w:w="5100" w:type="dxa"/>
            <w:vAlign w:val="bottom"/>
          </w:tcPr>
          <w:p>
            <w:pPr>
              <w:ind w:left="2180"/>
              <w:spacing w:after="0"/>
              <w:rPr>
                <w:sz w:val="20"/>
                <w:szCs w:val="20"/>
                <w:color w:val="auto"/>
              </w:rPr>
            </w:pPr>
            <w:r>
              <w:rPr>
                <w:rFonts w:ascii="Arial" w:cs="Arial" w:eastAsia="Arial" w:hAnsi="Arial"/>
                <w:sz w:val="14"/>
                <w:szCs w:val="14"/>
                <w:color w:val="auto"/>
              </w:rPr>
              <w:t>Delaware, USA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Ireland</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5100" w:type="dxa"/>
            <w:vAlign w:val="bottom"/>
          </w:tcPr>
          <w:p>
            <w:pPr>
              <w:ind w:left="2180"/>
              <w:spacing w:after="0"/>
              <w:rPr>
                <w:sz w:val="20"/>
                <w:szCs w:val="20"/>
                <w:color w:val="auto"/>
              </w:rPr>
            </w:pPr>
            <w:r>
              <w:rPr>
                <w:rFonts w:ascii="Arial" w:cs="Arial" w:eastAsia="Arial" w:hAnsi="Arial"/>
                <w:sz w:val="14"/>
                <w:szCs w:val="14"/>
                <w:color w:val="auto"/>
              </w:rPr>
              <w:t>Malta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Aviation LLC</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Delaware, USA</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WWTAI Finance Limited</w:t>
            </w:r>
          </w:p>
        </w:tc>
        <w:tc>
          <w:tcPr>
            <w:tcW w:w="5100" w:type="dxa"/>
            <w:vAlign w:val="bottom"/>
          </w:tcPr>
          <w:p>
            <w:pPr>
              <w:ind w:left="2180"/>
              <w:spacing w:after="0"/>
              <w:rPr>
                <w:sz w:val="20"/>
                <w:szCs w:val="20"/>
                <w:color w:val="auto"/>
              </w:rPr>
            </w:pPr>
            <w:r>
              <w:rPr>
                <w:rFonts w:ascii="Arial" w:cs="Arial" w:eastAsia="Arial" w:hAnsi="Arial"/>
                <w:sz w:val="14"/>
                <w:szCs w:val="14"/>
                <w:color w:val="auto"/>
              </w:rPr>
              <w:t>Bermuda</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Limited</w:t>
            </w:r>
          </w:p>
        </w:tc>
        <w:tc>
          <w:tcPr>
            <w:tcW w:w="51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240"/>
          </w:cols>
          <w:pgMar w:left="320" w:top="940"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consent to the incorporation by reference in the Registration Statement (Form S-3 No. 333-270042) of FTAI Aviation Ltd. and in the related Prospectus of our reports dated March 3, 2025, with respect to the consolidated financial statements of FTAI Aviation Ltd. and the effectiveness of internal control over financial reporting of FTAI Aviation Ltd. included in this Annual Report (Form 10-K) for the year ended December 31,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3, 2025</w:t>
      </w:r>
    </w:p>
    <w:p>
      <w:pPr>
        <w:sectPr>
          <w:pgSz w:w="11900" w:h="16838" w:orient="portrait"/>
          <w:cols w:equalWidth="0" w:num="1">
            <w:col w:w="11240"/>
          </w:cols>
          <w:pgMar w:left="320" w:top="895"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62"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March 3, 2025</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0"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 Eun (Angela) Nam, certify that:</w:t>
      </w:r>
    </w:p>
    <w:p>
      <w:pPr>
        <w:spacing w:after="0" w:line="262"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March 3, 2025</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Eun (Angela) Nam</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 and Chief Accounting Officer</w:t>
            </w:r>
          </w:p>
        </w:tc>
      </w:tr>
    </w:tbl>
    <w:p>
      <w:pPr>
        <w:sectPr>
          <w:pgSz w:w="11900" w:h="16838" w:orient="portrait"/>
          <w:cols w:equalWidth="0" w:num="1">
            <w:col w:w="11240"/>
          </w:cols>
          <w:pgMar w:left="320" w:top="890"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2024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51"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3, 2025</w:t>
      </w:r>
    </w:p>
    <w:p>
      <w:pPr>
        <w:sectPr>
          <w:pgSz w:w="11900" w:h="16838" w:orient="portrait"/>
          <w:cols w:equalWidth="0" w:num="1">
            <w:col w:w="11240"/>
          </w:cols>
          <w:pgMar w:left="320" w:top="890"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2024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spacing w:after="0" w:line="191" w:lineRule="exact"/>
        <w:rPr>
          <w:sz w:val="20"/>
          <w:szCs w:val="20"/>
          <w:color w:val="auto"/>
        </w:rPr>
      </w:pPr>
    </w:p>
    <w:p>
      <w:pPr>
        <w:ind w:left="380" w:hanging="372"/>
        <w:spacing w:after="0"/>
        <w:tabs>
          <w:tab w:leader="none" w:pos="3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Eun (Angela) Nam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3,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lvl w:ilvl="1">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lowerRoman"/>
      <w:start w:val="3"/>
    </w:lvl>
    <w:lvl w:ilvl="1">
      <w:lvlJc w:val="left"/>
      <w:lvlText w:val="•"/>
      <w:numFmt w:val="bullet"/>
      <w:start w:val="1"/>
    </w:lvl>
  </w:abstractNum>
  <w:abstractNum w:abstractNumId="34">
    <w:nsid w:val="1DBABF00"/>
    <w:multiLevelType w:val="hybridMultilevel"/>
    <w:lvl w:ilvl="0">
      <w:lvlJc w:val="left"/>
      <w:lvlText w:val="•"/>
      <w:numFmt w:val="bullet"/>
      <w:start w:val="1"/>
    </w:lvl>
    <w:lvl w:ilvl="1">
      <w:lvlJc w:val="left"/>
      <w:lvlText w:val="(%2)"/>
      <w:numFmt w:val="lowerRoman"/>
      <w:start w:val="2"/>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101"/>
    </w:lvl>
  </w:abstractNum>
  <w:abstractNum w:abstractNumId="53">
    <w:nsid w:val="51D9C564"/>
    <w:multiLevelType w:val="hybridMultilevel"/>
    <w:lvl w:ilvl="0">
      <w:lvlJc w:val="left"/>
      <w:lvlText w:val="†"/>
      <w:numFmt w:val="bullet"/>
      <w:start w:val="1"/>
    </w:lvl>
    <w:lvl w:ilvl="1">
      <w:lvlJc w:val="left"/>
      <w:lvlText w:val="%2"/>
      <w:numFmt w:val="decimal"/>
      <w:start w:val="104"/>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2"/>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lowerRoman"/>
      <w:start w:val="3"/>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1)"/>
      <w:numFmt w:val="lowerRoman"/>
      <w:start w:val="3"/>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upperLetter"/>
      <w:start w:val="9"/>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upperLetter"/>
      <w:start w:val="35"/>
    </w:lvl>
  </w:abstractNum>
  <w:abstractNum w:abstractNumId="74">
    <w:nsid w:val="94211F2"/>
    <w:multiLevelType w:val="hybridMultilevel"/>
    <w:lvl w:ilvl="0">
      <w:lvlJc w:val="left"/>
      <w:lvlText w:val="1"/>
      <w:numFmt w:val="bullet"/>
      <w:start w:val="1"/>
    </w:lvl>
  </w:abstractNum>
  <w:abstractNum w:abstractNumId="75">
    <w:nsid w:val="885E1B"/>
    <w:multiLevelType w:val="hybridMultilevel"/>
    <w:lvl w:ilvl="0">
      <w:lvlJc w:val="left"/>
      <w:lvlText w:val="•"/>
      <w:numFmt w:val="bullet"/>
      <w:start w:val="1"/>
    </w:lvl>
    <w:lvl w:ilvl="1">
      <w:lvlJc w:val="left"/>
      <w:lvlText w:val="•"/>
      <w:numFmt w:val="bullet"/>
      <w:start w:val="1"/>
    </w:lvl>
  </w:abstractNum>
  <w:abstractNum w:abstractNumId="76">
    <w:nsid w:val="76272110"/>
    <w:multiLevelType w:val="hybridMultilevel"/>
    <w:lvl w:ilvl="0">
      <w:lvlJc w:val="left"/>
      <w:lvlText w:val="%1."/>
      <w:numFmt w:val="upperLetter"/>
      <w:start w:val="61"/>
    </w:lvl>
  </w:abstractNum>
  <w:abstractNum w:abstractNumId="77">
    <w:nsid w:val="4C04A8AF"/>
    <w:multiLevelType w:val="hybridMultilevel"/>
    <w:lvl w:ilvl="0">
      <w:lvlJc w:val="left"/>
      <w:lvlText w:val="%1."/>
      <w:numFmt w:val="upperLetter"/>
      <w:start w:val="22"/>
    </w:lvl>
  </w:abstractNum>
  <w:abstractNum w:abstractNumId="78">
    <w:nsid w:val="1716703B"/>
    <w:multiLevelType w:val="hybridMultilevel"/>
    <w:lvl w:ilvl="0">
      <w:lvlJc w:val="left"/>
      <w:lvlText w:val="%1."/>
      <w:numFmt w:val="upperLetter"/>
      <w:start w:val="24"/>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2"/>
      <w:numFmt w:val="bullet"/>
      <w:start w:val="1"/>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1."/>
      <w:numFmt w:val="decimal"/>
      <w:start w:val="3"/>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2"/>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upperLetter"/>
      <w:start w:val="1"/>
    </w:lvl>
  </w:abstractNum>
  <w:abstractNum w:abstractNumId="87">
    <w:nsid w:val="57FC4FBB"/>
    <w:multiLevelType w:val="hybridMultilevel"/>
    <w:lvl w:ilvl="0">
      <w:lvlJc w:val="left"/>
      <w:lvlText w:val="%1."/>
      <w:numFmt w:val="upperLetter"/>
      <w:start w:val="2"/>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2"/>
    </w:lvl>
  </w:abstractNum>
  <w:abstractNum w:abstractNumId="90">
    <w:nsid w:val="60EF0119"/>
    <w:multiLevelType w:val="hybridMultilevel"/>
    <w:lvl w:ilvl="0">
      <w:lvlJc w:val="left"/>
      <w:lvlText w:val="%1."/>
      <w:numFmt w:val="decimal"/>
      <w:start w:val="3"/>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decimal"/>
      <w:start w:val="4"/>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9" Type="http://schemas.openxmlformats.org/officeDocument/2006/relationships/image" Target="media/image110.png"/><Relationship Id="rId122" Type="http://schemas.openxmlformats.org/officeDocument/2006/relationships/image" Target="media/image111.png"/><Relationship Id="rId124" Type="http://schemas.openxmlformats.org/officeDocument/2006/relationships/image" Target="media/image112.png"/><Relationship Id="rId127" Type="http://schemas.openxmlformats.org/officeDocument/2006/relationships/image" Target="media/image113.png"/><Relationship Id="rId129" Type="http://schemas.openxmlformats.org/officeDocument/2006/relationships/image" Target="media/image114.png"/><Relationship Id="rId132" Type="http://schemas.openxmlformats.org/officeDocument/2006/relationships/image" Target="media/image115.png"/><Relationship Id="rId134" Type="http://schemas.openxmlformats.org/officeDocument/2006/relationships/image" Target="media/image116.png"/><Relationship Id="rId136"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3" Type="http://schemas.openxmlformats.org/officeDocument/2006/relationships/image" Target="media/image125.png"/><Relationship Id="rId156"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17" Type="http://schemas.openxmlformats.org/officeDocument/2006/relationships/hyperlink" Target="https://www.sec.gov/Archives/edgar/data/1590364/000114036122036824/ny20005522x1_defm14a.htm" TargetMode="External"/><Relationship Id="rId118" Type="http://schemas.openxmlformats.org/officeDocument/2006/relationships/hyperlink" Target="https://www.sec.gov/ix?doc=/Archives/edgar/data/0001590364/000114036122027698/brhc10040167_8k.htm" TargetMode="External"/><Relationship Id="rId120" Type="http://schemas.openxmlformats.org/officeDocument/2006/relationships/hyperlink" Target="https://www.sec.gov/ix?doc=/Archives/edgar/data/0001590364/000114036122041407/brhc10044100_8k.htm" TargetMode="External"/><Relationship Id="rId121" Type="http://schemas.openxmlformats.org/officeDocument/2006/relationships/hyperlink" Target="https://www.sec.gov/ix?doc=/Archives/edgar/data/1590364/000114036122041407/brhc10044100_8k.htm" TargetMode="External"/><Relationship Id="rId123" Type="http://schemas.openxmlformats.org/officeDocument/2006/relationships/hyperlink" Target="https://www.sec.gov/Archives/edgar/data/1590364/000114036123011743/brhc10049807_ex4-1.htm" TargetMode="External"/><Relationship Id="rId125" Type="http://schemas.openxmlformats.org/officeDocument/2006/relationships/hyperlink" Target="https://www.sec.gov/Archives/edgar/data/1590364/000114036123011743/brhc10049807_ex4-2.htm" TargetMode="External"/><Relationship Id="rId126" Type="http://schemas.openxmlformats.org/officeDocument/2006/relationships/hyperlink" Target="https://www.sec.gov/Archives/edgar/data/1590364/000114036121012434/nt10022837x5_ex4-1.htm" TargetMode="External"/><Relationship Id="rId128" Type="http://schemas.openxmlformats.org/officeDocument/2006/relationships/hyperlink" Target="https://www.sec.gov/Archives/edgar/data/1590364/000114036121032467/ny20000775x4_ex4-1.htm" TargetMode="External"/><Relationship Id="rId130" Type="http://schemas.openxmlformats.org/officeDocument/2006/relationships/hyperlink" Target="https://www.sec.gov/Archives/edgar/data/0001590364/000114036122041407/brhc10044100_ex4-3.htm" TargetMode="External"/><Relationship Id="rId131" Type="http://schemas.openxmlformats.org/officeDocument/2006/relationships/hyperlink" Target="https://www.sec.gov/Archives/edgar/data/1590364/000114036123054468/ef20015109_ex4-1.htm" TargetMode="External"/><Relationship Id="rId133" Type="http://schemas.openxmlformats.org/officeDocument/2006/relationships/hyperlink" Target="https://www.sec.gov/ix?doc=/Archives/edgar/data/1590364/000114036124019374/ef20026556_8k.htm" TargetMode="External"/><Relationship Id="rId135" Type="http://schemas.openxmlformats.org/officeDocument/2006/relationships/hyperlink" Target="https://www.sec.gov/Archives/edgar/data/1590364/000114036124030343/ny20031133x1_ex4-1.htm" TargetMode="External"/><Relationship Id="rId137" Type="http://schemas.openxmlformats.org/officeDocument/2006/relationships/hyperlink" Target="https://www.sec.gov/ix?doc=/Archives/edgar/data/1590364/000114036124030343/ny20031133x1_8k.htm" TargetMode="External"/><Relationship Id="rId138" Type="http://schemas.openxmlformats.org/officeDocument/2006/relationships/hyperlink" Target="https://www.sec.gov/Archives/edgar/data/1590364/000114036124043204/ef20036818_ex4-1.htm" TargetMode="External"/><Relationship Id="rId141" Type="http://schemas.openxmlformats.org/officeDocument/2006/relationships/hyperlink" Target="https://www.sec.gov/Archives/edgar/data/1590364/000159036423000007/ftaiaviation12312022ex104.htm" TargetMode="External"/><Relationship Id="rId142" Type="http://schemas.openxmlformats.org/officeDocument/2006/relationships/hyperlink" Target="https://www.sec.gov/Archives/edgar/data/1942420/000114036122029494/ny20005018x1_ex10-5.htm" TargetMode="External"/><Relationship Id="rId143" Type="http://schemas.openxmlformats.org/officeDocument/2006/relationships/hyperlink" Target="https://www.sec.gov/Archives/edgar/data/1942420/000114036122029494/ny20005018x1_ex10-6.htm" TargetMode="External"/><Relationship Id="rId144" Type="http://schemas.openxmlformats.org/officeDocument/2006/relationships/hyperlink" Target="https://www.sec.gov/Archives/edgar/data/1942420/000114036122029494/ny20005018x1_ex10-7.htm" TargetMode="External"/><Relationship Id="rId145" Type="http://schemas.openxmlformats.org/officeDocument/2006/relationships/hyperlink" Target="https://www.sec.gov/Archives/edgar/data/1590364/000159036424000016/ftai6302024exhibit105.htm" TargetMode="External"/><Relationship Id="rId151" Type="http://schemas.openxmlformats.org/officeDocument/2006/relationships/hyperlink" Target="https://www.sec.gov/Archives/edgar/data/1590364/000159036424000016/ftai6302024exhibit107.htm" TargetMode="External"/><Relationship Id="rId152" Type="http://schemas.openxmlformats.org/officeDocument/2006/relationships/hyperlink" Target="https://www.sec.gov/Archives/edgar/data/0001590364/000114036122041407/brhc10044100_ex4-4.htm" TargetMode="External"/><Relationship Id="rId154" Type="http://schemas.openxmlformats.org/officeDocument/2006/relationships/hyperlink" Target="https://www.sec.gov/Archives/edgar/data/1590364/000114036124027545/ny20030051x1_ex10-1.htm" TargetMode="External"/><Relationship Id="rId155" Type="http://schemas.openxmlformats.org/officeDocument/2006/relationships/hyperlink" Target="https://www.sec.gov/Archives/edgar/data/1590364/000114036124027545/ny20030051x1_ex10-2.htm" TargetMode="External"/><Relationship Id="rId157" Type="http://schemas.openxmlformats.org/officeDocument/2006/relationships/hyperlink" Target="https://www.sec.gov/Archives/edgar/data/1590364/000159036424000016/ftai6302024exhibit1011.htm" TargetMode="External"/><Relationship Id="rId158" Type="http://schemas.openxmlformats.org/officeDocument/2006/relationships/hyperlink" Target="https://www.sec.gov/Archives/edgar/data/1590364/000159036424000016/ftai6302024exhibit1012.htm" TargetMode="External"/><Relationship Id="rId163" Type="http://schemas.openxmlformats.org/officeDocument/2006/relationships/hyperlink" Target="https://www.sec.gov/Archives/edgar/data/1590364/000159036424000003/ftaiaviation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2025-03-03T17:05:58Z</dcterms:created>
  <dcterms:modified xsi:type="dcterms:W3CDTF">2025-03-03T17:05:58Z</dcterms:modified>
</cp:coreProperties>
</file>