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189"/>
        </w:trPr>
        <w:tc>
          <w:tcPr>
            <w:tcW w:w="1000" w:type="dxa"/>
            <w:vAlign w:val="bottom"/>
          </w:tcPr>
          <w:p>
            <w:pPr>
              <w:spacing w:after="0"/>
              <w:rPr>
                <w:sz w:val="16"/>
                <w:szCs w:val="16"/>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b w:val="1"/>
                <w:bCs w:val="1"/>
                <w:color w:val="auto"/>
              </w:rPr>
              <w:t>UNITED STATES SECURITIES AND EXCHANGE COMMISSION</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b w:val="1"/>
                <w:bCs w:val="1"/>
                <w:color w:val="auto"/>
              </w:rPr>
              <w:t>WASHINGTON, D.C. 20549</w:t>
            </w:r>
          </w:p>
        </w:tc>
        <w:tc>
          <w:tcPr>
            <w:tcW w:w="0" w:type="dxa"/>
            <w:vAlign w:val="bottom"/>
          </w:tcPr>
          <w:p>
            <w:pPr>
              <w:spacing w:after="0"/>
              <w:rPr>
                <w:sz w:val="1"/>
                <w:szCs w:val="1"/>
                <w:color w:val="auto"/>
              </w:rPr>
            </w:pPr>
          </w:p>
        </w:tc>
      </w:tr>
      <w:tr>
        <w:trPr>
          <w:trHeight w:val="330"/>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58"/>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277"/>
        </w:trPr>
        <w:tc>
          <w:tcPr>
            <w:tcW w:w="1000" w:type="dxa"/>
            <w:vAlign w:val="bottom"/>
            <w:vMerge w:val="continue"/>
          </w:tcPr>
          <w:p>
            <w:pPr>
              <w:spacing w:after="0"/>
              <w:rPr>
                <w:sz w:val="24"/>
                <w:szCs w:val="24"/>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460"/>
        </w:trPr>
        <w:tc>
          <w:tcPr>
            <w:tcW w:w="1000" w:type="dxa"/>
            <w:vAlign w:val="bottom"/>
          </w:tcPr>
          <w:p>
            <w:pPr>
              <w:spacing w:after="0"/>
              <w:rPr>
                <w:sz w:val="24"/>
                <w:szCs w:val="24"/>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September 30, 2022</w:t>
            </w:r>
          </w:p>
        </w:tc>
        <w:tc>
          <w:tcPr>
            <w:tcW w:w="0" w:type="dxa"/>
            <w:vAlign w:val="bottom"/>
          </w:tcPr>
          <w:p>
            <w:pPr>
              <w:spacing w:after="0"/>
              <w:rPr>
                <w:sz w:val="1"/>
                <w:szCs w:val="1"/>
                <w:color w:val="auto"/>
              </w:rPr>
            </w:pPr>
          </w:p>
        </w:tc>
      </w:tr>
      <w:tr>
        <w:trPr>
          <w:trHeight w:val="243"/>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38"/>
              <w:spacing w:after="0"/>
              <w:rPr>
                <w:sz w:val="20"/>
                <w:szCs w:val="20"/>
                <w:color w:val="auto"/>
              </w:rPr>
            </w:pPr>
            <w:r>
              <w:rPr>
                <w:rFonts w:ascii="Arial" w:cs="Arial" w:eastAsia="Arial" w:hAnsi="Arial"/>
                <w:sz w:val="16"/>
                <w:szCs w:val="16"/>
                <w:color w:val="auto"/>
                <w:w w:val="99"/>
              </w:rPr>
              <w:t>OR</w:t>
            </w:r>
          </w:p>
        </w:tc>
        <w:tc>
          <w:tcPr>
            <w:tcW w:w="0" w:type="dxa"/>
            <w:vAlign w:val="bottom"/>
          </w:tcPr>
          <w:p>
            <w:pPr>
              <w:spacing w:after="0"/>
              <w:rPr>
                <w:sz w:val="1"/>
                <w:szCs w:val="1"/>
                <w:color w:val="auto"/>
              </w:rPr>
            </w:pPr>
          </w:p>
        </w:tc>
      </w:tr>
      <w:tr>
        <w:trPr>
          <w:trHeight w:val="283"/>
        </w:trPr>
        <w:tc>
          <w:tcPr>
            <w:tcW w:w="1000" w:type="dxa"/>
            <w:vAlign w:val="bottom"/>
            <w:vMerge w:val="continue"/>
          </w:tcPr>
          <w:p>
            <w:pPr>
              <w:spacing w:after="0"/>
              <w:rPr>
                <w:sz w:val="24"/>
                <w:szCs w:val="24"/>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500"/>
        </w:trPr>
        <w:tc>
          <w:tcPr>
            <w:tcW w:w="1000" w:type="dxa"/>
            <w:vAlign w:val="bottom"/>
          </w:tcPr>
          <w:p>
            <w:pPr>
              <w:spacing w:after="0"/>
              <w:rPr>
                <w:sz w:val="24"/>
                <w:szCs w:val="24"/>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For the transition period from ____ to ____</w:t>
            </w: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2"/>
                <w:szCs w:val="22"/>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149225</wp:posOffset>
            </wp:positionV>
            <wp:extent cx="1294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7"/>
          <w:szCs w:val="17"/>
          <w:color w:val="auto"/>
        </w:rPr>
        <w: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Borders>
              <w:bottom w:val="single" w:sz="8" w:color="auto"/>
            </w:tcBorders>
          </w:tcPr>
          <w:p>
            <w:pPr>
              <w:jc w:val="center"/>
              <w:ind w:left="1779"/>
              <w:spacing w:after="0"/>
              <w:rPr>
                <w:sz w:val="20"/>
                <w:szCs w:val="20"/>
                <w:color w:val="auto"/>
              </w:rPr>
            </w:pPr>
            <w:r>
              <w:rPr>
                <w:rFonts w:ascii="Arial" w:cs="Arial" w:eastAsia="Arial" w:hAnsi="Arial"/>
                <w:sz w:val="16"/>
                <w:szCs w:val="16"/>
                <w:b w:val="1"/>
                <w:bCs w:val="1"/>
                <w:color w:val="auto"/>
                <w:w w:val="99"/>
              </w:rPr>
              <w:t>Delaware</w:t>
            </w:r>
          </w:p>
        </w:tc>
        <w:tc>
          <w:tcPr>
            <w:tcW w:w="1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3"/>
          </w:tcPr>
          <w:p>
            <w:pPr>
              <w:jc w:val="right"/>
              <w:ind w:right="1959"/>
              <w:spacing w:after="0"/>
              <w:rPr>
                <w:sz w:val="20"/>
                <w:szCs w:val="20"/>
                <w:color w:val="auto"/>
              </w:rPr>
            </w:pPr>
            <w:r>
              <w:rPr>
                <w:rFonts w:ascii="Arial" w:cs="Arial" w:eastAsia="Arial" w:hAnsi="Arial"/>
                <w:sz w:val="16"/>
                <w:szCs w:val="16"/>
                <w:b w:val="1"/>
                <w:bCs w:val="1"/>
                <w:color w:val="auto"/>
              </w:rPr>
              <w:t>32-0434238</w:t>
            </w:r>
          </w:p>
        </w:tc>
      </w:tr>
      <w:tr>
        <w:trPr>
          <w:trHeight w:val="207"/>
        </w:trPr>
        <w:tc>
          <w:tcPr>
            <w:tcW w:w="6280" w:type="dxa"/>
            <w:vAlign w:val="bottom"/>
            <w:gridSpan w:val="3"/>
          </w:tcPr>
          <w:p>
            <w:pPr>
              <w:jc w:val="center"/>
              <w:ind w:right="100"/>
              <w:spacing w:after="0"/>
              <w:rPr>
                <w:sz w:val="20"/>
                <w:szCs w:val="20"/>
                <w:color w:val="auto"/>
              </w:rPr>
            </w:pPr>
            <w:r>
              <w:rPr>
                <w:rFonts w:ascii="Arial" w:cs="Arial" w:eastAsia="Arial" w:hAnsi="Arial"/>
                <w:sz w:val="16"/>
                <w:szCs w:val="16"/>
                <w:color w:val="auto"/>
              </w:rPr>
              <w:t>(State or other jurisdiction of incorporation or organization)</w:t>
            </w:r>
          </w:p>
        </w:tc>
        <w:tc>
          <w:tcPr>
            <w:tcW w:w="1100" w:type="dxa"/>
            <w:vAlign w:val="bottom"/>
          </w:tcPr>
          <w:p>
            <w:pPr>
              <w:spacing w:after="0"/>
              <w:rPr>
                <w:sz w:val="17"/>
                <w:szCs w:val="17"/>
                <w:color w:val="auto"/>
              </w:rPr>
            </w:pPr>
          </w:p>
        </w:tc>
        <w:tc>
          <w:tcPr>
            <w:tcW w:w="3840" w:type="dxa"/>
            <w:vAlign w:val="bottom"/>
            <w:gridSpan w:val="3"/>
          </w:tcPr>
          <w:p>
            <w:pPr>
              <w:jc w:val="center"/>
              <w:ind w:right="1039"/>
              <w:spacing w:after="0"/>
              <w:rPr>
                <w:sz w:val="20"/>
                <w:szCs w:val="20"/>
                <w:color w:val="auto"/>
              </w:rPr>
            </w:pPr>
            <w:r>
              <w:rPr>
                <w:rFonts w:ascii="Arial" w:cs="Arial" w:eastAsia="Arial" w:hAnsi="Arial"/>
                <w:sz w:val="16"/>
                <w:szCs w:val="16"/>
                <w:color w:val="auto"/>
              </w:rPr>
              <w:t>(I.R.S. Employer Identification No.)</w:t>
            </w:r>
          </w:p>
        </w:tc>
      </w:tr>
      <w:tr>
        <w:trPr>
          <w:trHeight w:val="435"/>
        </w:trPr>
        <w:tc>
          <w:tcPr>
            <w:tcW w:w="4320" w:type="dxa"/>
            <w:vAlign w:val="bottom"/>
          </w:tcPr>
          <w:p>
            <w:pPr>
              <w:ind w:left="580"/>
              <w:spacing w:after="0"/>
              <w:rPr>
                <w:sz w:val="20"/>
                <w:szCs w:val="20"/>
                <w:color w:val="auto"/>
              </w:rPr>
            </w:pPr>
            <w:r>
              <w:rPr>
                <w:rFonts w:ascii="Arial" w:cs="Arial" w:eastAsia="Arial" w:hAnsi="Arial"/>
                <w:sz w:val="16"/>
                <w:szCs w:val="16"/>
                <w:b w:val="1"/>
                <w:bCs w:val="1"/>
                <w:color w:val="auto"/>
              </w:rPr>
              <w:t>1345 Avenue of the Americas, 45th Floor</w:t>
            </w:r>
          </w:p>
        </w:tc>
        <w:tc>
          <w:tcPr>
            <w:tcW w:w="1960" w:type="dxa"/>
            <w:vAlign w:val="bottom"/>
            <w:gridSpan w:val="2"/>
          </w:tcPr>
          <w:p>
            <w:pPr>
              <w:ind w:left="600"/>
              <w:spacing w:after="0"/>
              <w:rPr>
                <w:sz w:val="20"/>
                <w:szCs w:val="20"/>
                <w:color w:val="auto"/>
              </w:rPr>
            </w:pPr>
            <w:r>
              <w:rPr>
                <w:rFonts w:ascii="Arial" w:cs="Arial" w:eastAsia="Arial" w:hAnsi="Arial"/>
                <w:sz w:val="16"/>
                <w:szCs w:val="16"/>
                <w:b w:val="1"/>
                <w:bCs w:val="1"/>
                <w:color w:val="auto"/>
              </w:rPr>
              <w:t>New York</w:t>
            </w:r>
          </w:p>
        </w:tc>
        <w:tc>
          <w:tcPr>
            <w:tcW w:w="1100" w:type="dxa"/>
            <w:vAlign w:val="bottom"/>
          </w:tcPr>
          <w:p>
            <w:pPr>
              <w:ind w:left="760"/>
              <w:spacing w:after="0"/>
              <w:rPr>
                <w:sz w:val="20"/>
                <w:szCs w:val="20"/>
                <w:color w:val="auto"/>
              </w:rPr>
            </w:pPr>
            <w:r>
              <w:rPr>
                <w:rFonts w:ascii="Arial" w:cs="Arial" w:eastAsia="Arial" w:hAnsi="Arial"/>
                <w:sz w:val="16"/>
                <w:szCs w:val="16"/>
                <w:b w:val="1"/>
                <w:bCs w:val="1"/>
                <w:color w:val="auto"/>
              </w:rPr>
              <w:t>NY</w:t>
            </w:r>
          </w:p>
        </w:tc>
        <w:tc>
          <w:tcPr>
            <w:tcW w:w="3840" w:type="dxa"/>
            <w:vAlign w:val="bottom"/>
            <w:gridSpan w:val="3"/>
          </w:tcPr>
          <w:p>
            <w:pPr>
              <w:jc w:val="right"/>
              <w:ind w:right="1239"/>
              <w:spacing w:after="0"/>
              <w:rPr>
                <w:sz w:val="20"/>
                <w:szCs w:val="20"/>
                <w:color w:val="auto"/>
              </w:rPr>
            </w:pPr>
            <w:r>
              <w:rPr>
                <w:rFonts w:ascii="Arial" w:cs="Arial" w:eastAsia="Arial" w:hAnsi="Arial"/>
                <w:sz w:val="16"/>
                <w:szCs w:val="16"/>
                <w:b w:val="1"/>
                <w:bCs w:val="1"/>
                <w:color w:val="auto"/>
              </w:rPr>
              <w:t>10105</w:t>
            </w:r>
          </w:p>
        </w:tc>
      </w:tr>
      <w:tr>
        <w:trPr>
          <w:trHeight w:val="206"/>
        </w:trPr>
        <w:tc>
          <w:tcPr>
            <w:tcW w:w="6280" w:type="dxa"/>
            <w:vAlign w:val="bottom"/>
            <w:tcBorders>
              <w:top w:val="single" w:sz="8" w:color="auto"/>
            </w:tcBorders>
            <w:gridSpan w:val="3"/>
          </w:tcPr>
          <w:p>
            <w:pPr>
              <w:ind w:left="2640"/>
              <w:spacing w:after="0"/>
              <w:rPr>
                <w:sz w:val="20"/>
                <w:szCs w:val="20"/>
                <w:color w:val="auto"/>
              </w:rPr>
            </w:pPr>
            <w:r>
              <w:rPr>
                <w:rFonts w:ascii="Arial" w:cs="Arial" w:eastAsia="Arial" w:hAnsi="Arial"/>
                <w:sz w:val="16"/>
                <w:szCs w:val="16"/>
                <w:color w:val="auto"/>
              </w:rPr>
              <w:t>(Address of principal executive offices)</w:t>
            </w:r>
          </w:p>
        </w:tc>
        <w:tc>
          <w:tcPr>
            <w:tcW w:w="1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312" w:lineRule="exact"/>
        <w:rPr>
          <w:sz w:val="24"/>
          <w:szCs w:val="24"/>
          <w:color w:val="auto"/>
        </w:rPr>
      </w:pPr>
    </w:p>
    <w:p>
      <w:pPr>
        <w:ind w:left="31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73"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120" w:type="dxa"/>
            <w:vAlign w:val="bottom"/>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06"/>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Class A common shares, $0.01 par value per share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FTAI</w:t>
            </w:r>
          </w:p>
        </w:tc>
        <w:tc>
          <w:tcPr>
            <w:tcW w:w="366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8.25% Fixed-to-Floating Rate Series A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FTAIP</w:t>
            </w:r>
          </w:p>
        </w:tc>
        <w:tc>
          <w:tcPr>
            <w:tcW w:w="366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8.00% Fixed-to-Floating Rate Series B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FTAIO</w:t>
            </w:r>
          </w:p>
        </w:tc>
        <w:tc>
          <w:tcPr>
            <w:tcW w:w="366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8.25% Fixed-Rate Reset Series C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FTAIN</w:t>
            </w:r>
          </w:p>
        </w:tc>
        <w:tc>
          <w:tcPr>
            <w:tcW w:w="366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210"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2780" w:type="dxa"/>
        <w:tblCellMar>
          <w:top w:w="0" w:type="dxa"/>
          <w:left w:w="0" w:type="dxa"/>
          <w:bottom w:w="0" w:type="dxa"/>
          <w:right w:w="0" w:type="dxa"/>
        </w:tblCellMar>
      </w:tblPr>
      <w:tr>
        <w:trPr>
          <w:trHeight w:val="209"/>
        </w:trPr>
        <w:tc>
          <w:tcPr>
            <w:tcW w:w="2020" w:type="dxa"/>
            <w:vAlign w:val="bottom"/>
          </w:tcPr>
          <w:p>
            <w:pPr>
              <w:jc w:val="center"/>
              <w:ind w:right="339"/>
              <w:spacing w:after="0"/>
              <w:rPr>
                <w:sz w:val="20"/>
                <w:szCs w:val="20"/>
                <w:color w:val="auto"/>
              </w:rPr>
            </w:pPr>
            <w:r>
              <w:rPr>
                <w:rFonts w:ascii="Arial" w:cs="Arial" w:eastAsia="Arial" w:hAnsi="Arial"/>
                <w:sz w:val="16"/>
                <w:szCs w:val="16"/>
                <w:color w:val="auto"/>
              </w:rPr>
              <w:t>Large 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20" w:type="dxa"/>
            <w:vAlign w:val="bottom"/>
          </w:tcPr>
          <w:p>
            <w:pPr>
              <w:jc w:val="center"/>
              <w:ind w:right="319"/>
              <w:spacing w:after="0"/>
              <w:rPr>
                <w:sz w:val="20"/>
                <w:szCs w:val="20"/>
                <w:color w:val="auto"/>
              </w:rPr>
            </w:pPr>
            <w:r>
              <w:rPr>
                <w:rFonts w:ascii="Arial" w:cs="Arial" w:eastAsia="Arial" w:hAnsi="Arial"/>
                <w:sz w:val="16"/>
                <w:szCs w:val="16"/>
                <w:color w:val="auto"/>
              </w:rPr>
              <w:t>Non-accelerated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4"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right="2200"/>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99,378,771 common shares outstanding representing limited liability company interests at October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00497F"/>
        </w:rPr>
        <w:t>FORWARD-LOOKING STATEMENTS AND RISK FACTORS SUMMARY</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spacing w:after="0" w:line="37" w:lineRule="exact"/>
        <w:rPr>
          <w:sz w:val="20"/>
          <w:szCs w:val="20"/>
          <w:color w:val="auto"/>
        </w:rPr>
      </w:pPr>
    </w:p>
    <w:p>
      <w:pPr>
        <w:jc w:val="both"/>
        <w:ind w:left="820" w:hanging="326"/>
        <w:spacing w:after="0" w:line="262"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the Russia-Ukraine conflict, the ongoing COVID-19 pandemic and other public health crises, and any related responses or actions by businesses and governments;</w:t>
      </w:r>
    </w:p>
    <w:p>
      <w:pPr>
        <w:spacing w:after="0" w:line="31" w:lineRule="exact"/>
        <w:rPr>
          <w:rFonts w:ascii="Arial" w:cs="Arial" w:eastAsia="Arial" w:hAnsi="Arial"/>
          <w:sz w:val="16"/>
          <w:szCs w:val="16"/>
          <w:color w:val="auto"/>
        </w:rPr>
      </w:pPr>
    </w:p>
    <w:p>
      <w:pPr>
        <w:ind w:left="820" w:hanging="326"/>
        <w:spacing w:after="0" w:line="278"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1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72"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our asset composition, investment strategy and liquidity as a result of the recently completed spin-off of our infrastructure business or other factors;</w:t>
      </w:r>
    </w:p>
    <w:p>
      <w:pPr>
        <w:spacing w:after="0" w:line="46"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ind w:left="820" w:hanging="326"/>
        <w:spacing w:after="0" w:line="278"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1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hanging="326"/>
        <w:spacing w:after="0" w:line="278"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1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risk that the spin-off of our infrastructure business may not achieve the intended benefits; and</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9000" w:type="dxa"/>
            <w:vAlign w:val="bottom"/>
          </w:tcPr>
          <w:p>
            <w:pPr>
              <w:ind w:left="3980"/>
              <w:spacing w:after="0"/>
              <w:rPr>
                <w:sz w:val="20"/>
                <w:szCs w:val="20"/>
                <w:color w:val="auto"/>
              </w:rPr>
            </w:pPr>
            <w:r>
              <w:rPr>
                <w:rFonts w:ascii="Arial" w:cs="Arial" w:eastAsia="Arial" w:hAnsi="Arial"/>
                <w:sz w:val="14"/>
                <w:szCs w:val="14"/>
                <w:b w:val="1"/>
                <w:bCs w:val="1"/>
                <w:color w:val="006EBF"/>
              </w:rPr>
              <w:t>PART I - FINANCIAL INFORMATION</w:t>
            </w:r>
          </w:p>
        </w:tc>
        <w:tc>
          <w:tcPr>
            <w:tcW w:w="1480" w:type="dxa"/>
            <w:vAlign w:val="bottom"/>
          </w:tcPr>
          <w:p>
            <w:pPr>
              <w:spacing w:after="0"/>
              <w:rPr>
                <w:sz w:val="16"/>
                <w:szCs w:val="16"/>
                <w:color w:val="auto"/>
              </w:rPr>
            </w:pPr>
          </w:p>
        </w:tc>
      </w:tr>
      <w:tr>
        <w:trPr>
          <w:trHeight w:val="203"/>
        </w:trPr>
        <w:tc>
          <w:tcPr>
            <w:tcW w:w="6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9000" w:type="dxa"/>
            <w:vAlign w:val="bottom"/>
          </w:tcPr>
          <w:p>
            <w:pPr>
              <w:ind w:left="160"/>
              <w:spacing w:after="0"/>
              <w:rPr>
                <w:sz w:val="20"/>
                <w:szCs w:val="20"/>
                <w:color w:val="auto"/>
              </w:rPr>
            </w:pPr>
            <w:r>
              <w:rPr>
                <w:rFonts w:ascii="Arial" w:cs="Arial" w:eastAsia="Arial" w:hAnsi="Arial"/>
                <w:sz w:val="14"/>
                <w:szCs w:val="14"/>
                <w:color w:val="0000FF"/>
              </w:rPr>
              <w:t>Unaudited Consolidated Financial Statements of Fortress Transportation and Infrastructure Investors LLC:</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5</w:t>
            </w:r>
          </w:p>
        </w:tc>
      </w:tr>
      <w:tr>
        <w:trPr>
          <w:trHeight w:val="203"/>
        </w:trPr>
        <w:tc>
          <w:tcPr>
            <w:tcW w:w="640" w:type="dxa"/>
            <w:vAlign w:val="bottom"/>
          </w:tcPr>
          <w:p>
            <w:pPr>
              <w:spacing w:after="0"/>
              <w:rPr>
                <w:sz w:val="17"/>
                <w:szCs w:val="17"/>
                <w:color w:val="auto"/>
              </w:rPr>
            </w:pPr>
          </w:p>
        </w:tc>
        <w:tc>
          <w:tcPr>
            <w:tcW w:w="9000" w:type="dxa"/>
            <w:vAlign w:val="bottom"/>
          </w:tcPr>
          <w:p>
            <w:pPr>
              <w:ind w:left="160"/>
              <w:spacing w:after="0"/>
              <w:rPr>
                <w:sz w:val="20"/>
                <w:szCs w:val="20"/>
                <w:color w:val="auto"/>
              </w:rPr>
            </w:pPr>
            <w:r>
              <w:rPr>
                <w:rFonts w:ascii="Arial" w:cs="Arial" w:eastAsia="Arial" w:hAnsi="Arial"/>
                <w:sz w:val="14"/>
                <w:szCs w:val="14"/>
                <w:color w:val="0000FF"/>
              </w:rPr>
              <w:t>Consolidated Balance Sheets as of September 30, 2022 and December 31, 2021</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5</w:t>
            </w:r>
          </w:p>
        </w:tc>
      </w:tr>
      <w:tr>
        <w:trPr>
          <w:trHeight w:val="203"/>
        </w:trPr>
        <w:tc>
          <w:tcPr>
            <w:tcW w:w="640" w:type="dxa"/>
            <w:vAlign w:val="bottom"/>
          </w:tcPr>
          <w:p>
            <w:pPr>
              <w:spacing w:after="0"/>
              <w:rPr>
                <w:sz w:val="17"/>
                <w:szCs w:val="17"/>
                <w:color w:val="auto"/>
              </w:rPr>
            </w:pPr>
          </w:p>
        </w:tc>
        <w:tc>
          <w:tcPr>
            <w:tcW w:w="9000" w:type="dxa"/>
            <w:vAlign w:val="bottom"/>
          </w:tcPr>
          <w:p>
            <w:pPr>
              <w:ind w:left="160"/>
              <w:spacing w:after="0"/>
              <w:rPr>
                <w:sz w:val="20"/>
                <w:szCs w:val="20"/>
                <w:color w:val="auto"/>
              </w:rPr>
            </w:pPr>
            <w:r>
              <w:rPr>
                <w:rFonts w:ascii="Arial" w:cs="Arial" w:eastAsia="Arial" w:hAnsi="Arial"/>
                <w:sz w:val="14"/>
                <w:szCs w:val="14"/>
                <w:color w:val="0000FF"/>
              </w:rPr>
              <w:t>Consolidated Statements of Operations for the three and nine months ended September 30, 2022 and 2021</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6</w:t>
            </w:r>
          </w:p>
        </w:tc>
      </w:tr>
      <w:tr>
        <w:trPr>
          <w:trHeight w:val="203"/>
        </w:trPr>
        <w:tc>
          <w:tcPr>
            <w:tcW w:w="640" w:type="dxa"/>
            <w:vAlign w:val="bottom"/>
          </w:tcPr>
          <w:p>
            <w:pPr>
              <w:spacing w:after="0"/>
              <w:rPr>
                <w:sz w:val="17"/>
                <w:szCs w:val="17"/>
                <w:color w:val="auto"/>
              </w:rPr>
            </w:pPr>
          </w:p>
        </w:tc>
        <w:tc>
          <w:tcPr>
            <w:tcW w:w="9000" w:type="dxa"/>
            <w:vAlign w:val="bottom"/>
          </w:tcPr>
          <w:p>
            <w:pPr>
              <w:ind w:left="160"/>
              <w:spacing w:after="0"/>
              <w:rPr>
                <w:sz w:val="20"/>
                <w:szCs w:val="20"/>
                <w:color w:val="auto"/>
              </w:rPr>
            </w:pPr>
            <w:r>
              <w:rPr>
                <w:rFonts w:ascii="Arial" w:cs="Arial" w:eastAsia="Arial" w:hAnsi="Arial"/>
                <w:sz w:val="14"/>
                <w:szCs w:val="14"/>
                <w:color w:val="0000FF"/>
              </w:rPr>
              <w:t>Consolidated Statements of Comprehensive Loss for the three and nine months ended September 30, 2022 and 2021</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7</w:t>
            </w:r>
          </w:p>
        </w:tc>
      </w:tr>
      <w:tr>
        <w:trPr>
          <w:trHeight w:val="203"/>
        </w:trPr>
        <w:tc>
          <w:tcPr>
            <w:tcW w:w="640" w:type="dxa"/>
            <w:vAlign w:val="bottom"/>
          </w:tcPr>
          <w:p>
            <w:pPr>
              <w:spacing w:after="0"/>
              <w:rPr>
                <w:sz w:val="17"/>
                <w:szCs w:val="17"/>
                <w:color w:val="auto"/>
              </w:rPr>
            </w:pPr>
          </w:p>
        </w:tc>
        <w:tc>
          <w:tcPr>
            <w:tcW w:w="9000" w:type="dxa"/>
            <w:vAlign w:val="bottom"/>
          </w:tcPr>
          <w:p>
            <w:pPr>
              <w:ind w:left="160"/>
              <w:spacing w:after="0"/>
              <w:rPr>
                <w:sz w:val="20"/>
                <w:szCs w:val="20"/>
                <w:color w:val="auto"/>
              </w:rPr>
            </w:pPr>
            <w:r>
              <w:rPr>
                <w:rFonts w:ascii="Arial" w:cs="Arial" w:eastAsia="Arial" w:hAnsi="Arial"/>
                <w:sz w:val="14"/>
                <w:szCs w:val="14"/>
                <w:color w:val="0000FF"/>
              </w:rPr>
              <w:t>Consolidated Statements of Changes in Equity for the three and nine months ended September 30, 2022 and 2021</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8</w:t>
            </w:r>
          </w:p>
        </w:tc>
      </w:tr>
      <w:tr>
        <w:trPr>
          <w:trHeight w:val="203"/>
        </w:trPr>
        <w:tc>
          <w:tcPr>
            <w:tcW w:w="640" w:type="dxa"/>
            <w:vAlign w:val="bottom"/>
          </w:tcPr>
          <w:p>
            <w:pPr>
              <w:spacing w:after="0"/>
              <w:rPr>
                <w:sz w:val="17"/>
                <w:szCs w:val="17"/>
                <w:color w:val="auto"/>
              </w:rPr>
            </w:pPr>
          </w:p>
        </w:tc>
        <w:tc>
          <w:tcPr>
            <w:tcW w:w="9000" w:type="dxa"/>
            <w:vAlign w:val="bottom"/>
          </w:tcPr>
          <w:p>
            <w:pPr>
              <w:ind w:left="160"/>
              <w:spacing w:after="0"/>
              <w:rPr>
                <w:sz w:val="20"/>
                <w:szCs w:val="20"/>
                <w:color w:val="auto"/>
              </w:rPr>
            </w:pPr>
            <w:r>
              <w:rPr>
                <w:rFonts w:ascii="Arial" w:cs="Arial" w:eastAsia="Arial" w:hAnsi="Arial"/>
                <w:sz w:val="14"/>
                <w:szCs w:val="14"/>
                <w:color w:val="0000FF"/>
              </w:rPr>
              <w:t>Consolidated Statements of Cash Flows for the nine months ended September 30, 2022 and 2021</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11</w:t>
            </w:r>
          </w:p>
        </w:tc>
      </w:tr>
      <w:tr>
        <w:trPr>
          <w:trHeight w:val="203"/>
        </w:trPr>
        <w:tc>
          <w:tcPr>
            <w:tcW w:w="640" w:type="dxa"/>
            <w:vAlign w:val="bottom"/>
          </w:tcPr>
          <w:p>
            <w:pPr>
              <w:spacing w:after="0"/>
              <w:rPr>
                <w:sz w:val="17"/>
                <w:szCs w:val="17"/>
                <w:color w:val="auto"/>
              </w:rPr>
            </w:pPr>
          </w:p>
        </w:tc>
        <w:tc>
          <w:tcPr>
            <w:tcW w:w="9000" w:type="dxa"/>
            <w:vAlign w:val="bottom"/>
          </w:tcPr>
          <w:p>
            <w:pPr>
              <w:ind w:left="180"/>
              <w:spacing w:after="0"/>
              <w:rPr>
                <w:sz w:val="20"/>
                <w:szCs w:val="20"/>
                <w:color w:val="auto"/>
              </w:rPr>
            </w:pPr>
            <w:r>
              <w:rPr>
                <w:rFonts w:ascii="Arial" w:cs="Arial" w:eastAsia="Arial" w:hAnsi="Arial"/>
                <w:sz w:val="14"/>
                <w:szCs w:val="14"/>
                <w:color w:val="0000FF"/>
              </w:rPr>
              <w:t>Notes to Consolidated Financial Statements</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13</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1: Organization</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13</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2: Summary of Significant Accounting Policies</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13</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3: Discontinued Operations</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16</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4: Leasing Equipment, net</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20</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5: Property, Plant and Equipment, net</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20</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6: Investments</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21</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7: Intangible Assets and Liabilities, net</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21</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8: Debt, net</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22</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9: Fair Value Measurements</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23</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10: Revenues</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23</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11: Income Taxes</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25</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12: Management Agreement and Affiliate Transactions</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26</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13: Segment Information</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27</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14: Earnings per Share and Equity</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37</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15: Commitments and Contingencies</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37</w:t>
            </w:r>
          </w:p>
        </w:tc>
      </w:tr>
      <w:tr>
        <w:trPr>
          <w:trHeight w:val="203"/>
        </w:trPr>
        <w:tc>
          <w:tcPr>
            <w:tcW w:w="640" w:type="dxa"/>
            <w:vAlign w:val="bottom"/>
          </w:tcPr>
          <w:p>
            <w:pPr>
              <w:spacing w:after="0"/>
              <w:rPr>
                <w:sz w:val="17"/>
                <w:szCs w:val="17"/>
                <w:color w:val="auto"/>
              </w:rPr>
            </w:pPr>
          </w:p>
        </w:tc>
        <w:tc>
          <w:tcPr>
            <w:tcW w:w="9000" w:type="dxa"/>
            <w:vAlign w:val="bottom"/>
          </w:tcPr>
          <w:p>
            <w:pPr>
              <w:ind w:left="260"/>
              <w:spacing w:after="0"/>
              <w:rPr>
                <w:sz w:val="20"/>
                <w:szCs w:val="20"/>
                <w:color w:val="auto"/>
              </w:rPr>
            </w:pPr>
            <w:r>
              <w:rPr>
                <w:rFonts w:ascii="Arial" w:cs="Arial" w:eastAsia="Arial" w:hAnsi="Arial"/>
                <w:sz w:val="14"/>
                <w:szCs w:val="14"/>
                <w:color w:val="0000FF"/>
              </w:rPr>
              <w:t>Note 16: Subsequent Events</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37</w:t>
            </w:r>
          </w:p>
        </w:tc>
      </w:tr>
      <w:tr>
        <w:trPr>
          <w:trHeight w:val="203"/>
        </w:trPr>
        <w:tc>
          <w:tcPr>
            <w:tcW w:w="6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9000" w:type="dxa"/>
            <w:vAlign w:val="bottom"/>
          </w:tcPr>
          <w:p>
            <w:pPr>
              <w:ind w:left="16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39</w:t>
            </w:r>
          </w:p>
        </w:tc>
      </w:tr>
      <w:tr>
        <w:trPr>
          <w:trHeight w:val="203"/>
        </w:trPr>
        <w:tc>
          <w:tcPr>
            <w:tcW w:w="6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9000" w:type="dxa"/>
            <w:vAlign w:val="bottom"/>
          </w:tcPr>
          <w:p>
            <w:pPr>
              <w:ind w:left="160"/>
              <w:spacing w:after="0"/>
              <w:rPr>
                <w:sz w:val="20"/>
                <w:szCs w:val="20"/>
                <w:color w:val="auto"/>
              </w:rPr>
            </w:pPr>
            <w:r>
              <w:rPr>
                <w:rFonts w:ascii="Arial" w:cs="Arial" w:eastAsia="Arial" w:hAnsi="Arial"/>
                <w:sz w:val="14"/>
                <w:szCs w:val="14"/>
                <w:color w:val="0000FF"/>
              </w:rPr>
              <w:t>Quantitative and Qualitative Disclosures About Market Risk</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56</w:t>
            </w:r>
          </w:p>
        </w:tc>
      </w:tr>
      <w:tr>
        <w:trPr>
          <w:trHeight w:val="202"/>
        </w:trPr>
        <w:tc>
          <w:tcPr>
            <w:tcW w:w="6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9000" w:type="dxa"/>
            <w:vAlign w:val="bottom"/>
          </w:tcPr>
          <w:p>
            <w:pPr>
              <w:ind w:left="160"/>
              <w:spacing w:after="0"/>
              <w:rPr>
                <w:sz w:val="20"/>
                <w:szCs w:val="20"/>
                <w:color w:val="auto"/>
              </w:rPr>
            </w:pPr>
            <w:r>
              <w:rPr>
                <w:rFonts w:ascii="Arial" w:cs="Arial" w:eastAsia="Arial" w:hAnsi="Arial"/>
                <w:sz w:val="14"/>
                <w:szCs w:val="14"/>
                <w:color w:val="0000FF"/>
              </w:rPr>
              <w:t>Controls and Procedures</w:t>
            </w:r>
          </w:p>
        </w:tc>
        <w:tc>
          <w:tcPr>
            <w:tcW w:w="1480" w:type="dxa"/>
            <w:vAlign w:val="bottom"/>
          </w:tcPr>
          <w:p>
            <w:pPr>
              <w:jc w:val="center"/>
              <w:ind w:left="1248"/>
              <w:spacing w:after="0"/>
              <w:rPr>
                <w:sz w:val="20"/>
                <w:szCs w:val="20"/>
                <w:color w:val="auto"/>
              </w:rPr>
            </w:pPr>
            <w:r>
              <w:rPr>
                <w:rFonts w:ascii="Arial" w:cs="Arial" w:eastAsia="Arial" w:hAnsi="Arial"/>
                <w:sz w:val="14"/>
                <w:szCs w:val="14"/>
                <w:color w:val="0000FF"/>
              </w:rPr>
              <w:t>56</w:t>
            </w: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420" w:type="dxa"/>
            <w:vAlign w:val="bottom"/>
          </w:tcPr>
          <w:p>
            <w:pPr>
              <w:jc w:val="right"/>
              <w:ind w:right="4128"/>
              <w:spacing w:after="0"/>
              <w:rPr>
                <w:sz w:val="20"/>
                <w:szCs w:val="20"/>
                <w:color w:val="auto"/>
              </w:rPr>
            </w:pPr>
            <w:r>
              <w:rPr>
                <w:rFonts w:ascii="Arial" w:cs="Arial" w:eastAsia="Arial" w:hAnsi="Arial"/>
                <w:sz w:val="14"/>
                <w:szCs w:val="14"/>
                <w:b w:val="1"/>
                <w:bCs w:val="1"/>
                <w:color w:val="006EBF"/>
              </w:rPr>
              <w:t>PART II - OTHER INFORMATION</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4020" w:type="dxa"/>
            <w:vAlign w:val="bottom"/>
          </w:tcPr>
          <w:p>
            <w:pPr>
              <w:ind w:left="120"/>
              <w:spacing w:after="0"/>
              <w:rPr>
                <w:sz w:val="20"/>
                <w:szCs w:val="20"/>
                <w:color w:val="auto"/>
              </w:rPr>
            </w:pPr>
            <w:r>
              <w:rPr>
                <w:rFonts w:ascii="Arial" w:cs="Arial" w:eastAsia="Arial" w:hAnsi="Arial"/>
                <w:sz w:val="14"/>
                <w:szCs w:val="14"/>
                <w:color w:val="0000FF"/>
              </w:rPr>
              <w:t>Legal Proceedings</w:t>
            </w:r>
          </w:p>
        </w:tc>
        <w:tc>
          <w:tcPr>
            <w:tcW w:w="6420" w:type="dxa"/>
            <w:vAlign w:val="bottom"/>
          </w:tcPr>
          <w:p>
            <w:pPr>
              <w:jc w:val="right"/>
              <w:spacing w:after="0"/>
              <w:rPr>
                <w:sz w:val="20"/>
                <w:szCs w:val="20"/>
                <w:color w:val="auto"/>
              </w:rPr>
            </w:pPr>
            <w:r>
              <w:rPr>
                <w:rFonts w:ascii="Arial" w:cs="Arial" w:eastAsia="Arial" w:hAnsi="Arial"/>
                <w:sz w:val="14"/>
                <w:szCs w:val="14"/>
                <w:color w:val="0000FF"/>
              </w:rPr>
              <w:t>57</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4020" w:type="dxa"/>
            <w:vAlign w:val="bottom"/>
          </w:tcPr>
          <w:p>
            <w:pPr>
              <w:ind w:left="120"/>
              <w:spacing w:after="0"/>
              <w:rPr>
                <w:sz w:val="20"/>
                <w:szCs w:val="20"/>
                <w:color w:val="auto"/>
              </w:rPr>
            </w:pPr>
            <w:r>
              <w:rPr>
                <w:rFonts w:ascii="Arial" w:cs="Arial" w:eastAsia="Arial" w:hAnsi="Arial"/>
                <w:sz w:val="14"/>
                <w:szCs w:val="14"/>
                <w:color w:val="0000FF"/>
              </w:rPr>
              <w:t>Risk Factors</w:t>
            </w:r>
          </w:p>
        </w:tc>
        <w:tc>
          <w:tcPr>
            <w:tcW w:w="6420" w:type="dxa"/>
            <w:vAlign w:val="bottom"/>
          </w:tcPr>
          <w:p>
            <w:pPr>
              <w:jc w:val="right"/>
              <w:spacing w:after="0"/>
              <w:rPr>
                <w:sz w:val="20"/>
                <w:szCs w:val="20"/>
                <w:color w:val="auto"/>
              </w:rPr>
            </w:pPr>
            <w:r>
              <w:rPr>
                <w:rFonts w:ascii="Arial" w:cs="Arial" w:eastAsia="Arial" w:hAnsi="Arial"/>
                <w:sz w:val="14"/>
                <w:szCs w:val="14"/>
                <w:color w:val="0000FF"/>
              </w:rPr>
              <w:t>57</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4020" w:type="dxa"/>
            <w:vAlign w:val="bottom"/>
          </w:tcPr>
          <w:p>
            <w:pPr>
              <w:ind w:left="120"/>
              <w:spacing w:after="0"/>
              <w:rPr>
                <w:sz w:val="20"/>
                <w:szCs w:val="20"/>
                <w:color w:val="auto"/>
              </w:rPr>
            </w:pPr>
            <w:r>
              <w:rPr>
                <w:rFonts w:ascii="Arial" w:cs="Arial" w:eastAsia="Arial" w:hAnsi="Arial"/>
                <w:sz w:val="14"/>
                <w:szCs w:val="14"/>
                <w:color w:val="0000FF"/>
              </w:rPr>
              <w:t>Unregistered Sales of Equity Securities and Use of Proceeds</w:t>
            </w:r>
          </w:p>
        </w:tc>
        <w:tc>
          <w:tcPr>
            <w:tcW w:w="6420" w:type="dxa"/>
            <w:vAlign w:val="bottom"/>
          </w:tcPr>
          <w:p>
            <w:pPr>
              <w:jc w:val="right"/>
              <w:spacing w:after="0"/>
              <w:rPr>
                <w:sz w:val="20"/>
                <w:szCs w:val="20"/>
                <w:color w:val="auto"/>
              </w:rPr>
            </w:pPr>
            <w:r>
              <w:rPr>
                <w:rFonts w:ascii="Arial" w:cs="Arial" w:eastAsia="Arial" w:hAnsi="Arial"/>
                <w:sz w:val="14"/>
                <w:szCs w:val="14"/>
                <w:color w:val="0000FF"/>
              </w:rPr>
              <w:t>77</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4020" w:type="dxa"/>
            <w:vAlign w:val="bottom"/>
          </w:tcPr>
          <w:p>
            <w:pPr>
              <w:ind w:left="120"/>
              <w:spacing w:after="0"/>
              <w:rPr>
                <w:sz w:val="20"/>
                <w:szCs w:val="20"/>
                <w:color w:val="auto"/>
              </w:rPr>
            </w:pPr>
            <w:r>
              <w:rPr>
                <w:rFonts w:ascii="Arial" w:cs="Arial" w:eastAsia="Arial" w:hAnsi="Arial"/>
                <w:sz w:val="14"/>
                <w:szCs w:val="14"/>
                <w:color w:val="0000FF"/>
              </w:rPr>
              <w:t>Defaults Upon Senior Securities</w:t>
            </w:r>
          </w:p>
        </w:tc>
        <w:tc>
          <w:tcPr>
            <w:tcW w:w="6420" w:type="dxa"/>
            <w:vAlign w:val="bottom"/>
          </w:tcPr>
          <w:p>
            <w:pPr>
              <w:jc w:val="right"/>
              <w:spacing w:after="0"/>
              <w:rPr>
                <w:sz w:val="20"/>
                <w:szCs w:val="20"/>
                <w:color w:val="auto"/>
              </w:rPr>
            </w:pPr>
            <w:r>
              <w:rPr>
                <w:rFonts w:ascii="Arial" w:cs="Arial" w:eastAsia="Arial" w:hAnsi="Arial"/>
                <w:sz w:val="14"/>
                <w:szCs w:val="14"/>
                <w:color w:val="0000FF"/>
              </w:rPr>
              <w:t>77</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4020" w:type="dxa"/>
            <w:vAlign w:val="bottom"/>
          </w:tcPr>
          <w:p>
            <w:pPr>
              <w:ind w:left="120"/>
              <w:spacing w:after="0"/>
              <w:rPr>
                <w:sz w:val="20"/>
                <w:szCs w:val="20"/>
                <w:color w:val="auto"/>
              </w:rPr>
            </w:pPr>
            <w:r>
              <w:rPr>
                <w:rFonts w:ascii="Arial" w:cs="Arial" w:eastAsia="Arial" w:hAnsi="Arial"/>
                <w:sz w:val="14"/>
                <w:szCs w:val="14"/>
                <w:color w:val="0000FF"/>
              </w:rPr>
              <w:t>Mine Safety Disclosures</w:t>
            </w:r>
          </w:p>
        </w:tc>
        <w:tc>
          <w:tcPr>
            <w:tcW w:w="6420" w:type="dxa"/>
            <w:vAlign w:val="bottom"/>
          </w:tcPr>
          <w:p>
            <w:pPr>
              <w:jc w:val="right"/>
              <w:spacing w:after="0"/>
              <w:rPr>
                <w:sz w:val="20"/>
                <w:szCs w:val="20"/>
                <w:color w:val="auto"/>
              </w:rPr>
            </w:pPr>
            <w:r>
              <w:rPr>
                <w:rFonts w:ascii="Arial" w:cs="Arial" w:eastAsia="Arial" w:hAnsi="Arial"/>
                <w:sz w:val="14"/>
                <w:szCs w:val="14"/>
                <w:color w:val="0000FF"/>
              </w:rPr>
              <w:t>77</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4020" w:type="dxa"/>
            <w:vAlign w:val="bottom"/>
          </w:tcPr>
          <w:p>
            <w:pPr>
              <w:ind w:left="120"/>
              <w:spacing w:after="0"/>
              <w:rPr>
                <w:sz w:val="20"/>
                <w:szCs w:val="20"/>
                <w:color w:val="auto"/>
              </w:rPr>
            </w:pPr>
            <w:r>
              <w:rPr>
                <w:rFonts w:ascii="Arial" w:cs="Arial" w:eastAsia="Arial" w:hAnsi="Arial"/>
                <w:sz w:val="14"/>
                <w:szCs w:val="14"/>
                <w:color w:val="0000FF"/>
              </w:rPr>
              <w:t>Other Information</w:t>
            </w:r>
          </w:p>
        </w:tc>
        <w:tc>
          <w:tcPr>
            <w:tcW w:w="6420" w:type="dxa"/>
            <w:vAlign w:val="bottom"/>
          </w:tcPr>
          <w:p>
            <w:pPr>
              <w:jc w:val="right"/>
              <w:spacing w:after="0"/>
              <w:rPr>
                <w:sz w:val="20"/>
                <w:szCs w:val="20"/>
                <w:color w:val="auto"/>
              </w:rPr>
            </w:pPr>
            <w:r>
              <w:rPr>
                <w:rFonts w:ascii="Arial" w:cs="Arial" w:eastAsia="Arial" w:hAnsi="Arial"/>
                <w:sz w:val="14"/>
                <w:szCs w:val="14"/>
                <w:color w:val="0000FF"/>
              </w:rPr>
              <w:t>77</w:t>
            </w:r>
          </w:p>
        </w:tc>
      </w:tr>
      <w:tr>
        <w:trPr>
          <w:trHeight w:val="203"/>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4020" w:type="dxa"/>
            <w:vAlign w:val="bottom"/>
          </w:tcPr>
          <w:p>
            <w:pPr>
              <w:ind w:left="120"/>
              <w:spacing w:after="0"/>
              <w:rPr>
                <w:sz w:val="20"/>
                <w:szCs w:val="20"/>
                <w:color w:val="auto"/>
              </w:rPr>
            </w:pPr>
            <w:r>
              <w:rPr>
                <w:rFonts w:ascii="Arial" w:cs="Arial" w:eastAsia="Arial" w:hAnsi="Arial"/>
                <w:sz w:val="14"/>
                <w:szCs w:val="14"/>
                <w:color w:val="0000FF"/>
              </w:rPr>
              <w:t>Exhibits</w:t>
            </w:r>
          </w:p>
        </w:tc>
        <w:tc>
          <w:tcPr>
            <w:tcW w:w="6420" w:type="dxa"/>
            <w:vAlign w:val="bottom"/>
          </w:tcPr>
          <w:p>
            <w:pPr>
              <w:jc w:val="right"/>
              <w:spacing w:after="0"/>
              <w:rPr>
                <w:sz w:val="20"/>
                <w:szCs w:val="20"/>
                <w:color w:val="auto"/>
              </w:rPr>
            </w:pPr>
            <w:r>
              <w:rPr>
                <w:rFonts w:ascii="Arial" w:cs="Arial" w:eastAsia="Arial" w:hAnsi="Arial"/>
                <w:sz w:val="14"/>
                <w:szCs w:val="14"/>
                <w:color w:val="0000FF"/>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220980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021"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006EBF"/>
        </w:rPr>
        <w:t>PART I—FINANCIAL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30" w:lineRule="exact"/>
        <w:rPr>
          <w:sz w:val="20"/>
          <w:szCs w:val="20"/>
          <w:color w:val="auto"/>
        </w:rPr>
      </w:pPr>
    </w:p>
    <w:p>
      <w:pPr>
        <w:ind w:right="4900"/>
        <w:spacing w:after="0" w:line="268" w:lineRule="auto"/>
        <w:rPr>
          <w:sz w:val="20"/>
          <w:szCs w:val="20"/>
          <w:color w:val="auto"/>
        </w:rPr>
      </w:pPr>
      <w:r>
        <w:rPr>
          <w:rFonts w:ascii="Arial" w:cs="Arial" w:eastAsia="Arial" w:hAnsi="Arial"/>
          <w:sz w:val="18"/>
          <w:szCs w:val="18"/>
          <w:b w:val="1"/>
          <w:bCs w:val="1"/>
          <w:color w:val="00497F"/>
        </w:rPr>
        <w:t>FORTRESS TRANSPORTATION AND INFRASTRUCTURE INVESTORS LLC CONSOLIDATED BALANCE SHEETS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180" w:type="dxa"/>
            <w:vAlign w:val="bottom"/>
          </w:tcPr>
          <w:p>
            <w:pPr>
              <w:spacing w:after="0"/>
              <w:rPr>
                <w:sz w:val="17"/>
                <w:szCs w:val="17"/>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7"/>
                <w:szCs w:val="17"/>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9"/>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4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72,742</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138,206</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94,867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124,924</w:t>
            </w: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rPr>
                <w:sz w:val="20"/>
                <w:szCs w:val="20"/>
                <w:color w:val="auto"/>
              </w:rPr>
            </w:pPr>
            <w:r>
              <w:rPr>
                <w:rFonts w:ascii="Arial" w:cs="Arial" w:eastAsia="Arial" w:hAnsi="Arial"/>
                <w:sz w:val="14"/>
                <w:szCs w:val="14"/>
                <w:color w:val="auto"/>
              </w:rPr>
              <w:t>Leasing equipment, net</w:t>
            </w:r>
          </w:p>
        </w:tc>
        <w:tc>
          <w:tcPr>
            <w:tcW w:w="74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1,692,182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1,855,637</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47,669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38,263</w:t>
            </w: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740" w:type="dxa"/>
            <w:vAlign w:val="bottom"/>
          </w:tcPr>
          <w:p>
            <w:pPr>
              <w:jc w:val="center"/>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22,280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22,917</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29,416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30,962</w:t>
            </w: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rPr>
                <w:sz w:val="20"/>
                <w:szCs w:val="20"/>
                <w:color w:val="auto"/>
              </w:rPr>
            </w:pPr>
            <w:r>
              <w:rPr>
                <w:rFonts w:ascii="Arial" w:cs="Arial" w:eastAsia="Arial" w:hAnsi="Arial"/>
                <w:sz w:val="14"/>
                <w:szCs w:val="14"/>
                <w:color w:val="auto"/>
              </w:rPr>
              <w:t>Inventory, net</w:t>
            </w:r>
          </w:p>
        </w:tc>
        <w:tc>
          <w:tcPr>
            <w:tcW w:w="74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160,019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100,307</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158,810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110,337</w:t>
            </w: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rPr>
                <w:sz w:val="20"/>
                <w:szCs w:val="20"/>
                <w:color w:val="auto"/>
              </w:rPr>
            </w:pPr>
            <w:r>
              <w:rPr>
                <w:rFonts w:ascii="Arial" w:cs="Arial" w:eastAsia="Arial" w:hAnsi="Arial"/>
                <w:sz w:val="14"/>
                <w:szCs w:val="14"/>
                <w:color w:val="auto"/>
              </w:rPr>
              <w:t>Assets of discontinued operations</w:t>
            </w:r>
          </w:p>
        </w:tc>
        <w:tc>
          <w:tcPr>
            <w:tcW w:w="74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2,442,301</w:t>
            </w:r>
          </w:p>
        </w:tc>
        <w:tc>
          <w:tcPr>
            <w:tcW w:w="0" w:type="dxa"/>
            <w:vAlign w:val="bottom"/>
          </w:tcPr>
          <w:p>
            <w:pPr>
              <w:spacing w:after="0"/>
              <w:rPr>
                <w:sz w:val="1"/>
                <w:szCs w:val="1"/>
                <w:color w:val="auto"/>
              </w:rPr>
            </w:pPr>
          </w:p>
        </w:tc>
      </w:tr>
      <w:tr>
        <w:trPr>
          <w:trHeight w:val="227"/>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2,277,985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4,863,854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102,506</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87,035</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2,024,549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2,501,587</w:t>
            </w: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rPr>
                <w:sz w:val="20"/>
                <w:szCs w:val="20"/>
                <w:color w:val="auto"/>
              </w:rPr>
            </w:pPr>
            <w:r>
              <w:rPr>
                <w:rFonts w:ascii="Arial" w:cs="Arial" w:eastAsia="Arial" w:hAnsi="Arial"/>
                <w:sz w:val="14"/>
                <w:szCs w:val="14"/>
                <w:color w:val="auto"/>
              </w:rPr>
              <w:t>Maintenance deposits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51,430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106,836</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27,409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40,149</w:t>
            </w:r>
          </w:p>
        </w:tc>
        <w:tc>
          <w:tcPr>
            <w:tcW w:w="0" w:type="dxa"/>
            <w:vAlign w:val="bottom"/>
          </w:tcPr>
          <w:p>
            <w:pPr>
              <w:spacing w:after="0"/>
              <w:rPr>
                <w:sz w:val="1"/>
                <w:szCs w:val="1"/>
                <w:color w:val="auto"/>
              </w:rPr>
            </w:pPr>
          </w:p>
        </w:tc>
      </w:tr>
      <w:tr>
        <w:trPr>
          <w:trHeight w:val="197"/>
        </w:trPr>
        <w:tc>
          <w:tcPr>
            <w:tcW w:w="654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46,043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23,892</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of discontinued operations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980,255</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2,251,937</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3,739,754</w:t>
            </w:r>
          </w:p>
        </w:tc>
        <w:tc>
          <w:tcPr>
            <w:tcW w:w="0" w:type="dxa"/>
            <w:vAlign w:val="bottom"/>
          </w:tcPr>
          <w:p>
            <w:pPr>
              <w:spacing w:after="0"/>
              <w:rPr>
                <w:sz w:val="1"/>
                <w:szCs w:val="1"/>
                <w:color w:val="auto"/>
              </w:rPr>
            </w:pPr>
          </w:p>
        </w:tc>
      </w:tr>
      <w:tr>
        <w:trPr>
          <w:trHeight w:val="243"/>
        </w:trPr>
        <w:tc>
          <w:tcPr>
            <w:tcW w:w="65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740" w:type="dxa"/>
            <w:vAlign w:val="bottom"/>
          </w:tcPr>
          <w:p>
            <w:pPr>
              <w:jc w:val="center"/>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5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5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Common shares ($0.01 par value per share; 2,000,000,000 shares authorized; 99,378,771 and</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99,180,385 shares issued and outstanding as of September 30, 2022 and December 31, 2021,</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994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respectively)</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153"/>
        </w:trPr>
        <w:tc>
          <w:tcPr>
            <w:tcW w:w="6540" w:type="dxa"/>
            <w:vAlign w:val="bottom"/>
          </w:tcPr>
          <w:p>
            <w:pPr>
              <w:ind w:left="20"/>
              <w:spacing w:after="0" w:line="153" w:lineRule="exact"/>
              <w:rPr>
                <w:sz w:val="20"/>
                <w:szCs w:val="20"/>
                <w:color w:val="auto"/>
              </w:rPr>
            </w:pPr>
            <w:r>
              <w:rPr>
                <w:rFonts w:ascii="Arial" w:cs="Arial" w:eastAsia="Arial" w:hAnsi="Arial"/>
                <w:sz w:val="14"/>
                <w:szCs w:val="14"/>
                <w:color w:val="auto"/>
              </w:rPr>
              <w:t>Preferred shares ($0.01 par value per share; 200,000,000 shares authorized; 13,320,000 and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40" w:type="dxa"/>
            <w:vAlign w:val="bottom"/>
          </w:tcPr>
          <w:p>
            <w:pPr>
              <w:ind w:left="20"/>
              <w:spacing w:after="0" w:line="149" w:lineRule="exact"/>
              <w:rPr>
                <w:sz w:val="20"/>
                <w:szCs w:val="20"/>
                <w:color w:val="auto"/>
              </w:rPr>
            </w:pPr>
            <w:r>
              <w:rPr>
                <w:rFonts w:ascii="Arial" w:cs="Arial" w:eastAsia="Arial" w:hAnsi="Arial"/>
                <w:sz w:val="14"/>
                <w:szCs w:val="14"/>
                <w:color w:val="auto"/>
              </w:rPr>
              <w:t>13,320,000 shares issued and outstanding as of September 30, 2022 and December 31, 2021,</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540" w:type="dxa"/>
            <w:vAlign w:val="bottom"/>
          </w:tcPr>
          <w:p>
            <w:pPr>
              <w:ind w:left="20"/>
              <w:spacing w:after="0"/>
              <w:rPr>
                <w:sz w:val="20"/>
                <w:szCs w:val="20"/>
                <w:color w:val="auto"/>
              </w:rPr>
            </w:pPr>
            <w:r>
              <w:rPr>
                <w:rFonts w:ascii="Arial" w:cs="Arial" w:eastAsia="Arial" w:hAnsi="Arial"/>
                <w:sz w:val="14"/>
                <w:szCs w:val="14"/>
                <w:color w:val="auto"/>
              </w:rPr>
              <w:t>respectively)</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8"/>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 in capital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376,800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1,411,940</w:t>
            </w:r>
          </w:p>
        </w:tc>
        <w:tc>
          <w:tcPr>
            <w:tcW w:w="0" w:type="dxa"/>
            <w:vAlign w:val="bottom"/>
          </w:tcPr>
          <w:p>
            <w:pPr>
              <w:spacing w:after="0"/>
              <w:rPr>
                <w:sz w:val="1"/>
                <w:szCs w:val="1"/>
                <w:color w:val="auto"/>
              </w:rPr>
            </w:pPr>
          </w:p>
        </w:tc>
      </w:tr>
      <w:tr>
        <w:trPr>
          <w:trHeight w:val="197"/>
        </w:trPr>
        <w:tc>
          <w:tcPr>
            <w:tcW w:w="654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(352,403)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(132,392)</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(156,381)</w:t>
            </w: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25,524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1,124,292</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equity</w:t>
            </w: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26,048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1,124,100</w:t>
            </w:r>
          </w:p>
        </w:tc>
        <w:tc>
          <w:tcPr>
            <w:tcW w:w="0" w:type="dxa"/>
            <w:vAlign w:val="bottom"/>
          </w:tcPr>
          <w:p>
            <w:pPr>
              <w:spacing w:after="0"/>
              <w:rPr>
                <w:sz w:val="1"/>
                <w:szCs w:val="1"/>
                <w:color w:val="auto"/>
              </w:rPr>
            </w:pPr>
          </w:p>
        </w:tc>
      </w:tr>
      <w:tr>
        <w:trPr>
          <w:trHeight w:val="227"/>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2,277,985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4,863,854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5" w:name="page6"/>
    <w:bookmarkEnd w:id="5"/>
    <w:p>
      <w:pPr>
        <w:ind w:right="4920"/>
        <w:spacing w:after="0" w:line="268" w:lineRule="auto"/>
        <w:rPr>
          <w:sz w:val="20"/>
          <w:szCs w:val="20"/>
          <w:color w:val="auto"/>
        </w:rPr>
      </w:pPr>
      <w:r>
        <w:rPr>
          <w:rFonts w:ascii="Arial" w:cs="Arial" w:eastAsia="Arial" w:hAnsi="Arial"/>
          <w:sz w:val="18"/>
          <w:szCs w:val="18"/>
          <w:b w:val="1"/>
          <w:bCs w:val="1"/>
          <w:color w:val="00497F"/>
        </w:rPr>
        <w:t>FORTRESS TRANSPORTATION AND INFRASTRUCTURE INVESTORS LLC CONSOLIDATED STATEMENTS OF OPERATIONS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 except share and per share data)</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7"/>
        </w:trPr>
        <w:tc>
          <w:tcPr>
            <w:tcW w:w="37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ind w:left="240"/>
              <w:spacing w:after="0"/>
              <w:rPr>
                <w:sz w:val="20"/>
                <w:szCs w:val="20"/>
                <w:color w:val="auto"/>
              </w:rPr>
            </w:pPr>
            <w:r>
              <w:rPr>
                <w:rFonts w:ascii="Arial" w:cs="Arial" w:eastAsia="Arial" w:hAnsi="Arial"/>
                <w:sz w:val="14"/>
                <w:szCs w:val="14"/>
                <w:b w:val="1"/>
                <w:bCs w:val="1"/>
                <w:color w:val="auto"/>
              </w:rPr>
              <w:t>Notes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230,365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99,174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434,120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237,352</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860" w:type="dxa"/>
            <w:vAlign w:val="bottom"/>
          </w:tcPr>
          <w:p>
            <w:pPr>
              <w:jc w:val="center"/>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27,393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15,339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108,197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34,191</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95,948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120,139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8,577</w:t>
            </w:r>
          </w:p>
        </w:tc>
        <w:tc>
          <w:tcPr>
            <w:tcW w:w="0" w:type="dxa"/>
            <w:vAlign w:val="bottom"/>
          </w:tcPr>
          <w:p>
            <w:pPr>
              <w:spacing w:after="0"/>
              <w:rPr>
                <w:sz w:val="1"/>
                <w:szCs w:val="1"/>
                <w:color w:val="auto"/>
              </w:rPr>
            </w:pPr>
          </w:p>
        </w:tc>
      </w:tr>
      <w:tr>
        <w:trPr>
          <w:trHeight w:val="197"/>
        </w:trPr>
        <w:tc>
          <w:tcPr>
            <w:tcW w:w="37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3,354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3,679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11,821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9,618</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6,583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12,626</w:t>
            </w:r>
          </w:p>
        </w:tc>
        <w:tc>
          <w:tcPr>
            <w:tcW w:w="0" w:type="dxa"/>
            <w:vAlign w:val="bottom"/>
          </w:tcPr>
          <w:p>
            <w:pPr>
              <w:spacing w:after="0"/>
              <w:rPr>
                <w:sz w:val="1"/>
                <w:szCs w:val="1"/>
                <w:color w:val="auto"/>
              </w:rPr>
            </w:pPr>
          </w:p>
        </w:tc>
      </w:tr>
      <w:tr>
        <w:trPr>
          <w:trHeight w:val="197"/>
        </w:trPr>
        <w:tc>
          <w:tcPr>
            <w:tcW w:w="378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860" w:type="dxa"/>
            <w:vAlign w:val="bottom"/>
          </w:tcPr>
          <w:p>
            <w:pPr>
              <w:jc w:val="center"/>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4, 5</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115,461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106,374</w:t>
            </w:r>
          </w:p>
        </w:tc>
        <w:tc>
          <w:tcPr>
            <w:tcW w:w="0" w:type="dxa"/>
            <w:vAlign w:val="bottom"/>
          </w:tcPr>
          <w:p>
            <w:pPr>
              <w:spacing w:after="0"/>
              <w:rPr>
                <w:sz w:val="1"/>
                <w:szCs w:val="1"/>
                <w:color w:val="auto"/>
              </w:rPr>
            </w:pPr>
          </w:p>
        </w:tc>
      </w:tr>
      <w:tr>
        <w:trPr>
          <w:trHeight w:val="197"/>
        </w:trPr>
        <w:tc>
          <w:tcPr>
            <w:tcW w:w="378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4,495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859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128,171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8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40,171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50,096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132,197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115,598</w:t>
            </w:r>
          </w:p>
        </w:tc>
        <w:tc>
          <w:tcPr>
            <w:tcW w:w="0" w:type="dxa"/>
            <w:vAlign w:val="bottom"/>
          </w:tcPr>
          <w:p>
            <w:pPr>
              <w:spacing w:after="0"/>
              <w:rPr>
                <w:sz w:val="1"/>
                <w:szCs w:val="1"/>
                <w:color w:val="auto"/>
              </w:rPr>
            </w:pPr>
          </w:p>
        </w:tc>
      </w:tr>
      <w:tr>
        <w:trPr>
          <w:trHeight w:val="196"/>
        </w:trPr>
        <w:tc>
          <w:tcPr>
            <w:tcW w:w="378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209,066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118,176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624,330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290,736</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8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860" w:type="dxa"/>
            <w:vAlign w:val="bottom"/>
          </w:tcPr>
          <w:p>
            <w:pPr>
              <w:jc w:val="center"/>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12,685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79,933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17,467</w:t>
            </w:r>
          </w:p>
        </w:tc>
        <w:tc>
          <w:tcPr>
            <w:tcW w:w="0" w:type="dxa"/>
            <w:vAlign w:val="bottom"/>
          </w:tcPr>
          <w:p>
            <w:pPr>
              <w:spacing w:after="0"/>
              <w:rPr>
                <w:sz w:val="1"/>
                <w:szCs w:val="1"/>
                <w:color w:val="auto"/>
              </w:rPr>
            </w:pPr>
          </w:p>
        </w:tc>
      </w:tr>
      <w:tr>
        <w:trPr>
          <w:trHeight w:val="196"/>
        </w:trPr>
        <w:tc>
          <w:tcPr>
            <w:tcW w:w="378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(19,861)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(19,861)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8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 income</w:t>
            </w: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(21,257)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10,975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60,155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12,446</w:t>
            </w: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Income (loss) from continuing operations before</w:t>
            </w: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(130,055)</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w:t>
            </w: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(40,938)</w:t>
            </w:r>
          </w:p>
        </w:tc>
        <w:tc>
          <w:tcPr>
            <w:tcW w:w="0" w:type="dxa"/>
            <w:vAlign w:val="bottom"/>
          </w:tcPr>
          <w:p>
            <w:pPr>
              <w:spacing w:after="0"/>
              <w:rPr>
                <w:sz w:val="1"/>
                <w:szCs w:val="1"/>
                <w:color w:val="auto"/>
              </w:rPr>
            </w:pPr>
          </w:p>
        </w:tc>
      </w:tr>
      <w:tr>
        <w:trPr>
          <w:trHeight w:val="197"/>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4,189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7,357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continuing operations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(137,412)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(41,762)</w:t>
            </w:r>
          </w:p>
        </w:tc>
        <w:tc>
          <w:tcPr>
            <w:tcW w:w="0" w:type="dxa"/>
            <w:vAlign w:val="bottom"/>
          </w:tcPr>
          <w:p>
            <w:pPr>
              <w:spacing w:after="0"/>
              <w:rPr>
                <w:sz w:val="1"/>
                <w:szCs w:val="1"/>
                <w:color w:val="auto"/>
              </w:rPr>
            </w:pPr>
          </w:p>
        </w:tc>
      </w:tr>
      <w:tr>
        <w:trPr>
          <w:trHeight w:val="167"/>
        </w:trPr>
        <w:tc>
          <w:tcPr>
            <w:tcW w:w="3780" w:type="dxa"/>
            <w:vAlign w:val="bottom"/>
          </w:tcPr>
          <w:p>
            <w:pPr>
              <w:ind w:left="140"/>
              <w:spacing w:after="0"/>
              <w:rPr>
                <w:sz w:val="20"/>
                <w:szCs w:val="20"/>
                <w:color w:val="auto"/>
              </w:rPr>
            </w:pPr>
            <w:r>
              <w:rPr>
                <w:rFonts w:ascii="Arial" w:cs="Arial" w:eastAsia="Arial" w:hAnsi="Arial"/>
                <w:sz w:val="14"/>
                <w:szCs w:val="14"/>
                <w:color w:val="auto"/>
              </w:rPr>
              <w:t>Net loss from discontinued operations, net of income</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(14,782)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(30,931)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(101,416)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(69,165)</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taxes</w:t>
            </w:r>
          </w:p>
        </w:tc>
        <w:tc>
          <w:tcPr>
            <w:tcW w:w="86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8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(18,929)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(238,828)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(110,927)</w:t>
            </w:r>
          </w:p>
        </w:tc>
        <w:tc>
          <w:tcPr>
            <w:tcW w:w="0" w:type="dxa"/>
            <w:vAlign w:val="bottom"/>
          </w:tcPr>
          <w:p>
            <w:pPr>
              <w:spacing w:after="0"/>
              <w:rPr>
                <w:sz w:val="1"/>
                <w:szCs w:val="1"/>
                <w:color w:val="auto"/>
              </w:rPr>
            </w:pPr>
          </w:p>
        </w:tc>
      </w:tr>
      <w:tr>
        <w:trPr>
          <w:trHeight w:val="147"/>
        </w:trPr>
        <w:tc>
          <w:tcPr>
            <w:tcW w:w="3780" w:type="dxa"/>
            <w:vAlign w:val="bottom"/>
          </w:tcPr>
          <w:p>
            <w:pPr>
              <w:ind w:left="20"/>
              <w:spacing w:after="0" w:line="147" w:lineRule="exact"/>
              <w:rPr>
                <w:sz w:val="20"/>
                <w:szCs w:val="20"/>
                <w:color w:val="auto"/>
              </w:rPr>
            </w:pPr>
            <w:r>
              <w:rPr>
                <w:rFonts w:ascii="Arial" w:cs="Arial" w:eastAsia="Arial" w:hAnsi="Arial"/>
                <w:sz w:val="14"/>
                <w:szCs w:val="14"/>
                <w:color w:val="auto"/>
              </w:rPr>
              <w:t>Less: Net loss attributable to non-controlling interests in</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8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860" w:type="dxa"/>
            <w:vAlign w:val="bottom"/>
          </w:tcPr>
          <w:p>
            <w:pPr>
              <w:jc w:val="center"/>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(2,871)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(7,363)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(18,817)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(18,949)</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8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6,791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20,373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17,967</w:t>
            </w:r>
          </w:p>
        </w:tc>
        <w:tc>
          <w:tcPr>
            <w:tcW w:w="0" w:type="dxa"/>
            <w:vAlign w:val="bottom"/>
          </w:tcPr>
          <w:p>
            <w:pPr>
              <w:spacing w:after="0"/>
              <w:rPr>
                <w:sz w:val="1"/>
                <w:szCs w:val="1"/>
                <w:color w:val="auto"/>
              </w:rPr>
            </w:pPr>
          </w:p>
        </w:tc>
      </w:tr>
      <w:tr>
        <w:trPr>
          <w:trHeight w:val="202"/>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86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(22,849)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(38,871)</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(240,384)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(109,945)</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Loss per share:</w:t>
            </w:r>
          </w:p>
        </w:tc>
        <w:tc>
          <w:tcPr>
            <w:tcW w:w="860" w:type="dxa"/>
            <w:vAlign w:val="bottom"/>
          </w:tcPr>
          <w:p>
            <w:pPr>
              <w:jc w:val="center"/>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78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86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(1.59)</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197"/>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Diluted</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197"/>
        </w:trPr>
        <w:tc>
          <w:tcPr>
            <w:tcW w:w="378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86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(0.12)</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(0.27)</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(0.83)</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80" w:type="dxa"/>
            <w:vAlign w:val="bottom"/>
          </w:tcPr>
          <w:p>
            <w:pPr>
              <w:ind w:left="20"/>
              <w:spacing w:after="0"/>
              <w:rPr>
                <w:sz w:val="20"/>
                <w:szCs w:val="20"/>
                <w:color w:val="auto"/>
              </w:rPr>
            </w:pPr>
            <w:r>
              <w:rPr>
                <w:rFonts w:ascii="Arial" w:cs="Arial" w:eastAsia="Arial" w:hAnsi="Arial"/>
                <w:sz w:val="14"/>
                <w:szCs w:val="14"/>
                <w:color w:val="auto"/>
              </w:rPr>
              <w:t>Basic</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99,378,771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88,277,897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99,372,016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86,787,072</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99,378,771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88,277,897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99,372,016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86,787,072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COMPREHENSIVE LOSS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4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64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24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(238,828)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(110,927)</w:t>
            </w: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 related</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4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 xml:space="preserve">to equity method investees, net </w:t>
            </w:r>
            <w:r>
              <w:rPr>
                <w:rFonts w:ascii="Arial" w:cs="Arial" w:eastAsia="Arial" w:hAnsi="Arial"/>
                <w:sz w:val="18"/>
                <w:szCs w:val="18"/>
                <w:color w:val="auto"/>
                <w:vertAlign w:val="superscript"/>
              </w:rPr>
              <w:t>(1)</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(40,470)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(54,640)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(182,963)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(77,518)</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 discontinued operations</w:t>
            </w: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Comprehensive loss</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(59,399)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(94,083)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(421,791)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(188,445)</w:t>
            </w: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Comprehensive loss attributable to</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2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(18,949)</w:t>
            </w:r>
          </w:p>
        </w:tc>
        <w:tc>
          <w:tcPr>
            <w:tcW w:w="0" w:type="dxa"/>
            <w:vAlign w:val="bottom"/>
          </w:tcPr>
          <w:p>
            <w:pPr>
              <w:spacing w:after="0"/>
              <w:rPr>
                <w:sz w:val="1"/>
                <w:szCs w:val="1"/>
                <w:color w:val="auto"/>
              </w:rPr>
            </w:pPr>
          </w:p>
        </w:tc>
      </w:tr>
      <w:tr>
        <w:trPr>
          <w:trHeight w:val="129"/>
        </w:trPr>
        <w:tc>
          <w:tcPr>
            <w:tcW w:w="24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Comprehensive loss attributable</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(56,528)</w:t>
            </w:r>
          </w:p>
        </w:tc>
        <w:tc>
          <w:tcPr>
            <w:tcW w:w="8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(86,720)</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(402,974)</w:t>
            </w:r>
          </w:p>
        </w:tc>
        <w:tc>
          <w:tcPr>
            <w:tcW w:w="8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(169,496)</w:t>
            </w:r>
          </w:p>
        </w:tc>
        <w:tc>
          <w:tcPr>
            <w:tcW w:w="0" w:type="dxa"/>
            <w:vAlign w:val="bottom"/>
          </w:tcPr>
          <w:p>
            <w:pPr>
              <w:spacing w:after="0"/>
              <w:rPr>
                <w:sz w:val="1"/>
                <w:szCs w:val="1"/>
                <w:color w:val="auto"/>
              </w:rPr>
            </w:pPr>
          </w:p>
        </w:tc>
      </w:tr>
      <w:tr>
        <w:trPr>
          <w:trHeight w:val="167"/>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 shareholders</w:t>
            </w:r>
          </w:p>
        </w:tc>
        <w:tc>
          <w:tcPr>
            <w:tcW w:w="1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hanging="172"/>
        <w:spacing w:after="0" w:line="219" w:lineRule="auto"/>
        <w:tabs>
          <w:tab w:leader="none" w:pos="181"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Net of deferred tax expense (benefit) of $— and $1,798 for the three months ended September 30, 2022 and 2021, respectively, and $— and $(2,674) for the nine months ended September 30, 2022 and 2021, respectively.</w:t>
      </w:r>
    </w:p>
    <w:p>
      <w:pPr>
        <w:sectPr>
          <w:pgSz w:w="11900" w:h="16838" w:orient="portrait"/>
          <w:cols w:equalWidth="0" w:num="1">
            <w:col w:w="11240"/>
          </w:cols>
          <w:pgMar w:left="320" w:top="118"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9019"/>
          </w:cols>
          <w:pgMar w:left="1440" w:top="141"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226695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 w:right="1440" w:bottom="1440" w:gutter="0" w:footer="0" w:header="0"/>
          <w:type w:val="continuous"/>
        </w:sectPr>
      </w:pPr>
    </w:p>
    <w:bookmarkStart w:id="8" w:name="page9"/>
    <w:bookmarkEnd w:id="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 OF CHANGES IN EQUITY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Three and Nine Months Ended September 30, 2022</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560" w:type="dxa"/>
            <w:vAlign w:val="bottom"/>
            <w:gridSpan w:val="3"/>
            <w:vMerge w:val="continue"/>
          </w:tcPr>
          <w:p>
            <w:pPr>
              <w:spacing w:after="0"/>
              <w:rPr>
                <w:sz w:val="12"/>
                <w:szCs w:val="12"/>
                <w:color w:val="auto"/>
              </w:rPr>
            </w:pPr>
          </w:p>
        </w:tc>
        <w:tc>
          <w:tcPr>
            <w:tcW w:w="140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rPr>
              <w:t>Interest in Equity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 In</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of Consolidated</w:t>
            </w:r>
          </w:p>
        </w:tc>
        <w:tc>
          <w:tcPr>
            <w:tcW w:w="120" w:type="dxa"/>
            <w:vAlign w:val="bottom"/>
          </w:tcPr>
          <w:p>
            <w:pPr>
              <w:spacing w:after="0"/>
              <w:rPr>
                <w:sz w:val="12"/>
                <w:szCs w:val="12"/>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26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1,411,940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(132,392)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(156,381)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1,124,100</w:t>
            </w:r>
          </w:p>
        </w:tc>
        <w:tc>
          <w:tcPr>
            <w:tcW w:w="0" w:type="dxa"/>
            <w:vAlign w:val="bottom"/>
          </w:tcPr>
          <w:p>
            <w:pPr>
              <w:spacing w:after="0"/>
              <w:rPr>
                <w:sz w:val="1"/>
                <w:szCs w:val="1"/>
                <w:color w:val="auto"/>
              </w:rPr>
            </w:pPr>
          </w:p>
        </w:tc>
      </w:tr>
      <w:tr>
        <w:trPr>
          <w:trHeight w:val="196"/>
        </w:trPr>
        <w:tc>
          <w:tcPr>
            <w:tcW w:w="26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(203,953)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(15,946)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(219,899)</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(142,493)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(142,493)</w:t>
            </w: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(203,953)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(142,493)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(15,946)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(362,392)</w:t>
            </w: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consolidated subsidiary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3,054</w:t>
            </w: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Arial" w:cs="Arial" w:eastAsia="Arial" w:hAnsi="Arial"/>
                <w:sz w:val="14"/>
                <w:szCs w:val="14"/>
                <w:color w:val="auto"/>
              </w:rPr>
              <w:t>Contributions from non-controlling</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1,187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71"/>
        </w:trPr>
        <w:tc>
          <w:tcPr>
            <w:tcW w:w="2600" w:type="dxa"/>
            <w:vAlign w:val="bottom"/>
          </w:tcPr>
          <w:p>
            <w:pPr>
              <w:ind w:left="2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Dividends declared - common shares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(65,789)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(65,789)</w:t>
            </w: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(13,582)</w:t>
            </w:r>
          </w:p>
        </w:tc>
        <w:tc>
          <w:tcPr>
            <w:tcW w:w="0" w:type="dxa"/>
            <w:vAlign w:val="bottom"/>
          </w:tcPr>
          <w:p>
            <w:pPr>
              <w:spacing w:after="0"/>
              <w:rPr>
                <w:sz w:val="1"/>
                <w:szCs w:val="1"/>
                <w:color w:val="auto"/>
              </w:rPr>
            </w:pPr>
          </w:p>
        </w:tc>
      </w:tr>
      <w:tr>
        <w:trPr>
          <w:trHeight w:val="197"/>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w:t>
            </w:r>
          </w:p>
        </w:tc>
        <w:tc>
          <w:tcPr>
            <w:tcW w:w="0" w:type="dxa"/>
            <w:vAlign w:val="bottom"/>
          </w:tcPr>
          <w:p>
            <w:pPr>
              <w:spacing w:after="0"/>
              <w:rPr>
                <w:sz w:val="1"/>
                <w:szCs w:val="1"/>
                <w:color w:val="auto"/>
              </w:rPr>
            </w:pPr>
          </w:p>
        </w:tc>
      </w:tr>
      <w:tr>
        <w:trPr>
          <w:trHeight w:val="20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June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1,332,968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(336,345)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(298,874)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689,271</w:t>
            </w:r>
          </w:p>
        </w:tc>
        <w:tc>
          <w:tcPr>
            <w:tcW w:w="0" w:type="dxa"/>
            <w:vAlign w:val="bottom"/>
          </w:tcPr>
          <w:p>
            <w:pPr>
              <w:spacing w:after="0"/>
              <w:rPr>
                <w:sz w:val="1"/>
                <w:szCs w:val="1"/>
                <w:color w:val="auto"/>
              </w:rPr>
            </w:pPr>
          </w:p>
        </w:tc>
      </w:tr>
      <w:tr>
        <w:trPr>
          <w:trHeight w:val="196"/>
        </w:trPr>
        <w:tc>
          <w:tcPr>
            <w:tcW w:w="26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(16,058)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(18,929)</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(40,470)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(40,470)</w:t>
            </w: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(16,058)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(40,470)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(59,399)</w:t>
            </w:r>
          </w:p>
        </w:tc>
        <w:tc>
          <w:tcPr>
            <w:tcW w:w="0" w:type="dxa"/>
            <w:vAlign w:val="bottom"/>
          </w:tcPr>
          <w:p>
            <w:pPr>
              <w:spacing w:after="0"/>
              <w:rPr>
                <w:sz w:val="1"/>
                <w:szCs w:val="1"/>
                <w:color w:val="auto"/>
              </w:rPr>
            </w:pPr>
          </w:p>
        </w:tc>
      </w:tr>
      <w:tr>
        <w:trPr>
          <w:trHeight w:val="17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Spin-off of FTAI Infrastructure, Inc., net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(916,582)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339,344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12,817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(564,421)</w:t>
            </w: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distributions</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Arial" w:cs="Arial" w:eastAsia="Arial" w:hAnsi="Arial"/>
                <w:sz w:val="14"/>
                <w:szCs w:val="14"/>
                <w:color w:val="auto"/>
              </w:rPr>
              <w:t>Settlement of equity-based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1"/>
        </w:trPr>
        <w:tc>
          <w:tcPr>
            <w:tcW w:w="260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Dividends declared - common shares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(32,795)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(32,795)</w:t>
            </w: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2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September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376,800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(352,403)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26,048</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 OF CHANGES IN EQUITY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Three and Nine Months Ended September 30, 2021</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560" w:type="dxa"/>
            <w:vAlign w:val="bottom"/>
            <w:gridSpan w:val="3"/>
            <w:vMerge w:val="continue"/>
          </w:tcPr>
          <w:p>
            <w:pPr>
              <w:spacing w:after="0"/>
              <w:rPr>
                <w:sz w:val="12"/>
                <w:szCs w:val="12"/>
                <w:color w:val="auto"/>
              </w:rPr>
            </w:pPr>
          </w:p>
        </w:tc>
        <w:tc>
          <w:tcPr>
            <w:tcW w:w="14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Interest in Equity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rPr>
              <w:t>Paid In</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of Consolidated</w:t>
            </w:r>
          </w:p>
        </w:tc>
        <w:tc>
          <w:tcPr>
            <w:tcW w:w="120" w:type="dxa"/>
            <w:vAlign w:val="bottom"/>
          </w:tcPr>
          <w:p>
            <w:pPr>
              <w:spacing w:after="0"/>
              <w:rPr>
                <w:sz w:val="12"/>
                <w:szCs w:val="12"/>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91</w:t>
            </w: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1,130,106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(26,237)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22,663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1,099,321</w:t>
            </w:r>
          </w:p>
        </w:tc>
        <w:tc>
          <w:tcPr>
            <w:tcW w:w="0" w:type="dxa"/>
            <w:vAlign w:val="bottom"/>
          </w:tcPr>
          <w:p>
            <w:pPr>
              <w:spacing w:after="0"/>
              <w:rPr>
                <w:sz w:val="1"/>
                <w:szCs w:val="1"/>
                <w:color w:val="auto"/>
              </w:rPr>
            </w:pPr>
          </w:p>
        </w:tc>
      </w:tr>
      <w:tr>
        <w:trPr>
          <w:trHeight w:val="197"/>
        </w:trPr>
        <w:tc>
          <w:tcPr>
            <w:tcW w:w="26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(59,898)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(71,484)</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(22,878)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(22,878)</w:t>
            </w: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(59,898)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(22,878)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(94,362)</w:t>
            </w:r>
          </w:p>
        </w:tc>
        <w:tc>
          <w:tcPr>
            <w:tcW w:w="0" w:type="dxa"/>
            <w:vAlign w:val="bottom"/>
          </w:tcPr>
          <w:p>
            <w:pPr>
              <w:spacing w:after="0"/>
              <w:rPr>
                <w:sz w:val="1"/>
                <w:szCs w:val="1"/>
                <w:color w:val="auto"/>
              </w:rPr>
            </w:pPr>
          </w:p>
        </w:tc>
      </w:tr>
      <w:tr>
        <w:trPr>
          <w:trHeight w:val="17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equity-based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common shares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(56,795)</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Issuance of preferred shares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101,158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101,200</w:t>
            </w: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(11,176)</w:t>
            </w:r>
          </w:p>
        </w:tc>
        <w:tc>
          <w:tcPr>
            <w:tcW w:w="0" w:type="dxa"/>
            <w:vAlign w:val="bottom"/>
          </w:tcPr>
          <w:p>
            <w:pPr>
              <w:spacing w:after="0"/>
              <w:rPr>
                <w:sz w:val="1"/>
                <w:szCs w:val="1"/>
                <w:color w:val="auto"/>
              </w:rPr>
            </w:pPr>
          </w:p>
        </w:tc>
      </w:tr>
      <w:tr>
        <w:trPr>
          <w:trHeight w:val="197"/>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2,553</w:t>
            </w:r>
          </w:p>
        </w:tc>
        <w:tc>
          <w:tcPr>
            <w:tcW w:w="0" w:type="dxa"/>
            <w:vAlign w:val="bottom"/>
          </w:tcPr>
          <w:p>
            <w:pPr>
              <w:spacing w:after="0"/>
              <w:rPr>
                <w:sz w:val="1"/>
                <w:szCs w:val="1"/>
                <w:color w:val="auto"/>
              </w:rPr>
            </w:pPr>
          </w:p>
        </w:tc>
      </w:tr>
      <w:tr>
        <w:trPr>
          <w:trHeight w:val="20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1,163,748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1,041,013</w:t>
            </w:r>
          </w:p>
        </w:tc>
        <w:tc>
          <w:tcPr>
            <w:tcW w:w="0" w:type="dxa"/>
            <w:vAlign w:val="bottom"/>
          </w:tcPr>
          <w:p>
            <w:pPr>
              <w:spacing w:after="0"/>
              <w:rPr>
                <w:sz w:val="1"/>
                <w:szCs w:val="1"/>
                <w:color w:val="auto"/>
              </w:rPr>
            </w:pPr>
          </w:p>
        </w:tc>
      </w:tr>
      <w:tr>
        <w:trPr>
          <w:trHeight w:val="196"/>
        </w:trPr>
        <w:tc>
          <w:tcPr>
            <w:tcW w:w="26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(32,080)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(39,443)</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(54,640)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(54,640)</w:t>
            </w: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(32,080)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(54,640)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(94,083)</w:t>
            </w:r>
          </w:p>
        </w:tc>
        <w:tc>
          <w:tcPr>
            <w:tcW w:w="0" w:type="dxa"/>
            <w:vAlign w:val="bottom"/>
          </w:tcPr>
          <w:p>
            <w:pPr>
              <w:spacing w:after="0"/>
              <w:rPr>
                <w:sz w:val="1"/>
                <w:szCs w:val="1"/>
                <w:color w:val="auto"/>
              </w:rPr>
            </w:pPr>
          </w:p>
        </w:tc>
      </w:tr>
      <w:tr>
        <w:trPr>
          <w:trHeight w:val="17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equity-based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291,701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291,824</w:t>
            </w: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participating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Dividends declared - common shares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(28,409)</w:t>
            </w: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27"/>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September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1,420,247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(120,136)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(103,755)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6,574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1,204,042</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ind w:right="3819"/>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 OF CHANGES IN EQUITY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46" w:lineRule="exact"/>
        <w:rPr>
          <w:sz w:val="20"/>
          <w:szCs w:val="20"/>
          <w:color w:val="auto"/>
        </w:rPr>
      </w:pPr>
    </w:p>
    <w:p>
      <w:pPr>
        <w:jc w:val="right"/>
        <w:ind w:right="227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1" w:name="page12"/>
    <w:bookmarkEnd w:id="1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40" w:type="dxa"/>
            <w:vAlign w:val="bottom"/>
          </w:tcPr>
          <w:p>
            <w:pPr>
              <w:spacing w:after="0"/>
              <w:rPr>
                <w:sz w:val="17"/>
                <w:szCs w:val="17"/>
                <w:color w:val="auto"/>
              </w:rPr>
            </w:pPr>
          </w:p>
        </w:tc>
        <w:tc>
          <w:tcPr>
            <w:tcW w:w="340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8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8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(238,828)</w:t>
            </w:r>
          </w:p>
        </w:tc>
        <w:tc>
          <w:tcPr>
            <w:tcW w:w="12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(110,927)</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46,727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9,860</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(106,427)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(17,483)</w:t>
            </w: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(31,558)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(30,866)</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2,623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3,281</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155,780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145,274</w:t>
            </w: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128,171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3,048</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deferred income taxes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w:t>
            </w: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Change in fair value of non-hedge derivative</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(1,567)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(1,979)</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30,315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21,348</w:t>
            </w: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17,142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18,853</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credit losses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47,226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Other</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(693)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7"/>
        </w:trPr>
        <w:tc>
          <w:tcPr>
            <w:tcW w:w="784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(61,892)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(100,821)</w:t>
            </w:r>
          </w:p>
        </w:tc>
      </w:tr>
      <w:tr>
        <w:trPr>
          <w:trHeight w:val="208"/>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(23,576)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(34,499)</w:t>
            </w:r>
          </w:p>
        </w:tc>
      </w:tr>
      <w:tr>
        <w:trPr>
          <w:trHeight w:val="197"/>
        </w:trPr>
        <w:tc>
          <w:tcPr>
            <w:tcW w:w="784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(13,370)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accrued liabilities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4,329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71,285</w:t>
            </w:r>
          </w:p>
        </w:tc>
      </w:tr>
      <w:tr>
        <w:trPr>
          <w:trHeight w:val="197"/>
        </w:trPr>
        <w:tc>
          <w:tcPr>
            <w:tcW w:w="7840" w:type="dxa"/>
            <w:vAlign w:val="bottom"/>
          </w:tcPr>
          <w:p>
            <w:pPr>
              <w:ind w:left="180"/>
              <w:spacing w:after="0"/>
              <w:rPr>
                <w:sz w:val="20"/>
                <w:szCs w:val="20"/>
                <w:color w:val="auto"/>
              </w:rPr>
            </w:pPr>
            <w:r>
              <w:rPr>
                <w:rFonts w:ascii="Arial" w:cs="Arial" w:eastAsia="Arial" w:hAnsi="Arial"/>
                <w:sz w:val="14"/>
                <w:szCs w:val="14"/>
                <w:color w:val="auto"/>
              </w:rPr>
              <w:t>Management fees payable to affiliate</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(2,530)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(844)</w:t>
            </w:r>
          </w:p>
        </w:tc>
      </w:tr>
      <w:tr>
        <w:trPr>
          <w:trHeight w:val="208"/>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(7,955)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2,242</w:t>
            </w:r>
          </w:p>
        </w:tc>
      </w:tr>
      <w:tr>
        <w:trPr>
          <w:trHeight w:val="19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(21,299)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(20,708)</w:t>
            </w:r>
          </w:p>
        </w:tc>
      </w:tr>
      <w:tr>
        <w:trPr>
          <w:trHeight w:val="202"/>
        </w:trPr>
        <w:tc>
          <w:tcPr>
            <w:tcW w:w="7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(7,344)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(54,499)</w:t>
            </w: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2,165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1,707</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(3,819)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(627,399)</w:t>
            </w: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leasing equipment</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(360,642)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(299,564)</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(138,750)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(109,405)</w:t>
            </w: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lease intangibles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(6,542)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(7,403)</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deposits for acquisitions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(28,621)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(13,790)</w:t>
            </w: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262,096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78,463</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5,289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Proceeds for deposit on sale of aircraft and engine</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7,801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 of purchase deposits</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r>
      <w:tr>
        <w:trPr>
          <w:trHeight w:val="190"/>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(268,367)</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(1,030,280)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40" w:type="dxa"/>
            <w:vAlign w:val="bottom"/>
          </w:tcPr>
          <w:p>
            <w:pPr>
              <w:spacing w:after="0"/>
              <w:rPr>
                <w:sz w:val="17"/>
                <w:szCs w:val="17"/>
                <w:color w:val="auto"/>
              </w:rPr>
            </w:pPr>
          </w:p>
        </w:tc>
        <w:tc>
          <w:tcPr>
            <w:tcW w:w="340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8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503,980</w:t>
            </w:r>
          </w:p>
        </w:tc>
        <w:tc>
          <w:tcPr>
            <w:tcW w:w="12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2,553,600</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(984,529)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(1,452,704)</w:t>
            </w: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(18,151)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(45,123)</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w:t>
            </w: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color w:val="auto"/>
              </w:rPr>
              <w:t>Return of security deposits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(941)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(1,034)</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37,586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23,075</w:t>
            </w: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color w:val="auto"/>
              </w:rPr>
              <w:t>Release of maintenance deposits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(878)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(19,615)</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contributions from non-controlling interests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issuance of common shares, net of underwriter's discount</w:t>
            </w:r>
          </w:p>
        </w:tc>
        <w:tc>
          <w:tcPr>
            <w:tcW w:w="10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291,822</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101,201</w:t>
            </w: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color w:val="auto"/>
              </w:rPr>
              <w:t>Dividend from spin-off of FTAI Infrastructure, net of cash transferred</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500,562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equity-based compensation</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color w:val="auto"/>
              </w:rPr>
              <w:t>Cash dividends - common shares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(98,584)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(85,204)</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preferred shares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(20,373)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(17,967)</w:t>
            </w:r>
          </w:p>
        </w:tc>
      </w:tr>
      <w:tr>
        <w:trPr>
          <w:trHeight w:val="19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(77,653)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1,349,020</w:t>
            </w:r>
          </w:p>
        </w:tc>
      </w:tr>
      <w:tr>
        <w:trPr>
          <w:trHeight w:val="202"/>
        </w:trPr>
        <w:tc>
          <w:tcPr>
            <w:tcW w:w="7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 and restricted cash</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(367,319)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298,032</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1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440,061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161,418</w:t>
            </w:r>
          </w:p>
        </w:tc>
      </w:tr>
      <w:tr>
        <w:trPr>
          <w:trHeight w:val="202"/>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72,742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459,450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78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124,932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66,988</w:t>
            </w: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(762)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(1,062)</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Settled and assumed security deposits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(1,909)</w:t>
            </w: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Billed, assumed and settled maintenance deposits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(73,808)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(30,302)</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(182,963)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(77,518)</w:t>
            </w:r>
          </w:p>
        </w:tc>
      </w:tr>
      <w:tr>
        <w:trPr>
          <w:trHeight w:val="196"/>
        </w:trPr>
        <w:tc>
          <w:tcPr>
            <w:tcW w:w="7840" w:type="dxa"/>
            <w:vAlign w:val="bottom"/>
          </w:tcPr>
          <w:p>
            <w:pPr>
              <w:ind w:left="20"/>
              <w:spacing w:after="0"/>
              <w:rPr>
                <w:sz w:val="20"/>
                <w:szCs w:val="20"/>
                <w:color w:val="auto"/>
              </w:rPr>
            </w:pPr>
            <w:r>
              <w:rPr>
                <w:rFonts w:ascii="Arial" w:cs="Arial" w:eastAsia="Arial" w:hAnsi="Arial"/>
                <w:sz w:val="14"/>
                <w:szCs w:val="14"/>
                <w:color w:val="auto"/>
              </w:rPr>
              <w:t>Conversion of interests in unconsolidated entities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(21,302)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ORGANIZATION</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Fortress Transportation and Infrastructure Investors LLC (“we”, “us”, “our” or the “Company”) is a Delaware limited liability company which, through its subsidiary, Fortress Worldwide Transportation and Infrastructure General Partnership (the “Partnership”), owns and leases aviation equipment and also develops, manufactures, repairs and sells aftermarket components for aircraft engines. Additionally, we own and lease offshore energy equipment. We have two reportable segments, (i) Aviation Leasing and (ii) Aerospace Products (see Note 13).</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August 1, 2022, the Company completed the spin-off of its infrastructure business into an independent publicly traded company. Accordingly, the operating results of, and costs to separate, the infrastructure business are reported in Net loss from discontinued operations, net of income taxes in the Consolidated Statements of Operations for all periods presented. In addition, the related assets and liabilities held prior to the spin-off are reported as Assets and Liabilities of Discontinued Operations on the Consolidated Balance Sheets. All amounts and disclosures included in the Notes to Consolidated Financial Statements reflect only the Company's continuing operations unless otherwise noted. For additional information, see Note 3, "Discontinued Operations."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SUMMARY OF SIGNIFICANT ACCOUNTING POLICIES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the accounts of us and our subsidiaries.</w:t>
      </w:r>
    </w:p>
    <w:p>
      <w:pPr>
        <w:spacing w:after="0" w:line="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497F"/>
        </w:rPr>
        <w:t>—</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are denominated in U.S. dollars.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6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2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497F"/>
        </w:rPr>
        <w:t>—</w:t>
      </w:r>
      <w:r>
        <w:rPr>
          <w:rFonts w:ascii="Arial" w:cs="Arial" w:eastAsia="Arial" w:hAnsi="Arial"/>
          <w:sz w:val="16"/>
          <w:szCs w:val="16"/>
          <w:color w:val="000000"/>
        </w:rPr>
        <w:t>We hold aircraft engine modules, spare parts and used material inventory for trading and to support operations. Inventory is carried at the lower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cost or net realizable value on our balance sheet.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$30.9 million and $43.0 million as of September 30, 2022 and December 31, 2021, respectively, are recorded as a component of debt in the Consolidated Balance Sheets.</w:t>
      </w:r>
    </w:p>
    <w:p>
      <w:pPr>
        <w:spacing w:after="0" w:line="76"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We also have unamortized deferred revolver fees related to our revolving debt of $5.6 million and $2.4 million as of September 30, 2022 and December 31, 2021, respectively, which are included in Other assets in the Consolidated Balance Sheets.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Amortization expense was $3.5 million and $13.7 million for the three months ended September 30, 2022 and 2021, respectively, and $15.2 million and $17.1 million for the nine months ended September 30, 2022 and 2021, respectively, and is included in Interest expense in the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00497F"/>
        </w:rPr>
        <w:t>Operating Leases</w:t>
      </w:r>
      <w:r>
        <w:rPr>
          <w:rFonts w:ascii="Arial" w:cs="Arial" w:eastAsia="Arial" w:hAnsi="Arial"/>
          <w:sz w:val="16"/>
          <w:szCs w:val="16"/>
          <w:color w:val="000000"/>
        </w:rPr>
        <w:t>—We lease equipment pursuant to operating leases. Operating leases with fixed rentals and step rentals are recognized on a straight-line</w:t>
      </w:r>
      <w:r>
        <w:rPr>
          <w:rFonts w:ascii="Arial" w:cs="Arial" w:eastAsia="Arial" w:hAnsi="Arial"/>
          <w:sz w:val="16"/>
          <w:szCs w:val="16"/>
          <w:i w:val="1"/>
          <w:iCs w:val="1"/>
          <w:color w:val="00497F"/>
        </w:rPr>
        <w:t xml:space="preserve"> </w:t>
      </w:r>
      <w:r>
        <w:rPr>
          <w:rFonts w:ascii="Arial" w:cs="Arial" w:eastAsia="Arial" w:hAnsi="Arial"/>
          <w:sz w:val="16"/>
          <w:szCs w:val="16"/>
          <w:color w:val="000000"/>
        </w:rPr>
        <w:t>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00497F"/>
        </w:rPr>
        <w:t>Asset sales revenue</w:t>
      </w:r>
      <w:r>
        <w:rPr>
          <w:rFonts w:ascii="Arial" w:cs="Arial" w:eastAsia="Arial" w:hAnsi="Arial"/>
          <w:sz w:val="16"/>
          <w:szCs w:val="16"/>
          <w:color w:val="000000"/>
        </w:rPr>
        <w:t>—Asset sales revenue primarily consists of the transaction price related to the sale of aircraft and aircraft engines from our Aviation</w:t>
      </w:r>
      <w:r>
        <w:rPr>
          <w:rFonts w:ascii="Arial" w:cs="Arial" w:eastAsia="Arial" w:hAnsi="Arial"/>
          <w:sz w:val="16"/>
          <w:szCs w:val="16"/>
          <w:i w:val="1"/>
          <w:iCs w:val="1"/>
          <w:color w:val="00497F"/>
        </w:rPr>
        <w:t xml:space="preserve"> </w:t>
      </w:r>
      <w:r>
        <w:rPr>
          <w:rFonts w:ascii="Arial" w:cs="Arial" w:eastAsia="Arial" w:hAnsi="Arial"/>
          <w:sz w:val="16"/>
          <w:szCs w:val="16"/>
          <w:color w:val="000000"/>
        </w:rPr>
        <w:t>Leasing segment. From time to time, the Company may assign the related lease agreements to the customer as part of the sale of these assets. We routinely sell leasing equipment to customers and such transactions are considered recurring and ordinary in nature to our business. As such, these sales are accounted for within the scope of ASC 606. Revenue is recognized when a performance obligation is satisfied by transferring control over an asset to a customer. Revenue is recorded with corresponding costs of sales, presented on a gross basis in the Consolidated Statements of Operations. See Note 10 for additional information.</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00497F"/>
        </w:rPr>
        <w:t>Aerospace Products revenue</w:t>
      </w:r>
      <w:r>
        <w:rPr>
          <w:rFonts w:ascii="Arial" w:cs="Arial" w:eastAsia="Arial" w:hAnsi="Arial"/>
          <w:sz w:val="16"/>
          <w:szCs w:val="16"/>
          <w:color w:val="000000"/>
        </w:rPr>
        <w:t>—Aerospace Products revenue primarily consists of the transaction price related to the sale of repaired CFM56-7B and</w:t>
      </w:r>
      <w:r>
        <w:rPr>
          <w:rFonts w:ascii="Arial" w:cs="Arial" w:eastAsia="Arial" w:hAnsi="Arial"/>
          <w:sz w:val="16"/>
          <w:szCs w:val="16"/>
          <w:i w:val="1"/>
          <w:iCs w:val="1"/>
          <w:color w:val="00497F"/>
        </w:rPr>
        <w:t xml:space="preserve"> </w:t>
      </w:r>
      <w:r>
        <w:rPr>
          <w:rFonts w:ascii="Arial" w:cs="Arial" w:eastAsia="Arial" w:hAnsi="Arial"/>
          <w:sz w:val="16"/>
          <w:szCs w:val="16"/>
          <w:color w:val="000000"/>
        </w:rPr>
        <w:t>CFM56-5B engines, engine modules, spare parts and used material inventory, and are accounted for within the scope of ASC 606. Revenue is recognized when a performance obligation is satisfied by transferring control over the related asset to a customer. Revenue is recorded with corresponding costs of sales, presented on a gross basis in the Consolidated Statements of Operations.</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497F"/>
        </w:rPr>
        <w:t>—</w:t>
      </w:r>
      <w:r>
        <w:rPr>
          <w:rFonts w:ascii="Arial" w:cs="Arial" w:eastAsia="Arial" w:hAnsi="Arial"/>
          <w:sz w:val="16"/>
          <w:szCs w:val="16"/>
          <w:color w:val="000000"/>
        </w:rPr>
        <w:t>At contract inception, we evaluate whether an arrangement is or contains a lease for which we are the lessee (that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arrangements which provide us with the right to control a physical asset for a period of time). Operating lease right-of-use (“ROU”) assets and lease liabilities are included in Other assets and Other liabilities in our Consolidated Balance Sheets, respectively. Finance lease ROU assets are recognized in Other assets and lease liabilities are recognized in Other liabilities in our Consolidated Balance Sheets.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ROU assets are subsequently measured at the carrying amount of the lease liability adjusted for prepaid or accrued lease payments and lease incentives. The finance lease ROU assets are subsequently amortized using the straight-line method.</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Variable lease payments, which are primarily based on usage, are recognized when the associated activity occurs.</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We attempt to limit our credit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risk by performing ongoing credit evaluations and, when deemed necessary, enter into collateral arrangements. During the three and nine months ended September 30, 2022, no customer accounted for more than 10% of total revenue. During the three and nine months ended September 30, 2021, one customer in the Aviation Leasing segment accounted for approximately 14% and 14% of total revenue, respectively.</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September 30, 2022, there were two customers in the Aviation Leasing segment that represented 28% and 12% of total Accounts receivable, net. As of December 31, 2021, Accounts receivable from two customers in the Aviation Leasing segment represented 51% and 18% of total Accounts receivable, net. As of September 30, 2022 and December 31, 2021, no other customers in other segments represented more than 10% of total Accounts receivable, net.</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Allowance for Doubtful Accounts</w:t>
      </w:r>
      <w:r>
        <w:rPr>
          <w:rFonts w:ascii="Arial" w:cs="Arial" w:eastAsia="Arial" w:hAnsi="Arial"/>
          <w:sz w:val="16"/>
          <w:szCs w:val="16"/>
          <w:color w:val="00497F"/>
        </w:rPr>
        <w:t>—</w:t>
      </w:r>
      <w:r>
        <w:rPr>
          <w:rFonts w:ascii="Arial" w:cs="Arial" w:eastAsia="Arial" w:hAnsi="Arial"/>
          <w:sz w:val="16"/>
          <w:szCs w:val="16"/>
          <w:color w:val="000000"/>
        </w:rPr>
        <w:t>We determine the allowance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The allowance for doubtful accounts was $55.0 million and $16.9 million as of September 30, 2022 and December 31, 2021, respectively. There was no provision for credit losses and $1.5 million of provision for credit losses for the three months ended September 30, 2022 and 2021, respectively. There were provisions for credit losses of $47.1 million and $0.8 million for the nine months ended September 30, 2022 and 2021, respectively, and is included in Operating expenses in the Consolidated Statements of Operations.</w:t>
      </w:r>
    </w:p>
    <w:p>
      <w:pPr>
        <w:spacing w:after="0" w:line="8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Economic sanctions and export controls against Russia and Russia’s aviation industry were imposed due to its invasion of Ukraine during the first quarter of 2022. As a result of the sanctions imposed on Russian airlines, we terminated all lease agreements with Russian airlines during the first quarter of 2022 and recognized approximately $47.1 million in provision for credit losses during the nine months ended September 30, 2022. Our allowance for doubtful accounts at September 30, 2022 includes all accounts receivable exposure to Russian and Ukrainian customers.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Our comprehensive income (loss) represents net income (loss), as presented in the Consolidated Statements of Operations, adjusted for fair value changes for pensions and other postretirement benefits of discontinued operations, and other comprehensive income related to cash flow hedges of our equity method investees of discontinued operations. These changes are also recorded in Accumulated other comprehensive loss in our Consolidated Balance Sheets. The cash flow impact of derivative contracts held by the equity method investees that are not designated as hedging instruments is recognized in Equity in losses (earnings) in unconsolidated entities in our Consolidated Statements of Cash Flows, and the cash flow impact of commodity derivatives held by our consolidated subsidiaries is recognized in Change in fair value of non-hedge derivatives in our Consolidated Statements of Cash Flows.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lease incentives of $35.5 million and $46.9 million, purchase deposits of $28.6 million and $13.7</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prepaid expenses of $3.5 million and $4.0 million, notes receivable of $56.0 million and $22.4 million, maintenance right assets of $12.4 million and $5.1 million, operating lease right-of-use assets, net of $3.2 million and $3.8 million, and finance leases, net of $7.1 million and $7.6 million as of September 30, 2022 and December 31, 2021, respectively. As a result of the sanctions imposed on Russian airlines, we terminated all lease agreements with Russian airlines and recognized approximately $7.5 million in amortization for the remaining lease incentives during the three and nine months ended September 30, 2022.</w:t>
      </w:r>
    </w:p>
    <w:p>
      <w:pPr>
        <w:spacing w:after="0" w:line="2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the three months ended September 30, 2022 and 2021, the Board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Directors declared cash dividends of $0.30 and $0.33 per common share, respectively. For the nine months ended September 30, 2022 and 2021, the Board of Directors declared cash dividends of $0.96 and $0.99 per common share,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in the quarters ended September 30, 2022 and 2021, the Board of Directors declared cash dividends on the Series A Preferred Shares, Series B Preferred Shares and Series C Preferred Shares of $0.52, $0.50 and $0.52 per share, respectively.</w:t>
      </w:r>
    </w:p>
    <w:p>
      <w:pPr>
        <w:spacing w:after="0" w:line="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July 2021, the FASB issued ASU 2021-05,</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 (Topic 842): Lessors—Certain Leases with Variable Lease</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Payments</w:t>
      </w:r>
      <w:r>
        <w:rPr>
          <w:rFonts w:ascii="Arial" w:cs="Arial" w:eastAsia="Arial" w:hAnsi="Arial"/>
          <w:sz w:val="16"/>
          <w:szCs w:val="16"/>
          <w:color w:val="000000"/>
        </w:rPr>
        <w:t>. This ASU requires lessors to classify and account for a lease with variable lease payments that do not depend on a reference index or a rate as</w:t>
      </w:r>
      <w:r>
        <w:rPr>
          <w:rFonts w:ascii="Arial" w:cs="Arial" w:eastAsia="Arial" w:hAnsi="Arial"/>
          <w:sz w:val="16"/>
          <w:szCs w:val="16"/>
          <w:i w:val="1"/>
          <w:iCs w:val="1"/>
          <w:color w:val="000000"/>
        </w:rPr>
        <w:t xml:space="preserve"> </w:t>
      </w:r>
      <w:r>
        <w:rPr>
          <w:rFonts w:ascii="Arial" w:cs="Arial" w:eastAsia="Arial" w:hAnsi="Arial"/>
          <w:sz w:val="16"/>
          <w:szCs w:val="16"/>
          <w:color w:val="000000"/>
        </w:rPr>
        <w:t>an operating lease if (i) the lease would have been classified as a sales-type lease or a direct financing lease under Topic 842 and (ii) the lessor would have otherwise recognized a day-one loss. This standard is effective for all reporting periods beginning after December 15, 2021. We adopted this guidance in the first quarter of 2022, which did not have a material impact on our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DISCONTINUED OPERATIONS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FTAI Infrastructure Inc. (“FTAI Infrastructure”) Spin-Off</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On April 28, 2022, the Board of Directors of the Company unanimously approved the previously announced spin-off of the Company’s infrastructure business held by FTAI Infrastructure (a wholly owned subsidiary of the Company). The spin-off was effected as a distribution of all of the shares owned by the Company of common stock of FTAI Infrastructure to the holders of the Company’s common shares as of July 21, 2022. The distribution was completed on August 1, 2022. Under ASC 205-20, </w:t>
      </w:r>
      <w:r>
        <w:rPr>
          <w:rFonts w:ascii="Arial" w:cs="Arial" w:eastAsia="Arial" w:hAnsi="Arial"/>
          <w:sz w:val="16"/>
          <w:szCs w:val="16"/>
          <w:i w:val="1"/>
          <w:iCs w:val="1"/>
          <w:color w:val="auto"/>
        </w:rPr>
        <w:t>Presentation of Financial Statements – Discontinued Operations</w:t>
      </w:r>
      <w:r>
        <w:rPr>
          <w:rFonts w:ascii="Arial" w:cs="Arial" w:eastAsia="Arial" w:hAnsi="Arial"/>
          <w:sz w:val="16"/>
          <w:szCs w:val="16"/>
          <w:color w:val="auto"/>
        </w:rPr>
        <w:t>, the spin-off met the criteria to be reported as a discontinued operation. Therefore, FTAI Infrastructure is presented as a discontinued operation within FTAI’s financial statements for all periods prior to August 1, 2022.</w:t>
      </w:r>
    </w:p>
    <w:p>
      <w:pPr>
        <w:spacing w:after="0" w:line="28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FTAI Infrastructure is a corporation for U.S. federal income tax purposes and holds, among other things, the Company’s previously held interests in the (i) Jefferson Terminal business, (ii) Repauno business, (iii) Long Ridge investment, and (iv) Transtar business. FTAI Infrastructure retained all related project-level debt of those entities. In connection with the spin-off, FTAI Infrastructure paid a dividend of $730.3 million to the Company. The Company used these proceeds to repay all outstanding borrowings under its 2021 bridge loans, $200.0 million of its 6.50% senior unsecured notes due 2025, and approximately $175.0 million of the outstanding borrowings under its revolving credit facility. FTAI retained the aviation business and certain other assets, and FTAI’s remaining outstanding corporate indebtedness.</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connection with the spin-off, the Company and FIG LLC (the “Manager”) assigned the Company’s then-existing management agreement to FTAI Infrastructure, and FTAI Infrastructure and the Manager executed an amended and restated agreement. The Company and certain of its subsidiaries executed a new management agreement with the Manager. The new management agreement has an initial term of six years. The Manager is entitled to a management fee and reimbursement of certain expenses on substantially similar terms as the previous arrangements with the Manager, which were assigned to FTAI Infrastructure. Prior to the merger described below, our Manager will remain entitled to incentive allocations (comprised of income incentive allocation and capital gains incentive allocation) on the same terms as they exist today. Following the merger, the Company will enter into a Services and Profit Sharing Agreement (the “Services and Profit Sharing Agreement”), with a subsidiary of the Company and Fortress Worldwide Transportation and Infrastructure Master GP LLC (“Master GP”), pursuant to which Master GP will be entitled to incentive allocations on substantially similar terms as the previous arrangements. The Company is pursuing a merger transaction with a subsidiary of the Company pursuant to which the Company will become a wholly-owned subsidiary of a company organized under the laws of the Cayman Islands and shareholders of the Company would become shareholders of the Cayman Islands entity. This merger transaction will be subject to approval by holders of the Company’s common shares.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Critical Accounting Policies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Revenues of discontinued operations consist of the following revenue streams: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relate to</w:t>
      </w:r>
      <w:r>
        <w:rPr>
          <w:rFonts w:ascii="Arial" w:cs="Arial" w:eastAsia="Arial" w:hAnsi="Arial"/>
          <w:sz w:val="16"/>
          <w:szCs w:val="16"/>
          <w:i w:val="1"/>
          <w:iCs w:val="1"/>
          <w:color w:val="00497F"/>
        </w:rPr>
        <w:t xml:space="preserve"> </w:t>
      </w:r>
      <w:r>
        <w:rPr>
          <w:rFonts w:ascii="Arial" w:cs="Arial" w:eastAsia="Arial" w:hAnsi="Arial"/>
          <w:sz w:val="16"/>
          <w:szCs w:val="16"/>
          <w:color w:val="000000"/>
        </w:rPr>
        <w:t>performance obligations that are recognized over time using the right to invoice practical expedient, i.e., invoiced as the services are rendered and the customer simultaneously receives and consumes the benefit over the contract term. The Company’s performance of service and right to invoice corresponds with the value delivered to our customers. Revenues are typically invoiced and paid on a monthly basis.</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00497F"/>
        </w:rPr>
        <w:t>Rail Revenues</w:t>
      </w:r>
      <w:r>
        <w:rPr>
          <w:rFonts w:ascii="Arial" w:cs="Arial" w:eastAsia="Arial" w:hAnsi="Arial"/>
          <w:sz w:val="16"/>
          <w:szCs w:val="16"/>
          <w:color w:val="000000"/>
        </w:rPr>
        <w:t>—Rail revenues generally consist of the following performance obligations: industrial switching, interline services, demurrage and storage.</w:t>
      </w:r>
      <w:r>
        <w:rPr>
          <w:rFonts w:ascii="Arial" w:cs="Arial" w:eastAsia="Arial" w:hAnsi="Arial"/>
          <w:sz w:val="16"/>
          <w:szCs w:val="16"/>
          <w:i w:val="1"/>
          <w:iCs w:val="1"/>
          <w:color w:val="00497F"/>
        </w:rPr>
        <w:t xml:space="preserve"> </w:t>
      </w:r>
      <w:r>
        <w:rPr>
          <w:rFonts w:ascii="Arial" w:cs="Arial" w:eastAsia="Arial" w:hAnsi="Arial"/>
          <w:sz w:val="16"/>
          <w:szCs w:val="16"/>
          <w:color w:val="000000"/>
        </w:rPr>
        <w:t>Switching revenues are derived from the performance of switching services, which involve the movement of cars from one point to another within the limits of an individual plant, industrial area, or a rail yard. Switching revenues are recognized as the services are performed, and the services are generally completed on the same day they are initiated.</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Interline revenues are derived from transportation services for railcars that originate or terminate at our railroads and involve one or more other carriers. We record revenue related to interline traffic for transportation service segments provided by carriers along railroads that are not owned or controlled by us on a net basis. Interline revenues are recognized as the transportation movements occur.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Ancillary services revenue primarily relates to demurrage and storage services. Demurrage represents charges assessed by railroads for the detention of cars by shippers or receivers of freight beyond a specified free time and is recognized on a per day basis. Storage services revenue is earned for the provision of storage of shippers’ railcars and is generally recognized on a per day, per car basis, as the storage services are provided.</w:t>
      </w:r>
    </w:p>
    <w:p>
      <w:pPr>
        <w:spacing w:after="0" w:line="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terms</w:t>
      </w:r>
      <w:r>
        <w:rPr>
          <w:rFonts w:ascii="Arial" w:cs="Arial" w:eastAsia="Arial" w:hAnsi="Arial"/>
          <w:sz w:val="16"/>
          <w:szCs w:val="16"/>
          <w:i w:val="1"/>
          <w:iCs w:val="1"/>
          <w:color w:val="00497F"/>
        </w:rPr>
        <w:t xml:space="preserve"> </w:t>
      </w:r>
      <w:r>
        <w:rPr>
          <w:rFonts w:ascii="Arial" w:cs="Arial" w:eastAsia="Arial" w:hAnsi="Arial"/>
          <w:sz w:val="16"/>
          <w:szCs w:val="16"/>
          <w:color w:val="000000"/>
        </w:rPr>
        <w:t>of the relevant lease agreement.</w:t>
      </w:r>
    </w:p>
    <w:p>
      <w:pPr>
        <w:spacing w:after="0" w:line="4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Revenues for the handling and</w:t>
      </w:r>
      <w:r>
        <w:rPr>
          <w:rFonts w:ascii="Arial" w:cs="Arial" w:eastAsia="Arial" w:hAnsi="Arial"/>
          <w:sz w:val="16"/>
          <w:szCs w:val="16"/>
          <w:i w:val="1"/>
          <w:iCs w:val="1"/>
          <w:color w:val="00497F"/>
        </w:rPr>
        <w:t xml:space="preserve"> </w:t>
      </w:r>
      <w:r>
        <w:rPr>
          <w:rFonts w:ascii="Arial" w:cs="Arial" w:eastAsia="Arial" w:hAnsi="Arial"/>
          <w:sz w:val="16"/>
          <w:szCs w:val="16"/>
          <w:color w:val="000000"/>
        </w:rPr>
        <w:t>storage of raw materials relate to performance obligations that are recognized over time using the right to invoice practical expedient, i.e., invoiced as the services are rendered and the customer simultaneously receives and consumes the benefit over the contract term. Our performance of service and right to invoice corresponds with the value delivered to our customers. Revenues for the sale of raw materials relate to contracts that contain performance obligations to deliver the product over the term of the contract. The revenues are recognized when the control of the product is transferred to the customer, based on the volume delivered and the price within the contract. Other revenues are typically invoiced and paid on a monthly basis.</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Additionally, other revenue consists of revenue related to derivative trading activities and also includes revenue related to providing roadside assistance services to customers in the intermodal and over-the-road trucking industries. Revenue is recognized when a performance obligation is satisfied by completing a repair service at a point in time. Revenues are typically invoiced for each repair and generally have 30-day payment terms.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Variable Interest Entity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At December 31, 2021, we held an approximately 98% economic interest, and a 100% voting interest in Delaware River Partners LLC (“DRP”). DRP was solely reliant on us to finance its activities and therefore was a VIE. We concluded that we were the primary beneficiary; and accordingly, DRP has been presented on a consolidated basis in the tables below. Total VIE assets of DRP were $316.5 million and total VIE liabilities were $32.6 million as of December 31, 2021.</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Financial Information of Discontinued Operations</w:t>
      </w:r>
    </w:p>
    <w:p>
      <w:pPr>
        <w:spacing w:after="0" w:line="26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following table summarizes the significant line items pertaining to discontinued operations included in Net loss attributable to shareholders for the three and nine months ended September 30, 2022 and 2021, respectively, in the Consolidated Statements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32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90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6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8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9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27,993</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36,788</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140,009</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72,674</w:t>
            </w:r>
          </w:p>
        </w:tc>
      </w:tr>
      <w:tr>
        <w:trPr>
          <w:trHeight w:val="25"/>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12,365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30,865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92,478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64,747</w:t>
            </w:r>
          </w:p>
        </w:tc>
      </w:tr>
      <w:tr>
        <w:trPr>
          <w:trHeight w:val="25"/>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12,732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1,459</w:t>
            </w:r>
          </w:p>
        </w:tc>
      </w:tr>
      <w:tr>
        <w:trPr>
          <w:trHeight w:val="191"/>
        </w:trPr>
        <w:tc>
          <w:tcPr>
            <w:tcW w:w="486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2,694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2,711</w:t>
            </w:r>
          </w:p>
        </w:tc>
      </w:tr>
      <w:tr>
        <w:trPr>
          <w:trHeight w:val="25"/>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13,971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w:t>
            </w: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8,134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11,244</w:t>
            </w:r>
          </w:p>
        </w:tc>
      </w:tr>
      <w:tr>
        <w:trPr>
          <w:trHeight w:val="25"/>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17,131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40,319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38,900</w:t>
            </w: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2,160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15,105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9,396</w:t>
            </w:r>
          </w:p>
        </w:tc>
      </w:tr>
      <w:tr>
        <w:trPr>
          <w:trHeight w:val="25"/>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7,641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9,957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47,765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15,625</w:t>
            </w:r>
          </w:p>
        </w:tc>
      </w:tr>
      <w:tr>
        <w:trPr>
          <w:trHeight w:val="184"/>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Losses before income taxes</w:t>
            </w:r>
          </w:p>
        </w:tc>
        <w:tc>
          <w:tcPr>
            <w:tcW w:w="9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(10,284)</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(31,910)</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(93,189)</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(71,954)</w:t>
            </w:r>
          </w:p>
        </w:tc>
      </w:tr>
      <w:tr>
        <w:trPr>
          <w:trHeight w:val="25"/>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8,227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(2,789)</w:t>
            </w:r>
          </w:p>
        </w:tc>
      </w:tr>
      <w:tr>
        <w:trPr>
          <w:trHeight w:val="184"/>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Net loss from discontinued operations, net of income taxes</w:t>
            </w:r>
          </w:p>
        </w:tc>
        <w:tc>
          <w:tcPr>
            <w:tcW w:w="9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(14,782)</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(30,931)</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(101,416)</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(69,165)</w:t>
            </w:r>
          </w:p>
        </w:tc>
      </w:tr>
      <w:tr>
        <w:trPr>
          <w:trHeight w:val="25"/>
        </w:trPr>
        <w:tc>
          <w:tcPr>
            <w:tcW w:w="4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60"/>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(7,363)</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(18,817)</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(18,949)</w:t>
            </w:r>
          </w:p>
        </w:tc>
      </w:tr>
      <w:tr>
        <w:trPr>
          <w:trHeight w:val="19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84"/>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9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(11,911)</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(23,568)</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(82,599)</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(50,216)</w:t>
            </w:r>
          </w:p>
        </w:tc>
      </w:tr>
      <w:tr>
        <w:trPr>
          <w:trHeight w:val="25"/>
        </w:trPr>
        <w:tc>
          <w:tcPr>
            <w:tcW w:w="48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carrying value of the major classes of assets and liabilities of discontinued operations as of December 31, 2021: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2021</w:t>
            </w:r>
          </w:p>
        </w:tc>
      </w:tr>
      <w:tr>
        <w:trPr>
          <w:trHeight w:val="182"/>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r>
      <w:tr>
        <w:trPr>
          <w:trHeight w:val="190"/>
        </w:trPr>
        <w:tc>
          <w:tcPr>
            <w:tcW w:w="92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49,872</w:t>
            </w:r>
          </w:p>
        </w:tc>
      </w:tr>
      <w:tr>
        <w:trPr>
          <w:trHeight w:val="26"/>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251,983</w:t>
            </w:r>
          </w:p>
        </w:tc>
      </w:tr>
      <w:tr>
        <w:trPr>
          <w:trHeight w:val="191"/>
        </w:trPr>
        <w:tc>
          <w:tcPr>
            <w:tcW w:w="920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50,301</w:t>
            </w:r>
          </w:p>
        </w:tc>
      </w:tr>
      <w:tr>
        <w:trPr>
          <w:trHeight w:val="26"/>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2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36,012</w:t>
            </w:r>
          </w:p>
        </w:tc>
      </w:tr>
      <w:tr>
        <w:trPr>
          <w:trHeight w:val="190"/>
        </w:trPr>
        <w:tc>
          <w:tcPr>
            <w:tcW w:w="920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71,547</w:t>
            </w:r>
          </w:p>
        </w:tc>
      </w:tr>
      <w:tr>
        <w:trPr>
          <w:trHeight w:val="26"/>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1,517,594</w:t>
            </w:r>
          </w:p>
        </w:tc>
      </w:tr>
      <w:tr>
        <w:trPr>
          <w:trHeight w:val="190"/>
        </w:trPr>
        <w:tc>
          <w:tcPr>
            <w:tcW w:w="920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54,408</w:t>
            </w:r>
          </w:p>
        </w:tc>
      </w:tr>
      <w:tr>
        <w:trPr>
          <w:trHeight w:val="26"/>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67,737</w:t>
            </w:r>
          </w:p>
        </w:tc>
      </w:tr>
      <w:tr>
        <w:trPr>
          <w:trHeight w:val="190"/>
        </w:trPr>
        <w:tc>
          <w:tcPr>
            <w:tcW w:w="92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257,137</w:t>
            </w:r>
          </w:p>
        </w:tc>
      </w:tr>
      <w:tr>
        <w:trPr>
          <w:trHeight w:val="26"/>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85,710</w:t>
            </w:r>
          </w:p>
        </w:tc>
      </w:tr>
      <w:tr>
        <w:trPr>
          <w:trHeight w:val="184"/>
        </w:trPr>
        <w:tc>
          <w:tcPr>
            <w:tcW w:w="9200" w:type="dxa"/>
            <w:vAlign w:val="bottom"/>
          </w:tcPr>
          <w:p>
            <w:pPr>
              <w:ind w:left="20"/>
              <w:spacing w:after="0"/>
              <w:rPr>
                <w:sz w:val="20"/>
                <w:szCs w:val="20"/>
                <w:color w:val="auto"/>
              </w:rPr>
            </w:pPr>
            <w:r>
              <w:rPr>
                <w:rFonts w:ascii="Arial" w:cs="Arial" w:eastAsia="Arial" w:hAnsi="Arial"/>
                <w:sz w:val="14"/>
                <w:szCs w:val="14"/>
                <w:b w:val="1"/>
                <w:bCs w:val="1"/>
                <w:color w:val="auto"/>
              </w:rPr>
              <w:t>Total assets of discontinued operations</w:t>
            </w:r>
          </w:p>
        </w:tc>
        <w:tc>
          <w:tcPr>
            <w:tcW w:w="2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2,442,301</w:t>
            </w:r>
          </w:p>
        </w:tc>
      </w:tr>
      <w:tr>
        <w:trPr>
          <w:trHeight w:val="26"/>
        </w:trPr>
        <w:tc>
          <w:tcPr>
            <w:tcW w:w="9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9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7"/>
        </w:trPr>
        <w:tc>
          <w:tcPr>
            <w:tcW w:w="9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190"/>
        </w:trPr>
        <w:tc>
          <w:tcPr>
            <w:tcW w:w="920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6"/>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115,634</w:t>
            </w:r>
          </w:p>
        </w:tc>
      </w:tr>
      <w:tr>
        <w:trPr>
          <w:trHeight w:val="190"/>
        </w:trPr>
        <w:tc>
          <w:tcPr>
            <w:tcW w:w="9200" w:type="dxa"/>
            <w:vAlign w:val="bottom"/>
          </w:tcPr>
          <w:p>
            <w:pPr>
              <w:ind w:left="20"/>
              <w:spacing w:after="0"/>
              <w:rPr>
                <w:sz w:val="20"/>
                <w:szCs w:val="20"/>
                <w:color w:val="auto"/>
              </w:rPr>
            </w:pPr>
            <w:r>
              <w:rPr>
                <w:rFonts w:ascii="Arial" w:cs="Arial" w:eastAsia="Arial" w:hAnsi="Arial"/>
                <w:sz w:val="14"/>
                <w:szCs w:val="14"/>
                <w:color w:val="auto"/>
              </w:rPr>
              <w:t>Debt, net</w:t>
            </w: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718,624</w:t>
            </w:r>
          </w:p>
        </w:tc>
      </w:tr>
      <w:tr>
        <w:trPr>
          <w:trHeight w:val="26"/>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70,404</w:t>
            </w:r>
          </w:p>
        </w:tc>
      </w:tr>
      <w:tr>
        <w:trPr>
          <w:trHeight w:val="191"/>
        </w:trPr>
        <w:tc>
          <w:tcPr>
            <w:tcW w:w="92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75,593</w:t>
            </w:r>
          </w:p>
        </w:tc>
      </w:tr>
      <w:tr>
        <w:trPr>
          <w:trHeight w:val="26"/>
        </w:trPr>
        <w:tc>
          <w:tcPr>
            <w:tcW w:w="9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4"/>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of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980,255</w:t>
            </w:r>
          </w:p>
        </w:tc>
      </w:tr>
      <w:tr>
        <w:trPr>
          <w:trHeight w:val="20"/>
        </w:trPr>
        <w:tc>
          <w:tcPr>
            <w:tcW w:w="9200" w:type="dxa"/>
            <w:vAlign w:val="bottom"/>
            <w:tcBorders>
              <w:top w:val="single" w:sz="8" w:color="5B9BD5"/>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r>
    </w:tbl>
    <w:p>
      <w:pPr>
        <w:spacing w:after="0" w:line="32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cash flows related to discontinued operations have not been segregated, and are included in the Consolidated Statements of Cash Flows for all periods presented. The following table summarizes depreciation and amortization, capital expenditures, and other significant operating and investing noncash items of discontinued operations for each period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88"/>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7"/>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46,601</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8,810</w:t>
            </w:r>
          </w:p>
        </w:tc>
      </w:tr>
      <w:tr>
        <w:trPr>
          <w:trHeight w:val="208"/>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40,319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38,900</w:t>
            </w:r>
          </w:p>
        </w:tc>
      </w:tr>
      <w:tr>
        <w:trPr>
          <w:trHeight w:val="197"/>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Equity-based compensation</w:t>
            </w:r>
          </w:p>
        </w:tc>
        <w:tc>
          <w:tcPr>
            <w:tcW w:w="2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2,623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3,281</w:t>
            </w:r>
          </w:p>
        </w:tc>
      </w:tr>
      <w:tr>
        <w:trPr>
          <w:trHeight w:val="208"/>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7"/>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(129,920)</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(97,506)</w:t>
            </w:r>
          </w:p>
        </w:tc>
      </w:tr>
      <w:tr>
        <w:trPr>
          <w:trHeight w:val="208"/>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(627,399)</w:t>
            </w:r>
          </w:p>
        </w:tc>
      </w:tr>
      <w:tr>
        <w:trPr>
          <w:trHeight w:val="197"/>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Investment in unconsolidated entities</w:t>
            </w:r>
          </w:p>
        </w:tc>
        <w:tc>
          <w:tcPr>
            <w:tcW w:w="2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7,954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(54,499)</w:t>
            </w:r>
          </w:p>
        </w:tc>
      </w:tr>
      <w:tr>
        <w:trPr>
          <w:trHeight w:val="208"/>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(182,963)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(77,518)</w:t>
            </w:r>
          </w:p>
        </w:tc>
      </w:tr>
      <w:tr>
        <w:trPr>
          <w:trHeight w:val="208"/>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Conversion of interests in unconsolidated entities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32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Company accounted for Long Ridge Terminal LLC, included in liabilities of discontinued operations at December 31, 2021 included above, using the equity method of accounting. Summarized financial data for Long Ridge Terminal LLC are shown in the following tables for the periods in which the Company held the equity investment.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December 31, 2021</w:t>
            </w:r>
          </w:p>
        </w:tc>
      </w:tr>
      <w:tr>
        <w:trPr>
          <w:trHeight w:val="183"/>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6"/>
        </w:trPr>
        <w:tc>
          <w:tcPr>
            <w:tcW w:w="48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2,932</w:t>
            </w:r>
          </w:p>
        </w:tc>
      </w:tr>
      <w:tr>
        <w:trPr>
          <w:trHeight w:val="20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32,469</w:t>
            </w:r>
          </w:p>
        </w:tc>
      </w:tr>
      <w:tr>
        <w:trPr>
          <w:trHeight w:val="196"/>
        </w:trPr>
        <w:tc>
          <w:tcPr>
            <w:tcW w:w="482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17,896</w:t>
            </w:r>
          </w:p>
        </w:tc>
      </w:tr>
      <w:tr>
        <w:trPr>
          <w:trHeight w:val="20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764,607</w:t>
            </w:r>
          </w:p>
        </w:tc>
      </w:tr>
      <w:tr>
        <w:trPr>
          <w:trHeight w:val="196"/>
        </w:trPr>
        <w:tc>
          <w:tcPr>
            <w:tcW w:w="482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4,940</w:t>
            </w:r>
          </w:p>
        </w:tc>
      </w:tr>
      <w:tr>
        <w:trPr>
          <w:trHeight w:val="20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89,390</w:t>
            </w:r>
          </w:p>
        </w:tc>
      </w:tr>
      <w:tr>
        <w:trPr>
          <w:trHeight w:val="196"/>
        </w:trPr>
        <w:tc>
          <w:tcPr>
            <w:tcW w:w="4820" w:type="dxa"/>
            <w:vAlign w:val="bottom"/>
          </w:tcPr>
          <w:p>
            <w:pPr>
              <w:ind w:left="20"/>
              <w:spacing w:after="0"/>
              <w:rPr>
                <w:sz w:val="20"/>
                <w:szCs w:val="20"/>
                <w:color w:val="auto"/>
              </w:rPr>
            </w:pPr>
            <w:r>
              <w:rPr>
                <w:rFonts w:ascii="Arial" w:cs="Arial" w:eastAsia="Arial" w:hAnsi="Arial"/>
                <w:sz w:val="14"/>
                <w:szCs w:val="14"/>
                <w:color w:val="auto"/>
              </w:rPr>
              <w:t>Inventory, net</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1,691</w:t>
            </w: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12,750</w:t>
            </w:r>
          </w:p>
        </w:tc>
      </w:tr>
      <w:tr>
        <w:trPr>
          <w:trHeight w:val="202"/>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926,675</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4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97"/>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8"/>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16,121</w:t>
            </w:r>
          </w:p>
        </w:tc>
      </w:tr>
      <w:tr>
        <w:trPr>
          <w:trHeight w:val="197"/>
        </w:trPr>
        <w:tc>
          <w:tcPr>
            <w:tcW w:w="4820" w:type="dxa"/>
            <w:vAlign w:val="bottom"/>
          </w:tcPr>
          <w:p>
            <w:pPr>
              <w:ind w:left="20"/>
              <w:spacing w:after="0"/>
              <w:rPr>
                <w:sz w:val="20"/>
                <w:szCs w:val="20"/>
                <w:color w:val="auto"/>
              </w:rPr>
            </w:pPr>
            <w:r>
              <w:rPr>
                <w:rFonts w:ascii="Arial" w:cs="Arial" w:eastAsia="Arial" w:hAnsi="Arial"/>
                <w:sz w:val="14"/>
                <w:szCs w:val="14"/>
                <w:color w:val="auto"/>
              </w:rPr>
              <w:t>Debt, net</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604,261</w:t>
            </w:r>
          </w:p>
        </w:tc>
      </w:tr>
      <w:tr>
        <w:trPr>
          <w:trHeight w:val="208"/>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339,033</w:t>
            </w:r>
          </w:p>
        </w:tc>
      </w:tr>
      <w:tr>
        <w:trPr>
          <w:trHeight w:val="197"/>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2,246</w:t>
            </w:r>
          </w:p>
        </w:tc>
      </w:tr>
      <w:tr>
        <w:trPr>
          <w:trHeight w:val="20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961,661</w:t>
            </w:r>
          </w:p>
        </w:tc>
      </w:tr>
      <w:tr>
        <w:trPr>
          <w:trHeight w:val="203"/>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7"/>
        </w:trPr>
        <w:tc>
          <w:tcPr>
            <w:tcW w:w="482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(1,035)</w:t>
            </w:r>
          </w:p>
        </w:tc>
      </w:tr>
      <w:tr>
        <w:trPr>
          <w:trHeight w:val="208"/>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(33,951)</w:t>
            </w:r>
          </w:p>
        </w:tc>
      </w:tr>
      <w:tr>
        <w:trPr>
          <w:trHeight w:val="197"/>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equity</w:t>
            </w:r>
          </w:p>
        </w:tc>
        <w:tc>
          <w:tcPr>
            <w:tcW w:w="22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(34,986)</w:t>
            </w:r>
          </w:p>
        </w:tc>
      </w:tr>
      <w:tr>
        <w:trPr>
          <w:trHeight w:val="22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926,675</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r>
      <w:tr>
        <w:trPr>
          <w:trHeight w:val="292"/>
        </w:trPr>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24"/>
                <w:szCs w:val="24"/>
                <w:color w:val="auto"/>
              </w:rPr>
            </w:pPr>
          </w:p>
        </w:tc>
        <w:tc>
          <w:tcPr>
            <w:tcW w:w="2920" w:type="dxa"/>
            <w:vAlign w:val="bottom"/>
            <w:gridSpan w:val="5"/>
          </w:tcPr>
          <w:p>
            <w:pPr>
              <w:jc w:val="right"/>
              <w:ind w:right="328"/>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Statement</w:t>
            </w: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96"/>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15,199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38,341</w:t>
            </w:r>
          </w:p>
        </w:tc>
      </w:tr>
      <w:tr>
        <w:trPr>
          <w:trHeight w:val="256"/>
        </w:trPr>
        <w:tc>
          <w:tcPr>
            <w:tcW w:w="48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6"/>
        </w:trPr>
        <w:tc>
          <w:tcPr>
            <w:tcW w:w="4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4,337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36,693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16,568</w:t>
            </w:r>
          </w:p>
        </w:tc>
      </w:tr>
      <w:tr>
        <w:trPr>
          <w:trHeight w:val="20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29,381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13,327</w:t>
            </w:r>
          </w:p>
        </w:tc>
      </w:tr>
      <w:tr>
        <w:trPr>
          <w:trHeight w:val="196"/>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4,580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30,622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w:t>
            </w:r>
          </w:p>
        </w:tc>
      </w:tr>
      <w:tr>
        <w:trPr>
          <w:trHeight w:val="20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13,300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96,696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31,388</w:t>
            </w:r>
          </w:p>
        </w:tc>
      </w:tr>
      <w:tr>
        <w:trPr>
          <w:trHeight w:val="19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(234)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(25,440)</w:t>
            </w:r>
          </w:p>
        </w:tc>
      </w:tr>
      <w:tr>
        <w:trPr>
          <w:trHeight w:val="22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(81,731)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4. LEASING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7"/>
                <w:szCs w:val="17"/>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2021</w:t>
            </w:r>
          </w:p>
        </w:tc>
      </w:tr>
      <w:tr>
        <w:trPr>
          <w:trHeight w:val="202"/>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2,179,728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2,312,040</w:t>
            </w:r>
          </w:p>
        </w:tc>
      </w:tr>
      <w:tr>
        <w:trPr>
          <w:trHeight w:val="197"/>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(487,546)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(456,403)</w:t>
            </w:r>
          </w:p>
        </w:tc>
      </w:tr>
      <w:tr>
        <w:trPr>
          <w:trHeight w:val="227"/>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1,692,182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1,855,637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Economic sanctions and export controls against Russia and Russia’s aviation industry have been imposed due to its invasion of Ukraine during the nine months ended September 30, 2022. As a result of the sanctions imposed on Russian airlines, we terminated all lease agreements with Russian airlines. As of September 30, 2022, four aircraft and two engines were still located in Ukraine and eight aircraft and seventeen engines were still located in Russia. We determined that it is unlikely that we will regain possession of the aircraft that have not yet been recovered from Ukraine and Russia. As a result, we recognized an impairment charge totaling $120.0 million, net of maintenance deposits, to write-off the entire carrying value of leasing equipment assets that we do not expect to recover from Ukraine and Russia. Additionally, we identified certain assets in our leasing equipment portfolio with indicators of impairment. As a result, we adjusted the carrying value of these assets to fair value and recognized transactional impairment charges of $8.2 million, net of redelivery compensation during the nine months ended September 30, 2022.</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acquisitions and dispositions of aviation leasing equipment during the nine months 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5320" w:type="dxa"/>
            <w:vAlign w:val="bottom"/>
            <w:shd w:val="clear" w:color="auto" w:fill="CCEEFF"/>
          </w:tcPr>
          <w:p>
            <w:pPr>
              <w:spacing w:after="0"/>
              <w:rPr>
                <w:sz w:val="17"/>
                <w:szCs w:val="17"/>
                <w:color w:val="auto"/>
              </w:rPr>
            </w:pPr>
          </w:p>
        </w:tc>
      </w:tr>
      <w:tr>
        <w:trPr>
          <w:trHeight w:val="196"/>
        </w:trPr>
        <w:tc>
          <w:tcPr>
            <w:tcW w:w="5920" w:type="dxa"/>
            <w:vAlign w:val="bottom"/>
          </w:tcPr>
          <w:p>
            <w:pPr>
              <w:ind w:left="140"/>
              <w:spacing w:after="0"/>
              <w:rPr>
                <w:sz w:val="20"/>
                <w:szCs w:val="20"/>
                <w:color w:val="auto"/>
              </w:rPr>
            </w:pPr>
            <w:r>
              <w:rPr>
                <w:rFonts w:ascii="Arial" w:cs="Arial" w:eastAsia="Arial" w:hAnsi="Arial"/>
                <w:sz w:val="14"/>
                <w:szCs w:val="14"/>
                <w:color w:val="auto"/>
              </w:rPr>
              <w:t>Aircraft</w:t>
            </w:r>
          </w:p>
        </w:tc>
        <w:tc>
          <w:tcPr>
            <w:tcW w:w="53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9"/>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Engines</w:t>
            </w:r>
          </w:p>
        </w:tc>
        <w:tc>
          <w:tcPr>
            <w:tcW w:w="5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96"/>
        </w:trPr>
        <w:tc>
          <w:tcPr>
            <w:tcW w:w="5920" w:type="dxa"/>
            <w:vAlign w:val="bottom"/>
          </w:tcPr>
          <w:p>
            <w:pPr>
              <w:ind w:left="20"/>
              <w:spacing w:after="0"/>
              <w:rPr>
                <w:sz w:val="20"/>
                <w:szCs w:val="20"/>
                <w:color w:val="auto"/>
              </w:rPr>
            </w:pPr>
            <w:r>
              <w:rPr>
                <w:rFonts w:ascii="Arial" w:cs="Arial" w:eastAsia="Arial" w:hAnsi="Arial"/>
                <w:sz w:val="14"/>
                <w:szCs w:val="14"/>
                <w:color w:val="auto"/>
              </w:rPr>
              <w:t>Dispositions:</w:t>
            </w:r>
          </w:p>
        </w:tc>
        <w:tc>
          <w:tcPr>
            <w:tcW w:w="5320" w:type="dxa"/>
            <w:vAlign w:val="bottom"/>
          </w:tcPr>
          <w:p>
            <w:pPr>
              <w:spacing w:after="0"/>
              <w:rPr>
                <w:sz w:val="17"/>
                <w:szCs w:val="17"/>
                <w:color w:val="auto"/>
              </w:rPr>
            </w:pPr>
          </w:p>
        </w:tc>
      </w:tr>
      <w:tr>
        <w:trPr>
          <w:trHeight w:val="209"/>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Aircraft</w:t>
            </w:r>
          </w:p>
        </w:tc>
        <w:tc>
          <w:tcPr>
            <w:tcW w:w="5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1"/>
        </w:trPr>
        <w:tc>
          <w:tcPr>
            <w:tcW w:w="5920" w:type="dxa"/>
            <w:vAlign w:val="bottom"/>
          </w:tcPr>
          <w:p>
            <w:pPr>
              <w:ind w:left="140"/>
              <w:spacing w:after="0"/>
              <w:rPr>
                <w:sz w:val="20"/>
                <w:szCs w:val="20"/>
                <w:color w:val="auto"/>
              </w:rPr>
            </w:pPr>
            <w:r>
              <w:rPr>
                <w:rFonts w:ascii="Arial" w:cs="Arial" w:eastAsia="Arial" w:hAnsi="Arial"/>
                <w:sz w:val="14"/>
                <w:szCs w:val="14"/>
                <w:color w:val="auto"/>
              </w:rPr>
              <w:t>Engines</w:t>
            </w:r>
          </w:p>
        </w:tc>
        <w:tc>
          <w:tcPr>
            <w:tcW w:w="5320" w:type="dxa"/>
            <w:vAlign w:val="bottom"/>
          </w:tcPr>
          <w:p>
            <w:pPr>
              <w:jc w:val="right"/>
              <w:spacing w:after="0"/>
              <w:rPr>
                <w:sz w:val="20"/>
                <w:szCs w:val="20"/>
                <w:color w:val="auto"/>
              </w:rPr>
            </w:pPr>
            <w:r>
              <w:rPr>
                <w:rFonts w:ascii="Arial" w:cs="Arial" w:eastAsia="Arial" w:hAnsi="Arial"/>
                <w:sz w:val="14"/>
                <w:szCs w:val="14"/>
                <w:color w:val="auto"/>
              </w:rPr>
              <w:t>50</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58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34,704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115,074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106,172</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PROPERTY, PLANT AND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7"/>
                <w:szCs w:val="17"/>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202"/>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45,621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36,777</w:t>
            </w:r>
          </w:p>
        </w:tc>
      </w:tr>
      <w:tr>
        <w:trPr>
          <w:trHeight w:val="197"/>
        </w:trPr>
        <w:tc>
          <w:tcPr>
            <w:tcW w:w="754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1,445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1,374</w:t>
            </w: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w:t>
            </w:r>
          </w:p>
        </w:tc>
      </w:tr>
      <w:tr>
        <w:trPr>
          <w:trHeight w:val="196"/>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48,476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38,684</w:t>
            </w: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1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r>
      <w:tr>
        <w:trPr>
          <w:trHeight w:val="202"/>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47,669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38,263</w:t>
            </w: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nine months ended September 30, 2022, we added property, plant and equipment of $9.8 million, primarily consisting of $8.8 million for the build out of the well intervention tower for the Pride vessel and $0.9 million for the purchase of additional aviation module containers.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5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w:t>
            </w: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Carrying Value</w:t>
            </w:r>
          </w:p>
        </w:tc>
      </w:tr>
      <w:tr>
        <w:trPr>
          <w:trHeight w:val="197"/>
        </w:trPr>
        <w:tc>
          <w:tcPr>
            <w:tcW w:w="252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80" w:type="dxa"/>
            <w:vAlign w:val="bottom"/>
            <w:tcBorders>
              <w:bottom w:val="single" w:sz="8" w:color="CCEEFF"/>
            </w:tcBorders>
          </w:tcPr>
          <w:p>
            <w:pPr>
              <w:spacing w:after="0"/>
              <w:rPr>
                <w:sz w:val="17"/>
                <w:szCs w:val="17"/>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2021</w:t>
            </w:r>
          </w:p>
        </w:tc>
      </w:tr>
      <w:tr>
        <w:trPr>
          <w:trHeight w:val="202"/>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3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21,317</w:t>
            </w:r>
          </w:p>
        </w:tc>
      </w:tr>
      <w:tr>
        <w:trPr>
          <w:trHeight w:val="197"/>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Falcon MSN 177 LLC</w:t>
            </w:r>
          </w:p>
        </w:tc>
        <w:tc>
          <w:tcPr>
            <w:tcW w:w="22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33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9"/>
              </w:rPr>
              <w:t>50%</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w:t>
            </w:r>
          </w:p>
        </w:tc>
      </w:tr>
      <w:tr>
        <w:trPr>
          <w:trHeight w:val="221"/>
        </w:trPr>
        <w:tc>
          <w:tcPr>
            <w:tcW w:w="252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22,280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22,917</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three and nine months ended September 30,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income (losses):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5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(314)</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center"/>
              <w:ind w:left="48"/>
              <w:spacing w:after="0"/>
              <w:rPr>
                <w:sz w:val="20"/>
                <w:szCs w:val="20"/>
                <w:color w:val="auto"/>
              </w:rPr>
            </w:pPr>
            <w:r>
              <w:rPr>
                <w:rFonts w:ascii="Arial" w:cs="Arial" w:eastAsia="Arial" w:hAnsi="Arial"/>
                <w:sz w:val="14"/>
                <w:szCs w:val="14"/>
                <w:b w:val="1"/>
                <w:bCs w:val="1"/>
                <w:color w:val="auto"/>
              </w:rPr>
              <w:t>(879)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Falcon MSN 177 LLC</w:t>
            </w: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7"/>
                <w:szCs w:val="17"/>
                <w:color w:val="auto"/>
              </w:rPr>
            </w:pPr>
          </w:p>
        </w:tc>
        <w:tc>
          <w:tcPr>
            <w:tcW w:w="500" w:type="dxa"/>
            <w:vAlign w:val="bottom"/>
          </w:tcPr>
          <w:p>
            <w:pPr>
              <w:jc w:val="center"/>
              <w:ind w:left="68"/>
              <w:spacing w:after="0"/>
              <w:rPr>
                <w:sz w:val="20"/>
                <w:szCs w:val="20"/>
                <w:color w:val="auto"/>
              </w:rPr>
            </w:pPr>
            <w:r>
              <w:rPr>
                <w:rFonts w:ascii="Arial" w:cs="Arial" w:eastAsia="Arial" w:hAnsi="Arial"/>
                <w:sz w:val="14"/>
                <w:szCs w:val="14"/>
                <w:b w:val="1"/>
                <w:bCs w:val="1"/>
                <w:color w:val="auto"/>
              </w:rPr>
              <w:t>754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top w:val="single" w:sz="8" w:color="auto"/>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shd w:val="clear" w:color="auto" w:fill="CCEEFF"/>
          </w:tcPr>
          <w:p>
            <w:pPr>
              <w:jc w:val="center"/>
              <w:ind w:left="48"/>
              <w:spacing w:after="0"/>
              <w:rPr>
                <w:sz w:val="20"/>
                <w:szCs w:val="20"/>
                <w:color w:val="auto"/>
              </w:rPr>
            </w:pPr>
            <w:r>
              <w:rPr>
                <w:rFonts w:ascii="Arial" w:cs="Arial" w:eastAsia="Arial" w:hAnsi="Arial"/>
                <w:sz w:val="14"/>
                <w:szCs w:val="14"/>
                <w:b w:val="1"/>
                <w:bCs w:val="1"/>
                <w:color w:val="auto"/>
              </w:rPr>
              <w:t>(125)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2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December 2016, we invested $15 million for a 25% interest in an advanced engine repair joint venture. We focus on developing new cost savings programs for engine repairs. We exercise significant influence over this investment and account for this investment as an equity method investment.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Falcon MSN 177 LLC</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November 2021, we invested $1.6 million for a 50% interest in Falcon MSN 177 LLC, an entity that consists of one Dassault Falcon 2000 aircraft. Falcon MSN 177 LLC leases the aircraft to charter operators on aircraft, crew, maintenance and insurance contracts. We account for our investment in Falcon as an equity method investment as we have significant influence through our interest.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INTANGIBLE ASSETS AND LIABILITIES,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and liabilities, net are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2021</w:t>
            </w:r>
          </w:p>
        </w:tc>
      </w:tr>
      <w:tr>
        <w:trPr>
          <w:trHeight w:val="18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5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59,789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67,013</w:t>
            </w: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5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(30,373)</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(36,051)</w:t>
            </w:r>
          </w:p>
        </w:tc>
      </w:tr>
      <w:tr>
        <w:trPr>
          <w:trHeight w:val="202"/>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29,416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30,962</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14,795</w:t>
            </w:r>
          </w:p>
        </w:tc>
      </w:tr>
      <w:tr>
        <w:trPr>
          <w:trHeight w:val="19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(2,216)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(6,068)</w:t>
            </w:r>
          </w:p>
        </w:tc>
      </w:tr>
      <w:tr>
        <w:trPr>
          <w:trHeight w:val="22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Intangible assets and liabilities are all held within the Aviation Leasing segment. Intangible liabilities relate to unfavorable lease intangibles and are included as a component of Other liabilities in the Consolidated Balance Sheets.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80" w:type="dxa"/>
            <w:vAlign w:val="bottom"/>
          </w:tcPr>
          <w:p>
            <w:pPr>
              <w:spacing w:after="0"/>
              <w:rPr>
                <w:sz w:val="17"/>
                <w:szCs w:val="17"/>
                <w:color w:val="auto"/>
              </w:rPr>
            </w:pPr>
          </w:p>
        </w:tc>
        <w:tc>
          <w:tcPr>
            <w:tcW w:w="2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Classification in Consolidated</w:t>
            </w:r>
          </w:p>
        </w:tc>
        <w:tc>
          <w:tcPr>
            <w:tcW w:w="334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298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2860" w:type="dxa"/>
            <w:vAlign w:val="bottom"/>
            <w:gridSpan w:val="2"/>
            <w:vMerge w:val="continue"/>
          </w:tcPr>
          <w:p>
            <w:pPr>
              <w:spacing w:after="0"/>
              <w:rPr>
                <w:sz w:val="4"/>
                <w:szCs w:val="4"/>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vMerge w:val="restart"/>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300" w:type="dxa"/>
            <w:vAlign w:val="bottom"/>
            <w:tcBorders>
              <w:top w:val="single" w:sz="8" w:color="auto"/>
            </w:tcBorders>
            <w:vMerge w:val="restart"/>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vMerge w:val="restart"/>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1780" w:type="dxa"/>
            <w:vAlign w:val="bottom"/>
            <w:tcBorders>
              <w:bottom w:val="single" w:sz="8" w:color="CCEEFF"/>
            </w:tcBorders>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w:t>
            </w: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estimated net annual amortization of intangible assets and liabilities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3,323</w:t>
            </w:r>
          </w:p>
        </w:tc>
      </w:tr>
      <w:tr>
        <w:trPr>
          <w:trHeight w:val="197"/>
        </w:trPr>
        <w:tc>
          <w:tcPr>
            <w:tcW w:w="9480" w:type="dxa"/>
            <w:vAlign w:val="bottom"/>
          </w:tcPr>
          <w:p>
            <w:pPr>
              <w:ind w:left="20"/>
              <w:spacing w:after="0"/>
              <w:rPr>
                <w:sz w:val="20"/>
                <w:szCs w:val="20"/>
                <w:color w:val="auto"/>
              </w:rPr>
            </w:pPr>
            <w:r>
              <w:rPr>
                <w:rFonts w:ascii="Arial" w:cs="Arial" w:eastAsia="Arial" w:hAnsi="Arial"/>
                <w:sz w:val="14"/>
                <w:szCs w:val="14"/>
                <w:color w:val="auto"/>
              </w:rPr>
              <w:t>2023</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8,398</w:t>
            </w:r>
          </w:p>
        </w:tc>
      </w:tr>
      <w:tr>
        <w:trPr>
          <w:trHeight w:val="208"/>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4,848</w:t>
            </w:r>
          </w:p>
        </w:tc>
      </w:tr>
      <w:tr>
        <w:trPr>
          <w:trHeight w:val="197"/>
        </w:trPr>
        <w:tc>
          <w:tcPr>
            <w:tcW w:w="9480" w:type="dxa"/>
            <w:vAlign w:val="bottom"/>
          </w:tcPr>
          <w:p>
            <w:pPr>
              <w:ind w:left="20"/>
              <w:spacing w:after="0"/>
              <w:rPr>
                <w:sz w:val="20"/>
                <w:szCs w:val="20"/>
                <w:color w:val="auto"/>
              </w:rPr>
            </w:pPr>
            <w:r>
              <w:rPr>
                <w:rFonts w:ascii="Arial" w:cs="Arial" w:eastAsia="Arial" w:hAnsi="Arial"/>
                <w:sz w:val="14"/>
                <w:szCs w:val="14"/>
                <w:color w:val="auto"/>
              </w:rPr>
              <w:t>2025</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1,962</w:t>
            </w:r>
          </w:p>
        </w:tc>
      </w:tr>
      <w:tr>
        <w:trPr>
          <w:trHeight w:val="208"/>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r>
      <w:tr>
        <w:trPr>
          <w:trHeight w:val="197"/>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w:t>
            </w:r>
          </w:p>
        </w:tc>
      </w:tr>
      <w:tr>
        <w:trPr>
          <w:trHeight w:val="227"/>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18,518</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DEBT,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September 30, 2022</w:t>
            </w:r>
          </w:p>
        </w:tc>
        <w:tc>
          <w:tcPr>
            <w:tcW w:w="1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Outstanding Borrowings</w:t>
            </w:r>
          </w:p>
        </w:tc>
        <w:tc>
          <w:tcPr>
            <w:tcW w:w="100" w:type="dxa"/>
            <w:vAlign w:val="bottom"/>
          </w:tcPr>
          <w:p>
            <w:pPr>
              <w:spacing w:after="0"/>
              <w:rPr>
                <w:sz w:val="17"/>
                <w:szCs w:val="17"/>
                <w:color w:val="auto"/>
              </w:rPr>
            </w:pP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Stated Interest Rate</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Maturity Date</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5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640" w:type="dxa"/>
            <w:vAlign w:val="bottom"/>
            <w:vMerge w:val="restart"/>
          </w:tcPr>
          <w:p>
            <w:pPr>
              <w:ind w:left="20"/>
              <w:spacing w:after="0"/>
              <w:rPr>
                <w:sz w:val="20"/>
                <w:szCs w:val="20"/>
                <w:color w:val="auto"/>
              </w:rPr>
            </w:pPr>
            <w:r>
              <w:rPr>
                <w:rFonts w:ascii="Arial" w:cs="Arial" w:eastAsia="Arial" w:hAnsi="Arial"/>
                <w:sz w:val="14"/>
                <w:szCs w:val="14"/>
                <w:color w:val="auto"/>
              </w:rPr>
              <w:t xml:space="preserve">Revolving Credit Facility </w:t>
            </w:r>
            <w:r>
              <w:rPr>
                <w:rFonts w:ascii="Arial" w:cs="Arial" w:eastAsia="Arial" w:hAnsi="Arial"/>
                <w:sz w:val="9"/>
                <w:szCs w:val="9"/>
                <w:color w:val="auto"/>
              </w:rPr>
              <w:t>(1)</w:t>
            </w:r>
          </w:p>
        </w:tc>
        <w:tc>
          <w:tcPr>
            <w:tcW w:w="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3460" w:type="dxa"/>
            <w:vAlign w:val="bottom"/>
            <w:gridSpan w:val="2"/>
          </w:tcPr>
          <w:p>
            <w:pPr>
              <w:jc w:val="center"/>
              <w:ind w:right="80"/>
              <w:spacing w:after="0"/>
              <w:rPr>
                <w:sz w:val="20"/>
                <w:szCs w:val="20"/>
                <w:color w:val="auto"/>
              </w:rPr>
            </w:pPr>
            <w:r>
              <w:rPr>
                <w:rFonts w:ascii="Arial" w:cs="Arial" w:eastAsia="Arial" w:hAnsi="Arial"/>
                <w:sz w:val="14"/>
                <w:szCs w:val="14"/>
                <w:color w:val="auto"/>
              </w:rPr>
              <w:t>(i) Base Rate + 1.75%; or</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9/20/25</w:t>
            </w:r>
          </w:p>
        </w:tc>
        <w:tc>
          <w:tcPr>
            <w:tcW w:w="100" w:type="dxa"/>
            <w:vAlign w:val="bottom"/>
          </w:tcPr>
          <w:p>
            <w:pPr>
              <w:spacing w:after="0"/>
              <w:rPr>
                <w:sz w:val="14"/>
                <w:szCs w:val="14"/>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189,473</w:t>
            </w:r>
          </w:p>
        </w:tc>
        <w:tc>
          <w:tcPr>
            <w:tcW w:w="0" w:type="dxa"/>
            <w:vAlign w:val="bottom"/>
          </w:tcPr>
          <w:p>
            <w:pPr>
              <w:spacing w:after="0"/>
              <w:rPr>
                <w:sz w:val="1"/>
                <w:szCs w:val="1"/>
                <w:color w:val="auto"/>
              </w:rPr>
            </w:pPr>
          </w:p>
        </w:tc>
      </w:tr>
      <w:tr>
        <w:trPr>
          <w:trHeight w:val="171"/>
        </w:trPr>
        <w:tc>
          <w:tcPr>
            <w:tcW w:w="26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color w:val="auto"/>
              </w:rPr>
              <w:t>(ii) Adjusted Term SOFR Rate + 2.75%</w:t>
            </w: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2021 Bridge Loans</w:t>
            </w:r>
          </w:p>
        </w:tc>
        <w:tc>
          <w:tcPr>
            <w:tcW w:w="5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34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 Base Rate + 1.75%; or</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12/15/22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100,527</w:t>
            </w:r>
          </w:p>
        </w:tc>
        <w:tc>
          <w:tcPr>
            <w:tcW w:w="0" w:type="dxa"/>
            <w:vAlign w:val="bottom"/>
          </w:tcPr>
          <w:p>
            <w:pPr>
              <w:spacing w:after="0"/>
              <w:rPr>
                <w:sz w:val="1"/>
                <w:szCs w:val="1"/>
                <w:color w:val="auto"/>
              </w:rPr>
            </w:pPr>
          </w:p>
        </w:tc>
      </w:tr>
      <w:tr>
        <w:trPr>
          <w:trHeight w:val="171"/>
        </w:trPr>
        <w:tc>
          <w:tcPr>
            <w:tcW w:w="2640" w:type="dxa"/>
            <w:vAlign w:val="bottom"/>
            <w:vMerge w:val="continue"/>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Adjusted Term SOFR Rate + 2.75%</w:t>
            </w:r>
          </w:p>
        </w:tc>
        <w:tc>
          <w:tcPr>
            <w:tcW w:w="1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40" w:type="dxa"/>
            <w:vAlign w:val="bottom"/>
          </w:tcPr>
          <w:p>
            <w:pPr>
              <w:ind w:left="20"/>
              <w:spacing w:after="0"/>
              <w:rPr>
                <w:sz w:val="20"/>
                <w:szCs w:val="20"/>
                <w:color w:val="auto"/>
              </w:rPr>
            </w:pPr>
            <w:r>
              <w:rPr>
                <w:rFonts w:ascii="Arial" w:cs="Arial" w:eastAsia="Arial" w:hAnsi="Arial"/>
                <w:sz w:val="14"/>
                <w:szCs w:val="14"/>
                <w:color w:val="auto"/>
              </w:rPr>
              <w:t>Total loans payable</w:t>
            </w:r>
          </w:p>
        </w:tc>
        <w:tc>
          <w:tcPr>
            <w:tcW w:w="5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290,000</w:t>
            </w:r>
          </w:p>
        </w:tc>
        <w:tc>
          <w:tcPr>
            <w:tcW w:w="0" w:type="dxa"/>
            <w:vAlign w:val="bottom"/>
          </w:tcPr>
          <w:p>
            <w:pPr>
              <w:spacing w:after="0"/>
              <w:rPr>
                <w:sz w:val="1"/>
                <w:szCs w:val="1"/>
                <w:color w:val="auto"/>
              </w:rPr>
            </w:pPr>
          </w:p>
        </w:tc>
      </w:tr>
      <w:tr>
        <w:trPr>
          <w:trHeight w:val="208"/>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Arial" w:cs="Arial" w:eastAsia="Arial" w:hAnsi="Arial"/>
                <w:sz w:val="14"/>
                <w:szCs w:val="14"/>
                <w:color w:val="auto"/>
              </w:rPr>
              <w:t xml:space="preserve">Senior Notes due 2025 </w:t>
            </w:r>
            <w:r>
              <w:rPr>
                <w:rFonts w:ascii="Arial" w:cs="Arial" w:eastAsia="Arial" w:hAnsi="Arial"/>
                <w:sz w:val="9"/>
                <w:szCs w:val="9"/>
                <w:color w:val="auto"/>
              </w:rPr>
              <w:t>(2)</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653,269</w:t>
            </w:r>
          </w:p>
        </w:tc>
        <w:tc>
          <w:tcPr>
            <w:tcW w:w="3480" w:type="dxa"/>
            <w:vAlign w:val="bottom"/>
            <w:gridSpan w:val="2"/>
          </w:tcPr>
          <w:p>
            <w:pPr>
              <w:jc w:val="center"/>
              <w:ind w:left="8"/>
              <w:spacing w:after="0"/>
              <w:rPr>
                <w:sz w:val="20"/>
                <w:szCs w:val="20"/>
                <w:color w:val="auto"/>
              </w:rPr>
            </w:pPr>
            <w:r>
              <w:rPr>
                <w:rFonts w:ascii="Arial" w:cs="Arial" w:eastAsia="Arial" w:hAnsi="Arial"/>
                <w:sz w:val="14"/>
                <w:szCs w:val="14"/>
                <w:color w:val="auto"/>
              </w:rPr>
              <w:t>6.50%</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10/1/25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852,198</w:t>
            </w:r>
          </w:p>
        </w:tc>
        <w:tc>
          <w:tcPr>
            <w:tcW w:w="0" w:type="dxa"/>
            <w:vAlign w:val="bottom"/>
          </w:tcPr>
          <w:p>
            <w:pPr>
              <w:spacing w:after="0"/>
              <w:rPr>
                <w:sz w:val="1"/>
                <w:szCs w:val="1"/>
                <w:color w:val="auto"/>
              </w:rPr>
            </w:pPr>
          </w:p>
        </w:tc>
      </w:tr>
      <w:tr>
        <w:trPr>
          <w:trHeight w:val="23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400,000</w:t>
            </w:r>
          </w:p>
        </w:tc>
        <w:tc>
          <w:tcPr>
            <w:tcW w:w="34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9.75%</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8/1/27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Senior Notes due 2028 </w:t>
            </w:r>
            <w:r>
              <w:rPr>
                <w:rFonts w:ascii="Arial" w:cs="Arial" w:eastAsia="Arial" w:hAnsi="Arial"/>
                <w:sz w:val="9"/>
                <w:szCs w:val="9"/>
                <w:color w:val="auto"/>
              </w:rPr>
              <w:t>(3)</w:t>
            </w: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1,002,174</w:t>
            </w:r>
          </w:p>
        </w:tc>
        <w:tc>
          <w:tcPr>
            <w:tcW w:w="3480" w:type="dxa"/>
            <w:vAlign w:val="bottom"/>
            <w:tcBorders>
              <w:bottom w:val="single" w:sz="8" w:color="CCEEFF"/>
            </w:tcBorders>
            <w:gridSpan w:val="2"/>
          </w:tcPr>
          <w:p>
            <w:pPr>
              <w:jc w:val="center"/>
              <w:ind w:left="8"/>
              <w:spacing w:after="0"/>
              <w:rPr>
                <w:sz w:val="20"/>
                <w:szCs w:val="20"/>
                <w:color w:val="auto"/>
              </w:rPr>
            </w:pPr>
            <w:r>
              <w:rPr>
                <w:rFonts w:ascii="Arial" w:cs="Arial" w:eastAsia="Arial" w:hAnsi="Arial"/>
                <w:sz w:val="14"/>
                <w:szCs w:val="14"/>
                <w:color w:val="auto"/>
              </w:rPr>
              <w:t>5.50%</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5/1/28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1,002,416</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bonds payable</w:t>
            </w: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2,055,443</w:t>
            </w:r>
          </w:p>
        </w:tc>
        <w:tc>
          <w:tcPr>
            <w:tcW w:w="1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2,254,614</w:t>
            </w: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3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w:t>
            </w: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2,055,443</w:t>
            </w:r>
          </w:p>
        </w:tc>
        <w:tc>
          <w:tcPr>
            <w:tcW w:w="1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2,544,614</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Debt issuance costs</w:t>
            </w: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(30,894)</w:t>
            </w:r>
          </w:p>
        </w:tc>
        <w:tc>
          <w:tcPr>
            <w:tcW w:w="100" w:type="dxa"/>
            <w:vAlign w:val="bottom"/>
            <w:tcBorders>
              <w:bottom w:val="single" w:sz="8" w:color="CCEEFF"/>
            </w:tcBorders>
          </w:tcPr>
          <w:p>
            <w:pPr>
              <w:spacing w:after="0"/>
              <w:rPr>
                <w:sz w:val="17"/>
                <w:szCs w:val="17"/>
                <w:color w:val="auto"/>
              </w:rPr>
            </w:pPr>
          </w:p>
        </w:tc>
        <w:tc>
          <w:tcPr>
            <w:tcW w:w="33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(43,027)</w:t>
            </w:r>
          </w:p>
        </w:tc>
        <w:tc>
          <w:tcPr>
            <w:tcW w:w="0" w:type="dxa"/>
            <w:vAlign w:val="bottom"/>
          </w:tcPr>
          <w:p>
            <w:pPr>
              <w:spacing w:after="0"/>
              <w:rPr>
                <w:sz w:val="1"/>
                <w:szCs w:val="1"/>
                <w:color w:val="auto"/>
              </w:rPr>
            </w:pPr>
          </w:p>
        </w:tc>
      </w:tr>
      <w:tr>
        <w:trPr>
          <w:trHeight w:val="227"/>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2,024,549</w:t>
            </w:r>
          </w:p>
        </w:tc>
        <w:tc>
          <w:tcPr>
            <w:tcW w:w="100" w:type="dxa"/>
            <w:vAlign w:val="bottom"/>
            <w:tcBorders>
              <w:bottom w:val="single" w:sz="8" w:color="CCEEFF"/>
            </w:tcBorders>
            <w:shd w:val="clear" w:color="auto" w:fill="CCEEFF"/>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2,501,587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100,527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41"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43" w:lineRule="exact"/>
        <w:rPr>
          <w:rFonts w:ascii="Arial" w:cs="Arial" w:eastAsia="Arial" w:hAnsi="Arial"/>
          <w:sz w:val="18"/>
          <w:szCs w:val="18"/>
          <w:color w:val="auto"/>
          <w:vertAlign w:val="superscript"/>
        </w:rPr>
      </w:pPr>
    </w:p>
    <w:p>
      <w:pPr>
        <w:ind w:left="180" w:hanging="172"/>
        <w:spacing w:after="0" w:line="278" w:lineRule="auto"/>
        <w:tabs>
          <w:tab w:leader="none" w:pos="176"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Includes an unamortized discount of $1,431 and $3,509 at September 30, 2022 and December 31, 2021, respectively, and an unamortized premium of $4,700 and $5,707 at September 30, 2022 and December 31, 2021, respectively.</w:t>
      </w: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Includes an unamortized premium of $2,174 and $2,416 at September 30, 2022 and December 31, 2021, respectively.</w:t>
      </w:r>
    </w:p>
    <w:p>
      <w:pPr>
        <w:spacing w:after="0" w:line="230"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On September 20, 2022, the Company amended its Revolving Credit Facility by executing a Second Amended and Restated Credit Agreement (the “Amendment”) to the Amended and Restated Credit Agreement, dated as of December 2, 2021 (as amended by Amendment No. 1, dated as of April 28, 2022). The Amendment provides for revolving loans to be made available to the Company in an aggregate principal amount of up to $225.0 million, of which up to $25.0 million may be utilized for the issuance of letters of credit.</w:t>
      </w:r>
    </w:p>
    <w:p>
      <w:pPr>
        <w:spacing w:after="0" w:line="10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 conjunction with the spin-off of FTAI Infrastructure, the Company repaid all outstanding borrowings under its 2021 bridge loans and $200.0 million of its 6.50% senior unsecured notes due 2025, and approximately $175.0 million of the outstanding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its revolving credit facility. The Company recorded a loss on extinguishment of debt of $19.9 million as a result of these paydowns.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September 30,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FAIR VALUE MEASUREMENTS</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01"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100"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340" w:hanging="332"/>
        <w:spacing w:after="0" w:line="278" w:lineRule="auto"/>
        <w:tabs>
          <w:tab w:leader="none" w:pos="32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73"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cash and cash equivalents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Except as discussed below, our financial instruments other than cash and cash equivalents consist principally of accounts receivable, notes receivable, accounts payable and accrued liabilities, loans payable, security deposits, maintenance deposits and management fees payable, whose fair values approximate their carrying values based on an evaluation of pricing data, vendor quotes, and historical trading activity or due to their short maturity profiles.</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values of our notes payable reported as Debt, net in the Consolidated Balance Sheets are presented in the table below and classified as Level 2 within the fair value hierarchy: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198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30, 2022</w:t>
            </w:r>
          </w:p>
        </w:tc>
        <w:tc>
          <w:tcPr>
            <w:tcW w:w="19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2021</w:t>
            </w:r>
          </w:p>
        </w:tc>
      </w:tr>
      <w:tr>
        <w:trPr>
          <w:trHeight w:val="202"/>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611,806</w:t>
            </w:r>
          </w:p>
        </w:tc>
        <w:tc>
          <w:tcPr>
            <w:tcW w:w="1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881,408</w:t>
            </w:r>
          </w:p>
        </w:tc>
      </w:tr>
      <w:tr>
        <w:trPr>
          <w:trHeight w:val="197"/>
        </w:trPr>
        <w:tc>
          <w:tcPr>
            <w:tcW w:w="7360" w:type="dxa"/>
            <w:vAlign w:val="bottom"/>
          </w:tcPr>
          <w:p>
            <w:pPr>
              <w:ind w:left="20"/>
              <w:spacing w:after="0"/>
              <w:rPr>
                <w:sz w:val="20"/>
                <w:szCs w:val="20"/>
                <w:color w:val="auto"/>
              </w:rPr>
            </w:pPr>
            <w:r>
              <w:rPr>
                <w:rFonts w:ascii="Arial" w:cs="Arial" w:eastAsia="Arial" w:hAnsi="Arial"/>
                <w:sz w:val="14"/>
                <w:szCs w:val="14"/>
                <w:color w:val="auto"/>
              </w:rPr>
              <w:t>Senior Notes due 2027</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391,920</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448,848</w:t>
            </w:r>
          </w:p>
        </w:tc>
      </w:tr>
      <w:tr>
        <w:trPr>
          <w:trHeight w:val="208"/>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2028</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805,430</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1,019,470</w:t>
            </w:r>
          </w:p>
        </w:tc>
      </w:tr>
    </w:tbl>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fair values of all other items reported as Debt, net in the Consolidated Balance Sheets approximate their carrying values due to their bearing market rates of interest and are classified as Level 2 within the fair value hierarchy.</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measure the fair value of certain assets on a non-recurring basis when GAAP requires the application of fair value, including events or changes in circumstances that indicate that the carrying amounts of assets may not be recoverable. Assets subject to these measurements include intangible assets, property, plant and equipment, leasing equipment and inventory.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REVENUES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We disaggregate our revenue from contracts with customers by products and services provided for each of our segments, as we believe it best depicts the nature, amount, timing and uncertainty of our revenue. Revenues are within the scope of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ASC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unless otherwise noted. We have elected to exclude sales and other similar taxes from revenues.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During the three months ended September 30, 2022, we updated our corporate strategy based on the opportunities available in the market such that the sale of aircraft and engines is now an output of our recurring, ordinary activities. As a result of this update, the transaction price allocated to the sale of</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assets is included in Revenues in the Consolidated Statement of Operations for the three months ended September 30, 2022 and are accounted for in accordance with ASC 606. The corresponding net book values of the assets sold are recorded in Cost of sales in the Consolidated Statement of Operations</w:t>
      </w:r>
    </w:p>
    <w:p>
      <w:pPr>
        <w:jc w:val="both"/>
        <w:spacing w:after="0" w:line="235" w:lineRule="auto"/>
        <w:rPr>
          <w:sz w:val="20"/>
          <w:szCs w:val="20"/>
          <w:color w:val="auto"/>
        </w:rPr>
      </w:pPr>
      <w:r>
        <w:rPr>
          <w:rFonts w:ascii="Arial" w:cs="Arial" w:eastAsia="Arial" w:hAnsi="Arial"/>
          <w:sz w:val="16"/>
          <w:szCs w:val="16"/>
          <w:color w:val="auto"/>
        </w:rPr>
        <w:t xml:space="preserve">for the three months ended September 30, 2022. Sales transactions of aircraft and engines prior to the three months ended September 30, 2022 were accounted for in accordance with ASC 610-20, </w:t>
      </w:r>
      <w:r>
        <w:rPr>
          <w:rFonts w:ascii="Arial" w:cs="Arial" w:eastAsia="Arial" w:hAnsi="Arial"/>
          <w:sz w:val="16"/>
          <w:szCs w:val="16"/>
          <w:i w:val="1"/>
          <w:iCs w:val="1"/>
          <w:color w:val="auto"/>
        </w:rPr>
        <w:t>Gains and losses from the derecognition of nonfinancial assets</w:t>
      </w:r>
      <w:r>
        <w:rPr>
          <w:rFonts w:ascii="Arial" w:cs="Arial" w:eastAsia="Arial" w:hAnsi="Arial"/>
          <w:sz w:val="16"/>
          <w:szCs w:val="16"/>
          <w:color w:val="auto"/>
        </w:rPr>
        <w:t xml:space="preserve"> and were included in Gain on sale of assets, net on the Consolidated Statement of Operations, as we were previously only occasionally selling these assets. Generally, assets sold were under leasing arrangements with customers prior to sales and are included in Leasing equipment, net, on the Consolidated Balance Sheets.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Three Months Ended September 30, 2022</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Aviation Leasing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Aerospace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40,273</w:t>
            </w:r>
          </w:p>
        </w:tc>
        <w:tc>
          <w:tcPr>
            <w:tcW w:w="60" w:type="dxa"/>
            <w:vAlign w:val="bottom"/>
          </w:tcPr>
          <w:p>
            <w:pPr>
              <w:spacing w:after="0"/>
              <w:rPr>
                <w:sz w:val="17"/>
                <w:szCs w:val="17"/>
                <w:color w:val="auto"/>
              </w:rPr>
            </w:pPr>
          </w:p>
        </w:tc>
        <w:tc>
          <w:tcPr>
            <w:tcW w:w="300" w:type="dxa"/>
            <w:vAlign w:val="bottom"/>
            <w:gridSpan w:val="5"/>
          </w:tcPr>
          <w:p>
            <w:pPr>
              <w:ind w:left="1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9,806</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50,079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35,507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35,507</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 sales revenue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85,488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85,488</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140"/>
              <w:spacing w:after="0"/>
              <w:rPr>
                <w:sz w:val="20"/>
                <w:szCs w:val="20"/>
                <w:color w:val="auto"/>
              </w:rPr>
            </w:pPr>
            <w:r>
              <w:rPr>
                <w:rFonts w:ascii="Arial" w:cs="Arial" w:eastAsia="Arial" w:hAnsi="Arial"/>
                <w:sz w:val="14"/>
                <w:szCs w:val="14"/>
                <w:color w:val="auto"/>
              </w:rPr>
              <w:t>Aerospace products revenue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53,401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53,401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3,461</w:t>
            </w: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2,310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5,771</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164,848</w:t>
            </w:r>
          </w:p>
        </w:tc>
        <w:tc>
          <w:tcPr>
            <w:tcW w:w="60" w:type="dxa"/>
            <w:vAlign w:val="bottom"/>
          </w:tcPr>
          <w:p>
            <w:pPr>
              <w:spacing w:after="0"/>
              <w:rPr>
                <w:sz w:val="17"/>
                <w:szCs w:val="17"/>
                <w:color w:val="auto"/>
              </w:rPr>
            </w:pPr>
          </w:p>
        </w:tc>
        <w:tc>
          <w:tcPr>
            <w:tcW w:w="300" w:type="dxa"/>
            <w:vAlign w:val="bottom"/>
            <w:gridSpan w:val="5"/>
          </w:tcPr>
          <w:p>
            <w:pPr>
              <w:ind w:left="12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53,401</w:t>
            </w:r>
          </w:p>
        </w:tc>
        <w:tc>
          <w:tcPr>
            <w:tcW w:w="40" w:type="dxa"/>
            <w:vAlign w:val="bottom"/>
          </w:tcPr>
          <w:p>
            <w:pPr>
              <w:spacing w:after="0"/>
              <w:rPr>
                <w:sz w:val="17"/>
                <w:szCs w:val="17"/>
                <w:color w:val="auto"/>
              </w:rPr>
            </w:pPr>
          </w:p>
        </w:tc>
        <w:tc>
          <w:tcPr>
            <w:tcW w:w="2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12,116</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230,365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5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Three Months Ended September 30, 2021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Aviation Leasing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Aerospace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Products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32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40,392</w:t>
            </w:r>
          </w:p>
        </w:tc>
        <w:tc>
          <w:tcPr>
            <w:tcW w:w="60" w:type="dxa"/>
            <w:vAlign w:val="bottom"/>
          </w:tcPr>
          <w:p>
            <w:pPr>
              <w:spacing w:after="0"/>
              <w:rPr>
                <w:sz w:val="17"/>
                <w:szCs w:val="17"/>
                <w:color w:val="auto"/>
              </w:rPr>
            </w:pPr>
          </w:p>
        </w:tc>
        <w:tc>
          <w:tcPr>
            <w:tcW w:w="300" w:type="dxa"/>
            <w:vAlign w:val="bottom"/>
            <w:gridSpan w:val="5"/>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2,386</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42,778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40,252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40,252</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32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Aerospace products revenue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7,730</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revenue</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5,125</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7,975</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86,208</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7,730</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99,174</w:t>
            </w:r>
          </w:p>
        </w:tc>
        <w:tc>
          <w:tcPr>
            <w:tcW w:w="40" w:type="dxa"/>
            <w:vAlign w:val="bottom"/>
            <w:tcBorders>
              <w:left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Nine Months Ended September 30, 2022</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9"/>
              </w:rPr>
              <w:t>Aviation Leasing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Aerospace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Products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220" w:type="dxa"/>
            <w:vAlign w:val="bottom"/>
            <w:gridSpan w:val="3"/>
          </w:tcPr>
          <w:p>
            <w:pPr>
              <w:ind w:left="140"/>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111,316</w:t>
            </w:r>
          </w:p>
        </w:tc>
        <w:tc>
          <w:tcPr>
            <w:tcW w:w="30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17,515</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128,831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112,171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 sales revenue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85,488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140"/>
              <w:spacing w:after="0"/>
              <w:rPr>
                <w:sz w:val="20"/>
                <w:szCs w:val="20"/>
                <w:color w:val="auto"/>
              </w:rPr>
            </w:pPr>
            <w:r>
              <w:rPr>
                <w:rFonts w:ascii="Arial" w:cs="Arial" w:eastAsia="Arial" w:hAnsi="Arial"/>
                <w:sz w:val="14"/>
                <w:szCs w:val="14"/>
                <w:color w:val="auto"/>
              </w:rPr>
              <w:t>Aerospace products revenue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94,211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94,211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8,687</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4,400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gridSpan w:val="3"/>
          </w:tcPr>
          <w:p>
            <w:pPr>
              <w:ind w:left="140"/>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317,994</w:t>
            </w:r>
          </w:p>
        </w:tc>
        <w:tc>
          <w:tcPr>
            <w:tcW w:w="30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94,211</w:t>
            </w:r>
          </w:p>
        </w:tc>
        <w:tc>
          <w:tcPr>
            <w:tcW w:w="40" w:type="dxa"/>
            <w:vAlign w:val="bottom"/>
          </w:tcPr>
          <w:p>
            <w:pPr>
              <w:spacing w:after="0"/>
              <w:rPr>
                <w:sz w:val="17"/>
                <w:szCs w:val="17"/>
                <w:color w:val="auto"/>
              </w:rPr>
            </w:pPr>
          </w:p>
        </w:tc>
        <w:tc>
          <w:tcPr>
            <w:tcW w:w="2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21,915</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434,120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Nine Months Ended September 30, 2021</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4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120,389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5,518</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125,907</w:t>
            </w:r>
          </w:p>
        </w:tc>
        <w:tc>
          <w:tcPr>
            <w:tcW w:w="0" w:type="dxa"/>
            <w:vAlign w:val="bottom"/>
          </w:tcPr>
          <w:p>
            <w:pPr>
              <w:spacing w:after="0"/>
              <w:rPr>
                <w:sz w:val="1"/>
                <w:szCs w:val="1"/>
                <w:color w:val="auto"/>
              </w:rPr>
            </w:pPr>
          </w:p>
        </w:tc>
      </w:tr>
      <w:tr>
        <w:trPr>
          <w:trHeight w:val="208"/>
        </w:trPr>
        <w:tc>
          <w:tcPr>
            <w:tcW w:w="5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87,763</w:t>
            </w:r>
          </w:p>
        </w:tc>
        <w:tc>
          <w:tcPr>
            <w:tcW w:w="0" w:type="dxa"/>
            <w:vAlign w:val="bottom"/>
          </w:tcPr>
          <w:p>
            <w:pPr>
              <w:spacing w:after="0"/>
              <w:rPr>
                <w:sz w:val="1"/>
                <w:szCs w:val="1"/>
                <w:color w:val="auto"/>
              </w:rPr>
            </w:pPr>
          </w:p>
        </w:tc>
      </w:tr>
      <w:tr>
        <w:trPr>
          <w:trHeight w:val="197"/>
        </w:trPr>
        <w:tc>
          <w:tcPr>
            <w:tcW w:w="544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208"/>
        </w:trPr>
        <w:tc>
          <w:tcPr>
            <w:tcW w:w="5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Aerospace products revenue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13,284</w:t>
            </w:r>
          </w:p>
        </w:tc>
        <w:tc>
          <w:tcPr>
            <w:tcW w:w="0" w:type="dxa"/>
            <w:vAlign w:val="bottom"/>
          </w:tcPr>
          <w:p>
            <w:pPr>
              <w:spacing w:after="0"/>
              <w:rPr>
                <w:sz w:val="1"/>
                <w:szCs w:val="1"/>
                <w:color w:val="auto"/>
              </w:rPr>
            </w:pPr>
          </w:p>
        </w:tc>
      </w:tr>
      <w:tr>
        <w:trPr>
          <w:trHeight w:val="197"/>
        </w:trPr>
        <w:tc>
          <w:tcPr>
            <w:tcW w:w="5440" w:type="dxa"/>
            <w:vAlign w:val="bottom"/>
          </w:tcPr>
          <w:p>
            <w:pPr>
              <w:ind w:left="140"/>
              <w:spacing w:after="0"/>
              <w:rPr>
                <w:sz w:val="20"/>
                <w:szCs w:val="20"/>
                <w:color w:val="auto"/>
              </w:rPr>
            </w:pPr>
            <w:r>
              <w:rPr>
                <w:rFonts w:ascii="Arial" w:cs="Arial" w:eastAsia="Arial" w:hAnsi="Arial"/>
                <w:sz w:val="14"/>
                <w:szCs w:val="14"/>
                <w:color w:val="auto"/>
              </w:rPr>
              <w:t>Other revenue</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3,352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9,113</w:t>
            </w:r>
          </w:p>
        </w:tc>
        <w:tc>
          <w:tcPr>
            <w:tcW w:w="0" w:type="dxa"/>
            <w:vAlign w:val="bottom"/>
          </w:tcPr>
          <w:p>
            <w:pPr>
              <w:spacing w:after="0"/>
              <w:rPr>
                <w:sz w:val="1"/>
                <w:szCs w:val="1"/>
                <w:color w:val="auto"/>
              </w:rPr>
            </w:pPr>
          </w:p>
        </w:tc>
      </w:tr>
      <w:tr>
        <w:trPr>
          <w:trHeight w:val="227"/>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215,198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237,352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Presented below are the contracted minimum future annual revenues to be received under existing operating and finance leases: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September 30, 2022</w:t>
            </w:r>
          </w:p>
        </w:tc>
      </w:tr>
      <w:tr>
        <w:trPr>
          <w:trHeight w:val="202"/>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37,708</w:t>
            </w:r>
          </w:p>
        </w:tc>
      </w:tr>
      <w:tr>
        <w:trPr>
          <w:trHeight w:val="197"/>
        </w:trPr>
        <w:tc>
          <w:tcPr>
            <w:tcW w:w="9040" w:type="dxa"/>
            <w:vAlign w:val="bottom"/>
          </w:tcPr>
          <w:p>
            <w:pPr>
              <w:ind w:left="20"/>
              <w:spacing w:after="0"/>
              <w:rPr>
                <w:sz w:val="20"/>
                <w:szCs w:val="20"/>
                <w:color w:val="auto"/>
              </w:rPr>
            </w:pPr>
            <w:r>
              <w:rPr>
                <w:rFonts w:ascii="Arial" w:cs="Arial" w:eastAsia="Arial" w:hAnsi="Arial"/>
                <w:sz w:val="14"/>
                <w:szCs w:val="14"/>
                <w:color w:val="auto"/>
              </w:rPr>
              <w:t>2023</w:t>
            </w:r>
          </w:p>
        </w:tc>
        <w:tc>
          <w:tcPr>
            <w:tcW w:w="2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111,850</w:t>
            </w:r>
          </w:p>
        </w:tc>
      </w:tr>
      <w:tr>
        <w:trPr>
          <w:trHeight w:val="208"/>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70,428</w:t>
            </w:r>
          </w:p>
        </w:tc>
      </w:tr>
      <w:tr>
        <w:trPr>
          <w:trHeight w:val="197"/>
        </w:trPr>
        <w:tc>
          <w:tcPr>
            <w:tcW w:w="9040" w:type="dxa"/>
            <w:vAlign w:val="bottom"/>
          </w:tcPr>
          <w:p>
            <w:pPr>
              <w:ind w:left="20"/>
              <w:spacing w:after="0"/>
              <w:rPr>
                <w:sz w:val="20"/>
                <w:szCs w:val="20"/>
                <w:color w:val="auto"/>
              </w:rPr>
            </w:pPr>
            <w:r>
              <w:rPr>
                <w:rFonts w:ascii="Arial" w:cs="Arial" w:eastAsia="Arial" w:hAnsi="Arial"/>
                <w:sz w:val="14"/>
                <w:szCs w:val="14"/>
                <w:color w:val="auto"/>
              </w:rPr>
              <w:t>2025</w:t>
            </w:r>
          </w:p>
        </w:tc>
        <w:tc>
          <w:tcPr>
            <w:tcW w:w="2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43,890</w:t>
            </w:r>
          </w:p>
        </w:tc>
      </w:tr>
      <w:tr>
        <w:trPr>
          <w:trHeight w:val="208"/>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24,835</w:t>
            </w:r>
          </w:p>
        </w:tc>
      </w:tr>
      <w:tr>
        <w:trPr>
          <w:trHeight w:val="197"/>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65,820</w:t>
            </w:r>
          </w:p>
        </w:tc>
      </w:tr>
      <w:tr>
        <w:trPr>
          <w:trHeight w:val="227"/>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354,531</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provision (benefit) included in the Consolidated Statements of Operations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5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6"/>
        </w:trPr>
        <w:tc>
          <w:tcPr>
            <w:tcW w:w="4580" w:type="dxa"/>
            <w:vAlign w:val="bottom"/>
          </w:tcPr>
          <w:p>
            <w:pPr>
              <w:ind w:left="140"/>
              <w:spacing w:after="0"/>
              <w:rPr>
                <w:sz w:val="20"/>
                <w:szCs w:val="20"/>
                <w:color w:val="auto"/>
              </w:rPr>
            </w:pPr>
            <w:r>
              <w:rPr>
                <w:rFonts w:ascii="Arial" w:cs="Arial" w:eastAsia="Arial" w:hAnsi="Arial"/>
                <w:sz w:val="14"/>
                <w:szCs w:val="14"/>
                <w:color w:val="auto"/>
              </w:rPr>
              <w:t>Federal</w:t>
            </w:r>
          </w:p>
        </w:tc>
        <w:tc>
          <w:tcPr>
            <w:tcW w:w="1040" w:type="dxa"/>
            <w:vAlign w:val="bottom"/>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247</w:t>
            </w:r>
          </w:p>
        </w:tc>
        <w:tc>
          <w:tcPr>
            <w:tcW w:w="100" w:type="dxa"/>
            <w:vAlign w:val="bottom"/>
          </w:tcPr>
          <w:p>
            <w:pPr>
              <w:spacing w:after="0"/>
              <w:rPr>
                <w:sz w:val="17"/>
                <w:szCs w:val="17"/>
                <w:color w:val="auto"/>
              </w:rPr>
            </w:pP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582</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808</w:t>
            </w:r>
          </w:p>
        </w:tc>
      </w:tr>
      <w:tr>
        <w:trPr>
          <w:trHeight w:val="20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r>
      <w:tr>
        <w:trPr>
          <w:trHeight w:val="196"/>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106</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color w:val="auto"/>
              </w:rPr>
              <w:t>Deferred:</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Federal</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2,915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Pr>
          <w:p>
            <w:pPr>
              <w:ind w:left="140"/>
              <w:spacing w:after="0"/>
              <w:rPr>
                <w:sz w:val="20"/>
                <w:szCs w:val="20"/>
                <w:color w:val="auto"/>
              </w:rPr>
            </w:pPr>
            <w:r>
              <w:rPr>
                <w:rFonts w:ascii="Arial" w:cs="Arial" w:eastAsia="Arial" w:hAnsi="Arial"/>
                <w:sz w:val="14"/>
                <w:szCs w:val="14"/>
                <w:color w:val="auto"/>
              </w:rPr>
              <w:t>State and local</w:t>
            </w:r>
          </w:p>
        </w:tc>
        <w:tc>
          <w:tcPr>
            <w:tcW w:w="104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304</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1,059</w:t>
            </w:r>
          </w:p>
        </w:tc>
        <w:tc>
          <w:tcPr>
            <w:tcW w:w="10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96"/>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provision (benefit)</w:t>
            </w: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4,278</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6,532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r>
      <w:tr>
        <w:trPr>
          <w:trHeight w:val="22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Provision for income taxes</w:t>
            </w: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4,189</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7,357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and for the nine months ended September 30, 2022,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2018. We do not believe that it is reasonably possible that the total amount of unrecognized tax benefits will significantly change within 12 months of the reporting date of September 30, 2022.</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MANAGEMENT AGREEMENT AND AFFILIATE TRANSACTIONS</w:t>
      </w:r>
    </w:p>
    <w:p>
      <w:pPr>
        <w:spacing w:after="0" w:line="27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connection with the spin-off of FTAI Infrastructure on August 1, 2022, we assigned our then-existing management and advisory agreement, dated as of May 20, 2015, with our Manager to FTAI Infrastructure. On July 31, 2022, we entered into a new management and advisory agreement (the “Management Agreement”), by and among FTAI, FTAI Finance Holdco Ltd. (a wholly owned subsidiary of the Company), and each of the subsidiaries that are party thereto and the Manager, with substantially similar terms and conditions as the existing management and advisory agreement.</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approximately 0.05% of the Partnership and is the general partner of the Partnership.</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One of our subsidiaries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 from continuing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9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5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1160" w:type="dxa"/>
            <w:vAlign w:val="bottom"/>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116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1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160" w:type="dxa"/>
            <w:vAlign w:val="bottom"/>
            <w:tcBorders>
              <w:top w:val="single" w:sz="8" w:color="auto"/>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704</w:t>
            </w:r>
          </w:p>
        </w:tc>
      </w:tr>
      <w:tr>
        <w:trPr>
          <w:trHeight w:val="20"/>
        </w:trPr>
        <w:tc>
          <w:tcPr>
            <w:tcW w:w="4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for us, costs to obtain liability insurance to indemnify our directors and officers and the compensation and expenses of our transfer agent.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do not reimburse the Manager for these expenses.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58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88"/>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7"/>
        </w:trPr>
        <w:tc>
          <w:tcPr>
            <w:tcW w:w="458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040" w:type="dxa"/>
            <w:vAlign w:val="bottom"/>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1,466</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1,184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4,933</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3,427</w:t>
            </w:r>
          </w:p>
        </w:tc>
      </w:tr>
      <w:tr>
        <w:trPr>
          <w:trHeight w:val="203"/>
        </w:trPr>
        <w:tc>
          <w:tcPr>
            <w:tcW w:w="4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and transaction expenses</w:t>
            </w:r>
          </w:p>
        </w:tc>
        <w:tc>
          <w:tcPr>
            <w:tcW w:w="10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w:t>
            </w: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1,620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5,816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5,015</w:t>
            </w:r>
          </w:p>
        </w:tc>
      </w:tr>
      <w:tr>
        <w:trPr>
          <w:trHeight w:val="21"/>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Upon the successful completion of an offering of our common shares or other equity securities (including securities issued as consideration in an acquisition), we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 Investment Group LLC (“Fortress”).</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7"/>
                <w:szCs w:val="17"/>
                <w:color w:val="auto"/>
              </w:rPr>
            </w:pPr>
          </w:p>
        </w:tc>
        <w:tc>
          <w:tcPr>
            <w:tcW w:w="184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 2021</w:t>
            </w:r>
          </w:p>
        </w:tc>
      </w:tr>
      <w:tr>
        <w:trPr>
          <w:trHeight w:val="202"/>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1,495</w:t>
            </w:r>
          </w:p>
        </w:tc>
      </w:tr>
      <w:tr>
        <w:trPr>
          <w:trHeight w:val="190"/>
        </w:trPr>
        <w:tc>
          <w:tcPr>
            <w:tcW w:w="694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2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1,020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2,283</w:t>
            </w:r>
          </w:p>
        </w:tc>
      </w:tr>
    </w:tbl>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SEGMENT INFORMATION</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During the third quarter of 2022, as a result of the spin-off of FTAI Infrastructure effective on August 1, 2022, the Company reevaluated its operating segments. 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manufactures, repairs, and sells aircraft engines and aftermarket components for aircraft engines. The interim periods will disclose the reportable segments under this basis with prior periods restated to reflect the change in accordance with the requirements of ASC 280.</w:t>
      </w:r>
    </w:p>
    <w:p>
      <w:pPr>
        <w:spacing w:after="0" w:line="23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Additionally, during the third quarter of 2022, the Company changed its measure of segment profit to include the add back of dividends on preferred shares in Adjusted EBITDA. Prior period Adjusted EBITDA amounts and the reconciliation to net income (loss) attributable to shareholders from continuing operations have been recast to reflect this change in the measure of segment profit.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33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Our Chief Executive Officer is our CODM. Segment information is presented in the same manner that our CODM reviews the operating results in assessing performance and allocating resources. The CODM evaluates performance for each reportable segment primarily based on Adjusted EBITDA. Historically, the CODM’s assessment of segment performance included asset information. During the third quarter of 2022, the CODM determined that segment asset information is not a key factor in measuring performance or allocating resources. Therefore, segment asset information is not included in the tables below as it is not provided to or reviewed by our CODM.</w:t>
      </w:r>
    </w:p>
    <w:p>
      <w:pPr>
        <w:spacing w:after="0" w:line="24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(b) to include the impact of our pro-rata share of Adjusted EBITDA from unconsolidated entities, and (c) to exclude the impact of equity in earnings (losses) of unconsolidated entities and the non-controlling share of Adjusted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EBITDA.</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believe that net income (loss) attributable to shareholders from continuing operations, as defined by GAAP, is the most appropriate earnings measurement with which to reconcile Adjusted EBITDA. Adjusted EBITDA should not be considered as an alternative to net income (loss) attributable to shareholders as determined in accordance with GAAP.</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Three Months Ended September 30,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September 30, 2022</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5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Aerospace Products</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Corporate and Other</w:t>
            </w:r>
          </w:p>
        </w:tc>
        <w:tc>
          <w:tcPr>
            <w:tcW w:w="340" w:type="dxa"/>
            <w:vAlign w:val="bottom"/>
          </w:tcPr>
          <w:p>
            <w:pPr>
              <w:spacing w:after="0"/>
              <w:rPr>
                <w:sz w:val="16"/>
                <w:szCs w:val="16"/>
                <w:color w:val="auto"/>
              </w:rPr>
            </w:pPr>
          </w:p>
        </w:tc>
        <w:tc>
          <w:tcPr>
            <w:tcW w:w="114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164,848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53,401</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12,116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230,365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10,533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3,491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13,369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27,393</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64,855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31,093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95,948</w:t>
            </w: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3,354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3,354</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2,848</w:t>
            </w: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1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32,728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34,853</w:t>
            </w: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4,495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4,495</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40,171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40,171</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112,858</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34,676</w:t>
            </w:r>
          </w:p>
        </w:tc>
        <w:tc>
          <w:tcPr>
            <w:tcW w:w="10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61,532</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209,066</w:t>
            </w:r>
          </w:p>
        </w:tc>
        <w:tc>
          <w:tcPr>
            <w:tcW w:w="0" w:type="dxa"/>
            <w:vAlign w:val="bottom"/>
          </w:tcPr>
          <w:p>
            <w:pPr>
              <w:spacing w:after="0"/>
              <w:rPr>
                <w:sz w:val="1"/>
                <w:szCs w:val="1"/>
                <w:color w:val="auto"/>
              </w:rPr>
            </w:pPr>
          </w:p>
        </w:tc>
      </w:tr>
      <w:tr>
        <w:trPr>
          <w:trHeight w:val="256"/>
        </w:trPr>
        <w:tc>
          <w:tcPr>
            <w:tcW w:w="5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(358)</w:t>
            </w:r>
          </w:p>
        </w:tc>
        <w:tc>
          <w:tcPr>
            <w:tcW w:w="0" w:type="dxa"/>
            <w:vAlign w:val="bottom"/>
          </w:tcPr>
          <w:p>
            <w:pPr>
              <w:spacing w:after="0"/>
              <w:rPr>
                <w:sz w:val="1"/>
                <w:szCs w:val="1"/>
                <w:color w:val="auto"/>
              </w:rPr>
            </w:pPr>
          </w:p>
        </w:tc>
      </w:tr>
      <w:tr>
        <w:trPr>
          <w:trHeight w:val="197"/>
        </w:trPr>
        <w:tc>
          <w:tcPr>
            <w:tcW w:w="506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8"/>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(19,861)</w:t>
            </w:r>
          </w:p>
        </w:tc>
        <w:tc>
          <w:tcPr>
            <w:tcW w:w="0" w:type="dxa"/>
            <w:vAlign w:val="bottom"/>
          </w:tcPr>
          <w:p>
            <w:pPr>
              <w:spacing w:after="0"/>
              <w:rPr>
                <w:sz w:val="1"/>
                <w:szCs w:val="1"/>
                <w:color w:val="auto"/>
              </w:rPr>
            </w:pPr>
          </w:p>
        </w:tc>
      </w:tr>
      <w:tr>
        <w:trPr>
          <w:trHeight w:val="197"/>
        </w:trPr>
        <w:tc>
          <w:tcPr>
            <w:tcW w:w="50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(1,038)</w:t>
            </w:r>
          </w:p>
        </w:tc>
        <w:tc>
          <w:tcPr>
            <w:tcW w:w="0" w:type="dxa"/>
            <w:vAlign w:val="bottom"/>
          </w:tcPr>
          <w:p>
            <w:pPr>
              <w:spacing w:after="0"/>
              <w:rPr>
                <w:sz w:val="1"/>
                <w:szCs w:val="1"/>
                <w:color w:val="auto"/>
              </w:rPr>
            </w:pPr>
          </w:p>
        </w:tc>
      </w:tr>
      <w:tr>
        <w:trPr>
          <w:trHeight w:val="202"/>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expense</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(313)</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(20,941)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(21,257)</w:t>
            </w:r>
          </w:p>
        </w:tc>
        <w:tc>
          <w:tcPr>
            <w:tcW w:w="0" w:type="dxa"/>
            <w:vAlign w:val="bottom"/>
          </w:tcPr>
          <w:p>
            <w:pPr>
              <w:spacing w:after="0"/>
              <w:rPr>
                <w:sz w:val="1"/>
                <w:szCs w:val="1"/>
                <w:color w:val="auto"/>
              </w:rPr>
            </w:pP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1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51,987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18,412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(70,357)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4,189</w:t>
            </w:r>
          </w:p>
        </w:tc>
        <w:tc>
          <w:tcPr>
            <w:tcW w:w="0" w:type="dxa"/>
            <w:vAlign w:val="bottom"/>
          </w:tcPr>
          <w:p>
            <w:pPr>
              <w:spacing w:after="0"/>
              <w:rPr>
                <w:sz w:val="1"/>
                <w:szCs w:val="1"/>
                <w:color w:val="auto"/>
              </w:rPr>
            </w:pPr>
          </w:p>
        </w:tc>
      </w:tr>
      <w:tr>
        <w:trPr>
          <w:trHeight w:val="19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51,061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15,826</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(71,034)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(4,147)</w:t>
            </w:r>
          </w:p>
        </w:tc>
        <w:tc>
          <w:tcPr>
            <w:tcW w:w="0" w:type="dxa"/>
            <w:vAlign w:val="bottom"/>
          </w:tcPr>
          <w:p>
            <w:pPr>
              <w:spacing w:after="0"/>
              <w:rPr>
                <w:sz w:val="1"/>
                <w:szCs w:val="1"/>
                <w:color w:val="auto"/>
              </w:rPr>
            </w:pPr>
          </w:p>
        </w:tc>
      </w:tr>
      <w:tr>
        <w:trPr>
          <w:trHeight w:val="139"/>
        </w:trPr>
        <w:tc>
          <w:tcPr>
            <w:tcW w:w="50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Less: Net loss attributable to non-controlling interests in consolidated</w:t>
            </w:r>
          </w:p>
        </w:tc>
        <w:tc>
          <w:tcPr>
            <w:tcW w:w="120" w:type="dxa"/>
            <w:vAlign w:val="bottom"/>
            <w:shd w:val="clear" w:color="auto" w:fill="CCEEFF"/>
          </w:tcPr>
          <w:p>
            <w:pPr>
              <w:spacing w:after="0"/>
              <w:rPr>
                <w:sz w:val="12"/>
                <w:szCs w:val="12"/>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20" w:type="dxa"/>
            <w:vAlign w:val="bottom"/>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1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6,791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6,791</w:t>
            </w:r>
          </w:p>
        </w:tc>
        <w:tc>
          <w:tcPr>
            <w:tcW w:w="0" w:type="dxa"/>
            <w:vAlign w:val="bottom"/>
          </w:tcPr>
          <w:p>
            <w:pPr>
              <w:spacing w:after="0"/>
              <w:rPr>
                <w:sz w:val="1"/>
                <w:szCs w:val="1"/>
                <w:color w:val="auto"/>
              </w:rPr>
            </w:pPr>
          </w:p>
        </w:tc>
      </w:tr>
      <w:tr>
        <w:trPr>
          <w:trHeight w:val="135"/>
        </w:trPr>
        <w:tc>
          <w:tcPr>
            <w:tcW w:w="506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Net income (loss) attributable to shareholders from continuing</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51,061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15,826</w:t>
            </w: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(77,825)</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(10,938)</w:t>
            </w:r>
          </w:p>
        </w:tc>
        <w:tc>
          <w:tcPr>
            <w:tcW w:w="0" w:type="dxa"/>
            <w:vAlign w:val="bottom"/>
          </w:tcPr>
          <w:p>
            <w:pPr>
              <w:spacing w:after="0"/>
              <w:rPr>
                <w:sz w:val="1"/>
                <w:szCs w:val="1"/>
                <w:color w:val="auto"/>
              </w:rPr>
            </w:pPr>
          </w:p>
        </w:tc>
      </w:tr>
      <w:tr>
        <w:trPr>
          <w:trHeight w:val="18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3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3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September 30, 2022</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Aerospace</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95,994</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18,560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(5,691)</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108,863</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(358)</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 unconsolidated entities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 and dividends on preferred shares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(46,962)</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(41,329)</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(4,495)</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 instruments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520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 of debt and capital lease</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(19,861)</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4"/>
                <w:szCs w:val="14"/>
                <w:color w:val="auto"/>
              </w:rPr>
              <w:t>obligations</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(2,848)</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(4,189)</w:t>
            </w:r>
          </w:p>
        </w:tc>
        <w:tc>
          <w:tcPr>
            <w:tcW w:w="0" w:type="dxa"/>
            <w:vAlign w:val="bottom"/>
          </w:tcPr>
          <w:p>
            <w:pPr>
              <w:spacing w:after="0"/>
              <w:rPr>
                <w:sz w:val="1"/>
                <w:szCs w:val="1"/>
                <w:color w:val="auto"/>
              </w:rPr>
            </w:pPr>
          </w:p>
        </w:tc>
      </w:tr>
      <w:tr>
        <w:trPr>
          <w:trHeight w:val="202"/>
        </w:trPr>
        <w:tc>
          <w:tcPr>
            <w:tcW w:w="5200" w:type="dxa"/>
            <w:vAlign w:val="bottom"/>
          </w:tcPr>
          <w:p>
            <w:pPr>
              <w:ind w:left="20"/>
              <w:spacing w:after="0"/>
              <w:rPr>
                <w:sz w:val="20"/>
                <w:szCs w:val="20"/>
                <w:color w:val="auto"/>
              </w:rPr>
            </w:pPr>
            <w:r>
              <w:rPr>
                <w:rFonts w:ascii="Arial" w:cs="Arial" w:eastAsia="Arial" w:hAnsi="Arial"/>
                <w:sz w:val="14"/>
                <w:szCs w:val="14"/>
                <w:color w:val="auto"/>
              </w:rPr>
              <w:t>Net loss attributable to shareholders from continuing operations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(10,938)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September 30, 2022</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Aerospace</w:t>
            </w:r>
          </w:p>
        </w:tc>
        <w:tc>
          <w:tcPr>
            <w:tcW w:w="16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rPr>
                <w:sz w:val="20"/>
                <w:szCs w:val="20"/>
                <w:color w:val="auto"/>
              </w:rPr>
            </w:pPr>
            <w:r>
              <w:rPr>
                <w:rFonts w:ascii="Arial" w:cs="Arial" w:eastAsia="Arial" w:hAnsi="Arial"/>
                <w:sz w:val="14"/>
                <w:szCs w:val="14"/>
                <w:color w:val="auto"/>
              </w:rPr>
              <w:t>Africa</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12,116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36,812</w:t>
            </w: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rPr>
                <w:sz w:val="20"/>
                <w:szCs w:val="20"/>
                <w:color w:val="auto"/>
              </w:rPr>
            </w:pPr>
            <w:r>
              <w:rPr>
                <w:rFonts w:ascii="Arial" w:cs="Arial" w:eastAsia="Arial" w:hAnsi="Arial"/>
                <w:sz w:val="14"/>
                <w:szCs w:val="14"/>
                <w:color w:val="auto"/>
              </w:rPr>
              <w:t>Europe</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41,869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15,511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57,380</w:t>
            </w: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90,183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36,690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126,873</w:t>
            </w: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9,050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9,050</w:t>
            </w:r>
          </w:p>
        </w:tc>
        <w:tc>
          <w:tcPr>
            <w:tcW w:w="0" w:type="dxa"/>
            <w:vAlign w:val="bottom"/>
          </w:tcPr>
          <w:p>
            <w:pPr>
              <w:spacing w:after="0"/>
              <w:rPr>
                <w:sz w:val="1"/>
                <w:szCs w:val="1"/>
                <w:color w:val="auto"/>
              </w:rPr>
            </w:pPr>
          </w:p>
        </w:tc>
      </w:tr>
      <w:tr>
        <w:trPr>
          <w:trHeight w:val="227"/>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164,848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53,401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12,116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230,365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ind w:right="3819"/>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Nine Months Ended September 30,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9"/>
          </w:tcPr>
          <w:p>
            <w:pPr>
              <w:jc w:val="right"/>
              <w:ind w:right="68"/>
              <w:spacing w:after="0"/>
              <w:rPr>
                <w:sz w:val="20"/>
                <w:szCs w:val="20"/>
                <w:color w:val="auto"/>
              </w:rPr>
            </w:pPr>
            <w:r>
              <w:rPr>
                <w:rFonts w:ascii="Arial" w:cs="Arial" w:eastAsia="Arial" w:hAnsi="Arial"/>
                <w:sz w:val="14"/>
                <w:szCs w:val="14"/>
                <w:b w:val="1"/>
                <w:bCs w:val="1"/>
                <w:color w:val="auto"/>
              </w:rPr>
              <w:t>Nine Months Ended September 30, 2022</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Aviation</w:t>
            </w: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Aerospace</w:t>
            </w: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Corporate and</w:t>
            </w: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Leasing</w:t>
            </w: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317,994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94,211</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21,915</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434,120</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72,135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8,094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27,968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108,197</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64,855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55,284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120,139</w:t>
            </w: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11,821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11,821</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8,340</w:t>
            </w: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109,147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6,136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115,461</w:t>
            </w: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128,171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128,171</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132,197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132,197</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374,932</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63,571</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185,827</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624,330</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61,371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18,562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79,933</w:t>
            </w: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(19,861)</w:t>
            </w: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208</w:t>
            </w:r>
          </w:p>
        </w:tc>
        <w:tc>
          <w:tcPr>
            <w:tcW w:w="0" w:type="dxa"/>
            <w:vAlign w:val="bottom"/>
          </w:tcPr>
          <w:p>
            <w:pPr>
              <w:spacing w:after="0"/>
              <w:rPr>
                <w:sz w:val="1"/>
                <w:szCs w:val="1"/>
                <w:color w:val="auto"/>
              </w:rPr>
            </w:pPr>
          </w:p>
        </w:tc>
      </w:tr>
      <w:tr>
        <w:trPr>
          <w:trHeight w:val="202"/>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62,369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17,684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(19,898)</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60,155</w:t>
            </w:r>
          </w:p>
        </w:tc>
        <w:tc>
          <w:tcPr>
            <w:tcW w:w="0" w:type="dxa"/>
            <w:vAlign w:val="bottom"/>
          </w:tcPr>
          <w:p>
            <w:pPr>
              <w:spacing w:after="0"/>
              <w:rPr>
                <w:sz w:val="1"/>
                <w:szCs w:val="1"/>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5,431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48,324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(183,810)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(130,055)</w:t>
            </w: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2,116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5,055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7,357</w:t>
            </w:r>
          </w:p>
        </w:tc>
        <w:tc>
          <w:tcPr>
            <w:tcW w:w="0" w:type="dxa"/>
            <w:vAlign w:val="bottom"/>
          </w:tcPr>
          <w:p>
            <w:pPr>
              <w:spacing w:after="0"/>
              <w:rPr>
                <w:sz w:val="1"/>
                <w:szCs w:val="1"/>
                <w:color w:val="auto"/>
              </w:rPr>
            </w:pPr>
          </w:p>
        </w:tc>
      </w:tr>
      <w:tr>
        <w:trPr>
          <w:trHeight w:val="19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3,315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43,269</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(183,996)</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(137,412)</w:t>
            </w:r>
          </w:p>
        </w:tc>
        <w:tc>
          <w:tcPr>
            <w:tcW w:w="0" w:type="dxa"/>
            <w:vAlign w:val="bottom"/>
          </w:tcPr>
          <w:p>
            <w:pPr>
              <w:spacing w:after="0"/>
              <w:rPr>
                <w:sz w:val="1"/>
                <w:szCs w:val="1"/>
                <w:color w:val="auto"/>
              </w:rPr>
            </w:pPr>
          </w:p>
        </w:tc>
      </w:tr>
      <w:tr>
        <w:trPr>
          <w:trHeight w:val="153"/>
        </w:trPr>
        <w:tc>
          <w:tcPr>
            <w:tcW w:w="40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Net loss attributable to non-controlling interests in</w:t>
            </w: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20,373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20,373</w:t>
            </w:r>
          </w:p>
        </w:tc>
        <w:tc>
          <w:tcPr>
            <w:tcW w:w="0" w:type="dxa"/>
            <w:vAlign w:val="bottom"/>
          </w:tcPr>
          <w:p>
            <w:pPr>
              <w:spacing w:after="0"/>
              <w:rPr>
                <w:sz w:val="1"/>
                <w:szCs w:val="1"/>
                <w:color w:val="auto"/>
              </w:rPr>
            </w:pPr>
          </w:p>
        </w:tc>
      </w:tr>
      <w:tr>
        <w:trPr>
          <w:trHeight w:val="135"/>
        </w:trPr>
        <w:tc>
          <w:tcPr>
            <w:tcW w:w="400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Net income (loss) attributable to shareholders from</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3,315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43,269</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(204,369)</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(157,785)</w:t>
            </w:r>
          </w:p>
        </w:tc>
        <w:tc>
          <w:tcPr>
            <w:tcW w:w="0" w:type="dxa"/>
            <w:vAlign w:val="bottom"/>
          </w:tcPr>
          <w:p>
            <w:pPr>
              <w:spacing w:after="0"/>
              <w:rPr>
                <w:sz w:val="1"/>
                <w:szCs w:val="1"/>
                <w:color w:val="auto"/>
              </w:rPr>
            </w:pPr>
          </w:p>
        </w:tc>
      </w:tr>
      <w:tr>
        <w:trPr>
          <w:trHeight w:val="182"/>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continuing operations</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2" w:name="page33"/>
    <w:bookmarkEnd w:id="3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Nine Months Ended September 30, 2022</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Aerospace</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Products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273,788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48,685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(17,915)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304,558</w:t>
            </w:r>
          </w:p>
        </w:tc>
        <w:tc>
          <w:tcPr>
            <w:tcW w:w="0" w:type="dxa"/>
            <w:vAlign w:val="bottom"/>
          </w:tcPr>
          <w:p>
            <w:pPr>
              <w:spacing w:after="0"/>
              <w:rPr>
                <w:sz w:val="1"/>
                <w:szCs w:val="1"/>
                <w:color w:val="auto"/>
              </w:rPr>
            </w:pPr>
          </w:p>
        </w:tc>
      </w:tr>
      <w:tr>
        <w:trPr>
          <w:trHeight w:val="196"/>
        </w:trPr>
        <w:tc>
          <w:tcPr>
            <w:tcW w:w="584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196"/>
        </w:trPr>
        <w:tc>
          <w:tcPr>
            <w:tcW w:w="584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 unconsolidated entities</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(165)</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 and dividends on preferred shares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(152,570)</w:t>
            </w:r>
          </w:p>
        </w:tc>
        <w:tc>
          <w:tcPr>
            <w:tcW w:w="0" w:type="dxa"/>
            <w:vAlign w:val="bottom"/>
          </w:tcPr>
          <w:p>
            <w:pPr>
              <w:spacing w:after="0"/>
              <w:rPr>
                <w:sz w:val="1"/>
                <w:szCs w:val="1"/>
                <w:color w:val="auto"/>
              </w:rPr>
            </w:pPr>
          </w:p>
        </w:tc>
      </w:tr>
      <w:tr>
        <w:trPr>
          <w:trHeight w:val="196"/>
        </w:trPr>
        <w:tc>
          <w:tcPr>
            <w:tcW w:w="584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(145,754)</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84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(128,171)</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 instruments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84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 of debt and capital lease obligations</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(19,861)</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(8,340)</w:t>
            </w:r>
          </w:p>
        </w:tc>
        <w:tc>
          <w:tcPr>
            <w:tcW w:w="0" w:type="dxa"/>
            <w:vAlign w:val="bottom"/>
          </w:tcPr>
          <w:p>
            <w:pPr>
              <w:spacing w:after="0"/>
              <w:rPr>
                <w:sz w:val="1"/>
                <w:szCs w:val="1"/>
                <w:color w:val="auto"/>
              </w:rPr>
            </w:pPr>
          </w:p>
        </w:tc>
      </w:tr>
      <w:tr>
        <w:trPr>
          <w:trHeight w:val="196"/>
        </w:trPr>
        <w:tc>
          <w:tcPr>
            <w:tcW w:w="584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(7,357)</w:t>
            </w:r>
          </w:p>
        </w:tc>
        <w:tc>
          <w:tcPr>
            <w:tcW w:w="0" w:type="dxa"/>
            <w:vAlign w:val="bottom"/>
          </w:tcPr>
          <w:p>
            <w:pPr>
              <w:spacing w:after="0"/>
              <w:rPr>
                <w:sz w:val="1"/>
                <w:szCs w:val="1"/>
                <w:color w:val="auto"/>
              </w:rPr>
            </w:pPr>
          </w:p>
        </w:tc>
      </w:tr>
      <w:tr>
        <w:trPr>
          <w:trHeight w:val="202"/>
        </w:trPr>
        <w:tc>
          <w:tcPr>
            <w:tcW w:w="5840" w:type="dxa"/>
            <w:vAlign w:val="bottom"/>
          </w:tcPr>
          <w:p>
            <w:pPr>
              <w:ind w:left="20"/>
              <w:spacing w:after="0"/>
              <w:rPr>
                <w:sz w:val="20"/>
                <w:szCs w:val="20"/>
                <w:color w:val="auto"/>
              </w:rPr>
            </w:pPr>
            <w:r>
              <w:rPr>
                <w:rFonts w:ascii="Arial" w:cs="Arial" w:eastAsia="Arial" w:hAnsi="Arial"/>
                <w:sz w:val="14"/>
                <w:szCs w:val="14"/>
                <w:color w:val="auto"/>
              </w:rPr>
              <w:t>Net loss attributable to shareholders from continuing operations</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(157,785)</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Aerospace</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Africa</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850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1,100</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60,111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84,627</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Europe</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94,751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26,410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121,161</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64,350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194,712</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32,520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32,520</w:t>
            </w:r>
          </w:p>
        </w:tc>
        <w:tc>
          <w:tcPr>
            <w:tcW w:w="0" w:type="dxa"/>
            <w:vAlign w:val="bottom"/>
          </w:tcPr>
          <w:p>
            <w:pPr>
              <w:spacing w:after="0"/>
              <w:rPr>
                <w:sz w:val="1"/>
                <w:szCs w:val="1"/>
                <w:color w:val="auto"/>
              </w:rPr>
            </w:pPr>
          </w:p>
        </w:tc>
      </w:tr>
      <w:tr>
        <w:trPr>
          <w:trHeight w:val="227"/>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317,994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94,211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434,120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Three Months Ended September 30,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September 30, 2021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Aerospace</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86,208</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99,174</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7,282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15,339</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5,367</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3,679</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6,583</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12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36,237</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50,096</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42,556</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7,181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68,439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118,176</w:t>
            </w:r>
          </w:p>
        </w:tc>
        <w:tc>
          <w:tcPr>
            <w:tcW w:w="0" w:type="dxa"/>
            <w:vAlign w:val="bottom"/>
          </w:tcPr>
          <w:p>
            <w:pPr>
              <w:spacing w:after="0"/>
              <w:rPr>
                <w:sz w:val="1"/>
                <w:szCs w:val="1"/>
                <w:color w:val="auto"/>
              </w:rPr>
            </w:pPr>
          </w:p>
        </w:tc>
      </w:tr>
      <w:tr>
        <w:trPr>
          <w:trHeight w:val="256"/>
        </w:trPr>
        <w:tc>
          <w:tcPr>
            <w:tcW w:w="5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10,961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12,685</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Total other income</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9,620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10,975</w:t>
            </w:r>
          </w:p>
        </w:tc>
        <w:tc>
          <w:tcPr>
            <w:tcW w:w="0" w:type="dxa"/>
            <w:vAlign w:val="bottom"/>
          </w:tcPr>
          <w:p>
            <w:pPr>
              <w:spacing w:after="0"/>
              <w:rPr>
                <w:sz w:val="1"/>
                <w:szCs w:val="1"/>
                <w:color w:val="auto"/>
              </w:rPr>
            </w:pPr>
          </w:p>
        </w:tc>
      </w:tr>
      <w:tr>
        <w:trPr>
          <w:trHeight w:val="20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53,272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(63,203)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(8,027)</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20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52,677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(63,203)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(8,512)</w:t>
            </w:r>
          </w:p>
        </w:tc>
        <w:tc>
          <w:tcPr>
            <w:tcW w:w="0" w:type="dxa"/>
            <w:vAlign w:val="bottom"/>
          </w:tcPr>
          <w:p>
            <w:pPr>
              <w:spacing w:after="0"/>
              <w:rPr>
                <w:sz w:val="1"/>
                <w:szCs w:val="1"/>
                <w:color w:val="auto"/>
              </w:rPr>
            </w:pPr>
          </w:p>
        </w:tc>
      </w:tr>
      <w:tr>
        <w:trPr>
          <w:trHeight w:val="147"/>
        </w:trPr>
        <w:tc>
          <w:tcPr>
            <w:tcW w:w="5200" w:type="dxa"/>
            <w:vAlign w:val="bottom"/>
          </w:tcPr>
          <w:p>
            <w:pPr>
              <w:ind w:left="20"/>
              <w:spacing w:after="0" w:line="147" w:lineRule="exact"/>
              <w:rPr>
                <w:sz w:val="20"/>
                <w:szCs w:val="20"/>
                <w:color w:val="auto"/>
              </w:rPr>
            </w:pPr>
            <w:r>
              <w:rPr>
                <w:rFonts w:ascii="Arial" w:cs="Arial" w:eastAsia="Arial" w:hAnsi="Arial"/>
                <w:sz w:val="14"/>
                <w:szCs w:val="14"/>
                <w:color w:val="auto"/>
              </w:rPr>
              <w:t>Less: Net loss attributable to non-controlling interests in consolidated</w:t>
            </w:r>
          </w:p>
        </w:tc>
        <w:tc>
          <w:tcPr>
            <w:tcW w:w="120" w:type="dxa"/>
            <w:vAlign w:val="bottom"/>
          </w:tcPr>
          <w:p>
            <w:pPr>
              <w:spacing w:after="0"/>
              <w:rPr>
                <w:sz w:val="12"/>
                <w:szCs w:val="12"/>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0" w:type="dxa"/>
            <w:vAlign w:val="bottom"/>
          </w:tcPr>
          <w:p>
            <w:pPr>
              <w:spacing w:after="0"/>
              <w:rPr>
                <w:sz w:val="1"/>
                <w:szCs w:val="1"/>
                <w:color w:val="auto"/>
              </w:rPr>
            </w:pPr>
          </w:p>
        </w:tc>
      </w:tr>
      <w:tr>
        <w:trPr>
          <w:trHeight w:val="202"/>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 from 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52,677</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(69,994)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(15,303)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w:t>
      </w:r>
    </w:p>
    <w:p>
      <w:pPr>
        <w:sectPr>
          <w:pgSz w:w="11900" w:h="16838" w:orient="portrait"/>
          <w:cols w:equalWidth="0" w:num="1">
            <w:col w:w="11240"/>
          </w:cols>
          <w:pgMar w:left="320" w:top="118"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4" w:name="page35"/>
    <w:bookmarkEnd w:id="3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September 30, 2021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Aerospace</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94,990</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(4,742)</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92,249</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income of unconsolidated entities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 unconsolidated entities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 and dividends on preferred shares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(56,887)</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(42,681)</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 instruments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520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 of debt and capital lease</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4"/>
                <w:szCs w:val="14"/>
                <w:color w:val="auto"/>
              </w:rPr>
              <w:t>obligations</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(6,583)</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202"/>
        </w:trPr>
        <w:tc>
          <w:tcPr>
            <w:tcW w:w="5200" w:type="dxa"/>
            <w:vAlign w:val="bottom"/>
          </w:tcPr>
          <w:p>
            <w:pPr>
              <w:ind w:left="20"/>
              <w:spacing w:after="0"/>
              <w:rPr>
                <w:sz w:val="20"/>
                <w:szCs w:val="20"/>
                <w:color w:val="auto"/>
              </w:rPr>
            </w:pPr>
            <w:r>
              <w:rPr>
                <w:rFonts w:ascii="Arial" w:cs="Arial" w:eastAsia="Arial" w:hAnsi="Arial"/>
                <w:sz w:val="14"/>
                <w:szCs w:val="14"/>
                <w:color w:val="auto"/>
              </w:rPr>
              <w:t>Net loss attributable to shareholders from continuing operations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(15,303)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September 30, 2021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Aerospace</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Asia</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36,420</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5,236</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41,656</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35,709</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10,422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7,730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18,152</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w:t>
            </w:r>
          </w:p>
        </w:tc>
        <w:tc>
          <w:tcPr>
            <w:tcW w:w="0" w:type="dxa"/>
            <w:vAlign w:val="bottom"/>
          </w:tcPr>
          <w:p>
            <w:pPr>
              <w:spacing w:after="0"/>
              <w:rPr>
                <w:sz w:val="1"/>
                <w:szCs w:val="1"/>
                <w:color w:val="auto"/>
              </w:rPr>
            </w:pPr>
          </w:p>
        </w:tc>
      </w:tr>
      <w:tr>
        <w:trPr>
          <w:trHeight w:val="202"/>
        </w:trPr>
        <w:tc>
          <w:tcPr>
            <w:tcW w:w="5200" w:type="dxa"/>
            <w:vAlign w:val="bottom"/>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86,208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7,730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5,236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99,174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For the Nine Months Ended September 30,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Aerospace</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215,198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13,284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8,870</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237,352</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14,177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3,519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16,495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34,191</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8,577</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9,618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9,618</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12,626</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12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106,374</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115,598</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118,410</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12,136</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160,190</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290,736</w:t>
            </w:r>
          </w:p>
        </w:tc>
        <w:tc>
          <w:tcPr>
            <w:tcW w:w="0" w:type="dxa"/>
            <w:vAlign w:val="bottom"/>
          </w:tcPr>
          <w:p>
            <w:pPr>
              <w:spacing w:after="0"/>
              <w:rPr>
                <w:sz w:val="1"/>
                <w:szCs w:val="1"/>
                <w:color w:val="auto"/>
              </w:rPr>
            </w:pPr>
          </w:p>
        </w:tc>
      </w:tr>
      <w:tr>
        <w:trPr>
          <w:trHeight w:val="256"/>
        </w:trPr>
        <w:tc>
          <w:tcPr>
            <w:tcW w:w="5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15,751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17,467</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0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15,034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12,446</w:t>
            </w:r>
          </w:p>
        </w:tc>
        <w:tc>
          <w:tcPr>
            <w:tcW w:w="0" w:type="dxa"/>
            <w:vAlign w:val="bottom"/>
          </w:tcPr>
          <w:p>
            <w:pPr>
              <w:spacing w:after="0"/>
              <w:rPr>
                <w:sz w:val="1"/>
                <w:szCs w:val="1"/>
                <w:color w:val="auto"/>
              </w:rPr>
            </w:pPr>
          </w:p>
        </w:tc>
      </w:tr>
      <w:tr>
        <w:trPr>
          <w:trHeight w:val="190"/>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111,822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(154,574)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(40,938)</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110,913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(154,500)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(41,762)</w:t>
            </w:r>
          </w:p>
        </w:tc>
        <w:tc>
          <w:tcPr>
            <w:tcW w:w="0" w:type="dxa"/>
            <w:vAlign w:val="bottom"/>
          </w:tcPr>
          <w:p>
            <w:pPr>
              <w:spacing w:after="0"/>
              <w:rPr>
                <w:sz w:val="1"/>
                <w:szCs w:val="1"/>
                <w:color w:val="auto"/>
              </w:rPr>
            </w:pPr>
          </w:p>
        </w:tc>
      </w:tr>
      <w:tr>
        <w:trPr>
          <w:trHeight w:val="153"/>
        </w:trPr>
        <w:tc>
          <w:tcPr>
            <w:tcW w:w="5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Net loss attributable to non-controlling interests in consolidated</w:t>
            </w:r>
          </w:p>
        </w:tc>
        <w:tc>
          <w:tcPr>
            <w:tcW w:w="12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2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12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17,967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17,967</w:t>
            </w:r>
          </w:p>
        </w:tc>
        <w:tc>
          <w:tcPr>
            <w:tcW w:w="0" w:type="dxa"/>
            <w:vAlign w:val="bottom"/>
          </w:tcPr>
          <w:p>
            <w:pPr>
              <w:spacing w:after="0"/>
              <w:rPr>
                <w:sz w:val="1"/>
                <w:szCs w:val="1"/>
                <w:color w:val="auto"/>
              </w:rPr>
            </w:pPr>
          </w:p>
        </w:tc>
      </w:tr>
      <w:tr>
        <w:trPr>
          <w:trHeight w:val="227"/>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 from continuing operations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(59,729)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9800" w:type="dxa"/>
            <w:vAlign w:val="bottom"/>
            <w:gridSpan w:val="10"/>
          </w:tcPr>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Aerospace</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237,404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(17,947)</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221,455</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 unconsolidated entities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 and dividends on preferred shares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(133,565)</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(127,723)</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 instruments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520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 of debt and capital lease</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4"/>
                <w:szCs w:val="14"/>
                <w:color w:val="auto"/>
              </w:rPr>
              <w:t>obligations</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(12,626)</w:t>
            </w:r>
          </w:p>
        </w:tc>
        <w:tc>
          <w:tcPr>
            <w:tcW w:w="0" w:type="dxa"/>
            <w:vAlign w:val="bottom"/>
          </w:tcPr>
          <w:p>
            <w:pPr>
              <w:spacing w:after="0"/>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202"/>
        </w:trPr>
        <w:tc>
          <w:tcPr>
            <w:tcW w:w="5200" w:type="dxa"/>
            <w:vAlign w:val="bottom"/>
          </w:tcPr>
          <w:p>
            <w:pPr>
              <w:ind w:left="20"/>
              <w:spacing w:after="0"/>
              <w:rPr>
                <w:sz w:val="20"/>
                <w:szCs w:val="20"/>
                <w:color w:val="auto"/>
              </w:rPr>
            </w:pPr>
            <w:r>
              <w:rPr>
                <w:rFonts w:ascii="Arial" w:cs="Arial" w:eastAsia="Arial" w:hAnsi="Arial"/>
                <w:sz w:val="14"/>
                <w:szCs w:val="14"/>
                <w:color w:val="auto"/>
              </w:rPr>
              <w:t>Net loss attributable to shareholders from continuing operations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(59,729)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vMerge w:val="restart"/>
          </w:tcPr>
          <w:p>
            <w:pPr>
              <w:jc w:val="right"/>
              <w:ind w:right="828"/>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3"/>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Aerospace</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Africa</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102,795</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Europe</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88,296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89,108</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39,102</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6,112</w:t>
            </w:r>
          </w:p>
        </w:tc>
        <w:tc>
          <w:tcPr>
            <w:tcW w:w="0" w:type="dxa"/>
            <w:vAlign w:val="bottom"/>
          </w:tcPr>
          <w:p>
            <w:pPr>
              <w:spacing w:after="0"/>
              <w:rPr>
                <w:sz w:val="1"/>
                <w:szCs w:val="1"/>
                <w:color w:val="auto"/>
              </w:rPr>
            </w:pPr>
          </w:p>
        </w:tc>
      </w:tr>
      <w:tr>
        <w:trPr>
          <w:trHeight w:val="227"/>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215,198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237,352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V. Location of Long-Lived Assets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sets forth summarized geographic location of property, plant and equipment and leasing equipment,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CCEEFF"/>
            </w:tcBorders>
          </w:tcPr>
          <w:p>
            <w:pPr>
              <w:spacing w:after="0"/>
              <w:rPr>
                <w:sz w:val="17"/>
                <w:szCs w:val="17"/>
                <w:color w:val="auto"/>
              </w:rPr>
            </w:pPr>
          </w:p>
        </w:tc>
        <w:tc>
          <w:tcPr>
            <w:tcW w:w="4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and leasing equipment, net</w:t>
            </w:r>
          </w:p>
        </w:tc>
        <w:tc>
          <w:tcPr>
            <w:tcW w:w="4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60" w:type="dxa"/>
            <w:vAlign w:val="bottom"/>
          </w:tcPr>
          <w:p>
            <w:pPr>
              <w:ind w:left="20"/>
              <w:spacing w:after="0"/>
              <w:rPr>
                <w:sz w:val="20"/>
                <w:szCs w:val="20"/>
                <w:color w:val="auto"/>
              </w:rPr>
            </w:pPr>
            <w:r>
              <w:rPr>
                <w:rFonts w:ascii="Arial" w:cs="Arial" w:eastAsia="Arial" w:hAnsi="Arial"/>
                <w:sz w:val="14"/>
                <w:szCs w:val="14"/>
                <w:color w:val="auto"/>
              </w:rPr>
              <w:t>Africa</w:t>
            </w:r>
          </w:p>
        </w:tc>
        <w:tc>
          <w:tcPr>
            <w:tcW w:w="4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17,776</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401,057</w:t>
            </w:r>
          </w:p>
        </w:tc>
        <w:tc>
          <w:tcPr>
            <w:tcW w:w="0" w:type="dxa"/>
            <w:vAlign w:val="bottom"/>
          </w:tcPr>
          <w:p>
            <w:pPr>
              <w:spacing w:after="0"/>
              <w:rPr>
                <w:sz w:val="1"/>
                <w:szCs w:val="1"/>
                <w:color w:val="auto"/>
              </w:rPr>
            </w:pPr>
          </w:p>
        </w:tc>
      </w:tr>
      <w:tr>
        <w:trPr>
          <w:trHeight w:val="196"/>
        </w:trPr>
        <w:tc>
          <w:tcPr>
            <w:tcW w:w="4760" w:type="dxa"/>
            <w:vAlign w:val="bottom"/>
          </w:tcPr>
          <w:p>
            <w:pPr>
              <w:ind w:left="20"/>
              <w:spacing w:after="0"/>
              <w:rPr>
                <w:sz w:val="20"/>
                <w:szCs w:val="20"/>
                <w:color w:val="auto"/>
              </w:rPr>
            </w:pPr>
            <w:r>
              <w:rPr>
                <w:rFonts w:ascii="Arial" w:cs="Arial" w:eastAsia="Arial" w:hAnsi="Arial"/>
                <w:sz w:val="14"/>
                <w:szCs w:val="14"/>
                <w:color w:val="auto"/>
              </w:rPr>
              <w:t>Europe</w:t>
            </w:r>
          </w:p>
        </w:tc>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602,833</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393,268</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4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324,917</w:t>
            </w:r>
          </w:p>
        </w:tc>
        <w:tc>
          <w:tcPr>
            <w:tcW w:w="0" w:type="dxa"/>
            <w:vAlign w:val="bottom"/>
          </w:tcPr>
          <w:p>
            <w:pPr>
              <w:spacing w:after="0"/>
              <w:rPr>
                <w:sz w:val="1"/>
                <w:szCs w:val="1"/>
                <w:color w:val="auto"/>
              </w:rPr>
            </w:pPr>
          </w:p>
        </w:tc>
      </w:tr>
      <w:tr>
        <w:trPr>
          <w:trHeight w:val="22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1,739,851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47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CCEEFF"/>
            </w:tcBorders>
          </w:tcPr>
          <w:p>
            <w:pPr>
              <w:spacing w:after="0"/>
              <w:rPr>
                <w:sz w:val="17"/>
                <w:szCs w:val="17"/>
                <w:color w:val="auto"/>
              </w:rPr>
            </w:pPr>
          </w:p>
        </w:tc>
        <w:tc>
          <w:tcPr>
            <w:tcW w:w="4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and leasing equipment, net</w:t>
            </w:r>
          </w:p>
        </w:tc>
        <w:tc>
          <w:tcPr>
            <w:tcW w:w="4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60" w:type="dxa"/>
            <w:vAlign w:val="bottom"/>
          </w:tcPr>
          <w:p>
            <w:pPr>
              <w:ind w:left="20"/>
              <w:spacing w:after="0"/>
              <w:rPr>
                <w:sz w:val="20"/>
                <w:szCs w:val="20"/>
                <w:color w:val="auto"/>
              </w:rPr>
            </w:pPr>
            <w:r>
              <w:rPr>
                <w:rFonts w:ascii="Arial" w:cs="Arial" w:eastAsia="Arial" w:hAnsi="Arial"/>
                <w:sz w:val="14"/>
                <w:szCs w:val="14"/>
                <w:color w:val="auto"/>
              </w:rPr>
              <w:t>Asia</w:t>
            </w:r>
          </w:p>
        </w:tc>
        <w:tc>
          <w:tcPr>
            <w:tcW w:w="4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543,610</w:t>
            </w: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839,555</w:t>
            </w:r>
          </w:p>
        </w:tc>
        <w:tc>
          <w:tcPr>
            <w:tcW w:w="0" w:type="dxa"/>
            <w:vAlign w:val="bottom"/>
          </w:tcPr>
          <w:p>
            <w:pPr>
              <w:spacing w:after="0"/>
              <w:rPr>
                <w:sz w:val="1"/>
                <w:szCs w:val="1"/>
                <w:color w:val="auto"/>
              </w:rPr>
            </w:pPr>
          </w:p>
        </w:tc>
      </w:tr>
      <w:tr>
        <w:trPr>
          <w:trHeight w:val="197"/>
        </w:trPr>
        <w:tc>
          <w:tcPr>
            <w:tcW w:w="476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265,203</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44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245,532</w:t>
            </w:r>
          </w:p>
        </w:tc>
        <w:tc>
          <w:tcPr>
            <w:tcW w:w="0" w:type="dxa"/>
            <w:vAlign w:val="bottom"/>
          </w:tcPr>
          <w:p>
            <w:pPr>
              <w:spacing w:after="0"/>
              <w:rPr>
                <w:sz w:val="1"/>
                <w:szCs w:val="1"/>
                <w:color w:val="auto"/>
              </w:rPr>
            </w:pPr>
          </w:p>
        </w:tc>
      </w:tr>
      <w:tr>
        <w:trPr>
          <w:trHeight w:val="202"/>
        </w:trPr>
        <w:tc>
          <w:tcPr>
            <w:tcW w:w="4760" w:type="dxa"/>
            <w:vAlign w:val="bottom"/>
          </w:tcPr>
          <w:p>
            <w:pPr>
              <w:ind w:left="20"/>
              <w:spacing w:after="0"/>
              <w:rPr>
                <w:sz w:val="20"/>
                <w:szCs w:val="20"/>
                <w:color w:val="auto"/>
              </w:rPr>
            </w:pPr>
            <w:r>
              <w:rPr>
                <w:rFonts w:ascii="Arial" w:cs="Arial" w:eastAsia="Arial" w:hAnsi="Arial"/>
                <w:sz w:val="14"/>
                <w:szCs w:val="14"/>
                <w:color w:val="auto"/>
              </w:rPr>
              <w:t>Total</w:t>
            </w:r>
          </w:p>
        </w:tc>
        <w:tc>
          <w:tcPr>
            <w:tcW w:w="4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1,893,900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440" w:type="dxa"/>
            <w:vAlign w:val="bottom"/>
            <w:vMerge w:val="restart"/>
          </w:tcPr>
          <w:p>
            <w:pPr>
              <w:jc w:val="right"/>
              <w:ind w:right="3406"/>
              <w:spacing w:after="0"/>
              <w:rPr>
                <w:sz w:val="20"/>
                <w:szCs w:val="20"/>
                <w:color w:val="auto"/>
              </w:rPr>
            </w:pPr>
            <w:r>
              <w:rPr>
                <w:rFonts w:ascii="Arial" w:cs="Arial" w:eastAsia="Arial" w:hAnsi="Arial"/>
                <w:sz w:val="16"/>
                <w:szCs w:val="16"/>
                <w:color w:val="auto"/>
              </w:rPr>
              <w:t>36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3"/>
        </w:trPr>
        <w:tc>
          <w:tcPr>
            <w:tcW w:w="476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76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EARNINGS PER SHARE AND EQUITY</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Basic earnings per common share (“EPS”) is calculated by dividing net income (loss) attributable to shareholders by the weighted average number of common shares outstanding, plus any participating securities. Diluted EPS is calculated by dividing net income attributable to shareholders by the weighted average number of common shares outstanding, plus any participating securities and potentially dilutive securities. Potentially dilutive securities are calculated using the treasury stock method.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202"/>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continuing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(137,412)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(41,762)</w:t>
            </w:r>
          </w:p>
        </w:tc>
      </w:tr>
      <w:tr>
        <w:trPr>
          <w:trHeight w:val="197"/>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loss from discontinued operations, net of income taxes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(14,782)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(30,931)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(101,416)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(69,165)</w:t>
            </w:r>
          </w:p>
        </w:tc>
      </w:tr>
      <w:tr>
        <w:trPr>
          <w:trHeight w:val="20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(18,929)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(238,828)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(110,927)</w:t>
            </w:r>
          </w:p>
        </w:tc>
      </w:tr>
      <w:tr>
        <w:trPr>
          <w:trHeight w:val="147"/>
        </w:trPr>
        <w:tc>
          <w:tcPr>
            <w:tcW w:w="4740" w:type="dxa"/>
            <w:vAlign w:val="bottom"/>
          </w:tcPr>
          <w:p>
            <w:pPr>
              <w:ind w:left="20"/>
              <w:spacing w:after="0" w:line="147" w:lineRule="exact"/>
              <w:rPr>
                <w:sz w:val="20"/>
                <w:szCs w:val="20"/>
                <w:color w:val="auto"/>
              </w:rPr>
            </w:pPr>
            <w:r>
              <w:rPr>
                <w:rFonts w:ascii="Arial" w:cs="Arial" w:eastAsia="Arial" w:hAnsi="Arial"/>
                <w:sz w:val="14"/>
                <w:szCs w:val="14"/>
                <w:color w:val="auto"/>
              </w:rPr>
              <w:t>Less: Net loss attributable to non-controlling interests in consolidated</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1"/>
        </w:trPr>
        <w:tc>
          <w:tcPr>
            <w:tcW w:w="474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3"/>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474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(2,871)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(7,363)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(18,817)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(18,949)</w:t>
            </w:r>
          </w:p>
        </w:tc>
      </w:tr>
      <w:tr>
        <w:trPr>
          <w:trHeight w:val="20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6,791</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20,373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17,967</w:t>
            </w:r>
          </w:p>
        </w:tc>
      </w:tr>
      <w:tr>
        <w:trPr>
          <w:trHeight w:val="202"/>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(22,849)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(38,871)</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(240,384)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(109,945)</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4740" w:type="dxa"/>
            <w:vAlign w:val="bottom"/>
            <w:shd w:val="clear" w:color="auto" w:fill="CCEEFF"/>
          </w:tcPr>
          <w:p>
            <w:pPr>
              <w:ind w:left="20"/>
              <w:spacing w:after="0" w:line="196" w:lineRule="exact"/>
              <w:rPr>
                <w:sz w:val="20"/>
                <w:szCs w:val="20"/>
                <w:color w:val="auto"/>
              </w:rPr>
            </w:pPr>
            <w:r>
              <w:rPr>
                <w:rFonts w:ascii="Arial" w:cs="Arial" w:eastAsia="Arial" w:hAnsi="Arial"/>
                <w:sz w:val="14"/>
                <w:szCs w:val="14"/>
                <w:color w:val="auto"/>
              </w:rPr>
              <w:t xml:space="preserve">Weighted Average Common Shares Outstanding - Basic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99,378,771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88,277,897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99,372,016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86,787,072</w:t>
            </w: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Weighted Average Common Shares Outstanding - Diluted </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99,378,771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88,277,897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99,372,016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86,787,072</w:t>
            </w:r>
          </w:p>
        </w:tc>
      </w:tr>
      <w:tr>
        <w:trPr>
          <w:trHeight w:val="270"/>
        </w:trPr>
        <w:tc>
          <w:tcPr>
            <w:tcW w:w="47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197"/>
        </w:trPr>
        <w:tc>
          <w:tcPr>
            <w:tcW w:w="4740" w:type="dxa"/>
            <w:vAlign w:val="bottom"/>
          </w:tcPr>
          <w:p>
            <w:pPr>
              <w:ind w:left="20"/>
              <w:spacing w:after="0"/>
              <w:rPr>
                <w:sz w:val="20"/>
                <w:szCs w:val="20"/>
                <w:color w:val="auto"/>
              </w:rPr>
            </w:pPr>
            <w:r>
              <w:rPr>
                <w:rFonts w:ascii="Arial" w:cs="Arial" w:eastAsia="Arial" w:hAnsi="Arial"/>
                <w:sz w:val="14"/>
                <w:szCs w:val="14"/>
                <w:color w:val="auto"/>
              </w:rPr>
              <w:t>Loss per share:</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8"/>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7"/>
        </w:trPr>
        <w:tc>
          <w:tcPr>
            <w:tcW w:w="47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(1.59)</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(0.69)</w:t>
            </w:r>
          </w:p>
        </w:tc>
      </w:tr>
      <w:tr>
        <w:trPr>
          <w:trHeight w:val="209"/>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r>
      <w:tr>
        <w:trPr>
          <w:trHeight w:val="256"/>
        </w:trPr>
        <w:tc>
          <w:tcPr>
            <w:tcW w:w="4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7"/>
        </w:trPr>
        <w:tc>
          <w:tcPr>
            <w:tcW w:w="47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(1.59)</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(0.69)</w:t>
            </w:r>
          </w:p>
        </w:tc>
      </w:tr>
      <w:tr>
        <w:trPr>
          <w:trHeight w:val="208"/>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Three and nine months ended September 30, 2022 and 2021 include participating securities which can be converted into a fixed amount of our shares.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For the three months ended September 30, 2022 and 2021, 326,747 and 950,524 shares, respectively, and for the nine months ended September 30, 2022 and 2021, 654,693 and 940,254 shares, respectively, have been excluded from the calculation of Diluted EPS because the impact would be anti-dilutive.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2022, we issued 19,811 common shares to certain directors as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COMMITMENTS AND CONTINGENCIES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SUBSEQUENT EVENTS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October 27, 2022, our Board of Directors declared a cash dividend on our common shares and eligible participating securities of $0.30 per share for the quarter ended September 30, 2022, payable on November 28, 2022 to the holders of record on November 14, 2022.</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ind w:right="49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on October 27, 2022, our Board of Directors also declared cash dividends on the Series A Preferred Shares, Series B Preferred Shares and Series C Preferred Shares of $0.52, $0.50 and $0.52 per share, respectively, payable on December 15, 2022 to the holders of record on December 1, 2022.</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“we,” “our” or “us”). Our MD&amp;A should be read in conjunction with our unaudited consolidated financial statements and the accompanying notes, and with Part II, Item 1A, “Risk Factors” included elsewhere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is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September 30, 2022, we had total consolidated assets of $2,278.0 million and total equity of $26.0 million.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Russia’s Invasion of Ukraine</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Due to Russia’s invasion of Ukraine during the first quarter of 2022, the United States, European Union, United Kingdom, and others have imposed economic sanctions and export controls against Russia and Russia’s aviation industry. The sanctions include but are not limited to the ban on the export and sale or lease of all aircraft, engines, and equipment and on all related repair and maintenance services to Russia and Russian airlines. We have complied, and will continue to comply, with all applicable sanctions and we have terminated the leases of all our aircraft and engines with Russian airlines. As a result of the sanctions imposed on Russian airlines and related lease terminations, we recognized approximately $47.1 million in provision for credit losses during the nine months ended September 30, 2022.</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continue to pursue efforts to remove and repossess all of our aircraft and engines from Russia and Ukraine. As of September 30, 2022, four aircraft and two engines were still located in Ukraine and eight aircraft and seventeen engines were still located in Russia. We determined that it is unlikely that we will regain possession of the aircraft that had not been recovered from Ukraine and Russia during the first quarter of 2022. As a result, we recognized an impairment charge totaling $120.0 million, net of maintenance deposits, to write-off the carrying value of leasing equipment assets that we have not recovered from Ukraine and Russia for the nine months ended September 30, 2022.</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lessees are required to provide insurance coverage with respect to leased aircraft and engines, and we are named as insureds under those policies in the event of a total loss of an aircraft or engine. We also purchase insurance which provides us with coverage when our aircraft or engines are not subject to a lease or where a lessee’s policy fails to indemnify us. The insured value of the aircraft and engines that remain in Ukraine and Russia is approximately $294.0 million. We are pursuing all our claims under these policies. However, the timing and amount of any recoveries under these policies are uncertain.</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extent of the impact of Russia’s invasion of Ukraine and the related sanctions on our operational and financial performance, including the ability for us to recover our leasing equipment in the region, will depend on future developments, including the duration of the conflict, sanctions and restrictions imposed by Russian and international governments, all of which remain uncertain.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COVID-19</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Due to the outbreak of COVID-19, we have taken measures to protect the health and safety of our employees, including having employees work remotely, where possible. Market conditions due to the outbreak of COVID-19 resulted in asset impairment charges and a decline in our revenues during the years ended December 31, 2021 and 2020. However, our revenues have continued to recover during the nine months ended September 30, 2022. The extent of the impact of the COVID-19 pandemic on our operational and financial performance will depend on future developments, including the duration, severity and spread of the pandemic, as well as additional waves of COVID-19 infections and the ultimate impact of related restrictions imposed by the U.S. and international governments, all of which remain uncertain. For additional detail, see Liquidity and Capital Resources and Part II, Item 1A. Risk Factors—“The COVID-19 pandemic has severely disrupted the global economy and may have, and the emergence of similar crises could have, material adverse effects on our business, results of operations or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Spin-Off of FTAI Infrastructure Inc. (“FTAI Infrastructure”)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April 28, 2022, the Board of Directors of the Company unanimously approved the spin-off of the Company’s infrastructure business held by FTAI Infrastructure (a wholly owned subsidiary of the Company). The spin-off was effected as a distribution of all of the shares owned by the Company of common stock of FTAI Infrastructure to the holders of the Company’s common shares as of July 21, 2022. The distribution was completed on August 1, 2022.</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FTAI Infrastructure is a corporation for U.S. federal income tax purposes and holds, among other things, the Company’s previously held interests in the (i) Jefferson Terminal business, (ii) Repauno business, (iii) Long Ridge investment, and (iv) Transtar business. FTAI Infrastructure retained all related project-level debt of those entities. In connection with the spin-off, FTAI Infrastructure paid a dividend of $730.3 million to the Company. The Company used these proceeds to repay all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40" w:name="page41"/>
    <w:bookmarkEnd w:id="40"/>
    <w:p>
      <w:pPr>
        <w:jc w:val="both"/>
        <w:spacing w:after="0" w:line="262" w:lineRule="auto"/>
        <w:rPr>
          <w:sz w:val="20"/>
          <w:szCs w:val="20"/>
          <w:color w:val="auto"/>
        </w:rPr>
      </w:pPr>
      <w:r>
        <w:rPr>
          <w:rFonts w:ascii="Arial" w:cs="Arial" w:eastAsia="Arial" w:hAnsi="Arial"/>
          <w:sz w:val="16"/>
          <w:szCs w:val="16"/>
          <w:color w:val="auto"/>
        </w:rPr>
        <w:t>outstanding borrowings under its 2021 bridge loans, $200.0 million of its 6.50% senior unsecured notes due 2025, and approximately $175.0 million of the outstanding borrowings under its revolving credit facility. FTAI retained the aviation business and certain other assets, and FTAI’s remaining outstanding corporate indebtedness.</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connection with the spin-off, the Company and the Manager assigned the Company’s then-existing management agreement to FTAI Infrastructure, and FTAI Infrastructure and the Manager executed an amended and restated agreement. The Company and certain of its subsidiaries executed a new management agreement with the Manager. The new management agreement has an initial term of six years. The Manager is entitled to a management fee and reimbursement of certain expenses on substantially similar terms as the previous arrangements with the Manager, which were assigned to FTAI Infrastructure. Prior to the merger described below, our Manager will remain entitled to incentive allocations (comprised of income incentive allocation and capital gains incentive allocation) on the same terms as they exist today. Following the merger, the Company will enter into a Services and Profit Sharing Agreement (the “Services and Profit Sharing Agreement”), with a subsidiary of the Company and Fortress Worldwide Transportation and Infrastructure Master GP LLC (“Master GP”), pursuant to which Master GP will be entitled to incentive allocations on substantially similar terms as the previous arrangements.</w:t>
      </w:r>
    </w:p>
    <w:p>
      <w:pPr>
        <w:spacing w:after="0" w:line="29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August 12, 2022, the Company entered into an Agreement and Plan of Merger (the “Merger Agreement”) by and among the Company, FTAI Finance Holdco Ltd. (which following the completion of the merger will be named FTAI Aviation Ltd.), a Cayman Islands exempted company and an indirect subsidiary of the Company (“FTAI Aviation”), and FTAI Aviation Merger Sub LLC, a Delaware limited liability company and a direct, wholly-owned subsidiary of FTAI Aviation (“Merger Sub”), pursuant to which, among other things, Merger Sub will merge with and into the Company (the “merger”), with the Company surviving as a wholly owned subsidiary of FTAI Aviation. If the merger is approved by the Company’s public common shareholders, shares of the Company will be exchanged automatically for shares of FTAI Aviation without any further action from the shareholders.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merger is subject to a number of conditions to closing as specified in the Merger Agreement. These closing conditions include, among others, holders of Company common shares having approved the merger. A proposal to approve and adopt the merger agreement will be presented at a special meeting of the Company’s shareholders to be held on November 9, 2022 at 8:00 a.m.</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During the third quarter of 2022, as a result of the spin-off of FTAI Infrastructure effective on August 1, 2022, the Company reevaluated its operating segments. 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manufactures, repairs, and sells aircraft engines and aftermarket components for aircraft engines. The interim periods disclose the reportable segments under the basis that prior periods were restated to reflect the change in accordance with the requirements of ASC 280.</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4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December 27, 2017, SoftBank Group Corp. (“SoftBank”) completed its acquisition of Fortress (the “SoftBank Merger”). In connection with the Softbank Merger, Fortress operates within SoftBank as an independent business headquartered in New York.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chief operating decision maker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as well as make resource and allocation decisions. We believe Adjusted EBITDA is a useful metric for investors and analysts for similar purposes of assessing our operational performance.</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During the third quarter of 2022, the Company changed its measure of segment profit to include the add back of dividends on preferred shares in Adjusted EBITDA. 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00497F"/>
        </w:rPr>
        <w:t>Comparison of the three and nine months ended September 30,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8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50,079</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42,778</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7,301</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128,831</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125,907</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2,924</w:t>
            </w: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24,408</w:t>
            </w: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(953)</w:t>
            </w: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53,401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94,211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80,927</w:t>
            </w: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85,488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85,488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85,488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85,488</w:t>
            </w: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5,771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3,974</w:t>
            </w:r>
          </w:p>
        </w:tc>
      </w:tr>
      <w:tr>
        <w:trPr>
          <w:trHeight w:val="19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230,365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99,174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131,191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434,120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237,352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196,768</w:t>
            </w:r>
          </w:p>
        </w:tc>
      </w:tr>
      <w:tr>
        <w:trPr>
          <w:trHeight w:val="243"/>
        </w:trPr>
        <w:tc>
          <w:tcPr>
            <w:tcW w:w="4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108,197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74,006</w:t>
            </w: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95,948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90,581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120,139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111,562</w:t>
            </w: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w:t>
            </w: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8,340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12,626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(4,286)</w:t>
            </w: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34,853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36,237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115,461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106,374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9,087</w:t>
            </w: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125,123</w:t>
            </w:r>
          </w:p>
        </w:tc>
      </w:tr>
      <w:tr>
        <w:trPr>
          <w:trHeight w:val="196"/>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40,171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50,096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132,197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16,599</w:t>
            </w:r>
          </w:p>
        </w:tc>
      </w:tr>
      <w:tr>
        <w:trPr>
          <w:trHeight w:val="19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209,066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118,176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90,890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624,330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290,736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333,594</w:t>
            </w:r>
          </w:p>
        </w:tc>
      </w:tr>
      <w:tr>
        <w:trPr>
          <w:trHeight w:val="243"/>
        </w:trPr>
        <w:tc>
          <w:tcPr>
            <w:tcW w:w="4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2"/>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925</w:t>
            </w: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79,933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62,466</w:t>
            </w: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(19,861)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(19,861)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(16,607)</w:t>
            </w: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w:t>
            </w:r>
          </w:p>
        </w:tc>
      </w:tr>
      <w:tr>
        <w:trPr>
          <w:trHeight w:val="19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(21,257)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(32,232)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60,155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12,446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47,709</w:t>
            </w:r>
          </w:p>
        </w:tc>
      </w:tr>
      <w:tr>
        <w:trPr>
          <w:trHeight w:val="202"/>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(130,055)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(89,117)</w:t>
            </w:r>
          </w:p>
        </w:tc>
      </w:tr>
      <w:tr>
        <w:trPr>
          <w:trHeight w:val="19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4,189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7,357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6,533</w:t>
            </w:r>
          </w:p>
        </w:tc>
      </w:tr>
      <w:tr>
        <w:trPr>
          <w:trHeight w:val="202"/>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continued operations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(4,147)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(137,412)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(95,650)</w:t>
            </w:r>
          </w:p>
        </w:tc>
      </w:tr>
      <w:tr>
        <w:trPr>
          <w:trHeight w:val="197"/>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loss from discontinued operations, net of income taxes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(14,782)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(30,931)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(101,416)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(69,165)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(32,251)</w:t>
            </w:r>
          </w:p>
        </w:tc>
      </w:tr>
      <w:tr>
        <w:trPr>
          <w:trHeight w:val="202"/>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(18,929)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20,514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(238,828)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(110,927)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(127,901)</w:t>
            </w:r>
          </w:p>
        </w:tc>
      </w:tr>
      <w:tr>
        <w:trPr>
          <w:trHeight w:val="133"/>
        </w:trPr>
        <w:tc>
          <w:tcPr>
            <w:tcW w:w="440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interests in</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78"/>
        </w:trPr>
        <w:tc>
          <w:tcPr>
            <w:tcW w:w="440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8"/>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440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(7,363)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(18,817)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0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20,373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w:t>
            </w:r>
          </w:p>
        </w:tc>
      </w:tr>
      <w:tr>
        <w:trPr>
          <w:trHeight w:val="20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(22,849)</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(38,871)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16,022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(240,384)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(109,945)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(130,439)</w:t>
            </w: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from continuing operations to Adjusted EBITDA: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5"/>
        </w:trPr>
        <w:tc>
          <w:tcPr>
            <w:tcW w:w="440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Net loss attributable to shareholders from continuing</w:t>
            </w: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(10,938)</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(157,785)</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2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4,365</w:t>
            </w: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(98,056)</w:t>
            </w: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4,189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7,357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6,533</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8,340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12,626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(4,286)</w:t>
            </w:r>
          </w:p>
        </w:tc>
        <w:tc>
          <w:tcPr>
            <w:tcW w:w="0" w:type="dxa"/>
            <w:vAlign w:val="bottom"/>
          </w:tcPr>
          <w:p>
            <w:pPr>
              <w:spacing w:after="0"/>
              <w:rPr>
                <w:sz w:val="1"/>
                <w:szCs w:val="1"/>
                <w:color w:val="auto"/>
              </w:rPr>
            </w:pPr>
          </w:p>
        </w:tc>
      </w:tr>
      <w:tr>
        <w:trPr>
          <w:trHeight w:val="17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19,861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19,861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16,607</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125,123</w:t>
            </w: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9"/>
                <w:szCs w:val="9"/>
                <w:color w:val="auto"/>
              </w:rPr>
              <w:t>(1)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41,329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145,754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18,031</w:t>
            </w: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46,962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56,887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152,570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133,565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19,005</w:t>
            </w:r>
          </w:p>
        </w:tc>
        <w:tc>
          <w:tcPr>
            <w:tcW w:w="0" w:type="dxa"/>
            <w:vAlign w:val="bottom"/>
          </w:tcPr>
          <w:p>
            <w:pPr>
              <w:spacing w:after="0"/>
              <w:rPr>
                <w:sz w:val="1"/>
                <w:szCs w:val="1"/>
                <w:color w:val="auto"/>
              </w:rPr>
            </w:pPr>
          </w:p>
        </w:tc>
      </w:tr>
      <w:tr>
        <w:trPr>
          <w:trHeight w:val="164"/>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108,863</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92,249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16,614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304,558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221,455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83,103</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67" w:lineRule="auto"/>
        <w:tabs>
          <w:tab w:leader="none" w:pos="158" w:val="left"/>
        </w:tabs>
        <w:numPr>
          <w:ilvl w:val="0"/>
          <w:numId w:val="8"/>
        </w:numPr>
        <w:rPr>
          <w:rFonts w:ascii="Arial" w:cs="Arial" w:eastAsia="Arial" w:hAnsi="Arial"/>
          <w:sz w:val="9"/>
          <w:szCs w:val="9"/>
          <w:color w:val="auto"/>
        </w:rPr>
      </w:pPr>
      <w:r>
        <w:rPr>
          <w:rFonts w:ascii="Arial" w:cs="Arial" w:eastAsia="Arial" w:hAnsi="Arial"/>
          <w:sz w:val="14"/>
          <w:szCs w:val="14"/>
          <w:color w:val="auto"/>
        </w:rPr>
        <w:t>Includes the following items for the three months ended September 30, 2022 and 2021: (i) depreciation and amortization expense of $34,853 and $36,237, (ii) lease intangible amortization of $3,291 and $1,266 and (iii) amortization for lease incentives of $3,185 and $5,178, respectively. Includes the following items for the nine months ended September 30, 2022 and 2021: (i) depreciation and amortization expense of $115,461 and $106,374, (ii) lease intangible amortization of $10,259 and $3,216 and (iii) amortization for lease incentives of $20,034 and $18,133, respectively.</w:t>
      </w:r>
    </w:p>
    <w:p>
      <w:pPr>
        <w:spacing w:after="0" w:line="71" w:lineRule="exact"/>
        <w:rPr>
          <w:rFonts w:ascii="Arial" w:cs="Arial" w:eastAsia="Arial" w:hAnsi="Arial"/>
          <w:sz w:val="9"/>
          <w:szCs w:val="9"/>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September 30, 2022 and 2021: (i) net loss of $358 and $369 and (ii) depreciation and amortization expense of $117</w:t>
      </w:r>
    </w:p>
    <w:p>
      <w:pPr>
        <w:ind w:left="180" w:right="20"/>
        <w:spacing w:after="0" w:line="278" w:lineRule="auto"/>
        <w:rPr>
          <w:rFonts w:ascii="Arial" w:cs="Arial" w:eastAsia="Arial" w:hAnsi="Arial"/>
          <w:sz w:val="16"/>
          <w:szCs w:val="16"/>
          <w:color w:val="auto"/>
          <w:vertAlign w:val="superscript"/>
        </w:rPr>
      </w:pPr>
      <w:r>
        <w:rPr>
          <w:rFonts w:ascii="Arial" w:cs="Arial" w:eastAsia="Arial" w:hAnsi="Arial"/>
          <w:sz w:val="14"/>
          <w:szCs w:val="14"/>
          <w:color w:val="auto"/>
        </w:rPr>
        <w:t>and $57, respectively. Includes the following items for the nine months ended September 30, 2022 and 2021: (i) net loss of $125 and $1,050 and (ii) depreciation and amortization expense of $290 and $144, respectively.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Presentation of assets sales</w:t>
      </w:r>
    </w:p>
    <w:p>
      <w:pPr>
        <w:spacing w:after="0" w:line="17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During the three months ended September 30, 2022, we updated our corporate strategy based on the opportunities available in the market such that the sale of aircraft and engines is now an output of our recurring, ordinary activities. As a result of this update, the transaction price allocated to the sale of assets is included in Revenues in the Consolidated Statement of Operations for the three months ended September 30, 2022 and are accounted for in accordance with ASC 606. The corresponding net book values of the assets sold are recorded in Cost of sales in the Consolidated Statement of Operations</w:t>
      </w:r>
    </w:p>
    <w:p>
      <w:pPr>
        <w:spacing w:after="0" w:line="3" w:lineRule="exact"/>
        <w:rPr>
          <w:sz w:val="20"/>
          <w:szCs w:val="20"/>
          <w:color w:val="auto"/>
        </w:rPr>
      </w:pPr>
    </w:p>
    <w:p>
      <w:pPr>
        <w:jc w:val="both"/>
        <w:ind w:right="20"/>
        <w:spacing w:after="0" w:line="220" w:lineRule="auto"/>
        <w:rPr>
          <w:sz w:val="20"/>
          <w:szCs w:val="20"/>
          <w:color w:val="auto"/>
        </w:rPr>
      </w:pPr>
      <w:r>
        <w:rPr>
          <w:rFonts w:ascii="Arial" w:cs="Arial" w:eastAsia="Arial" w:hAnsi="Arial"/>
          <w:sz w:val="16"/>
          <w:szCs w:val="16"/>
          <w:color w:val="auto"/>
        </w:rPr>
        <w:t xml:space="preserve">for the three months ended September 30, 2022. Sales transactions of aircraft and engines prior to the three months ended September 30, 2022 were accounted for in accordance with ASC 610-20, </w:t>
      </w:r>
      <w:r>
        <w:rPr>
          <w:rFonts w:ascii="Arial" w:cs="Arial" w:eastAsia="Arial" w:hAnsi="Arial"/>
          <w:sz w:val="16"/>
          <w:szCs w:val="16"/>
          <w:i w:val="1"/>
          <w:iCs w:val="1"/>
          <w:color w:val="auto"/>
        </w:rPr>
        <w:t>Gains and losses from the derecognition of nonfinancial assets</w:t>
      </w:r>
      <w:r>
        <w:rPr>
          <w:rFonts w:ascii="Arial" w:cs="Arial" w:eastAsia="Arial" w:hAnsi="Arial"/>
          <w:sz w:val="16"/>
          <w:szCs w:val="16"/>
          <w:color w:val="auto"/>
        </w:rPr>
        <w:t xml:space="preserve"> and were included in Gain on sale of assets,</w:t>
      </w:r>
    </w:p>
    <w:p>
      <w:pPr>
        <w:jc w:val="both"/>
        <w:spacing w:after="0" w:line="242" w:lineRule="auto"/>
        <w:rPr>
          <w:sz w:val="20"/>
          <w:szCs w:val="20"/>
          <w:color w:val="auto"/>
        </w:rPr>
      </w:pPr>
      <w:r>
        <w:rPr>
          <w:rFonts w:ascii="Arial" w:cs="Arial" w:eastAsia="Arial" w:hAnsi="Arial"/>
          <w:sz w:val="16"/>
          <w:szCs w:val="16"/>
          <w:color w:val="auto"/>
        </w:rPr>
        <w:t>net on the Consolidated Statement of Operations, as we were previously only occasionally selling these assets. Generally, assets sold were under leasing arrangements with customers prior to sales and are included in leasing equipment, net, on the Consolidated Balance Sheets.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2022 and 2021</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Total revenues increased $131.2 million driven by an increase in asset sales revenue, Aerospace Products revenue and lease income partially offset by decreases in maintenance revenue and other revenue.</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Asset sales revenue increased $85.5 million primarily due to an increase in the sale of commercial aircraft and engines in our Aviation Leasing segment during 2022. See above discussion regarding presentation of asset sales.</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Aerospace Products revenue increased $45.7 million driven by an increase in sales relating to the CFM56-7B and CFM56-5B engines, engine modules, spare parts and used material inventory as operations continue to ramp-up in 2022. See above discussion regarding presentation of asset sales.</w:t>
      </w:r>
    </w:p>
    <w:p>
      <w:pPr>
        <w:spacing w:after="0" w:line="10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Lease income increased $7.3 million, which primarily reflects an increase of $7.4 million in the Offshore Energy business as two of our vessels were on-hire longer in 2022 compared to 2021.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3" w:name="page44"/>
    <w:bookmarkEnd w:id="43"/>
    <w:p>
      <w:pPr>
        <w:jc w:val="both"/>
        <w:spacing w:after="0" w:line="262" w:lineRule="auto"/>
        <w:rPr>
          <w:sz w:val="20"/>
          <w:szCs w:val="20"/>
          <w:color w:val="auto"/>
        </w:rPr>
      </w:pPr>
      <w:r>
        <w:rPr>
          <w:rFonts w:ascii="Arial" w:cs="Arial" w:eastAsia="Arial" w:hAnsi="Arial"/>
          <w:sz w:val="16"/>
          <w:szCs w:val="16"/>
          <w:color w:val="auto"/>
        </w:rPr>
        <w:t>Maintenance revenue decreased $4.7 million in the Aviation Leasing segment, primarily due to the early redelivery of aircraft and lower maintenance billings related to the early termination of aircraft leases with Russian airlines as a result of the sanctions imposed on Russian airlines, partially offset by an increase in the number of aircraft and engines placed on lease and higher aircraft and engine utilization.</w:t>
      </w:r>
    </w:p>
    <w:p>
      <w:pPr>
        <w:spacing w:after="0" w:line="8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Other revenue decreased $2.2 million, which primarily reflects a decrease of $1.7 million in the Aviation Leasing segment due to lower end-of lease redelivery compensation.</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2022 and 2021</w:t>
      </w:r>
    </w:p>
    <w:p>
      <w:pPr>
        <w:spacing w:after="0" w:line="133"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Total revenues increased $196.8 million driven by an increase in asset sales revenue, Aerospace Products revenue, maintenance revenue, other revenue and lease income.</w:t>
      </w:r>
    </w:p>
    <w:p>
      <w:pPr>
        <w:spacing w:after="0" w:line="73"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Asset sales revenue increased $85.5 million primarily due to an increase in the sale of commercial aircraft and engines in our Aviation Leasing segment in 2022. See above discussion regarding presentation of asset sales.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Aerospace Products revenue increased $80.9 million driven by an increase in sales relating to the CFM56-7B and CFM56-5B engines, engine modules, spare parts and used material inventory as operations continue to ramp-up in 2022. See above discussion regarding presentation of asset sales.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Maintenance revenue increased $24.4 million in the Aviation Leasing segment, primarily due to an increase in the number of aircraft and engines placed on lease, higher aircraft and engine utilization and higher end-of-lease return compensation, partially offset by a decrease in the recognition of maintenance deposits due to the early redelivery of aircraft and lower maintenance billings related to the early termination of aircraft leases with Russian airlines as a result of the sanctions imposed on Russian airlines.</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Other revenue increased $4.0 million, which primarily reflects (i) an increase of $2.9 million in the Aviation Leasing segment due to an increase in end-of lease redelivery compensation and (ii) an increase of $1.0 million in the Offshore Energy business as two of our vessels were on-hire longer in 2022 compared to 2021.</w:t>
      </w:r>
    </w:p>
    <w:p>
      <w:pPr>
        <w:spacing w:after="0" w:line="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Lease income increased $2.9 million, which primarily reflects (i) an increase of $12.0 million in the Offshore Energy business as two of our vessels were on-hire longer in 2022 compared to 2021, partially offset by (ii) a decrease of $9.1 million in the Aviation Leasing segment primarily due to the early termination of aircraft and engine leases as a result of the sanctions imposed on Russian airlines. Basic lease revenues from our owned aircraft and engines leased to Russian airlines would have been approximately $30.2 million for the nine months ended September 30, 2022. This decrease is partially offset by an increase in the number of aircraft and engines placed on lease.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2022 and 2021</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Total expenses increased $90.9 million, primarily due to higher (i) cost of sales, (ii) operating expenses, and (iii) asset impairment, partially offset by lower (iv) interest expense, (v) acquisition and transaction expenses, and (vi) depreciation and amortization.</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Cost of Sales increased $90.6 million primarily as a result of increased asset sales and the gross presentation of asset sales revenue and Aerospace Product revenues as described above.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$12.1 million which primarily reflects:</w:t>
      </w:r>
    </w:p>
    <w:p>
      <w:pPr>
        <w:spacing w:after="0" w:line="113" w:lineRule="exact"/>
        <w:rPr>
          <w:sz w:val="20"/>
          <w:szCs w:val="20"/>
          <w:color w:val="auto"/>
        </w:rPr>
      </w:pPr>
    </w:p>
    <w:p>
      <w:pPr>
        <w:ind w:left="660" w:hanging="328"/>
        <w:spacing w:after="0" w:line="278"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increase of $7.1 million in the Offshore Energy business which reflects increases of offshore crew expenses, project costs and other operating expenses as our vessels were on-hire longer in 2022 compared to 2021.</w:t>
      </w:r>
    </w:p>
    <w:p>
      <w:pPr>
        <w:spacing w:after="0" w:line="7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increase of $3.3 million in the Aviation Leasing Segment primarily as a result of an increase in insurance expense, shipping and storage fees, professional fees and other operating expenses, partially offset by a decrease in provision for credit losses.</w:t>
      </w:r>
    </w:p>
    <w:p>
      <w:pPr>
        <w:spacing w:after="0" w:line="100" w:lineRule="exact"/>
        <w:rPr>
          <w:rFonts w:ascii="Arial" w:cs="Arial" w:eastAsia="Arial" w:hAnsi="Arial"/>
          <w:sz w:val="16"/>
          <w:szCs w:val="16"/>
          <w:color w:val="auto"/>
        </w:rPr>
      </w:pPr>
    </w:p>
    <w:p>
      <w:pPr>
        <w:jc w:val="both"/>
        <w:ind w:left="660" w:hanging="328"/>
        <w:spacing w:after="0" w:line="257"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increase of $1.7 million in the Aerospace Products Segment primarily due to an increase in commission expenses due to the increase in sales from the used material program as well as an increase in professional fees and other operating expenses due to the ramp-up of Aerospace Products.</w:t>
      </w:r>
    </w:p>
    <w:p>
      <w:pPr>
        <w:spacing w:after="0" w:line="2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Asset impairment increased $3.6 million for the adjustment of the carrying value of leasing equipment to fair value in our Aviation Leasing segment. See Note 4 to the consolidated financial statements for additional information.</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Interest expense decreased $9.9 million, which reflects a decrease in the average outstanding debt of approximately $113.2 million due to decreases in (i) the Bridge Loans of $433 million, which were fully paid off in September 2021, (ii) the Senior Notes due 2025 of $132.8 million, which were partially redeemed in August 2022, partially offset by increases in (iii) the Senior Notes due 2028 of $334.7 million, (iv) the 2021 Bridge Loans issued in December 2021 and February 2022 of $113.3 million, and (v) the Revolving Credit Facility of $5.0 million.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expenses decreased $3.7 million primarily due to a decrease in professional fees related to the Transtar acquisition in 2021.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4" w:name="page45"/>
    <w:bookmarkEnd w:id="44"/>
    <w:p>
      <w:pPr>
        <w:ind w:right="20"/>
        <w:spacing w:after="0" w:line="260" w:lineRule="auto"/>
        <w:rPr>
          <w:sz w:val="20"/>
          <w:szCs w:val="20"/>
          <w:color w:val="auto"/>
        </w:rPr>
      </w:pPr>
      <w:r>
        <w:rPr>
          <w:rFonts w:ascii="Arial" w:cs="Arial" w:eastAsia="Arial" w:hAnsi="Arial"/>
          <w:sz w:val="16"/>
          <w:szCs w:val="16"/>
          <w:color w:val="auto"/>
        </w:rPr>
        <w:t>Depreciation and amortization decreased $1.4 million primarily due to an increase in the number of aircraft redelivered and parted out into our engine leasing pool.</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2022 and 2021</w:t>
      </w:r>
    </w:p>
    <w:p>
      <w:pPr>
        <w:spacing w:after="0" w:line="1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Total expenses increased $333.6 million, primarily due to higher (i) asset impairment charges, (ii) cost of sales, (iii) operating expenses, (iv) interest expense, (v) depreciation and amortization, partially offset by lower (vi) acquisition and transaction expenses.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Asset impairment increased $125.1 million primarily due to the write down of aircraft and engines located in Ukraine and Russia that may not be recoverable.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See Note 4 to the consolidated financial statements for additional information.</w:t>
      </w:r>
    </w:p>
    <w:p>
      <w:pPr>
        <w:spacing w:after="0" w:line="12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Cost of sales increased $111.6 million primarily as a result of an increase in asset sales and the gross presentation of asset sales revenue and Aerospace Product revenues as described above.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$74.0 million which primarily reflects:</w:t>
      </w:r>
    </w:p>
    <w:p>
      <w:pPr>
        <w:spacing w:after="0" w:line="113" w:lineRule="exact"/>
        <w:rPr>
          <w:sz w:val="20"/>
          <w:szCs w:val="20"/>
          <w:color w:val="auto"/>
        </w:rPr>
      </w:pPr>
    </w:p>
    <w:p>
      <w:pPr>
        <w:jc w:val="both"/>
        <w:ind w:left="660" w:hanging="328"/>
        <w:spacing w:after="0" w:line="262" w:lineRule="auto"/>
        <w:tabs>
          <w:tab w:leader="none" w:pos="649" w:val="left"/>
        </w:tabs>
        <w:numPr>
          <w:ilvl w:val="0"/>
          <w:numId w:val="10"/>
        </w:numPr>
        <w:rPr>
          <w:rFonts w:ascii="Arial" w:cs="Arial" w:eastAsia="Arial" w:hAnsi="Arial"/>
          <w:sz w:val="16"/>
          <w:szCs w:val="16"/>
          <w:color w:val="00497F"/>
        </w:rPr>
      </w:pPr>
      <w:r>
        <w:rPr>
          <w:rFonts w:ascii="Arial" w:cs="Arial" w:eastAsia="Arial" w:hAnsi="Arial"/>
          <w:sz w:val="16"/>
          <w:szCs w:val="16"/>
          <w:color w:val="auto"/>
        </w:rPr>
        <w:t>an increase of $58.0 million in the Aviation Leasing segment primarily as a result of an increase in provision for credit losses as a result of the sanctions imposed on Russian airlines, an increase in insurance expense, shipping and storage fees, professional fees and repairs and maintenance expenses.</w:t>
      </w:r>
    </w:p>
    <w:p>
      <w:pPr>
        <w:spacing w:after="0" w:line="85" w:lineRule="exact"/>
        <w:rPr>
          <w:rFonts w:ascii="Arial" w:cs="Arial" w:eastAsia="Arial" w:hAnsi="Arial"/>
          <w:sz w:val="16"/>
          <w:szCs w:val="16"/>
          <w:color w:val="00497F"/>
        </w:rPr>
      </w:pPr>
    </w:p>
    <w:p>
      <w:pPr>
        <w:ind w:left="660" w:hanging="328"/>
        <w:spacing w:after="0" w:line="260"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of $11.5 million in the Offshore Energy business which reflects increases of offshore crew expenses, project costs and other operating expenses as our vessels were on-hire longer in 2022 compared to 2021.</w:t>
      </w:r>
    </w:p>
    <w:p>
      <w:pPr>
        <w:spacing w:after="0" w:line="100" w:lineRule="exact"/>
        <w:rPr>
          <w:rFonts w:ascii="Arial" w:cs="Arial" w:eastAsia="Arial" w:hAnsi="Arial"/>
          <w:sz w:val="16"/>
          <w:szCs w:val="16"/>
          <w:color w:val="auto"/>
        </w:rPr>
      </w:pPr>
    </w:p>
    <w:p>
      <w:pPr>
        <w:jc w:val="both"/>
        <w:ind w:left="660" w:hanging="328"/>
        <w:spacing w:after="0" w:line="269"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of $4.6 million in the Aerospace Products segment primarily due to an increase in commission expenses due to the increase in sales from the used material program as well as an increase in professional fees and other operating expenses due to the ramp-up of Aerospace Products.</w:t>
      </w: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Interest expense increased $16.6 million, which reflects an increase in the average outstanding debt of approximately $577.8 million due to increases in (i) the Senior Notes due 2028 of $613.1 million, (ii) the 2021 Bridge Loans issued in December 2021 and February 2022 of $237.7 million and (iii) the Revolving Credit Facility of $73.4 million, partially offset by a decrease in (iv) the Bridge Loans of $144.4 million, (v) the Senior Notes due 2022 of $177.4 million, which was redeemed in full in May 2021, and (vi) the Senior Notes due 2025 of $44.6 million, which were partially redeemed in August 2022.</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Depreciation and amortization increased $9.1 million primarily driven by an increase in the number of assets owned and on lease in the Aviation Leasing segment, partially offset by an increase in the number of aircraft redelivered and parted out into our engine leasing pool.</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expenses decreased $4.3 million primarily due to a decrease in professional fees related to the Transtar acquisition in 2021.</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other income decreased $32.2 million during three months ended September 30, 2022 which primarily reflects (i) a loss on extinguishment of debt of $19.9 million related to the pay-down of the 2021 Bridge Loan issued in December 2021 and February 2022 and the partial redemption of the Senior Notes due 2025 and (ii) a decrease of $12.7 million in gain on sale of assets, net in the Aviation Leasing and Aerospace Products segments from less opportunistic asset sales. See above discussion regarding presentation of asset sales.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other income increased $47.7 million during nine months ended September 30, 2022 which primarily reflects (i) an increase of $62.4 million in gain on sale of assets, net in the Aviation Leasing and Aerospace Products segments from opportunistic asset sales transactions, partially offset by (ii) an increase of $16.6 million in loss on extinguishment of debt primarily related to the 2022 pay-down of the 2021 Bridge Loan issued December 2021 and February 2022 and the partial redemption of the Senior Notes due 2025. See above discussion regarding presentation of asset sales.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 (loss) from continuing operations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loss from continuing operations decreased $4.4 million for the three months ended September 30, 2022 and increased $95.7 million for the nine months ended September 30, 2022 as compared to the same periods during the prior year primarily due to the changes noted above.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 (loss) from discontinued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Net loss from discontinued operations decreased $16.1 million for the three months ended September 30, 2022 compared to the prior year due to:</w:t>
      </w:r>
    </w:p>
    <w:p>
      <w:pPr>
        <w:spacing w:after="0" w:line="113"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terminal services revenues at Jefferson due to additional storage and increased volume year over year;</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from a full quarter of income from Transtar, which was acquired in July 28, 2021;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Offset by an increase in our equity pick-up in net losses of the Long Ridge investment.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Net loss from discontinued operations increased $32.3 million for the nine months ended September 30, 2022 as compared to the prior year due to:</w:t>
      </w:r>
    </w:p>
    <w:p>
      <w:pPr>
        <w:spacing w:after="0" w:line="113" w:lineRule="exact"/>
        <w:rPr>
          <w:sz w:val="20"/>
          <w:szCs w:val="20"/>
          <w:color w:val="auto"/>
        </w:rPr>
      </w:pPr>
    </w:p>
    <w:p>
      <w:pPr>
        <w:ind w:left="660" w:hanging="328"/>
        <w:spacing w:after="0" w:line="278"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in acquisition and transaction expenses due to spin-related costs incurred during 2022 for the spin-off of Infrastructure on August 1, 2022;</w:t>
      </w:r>
    </w:p>
    <w:p>
      <w:pPr>
        <w:spacing w:after="0" w:line="7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in interest expense related to the Series 2021A Bonds issued during Q3 2021;</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in our equity pick-up in net losses of the Long Ridge investment;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Offset by a full quarter of income from Transtar, which was acquired in July 28,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increased $16.6 million and $83.1 million during the three and nine months ended September 30, 2022, respectively, primarily due to the changes noted above.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255"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As of September 30, 2022, in our Aviation Leasing segment, we own and manage 325 aviation assets, consisting of 96 commercial aircraft and 229 engines, including four aircraft and two engines that were still located in Ukraine and eight aircraft and seventeen engines that were still located in Russia.</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of September 30, 2022, 73 of our commercial aircraft and 124 of our engines were leased to operators or other third parties. Aviation assets currently off lease are either undergoing repair and/or maintenance, being prepared to go on lease or held in short term storage awaiting a future lease. Our aviation equipment was approximately 72% utilized during the three months ended September 30, 2022, based on the percent of days on-lease in the quarter weighted by the monthly average equity value of our aviation leasing equipment, excluding airframes. Our aircraft currently have a weighted average remaining lease term of 39 months, and our engines currently on-lease have an average remaining lease term of 13 months. The table below provides additional information on the assets in our Aviation Leasing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00497F"/>
          </w:tcPr>
          <w:p>
            <w:pPr>
              <w:spacing w:after="0"/>
              <w:rPr>
                <w:sz w:val="17"/>
                <w:szCs w:val="17"/>
                <w:color w:val="auto"/>
              </w:rPr>
            </w:pPr>
          </w:p>
        </w:tc>
        <w:tc>
          <w:tcPr>
            <w:tcW w:w="448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Leasing Assets</w:t>
            </w:r>
          </w:p>
        </w:tc>
        <w:tc>
          <w:tcPr>
            <w:tcW w:w="166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00" w:type="dxa"/>
            <w:vAlign w:val="bottom"/>
            <w:shd w:val="clear" w:color="auto" w:fill="00497F"/>
          </w:tcPr>
          <w:p>
            <w:pPr>
              <w:spacing w:after="0"/>
              <w:rPr>
                <w:sz w:val="17"/>
                <w:szCs w:val="17"/>
                <w:color w:val="auto"/>
              </w:rPr>
            </w:pPr>
          </w:p>
        </w:tc>
        <w:tc>
          <w:tcPr>
            <w:tcW w:w="120" w:type="dxa"/>
            <w:vAlign w:val="bottom"/>
            <w:shd w:val="clear" w:color="auto" w:fill="00497F"/>
          </w:tcPr>
          <w:p>
            <w:pPr>
              <w:spacing w:after="0"/>
              <w:rPr>
                <w:sz w:val="17"/>
                <w:szCs w:val="17"/>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17"/>
                <w:szCs w:val="17"/>
                <w:color w:val="auto"/>
              </w:rPr>
            </w:pPr>
          </w:p>
        </w:tc>
        <w:tc>
          <w:tcPr>
            <w:tcW w:w="120" w:type="dxa"/>
            <w:vAlign w:val="bottom"/>
            <w:shd w:val="clear" w:color="auto" w:fill="00497F"/>
          </w:tcPr>
          <w:p>
            <w:pPr>
              <w:spacing w:after="0"/>
              <w:rPr>
                <w:sz w:val="17"/>
                <w:szCs w:val="17"/>
                <w:color w:val="auto"/>
              </w:rPr>
            </w:pP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162"/>
        </w:trPr>
        <w:tc>
          <w:tcPr>
            <w:tcW w:w="20" w:type="dxa"/>
            <w:vAlign w:val="bottom"/>
          </w:tcPr>
          <w:p>
            <w:pPr>
              <w:spacing w:after="0"/>
              <w:rPr>
                <w:sz w:val="14"/>
                <w:szCs w:val="14"/>
                <w:color w:val="auto"/>
              </w:rPr>
            </w:pPr>
          </w:p>
        </w:tc>
        <w:tc>
          <w:tcPr>
            <w:tcW w:w="44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January 1, 2022</w:t>
            </w:r>
          </w:p>
        </w:tc>
        <w:tc>
          <w:tcPr>
            <w:tcW w:w="16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w:t>
            </w:r>
          </w:p>
        </w:tc>
      </w:tr>
      <w:tr>
        <w:trPr>
          <w:trHeight w:val="197"/>
        </w:trPr>
        <w:tc>
          <w:tcPr>
            <w:tcW w:w="20" w:type="dxa"/>
            <w:vAlign w:val="bottom"/>
          </w:tcPr>
          <w:p>
            <w:pPr>
              <w:spacing w:after="0"/>
              <w:rPr>
                <w:sz w:val="17"/>
                <w:szCs w:val="17"/>
                <w:color w:val="auto"/>
              </w:rPr>
            </w:pPr>
          </w:p>
        </w:tc>
        <w:tc>
          <w:tcPr>
            <w:tcW w:w="4480" w:type="dxa"/>
            <w:vAlign w:val="bottom"/>
            <w:gridSpan w:val="3"/>
          </w:tcPr>
          <w:p>
            <w:pPr>
              <w:ind w:left="20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color w:val="auto"/>
              </w:rPr>
              <w:t>23</w:t>
            </w:r>
          </w:p>
        </w:tc>
      </w:tr>
      <w:tr>
        <w:trPr>
          <w:trHeight w:val="209"/>
        </w:trPr>
        <w:tc>
          <w:tcPr>
            <w:tcW w:w="2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Sales</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20" w:type="dxa"/>
            <w:vAlign w:val="bottom"/>
            <w:tcBorders>
              <w:bottom w:val="single" w:sz="8" w:color="CCEEFF"/>
            </w:tcBorders>
          </w:tcPr>
          <w:p>
            <w:pPr>
              <w:spacing w:after="0"/>
              <w:rPr>
                <w:sz w:val="17"/>
                <w:szCs w:val="17"/>
                <w:color w:val="auto"/>
              </w:rPr>
            </w:pPr>
          </w:p>
        </w:tc>
        <w:tc>
          <w:tcPr>
            <w:tcW w:w="4480" w:type="dxa"/>
            <w:vAlign w:val="bottom"/>
            <w:tcBorders>
              <w:bottom w:val="single" w:sz="8" w:color="CCEEFF"/>
            </w:tcBorders>
            <w:gridSpan w:val="3"/>
          </w:tcPr>
          <w:p>
            <w:pPr>
              <w:ind w:left="200"/>
              <w:spacing w:after="0"/>
              <w:rPr>
                <w:sz w:val="20"/>
                <w:szCs w:val="20"/>
                <w:color w:val="auto"/>
              </w:rPr>
            </w:pPr>
            <w:r>
              <w:rPr>
                <w:rFonts w:ascii="Arial" w:cs="Arial" w:eastAsia="Arial" w:hAnsi="Arial"/>
                <w:sz w:val="14"/>
                <w:szCs w:val="14"/>
                <w:color w:val="auto"/>
              </w:rPr>
              <w:t>Transfers</w:t>
            </w:r>
          </w:p>
        </w:tc>
        <w:tc>
          <w:tcPr>
            <w:tcW w:w="1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196"/>
        </w:trPr>
        <w:tc>
          <w:tcPr>
            <w:tcW w:w="20" w:type="dxa"/>
            <w:vAlign w:val="bottom"/>
            <w:shd w:val="clear" w:color="auto" w:fill="CCEEFF"/>
          </w:tcPr>
          <w:p>
            <w:pPr>
              <w:spacing w:after="0"/>
              <w:rPr>
                <w:sz w:val="17"/>
                <w:szCs w:val="17"/>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September 30, 2022</w:t>
            </w:r>
          </w:p>
        </w:tc>
        <w:tc>
          <w:tcPr>
            <w:tcW w:w="16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120" w:type="dxa"/>
            <w:vAlign w:val="bottom"/>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162"/>
        </w:trPr>
        <w:tc>
          <w:tcPr>
            <w:tcW w:w="20" w:type="dxa"/>
            <w:vAlign w:val="bottom"/>
            <w:shd w:val="clear" w:color="auto" w:fill="CCEEFF"/>
          </w:tcPr>
          <w:p>
            <w:pPr>
              <w:spacing w:after="0"/>
              <w:rPr>
                <w:sz w:val="14"/>
                <w:szCs w:val="14"/>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i w:val="1"/>
                <w:iCs w:val="1"/>
                <w:color w:val="auto"/>
              </w:rPr>
              <w:t>Engines</w:t>
            </w:r>
          </w:p>
        </w:tc>
        <w:tc>
          <w:tcPr>
            <w:tcW w:w="1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2022</w:t>
            </w:r>
          </w:p>
        </w:tc>
        <w:tc>
          <w:tcPr>
            <w:tcW w:w="16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17"/>
                <w:szCs w:val="17"/>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b w:val="1"/>
                <w:bCs w:val="1"/>
                <w:color w:val="auto"/>
              </w:rPr>
              <w:t>207</w:t>
            </w:r>
          </w:p>
        </w:tc>
      </w:tr>
      <w:tr>
        <w:trPr>
          <w:trHeight w:val="209"/>
        </w:trPr>
        <w:tc>
          <w:tcPr>
            <w:tcW w:w="2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Purchases</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r>
      <w:tr>
        <w:trPr>
          <w:trHeight w:val="196"/>
        </w:trPr>
        <w:tc>
          <w:tcPr>
            <w:tcW w:w="20" w:type="dxa"/>
            <w:vAlign w:val="bottom"/>
          </w:tcPr>
          <w:p>
            <w:pPr>
              <w:spacing w:after="0"/>
              <w:rPr>
                <w:sz w:val="17"/>
                <w:szCs w:val="17"/>
                <w:color w:val="auto"/>
              </w:rPr>
            </w:pPr>
          </w:p>
        </w:tc>
        <w:tc>
          <w:tcPr>
            <w:tcW w:w="4480" w:type="dxa"/>
            <w:vAlign w:val="bottom"/>
            <w:gridSpan w:val="3"/>
          </w:tcPr>
          <w:p>
            <w:pPr>
              <w:ind w:left="20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9"/>
        </w:trPr>
        <w:tc>
          <w:tcPr>
            <w:tcW w:w="2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Transfers</w:t>
            </w:r>
          </w:p>
        </w:tc>
        <w:tc>
          <w:tcPr>
            <w:tcW w:w="16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r>
      <w:tr>
        <w:trPr>
          <w:trHeight w:val="190"/>
        </w:trPr>
        <w:tc>
          <w:tcPr>
            <w:tcW w:w="20" w:type="dxa"/>
            <w:vAlign w:val="bottom"/>
          </w:tcPr>
          <w:p>
            <w:pPr>
              <w:spacing w:after="0"/>
              <w:rPr>
                <w:sz w:val="16"/>
                <w:szCs w:val="16"/>
                <w:color w:val="auto"/>
              </w:rPr>
            </w:pPr>
          </w:p>
        </w:tc>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Assets at September 30, 2022</w:t>
            </w:r>
          </w:p>
        </w:tc>
        <w:tc>
          <w:tcPr>
            <w:tcW w:w="16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w:t>
            </w:r>
          </w:p>
        </w:tc>
        <w:tc>
          <w:tcPr>
            <w:tcW w:w="12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w:t>
            </w:r>
          </w:p>
        </w:tc>
        <w:tc>
          <w:tcPr>
            <w:tcW w:w="120" w:type="dxa"/>
            <w:vAlign w:val="bottom"/>
          </w:tcPr>
          <w:p>
            <w:pPr>
              <w:spacing w:after="0"/>
              <w:rPr>
                <w:sz w:val="16"/>
                <w:szCs w:val="16"/>
                <w:color w:val="auto"/>
              </w:rPr>
            </w:pPr>
          </w:p>
        </w:tc>
        <w:tc>
          <w:tcPr>
            <w:tcW w:w="2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40,273</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40,392</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111,316</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120,389</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(9,073)</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24,408</w:t>
            </w: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sales 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85,488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85,488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85,488</w:t>
            </w:r>
          </w:p>
        </w:tc>
        <w:tc>
          <w:tcPr>
            <w:tcW w:w="0" w:type="dxa"/>
            <w:vAlign w:val="bottom"/>
          </w:tcPr>
          <w:p>
            <w:pPr>
              <w:spacing w:after="0"/>
              <w:rPr>
                <w:sz w:val="1"/>
                <w:szCs w:val="1"/>
                <w:color w:val="auto"/>
              </w:rPr>
            </w:pPr>
          </w:p>
        </w:tc>
      </w:tr>
      <w:tr>
        <w:trPr>
          <w:trHeight w:val="19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3,461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8,687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2,926</w:t>
            </w: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164,848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86,208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78,640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317,994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215,198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102,796</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10,533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72,135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57,958</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64,855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64,855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64,855</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32,728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109,147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8,766</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 impairment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4,495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128,171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125,123</w:t>
            </w: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112,858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42,556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70,302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374,932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118,410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256,522</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Equity in (losses) earnings of unconsolidated entities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61,371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45,620</w:t>
            </w:r>
          </w:p>
        </w:tc>
        <w:tc>
          <w:tcPr>
            <w:tcW w:w="0" w:type="dxa"/>
            <w:vAlign w:val="bottom"/>
          </w:tcPr>
          <w:p>
            <w:pPr>
              <w:spacing w:after="0"/>
              <w:rPr>
                <w:sz w:val="1"/>
                <w:szCs w:val="1"/>
                <w:color w:val="auto"/>
              </w:rPr>
            </w:pPr>
          </w:p>
        </w:tc>
      </w:tr>
      <w:tr>
        <w:trPr>
          <w:trHeight w:val="19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62,369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15,034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47,335</w:t>
            </w:r>
          </w:p>
        </w:tc>
        <w:tc>
          <w:tcPr>
            <w:tcW w:w="0" w:type="dxa"/>
            <w:vAlign w:val="bottom"/>
          </w:tcPr>
          <w:p>
            <w:pPr>
              <w:spacing w:after="0"/>
              <w:rPr>
                <w:sz w:val="1"/>
                <w:szCs w:val="1"/>
                <w:color w:val="auto"/>
              </w:rPr>
            </w:pPr>
          </w:p>
        </w:tc>
      </w:tr>
      <w:tr>
        <w:trPr>
          <w:trHeight w:val="190"/>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51,987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53,272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5,431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111,822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(106,391)</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51,061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52,677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(107,598)</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attributable to shareholders from continuing</w:t>
            </w: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51,061</w:t>
            </w:r>
          </w:p>
        </w:tc>
        <w:tc>
          <w:tcPr>
            <w:tcW w:w="120" w:type="dxa"/>
            <w:vAlign w:val="bottom"/>
          </w:tcPr>
          <w:p>
            <w:pPr>
              <w:spacing w:after="0"/>
              <w:rPr>
                <w:sz w:val="11"/>
                <w:szCs w:val="11"/>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52,677</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(1,616)</w:t>
            </w:r>
          </w:p>
        </w:tc>
        <w:tc>
          <w:tcPr>
            <w:tcW w:w="10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3,315</w:t>
            </w:r>
          </w:p>
        </w:tc>
        <w:tc>
          <w:tcPr>
            <w:tcW w:w="10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110,913</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(107,598)</w:t>
            </w:r>
          </w:p>
        </w:tc>
        <w:tc>
          <w:tcPr>
            <w:tcW w:w="0" w:type="dxa"/>
            <w:vAlign w:val="bottom"/>
          </w:tcPr>
          <w:p>
            <w:pPr>
              <w:spacing w:after="0"/>
              <w:rPr>
                <w:sz w:val="1"/>
                <w:szCs w:val="1"/>
                <w:color w:val="auto"/>
              </w:rPr>
            </w:pPr>
          </w:p>
        </w:tc>
      </w:tr>
      <w:tr>
        <w:trPr>
          <w:trHeight w:val="167"/>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operations</w:t>
            </w:r>
          </w:p>
        </w:tc>
        <w:tc>
          <w:tcPr>
            <w:tcW w:w="2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from continuing operations to Adjusted EBITDA: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5"/>
        </w:trPr>
        <w:tc>
          <w:tcPr>
            <w:tcW w:w="440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Net income attributable to shareholders from continuing</w:t>
            </w: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51,061</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3,315</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2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52,677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(107,598)</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926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7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125,123</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9"/>
                <w:szCs w:val="9"/>
                <w:color w:val="auto"/>
              </w:rPr>
              <w:t>(1)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39,204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139,440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17,710</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95,994</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94,990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273,788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237,404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36,384</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67" w:lineRule="auto"/>
        <w:tabs>
          <w:tab w:leader="none" w:pos="158" w:val="left"/>
        </w:tabs>
        <w:numPr>
          <w:ilvl w:val="0"/>
          <w:numId w:val="13"/>
        </w:numPr>
        <w:rPr>
          <w:rFonts w:ascii="Arial" w:cs="Arial" w:eastAsia="Arial" w:hAnsi="Arial"/>
          <w:sz w:val="9"/>
          <w:szCs w:val="9"/>
          <w:color w:val="auto"/>
        </w:rPr>
      </w:pPr>
      <w:r>
        <w:rPr>
          <w:rFonts w:ascii="Arial" w:cs="Arial" w:eastAsia="Arial" w:hAnsi="Arial"/>
          <w:sz w:val="14"/>
          <w:szCs w:val="14"/>
          <w:color w:val="auto"/>
        </w:rPr>
        <w:t>Includes the following items for the three months ended September 30, 2022 and 2021: (i) depreciation expense of $32,728 and $34,181, (ii) lease intangible amortization of $3,291 and $1,266 and (iii) amortization for lease incentives of $3,185 and $5,178, respectively. Includes the following items for the nine months ended September 30, 2022 and 2021: (i) depreciation expense of $109,147 and $100,381, (ii) lease intangible amortization of $10,259 and $3,216 and (iii) amortization for lease incentives of $20,034 and $18,133, respectively.</w:t>
      </w:r>
    </w:p>
    <w:p>
      <w:pPr>
        <w:spacing w:after="0" w:line="93" w:lineRule="exact"/>
        <w:rPr>
          <w:rFonts w:ascii="Arial" w:cs="Arial" w:eastAsia="Arial" w:hAnsi="Arial"/>
          <w:sz w:val="9"/>
          <w:szCs w:val="9"/>
          <w:color w:val="auto"/>
        </w:rPr>
      </w:pPr>
    </w:p>
    <w:p>
      <w:pPr>
        <w:ind w:left="180" w:hanging="172"/>
        <w:spacing w:after="0" w:line="217" w:lineRule="auto"/>
        <w:tabs>
          <w:tab w:leader="none" w:pos="158"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and nine months ended September 30, 2022: (i) net loss of $45 and net income of $753 and (ii) depreciation and amortization of $61 and $122,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$78.6 million driven by an increase in asset sales revenue, partially offset by lower maintenance revenue and other revenue.</w:t>
      </w:r>
    </w:p>
    <w:p>
      <w:pPr>
        <w:spacing w:after="0" w:line="113" w:lineRule="exact"/>
        <w:rPr>
          <w:sz w:val="20"/>
          <w:szCs w:val="20"/>
          <w:color w:val="auto"/>
        </w:rPr>
      </w:pPr>
    </w:p>
    <w:p>
      <w:pPr>
        <w:ind w:left="660" w:hanging="328"/>
        <w:spacing w:after="0" w:line="278"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Asset sales revenue increased $85.5 million primarily due to an increase in the sale of commercial aircraft and engines during 2022. See above discussion regarding presentation of asset sales.</w:t>
      </w:r>
    </w:p>
    <w:p>
      <w:pPr>
        <w:spacing w:after="0" w:line="73"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Maintenance revenue decreased $4.7 million primarily due to the early redelivery of aircraft and lower maintenance billings related to the early termination of aircraft leases with Russian airlines as a result of the sanctions imposed on Russian airlines, partially offset by an increase in the number of aircraft and engines placed on lease and higher aircraft and engine utilization.</w:t>
      </w:r>
    </w:p>
    <w:p>
      <w:pPr>
        <w:spacing w:after="0" w:line="85"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revenue decreased $1.7 million primarily due to lower end-of lease redelivery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2022 and 2021</w:t>
      </w:r>
    </w:p>
    <w:p>
      <w:pPr>
        <w:spacing w:after="0" w:line="1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Total revenue increased $102.8 million driven by an increase in asset sales revenue, maintenance revenue and other revenue, partially offset by a decrease in lease income.</w:t>
      </w:r>
    </w:p>
    <w:p>
      <w:pPr>
        <w:spacing w:after="0" w:line="73" w:lineRule="exact"/>
        <w:rPr>
          <w:sz w:val="20"/>
          <w:szCs w:val="20"/>
          <w:color w:val="auto"/>
        </w:rPr>
      </w:pPr>
    </w:p>
    <w:p>
      <w:pPr>
        <w:ind w:left="660" w:hanging="328"/>
        <w:spacing w:after="0" w:line="260"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Asset sales revenue increased $85.5 million primarily due to an increase in the sale of commercial aircraft and engines during 2022. See above discussion regarding presentation of asset sales.</w:t>
      </w:r>
    </w:p>
    <w:p>
      <w:pPr>
        <w:spacing w:after="0" w:line="100" w:lineRule="exact"/>
        <w:rPr>
          <w:rFonts w:ascii="Arial" w:cs="Arial" w:eastAsia="Arial" w:hAnsi="Arial"/>
          <w:sz w:val="16"/>
          <w:szCs w:val="16"/>
          <w:color w:val="auto"/>
        </w:rPr>
      </w:pPr>
    </w:p>
    <w:p>
      <w:pPr>
        <w:jc w:val="both"/>
        <w:ind w:left="660" w:hanging="328"/>
        <w:spacing w:after="0" w:line="257"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Maintenance revenue increased $24.4 million primarily due to an increase in the number of aircraft and engines placed on lease, higher aircraft and engine utilization and higher end-of-lease return compensation, partially offset by a decrease in the recognition of maintenance deposits due to the early redelivery of aircraft and lower maintenance billings related to the early termination of aircraft leases with Russian airlines as a result of the sanctions imposed on Russian airlines.</w:t>
      </w:r>
    </w:p>
    <w:p>
      <w:pPr>
        <w:spacing w:after="0" w:line="89"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revenue increased $2.9 million primarily due to an increase in end-of lease redelivery compensation.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8" w:name="page49"/>
    <w:bookmarkEnd w:id="48"/>
    <w:p>
      <w:pPr>
        <w:jc w:val="both"/>
        <w:ind w:left="660" w:hanging="328"/>
        <w:spacing w:after="0" w:line="257"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Lease income decreased $9.1 million primarily due to the early termination of aircraft and engine leases as a result of the sanctions imposed on Russian airlines. Basic lease revenues from our owned aircraft and engines leased to Russian airlines would have been approximately $30.2 million for the nine months ended September 30, 2022. This decrease is partially offset by an increase in the number of aircraft and engines placed on lease.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2022 and 2021</w:t>
      </w:r>
    </w:p>
    <w:p>
      <w:pPr>
        <w:spacing w:after="0" w:line="1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Total expenses increased $70.3 million primarily driven by an increase in the cost of sales, asset impairment and operating expenses, partially offset by a decrease in depreciation and amortization expense.</w:t>
      </w:r>
    </w:p>
    <w:p>
      <w:pPr>
        <w:spacing w:after="0" w:line="73" w:lineRule="exact"/>
        <w:rPr>
          <w:sz w:val="20"/>
          <w:szCs w:val="20"/>
          <w:color w:val="auto"/>
        </w:rPr>
      </w:pPr>
    </w:p>
    <w:p>
      <w:pPr>
        <w:ind w:left="660" w:hanging="328"/>
        <w:spacing w:after="0" w:line="278"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 of sales increased $64.9 million primarily as a result of an increase in asset sales and the gross presentation of asset sales revenues and related cost of sales as described above.</w:t>
      </w:r>
    </w:p>
    <w:p>
      <w:pPr>
        <w:spacing w:after="0" w:line="7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Asset impairment increased $3.6 million for the adjustment of the carrying value of leasing equipment to fair value. See Note 4 to the consolidated financial statements for additional information.</w:t>
      </w:r>
    </w:p>
    <w:p>
      <w:pPr>
        <w:spacing w:after="0" w:line="100"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Operating expenses increased $3.3 million primarily as a result of an increase in insurance expense, shipping and storage fees, professional fees and other operating expenses, partially offset by a decrease in provision for credit losses.</w:t>
      </w:r>
    </w:p>
    <w:p>
      <w:pPr>
        <w:spacing w:after="0" w:line="87"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Depreciation and amortization expense decreased $1.5 million driven by an increase in the number of aircraft redelivered and parted out into our engine leasing pool.</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2022 and 2021</w:t>
      </w:r>
    </w:p>
    <w:p>
      <w:pPr>
        <w:spacing w:after="0" w:line="1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$256.5 million primarily driven by an increase in asset impairment, cost of sales, operating expenses and depreciation and amortization expense.</w:t>
      </w:r>
    </w:p>
    <w:p>
      <w:pPr>
        <w:spacing w:after="0" w:line="87" w:lineRule="exact"/>
        <w:rPr>
          <w:sz w:val="20"/>
          <w:szCs w:val="20"/>
          <w:color w:val="auto"/>
        </w:rPr>
      </w:pPr>
    </w:p>
    <w:p>
      <w:pPr>
        <w:ind w:left="660" w:hanging="328"/>
        <w:spacing w:after="0" w:line="278"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Asset impairment increased $125.1 million primarily due to the write down of aircraft and engines located in Ukraine and Russia that may not be recoverable. See Note 4 to the consolidated financial statements for additional information.</w:t>
      </w:r>
    </w:p>
    <w:p>
      <w:pPr>
        <w:spacing w:after="0" w:line="73"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 of sales increased $64.9 million primarily as a result of an increase in asset sales and the gross presentation of asset sales revenues and related costs of sales as described above.</w:t>
      </w:r>
    </w:p>
    <w:p>
      <w:pPr>
        <w:spacing w:after="0" w:line="7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00497F"/>
        </w:rPr>
      </w:pPr>
      <w:r>
        <w:rPr>
          <w:rFonts w:ascii="Arial" w:cs="Arial" w:eastAsia="Arial" w:hAnsi="Arial"/>
          <w:sz w:val="16"/>
          <w:szCs w:val="16"/>
          <w:color w:val="auto"/>
        </w:rPr>
        <w:t>Operating expenses increased $58.0 million primarily as a result of an increase in provision for credit losses as a result of the sanctions imposed on Russian airlines, an increase in insurance expense, shipping and storage fees, professional fees, and repairs and maintenance expenses.</w:t>
      </w:r>
    </w:p>
    <w:p>
      <w:pPr>
        <w:spacing w:after="0" w:line="100" w:lineRule="exact"/>
        <w:rPr>
          <w:rFonts w:ascii="Arial" w:cs="Arial" w:eastAsia="Arial" w:hAnsi="Arial"/>
          <w:sz w:val="16"/>
          <w:szCs w:val="16"/>
          <w:color w:val="00497F"/>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Depreciation and amortization expense increased $8.8 million driven by an increase in the number of assets owned and on lease, partially offset by an increase in the number of aircraft redelivered and parted out into our engine leasing pool.</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income decreased $9.6 million during the three months ended September 30, 2022 primarily due to a decrease of $11.0 million in gain on sale of assets, net. See above discussion regarding presentation of asset sales.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Total other income increased $47.3 million during the nine months ended September 30, 2022 primarily due to (i) an increase of $45.6 million in gain on the sale of assets, net due to more opportunistic sales transactions and (ii) an increase of $0.8 million in our proportionate share of unconsolidated entities’ net income.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Adjusted EBITDA increased $1.0 million and $36.4 million during the three and nine months ended September 30, 2022, respectively, primarily due to the changes noted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00497F"/>
        </w:rPr>
        <w:t>Aerospace Products Segment</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Aerospace Products segment develops, manufactures, repairs, and sells aircraft engines and aftermarket components primarily for the CFM56-7B and CFM56-5B commercial aircraft engines. Our engine and module sales are facilitated through The Module Factory, a dedicated commercial maintenance center designed to focus on modular repair and refurbishment of CFM56-7B and CFM56-5B engines. Used serviceable material is sold through our exclusive partnership with AAR Corp, who is responsible for the teardown, repair, marketing and sales of spare parts from our CFM56 engine pool. We also hold a 25% interest in the Advanced Engine Repair JV which focuses on developing new cost savings programs for engine repairs.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Aerospace products revenue</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53,401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7,730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45,671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94,211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13,284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80,927</w:t>
            </w:r>
          </w:p>
        </w:tc>
        <w:tc>
          <w:tcPr>
            <w:tcW w:w="0" w:type="dxa"/>
            <w:vAlign w:val="bottom"/>
          </w:tcPr>
          <w:p>
            <w:pPr>
              <w:spacing w:after="0"/>
              <w:rPr>
                <w:sz w:val="1"/>
                <w:szCs w:val="1"/>
                <w:color w:val="auto"/>
              </w:rPr>
            </w:pPr>
          </w:p>
        </w:tc>
      </w:tr>
      <w:tr>
        <w:trPr>
          <w:trHeight w:val="270"/>
        </w:trPr>
        <w:tc>
          <w:tcPr>
            <w:tcW w:w="4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3,491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8,094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31,093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55,284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46,707</w:t>
            </w: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34,676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7,181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27,495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63,571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51,435</w:t>
            </w:r>
          </w:p>
        </w:tc>
        <w:tc>
          <w:tcPr>
            <w:tcW w:w="0" w:type="dxa"/>
            <w:vAlign w:val="bottom"/>
          </w:tcPr>
          <w:p>
            <w:pPr>
              <w:spacing w:after="0"/>
              <w:rPr>
                <w:sz w:val="1"/>
                <w:szCs w:val="1"/>
                <w:color w:val="auto"/>
              </w:rPr>
            </w:pPr>
          </w:p>
        </w:tc>
      </w:tr>
      <w:tr>
        <w:trPr>
          <w:trHeight w:val="256"/>
        </w:trPr>
        <w:tc>
          <w:tcPr>
            <w:tcW w:w="4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18,562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16,846</w:t>
            </w:r>
          </w:p>
        </w:tc>
        <w:tc>
          <w:tcPr>
            <w:tcW w:w="0" w:type="dxa"/>
            <w:vAlign w:val="bottom"/>
          </w:tcPr>
          <w:p>
            <w:pPr>
              <w:spacing w:after="0"/>
              <w:rPr>
                <w:sz w:val="1"/>
                <w:szCs w:val="1"/>
                <w:color w:val="auto"/>
              </w:rPr>
            </w:pPr>
          </w:p>
        </w:tc>
      </w:tr>
      <w:tr>
        <w:trPr>
          <w:trHeight w:val="20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17,684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17,018</w:t>
            </w:r>
          </w:p>
        </w:tc>
        <w:tc>
          <w:tcPr>
            <w:tcW w:w="0" w:type="dxa"/>
            <w:vAlign w:val="bottom"/>
          </w:tcPr>
          <w:p>
            <w:pPr>
              <w:spacing w:after="0"/>
              <w:rPr>
                <w:sz w:val="1"/>
                <w:szCs w:val="1"/>
                <w:color w:val="auto"/>
              </w:rPr>
            </w:pPr>
          </w:p>
        </w:tc>
      </w:tr>
      <w:tr>
        <w:trPr>
          <w:trHeight w:val="190"/>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18,412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16,508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48,324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46,510</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5,055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5,066</w:t>
            </w: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15,826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43,269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41,444</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attributable to shareholders from continuing</w:t>
            </w: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15,826</w:t>
            </w:r>
          </w:p>
        </w:tc>
        <w:tc>
          <w:tcPr>
            <w:tcW w:w="120" w:type="dxa"/>
            <w:vAlign w:val="bottom"/>
          </w:tcPr>
          <w:p>
            <w:pPr>
              <w:spacing w:after="0"/>
              <w:rPr>
                <w:sz w:val="11"/>
                <w:szCs w:val="11"/>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13,812</w:t>
            </w:r>
          </w:p>
        </w:tc>
        <w:tc>
          <w:tcPr>
            <w:tcW w:w="10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43,269</w:t>
            </w:r>
          </w:p>
        </w:tc>
        <w:tc>
          <w:tcPr>
            <w:tcW w:w="10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41,444</w:t>
            </w:r>
          </w:p>
        </w:tc>
        <w:tc>
          <w:tcPr>
            <w:tcW w:w="0" w:type="dxa"/>
            <w:vAlign w:val="bottom"/>
          </w:tcPr>
          <w:p>
            <w:pPr>
              <w:spacing w:after="0"/>
              <w:rPr>
                <w:sz w:val="1"/>
                <w:szCs w:val="1"/>
                <w:color w:val="auto"/>
              </w:rPr>
            </w:pPr>
          </w:p>
        </w:tc>
      </w:tr>
      <w:tr>
        <w:trPr>
          <w:trHeight w:val="167"/>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operations</w:t>
            </w:r>
          </w:p>
        </w:tc>
        <w:tc>
          <w:tcPr>
            <w:tcW w:w="2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from continuing operations to Adjusted EBITDA: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5"/>
        </w:trPr>
        <w:tc>
          <w:tcPr>
            <w:tcW w:w="440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Net income attributable to shareholders from continuing</w:t>
            </w: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15,826</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43,269</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2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13,812</w:t>
            </w: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41,444</w:t>
            </w: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2,586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5,055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5,066</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(710)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18,560</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2,001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16,559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48,685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46,687</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the following items for the three months ended September 30, 2022 and 2021: (i) net loss of $313 and $369 and (ii) depreciation and amortization of $56 and $57,</w:t>
      </w:r>
    </w:p>
    <w:p>
      <w:pPr>
        <w:spacing w:after="0" w:line="14" w:lineRule="exact"/>
        <w:rPr>
          <w:rFonts w:ascii="Arial" w:cs="Arial" w:eastAsia="Arial" w:hAnsi="Arial"/>
          <w:sz w:val="9"/>
          <w:szCs w:val="9"/>
          <w:color w:val="auto"/>
        </w:rPr>
      </w:pPr>
    </w:p>
    <w:p>
      <w:pPr>
        <w:ind w:left="180"/>
        <w:spacing w:after="0" w:line="278" w:lineRule="auto"/>
        <w:rPr>
          <w:rFonts w:ascii="Arial" w:cs="Arial" w:eastAsia="Arial" w:hAnsi="Arial"/>
          <w:sz w:val="9"/>
          <w:szCs w:val="9"/>
          <w:color w:val="auto"/>
        </w:rPr>
      </w:pPr>
      <w:r>
        <w:rPr>
          <w:rFonts w:ascii="Arial" w:cs="Arial" w:eastAsia="Arial" w:hAnsi="Arial"/>
          <w:sz w:val="14"/>
          <w:szCs w:val="14"/>
          <w:color w:val="auto"/>
        </w:rPr>
        <w:t>respectively. Includes the following items for the nine months ended September 30, 2022 and 2021: (i) net loss of $878 and $1,050 and (ii) depreciation and amortization of $168 and $144, respectively.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and nine months ended September 30, 2022 and 2021</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Aerospace Products revenue increased $45.7 million during the three months ended September 30, 2022 driven by an increase in sales relating to the CFM56-7B and CFM56-5B engines, engine modules, spare parts and used material inventory as operations continue to ramp-up in 2022. See above discussion regarding presentation of asset sales.</w:t>
      </w:r>
    </w:p>
    <w:p>
      <w:pPr>
        <w:spacing w:after="0" w:line="107"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Total Aerospace Products revenue increased $80.9 million during the nine months ended September 30, 2022 driven by an increase in sales relating to the CFM56-7B and CFM56-5B engines, engine modules, spare parts and used material inventory as operations continue to ramp-up in 2022. See above discussion regarding presentation of asset sales.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2022 and 2021</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$27.5 million primarily due to an increase in costs of sales and operating expenses.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1" w:name="page52"/>
    <w:bookmarkEnd w:id="51"/>
    <w:p>
      <w:pPr>
        <w:ind w:left="660" w:hanging="328"/>
        <w:spacing w:after="0" w:line="25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Cost of sales increased $25.7 million primarily as a result of an increase in Aerospace product revenues and the gross presentation described above.</w:t>
      </w:r>
    </w:p>
    <w:p>
      <w:pPr>
        <w:spacing w:after="0" w:line="30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expenses increased $1.7 million primarily due to an increase in commission expenses due to the increase in sales from the used material program as well as an increase in professional fees and other operating expenses due to the ramp-up of Aerospace Products.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$51.4 million primarily due to an increase in costs of sales and operating expenses.</w:t>
      </w:r>
    </w:p>
    <w:p>
      <w:pPr>
        <w:spacing w:after="0" w:line="113" w:lineRule="exact"/>
        <w:rPr>
          <w:sz w:val="20"/>
          <w:szCs w:val="20"/>
          <w:color w:val="auto"/>
        </w:rPr>
      </w:pPr>
    </w:p>
    <w:p>
      <w:pPr>
        <w:ind w:left="660" w:hanging="328"/>
        <w:spacing w:after="0" w:line="259"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 of sales increased $46.7 million primarily as a result of an increase in Aerospace product revenues and the gross presentation described above.</w:t>
      </w:r>
    </w:p>
    <w:p>
      <w:pPr>
        <w:spacing w:after="0" w:line="300"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Operating expenses increased $4.6 million primarily due to an increase in commission expenses due to the increase in sales from the used material program as well as an increase in professional fees and other operating expenses due to the ramp-up of Aerospace Products.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Total other income decreased $1.7 million during three months ended September 30, 2022 which primarily reflects a decrease of $1.7 million in gain on sale of assets, net. See above discussion regarding presentation of asset sales.</w:t>
      </w:r>
    </w:p>
    <w:p>
      <w:pPr>
        <w:spacing w:after="0" w:line="7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other income increased $17.0 million during nine months ended September 30, 2022 which primarily reflects an increase of $16.8 million in gain on sale of assets, net due to an increase in sales relating to the CFM56-7B and CFM56-5B engines as operations continue to ramp-up in 2022.</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Adjusted EBITDA increased $16.6 million and $46.7 million during the three and nine months ended September 30, 2022, respectively, primarily due to the changes noted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00497F"/>
        </w:rPr>
        <w:t>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9,806</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2,386</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7,420</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17,515</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5,518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11,997</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2,310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13,045</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11,473</w:t>
            </w: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11,821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0" w:type="dxa"/>
            <w:vAlign w:val="bottom"/>
          </w:tcPr>
          <w:p>
            <w:pPr>
              <w:spacing w:after="0"/>
              <w:rPr>
                <w:sz w:val="1"/>
                <w:szCs w:val="1"/>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9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40,171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50,096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132,197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16,599</w:t>
            </w: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61,532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68,439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185,827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160,190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25,637</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(19,861)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(19,861)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(16,607)</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0"/>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(20,941)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(20,941)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(19,898)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(16,644)</w:t>
            </w:r>
          </w:p>
        </w:tc>
        <w:tc>
          <w:tcPr>
            <w:tcW w:w="0" w:type="dxa"/>
            <w:vAlign w:val="bottom"/>
          </w:tcPr>
          <w:p>
            <w:pPr>
              <w:spacing w:after="0"/>
              <w:rPr>
                <w:sz w:val="1"/>
                <w:szCs w:val="1"/>
                <w:color w:val="auto"/>
              </w:rPr>
            </w:pPr>
          </w:p>
        </w:tc>
      </w:tr>
      <w:tr>
        <w:trPr>
          <w:trHeight w:val="20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(70,357)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(63,203)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(183,810)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(154,574)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(29,236)</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(71,034)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(63,203)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(183,996)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(154,500)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(29,496)</w:t>
            </w:r>
          </w:p>
        </w:tc>
        <w:tc>
          <w:tcPr>
            <w:tcW w:w="0" w:type="dxa"/>
            <w:vAlign w:val="bottom"/>
          </w:tcPr>
          <w:p>
            <w:pPr>
              <w:spacing w:after="0"/>
              <w:rPr>
                <w:sz w:val="1"/>
                <w:szCs w:val="1"/>
                <w:color w:val="auto"/>
              </w:rPr>
            </w:pPr>
          </w:p>
        </w:tc>
      </w:tr>
      <w:tr>
        <w:trPr>
          <w:trHeight w:val="133"/>
        </w:trPr>
        <w:tc>
          <w:tcPr>
            <w:tcW w:w="4400" w:type="dxa"/>
            <w:vAlign w:val="bottom"/>
          </w:tcPr>
          <w:p>
            <w:pPr>
              <w:ind w:left="20"/>
              <w:spacing w:after="0" w:line="133" w:lineRule="exact"/>
              <w:rPr>
                <w:sz w:val="20"/>
                <w:szCs w:val="20"/>
                <w:color w:val="auto"/>
              </w:rPr>
            </w:pPr>
            <w:r>
              <w:rPr>
                <w:rFonts w:ascii="Arial" w:cs="Arial" w:eastAsia="Arial" w:hAnsi="Arial"/>
                <w:sz w:val="14"/>
                <w:szCs w:val="14"/>
                <w:color w:val="auto"/>
              </w:rPr>
              <w:t>Less: Net (loss) income attributable to non-controlling interests in</w:t>
            </w:r>
          </w:p>
        </w:tc>
        <w:tc>
          <w:tcPr>
            <w:tcW w:w="22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440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129"/>
        </w:trPr>
        <w:tc>
          <w:tcPr>
            <w:tcW w:w="44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loss attributable to shareholders from continuing</w:t>
            </w: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(77,825)</w:t>
            </w:r>
          </w:p>
        </w:tc>
        <w:tc>
          <w:tcPr>
            <w:tcW w:w="120" w:type="dxa"/>
            <w:vAlign w:val="bottom"/>
          </w:tcPr>
          <w:p>
            <w:pPr>
              <w:spacing w:after="0"/>
              <w:rPr>
                <w:sz w:val="11"/>
                <w:szCs w:val="11"/>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(69,994)</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(7,831)</w:t>
            </w:r>
          </w:p>
        </w:tc>
        <w:tc>
          <w:tcPr>
            <w:tcW w:w="10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(204,369)</w:t>
            </w:r>
          </w:p>
        </w:tc>
        <w:tc>
          <w:tcPr>
            <w:tcW w:w="10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(172,467)</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(31,902)</w:t>
            </w:r>
          </w:p>
        </w:tc>
        <w:tc>
          <w:tcPr>
            <w:tcW w:w="0" w:type="dxa"/>
            <w:vAlign w:val="bottom"/>
          </w:tcPr>
          <w:p>
            <w:pPr>
              <w:spacing w:after="0"/>
              <w:rPr>
                <w:sz w:val="1"/>
                <w:szCs w:val="1"/>
                <w:color w:val="auto"/>
              </w:rPr>
            </w:pPr>
          </w:p>
        </w:tc>
      </w:tr>
      <w:tr>
        <w:trPr>
          <w:trHeight w:val="167"/>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operations</w:t>
            </w:r>
          </w:p>
        </w:tc>
        <w:tc>
          <w:tcPr>
            <w:tcW w:w="2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from continuing operations to Adjusted EBITDA: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5"/>
        </w:trPr>
        <w:tc>
          <w:tcPr>
            <w:tcW w:w="440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Net loss attributable to shareholders from continuing</w:t>
            </w: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(77,825)</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(204,369)</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2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(69,994)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(7,831)</w:t>
            </w: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(31,902)</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2,586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7,701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(4,121)</w:t>
            </w:r>
          </w:p>
        </w:tc>
        <w:tc>
          <w:tcPr>
            <w:tcW w:w="0" w:type="dxa"/>
            <w:vAlign w:val="bottom"/>
          </w:tcPr>
          <w:p>
            <w:pPr>
              <w:spacing w:after="0"/>
              <w:rPr>
                <w:sz w:val="1"/>
                <w:szCs w:val="1"/>
                <w:color w:val="auto"/>
              </w:rPr>
            </w:pPr>
          </w:p>
        </w:tc>
      </w:tr>
      <w:tr>
        <w:trPr>
          <w:trHeight w:val="17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19,861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19,861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16,607</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46,962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56,887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152,570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133,565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19,005</w:t>
            </w:r>
          </w:p>
        </w:tc>
        <w:tc>
          <w:tcPr>
            <w:tcW w:w="0" w:type="dxa"/>
            <w:vAlign w:val="bottom"/>
          </w:tcPr>
          <w:p>
            <w:pPr>
              <w:spacing w:after="0"/>
              <w:rPr>
                <w:sz w:val="1"/>
                <w:szCs w:val="1"/>
                <w:color w:val="auto"/>
              </w:rPr>
            </w:pPr>
          </w:p>
        </w:tc>
      </w:tr>
      <w:tr>
        <w:trPr>
          <w:trHeight w:val="17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(5,691)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(4,742)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(17,915)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(17,947)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Total revenues increased $6.9 million during the three months ended September 30, 2022 due to an increase of $7.4 million in the Offshore Energy business as two of our vessels were on-hire longer in Q3 2022 compared to Q3 2021.</w:t>
      </w:r>
    </w:p>
    <w:p>
      <w:pPr>
        <w:spacing w:after="0" w:line="7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Total revenues increased $13.0 million during the nine months ended September 30, 2022 primarily due to an increase of $12.0 million in the Offshore Energy business as two of our vessels were on-hire longer in 2022 compared to 2021.</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2022 and 2021</w:t>
      </w:r>
    </w:p>
    <w:p>
      <w:pPr>
        <w:spacing w:after="0" w:line="14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expenses decreased $6.9 million primarily due to lower interest expense and acquisition and transaction expenses, partially offset by higher operating expenses.</w:t>
      </w:r>
    </w:p>
    <w:p>
      <w:pPr>
        <w:spacing w:after="0" w:line="101" w:lineRule="exact"/>
        <w:rPr>
          <w:sz w:val="20"/>
          <w:szCs w:val="20"/>
          <w:color w:val="auto"/>
        </w:rPr>
      </w:pPr>
    </w:p>
    <w:p>
      <w:pPr>
        <w:jc w:val="both"/>
        <w:ind w:left="660" w:hanging="328"/>
        <w:spacing w:after="0" w:line="257"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Interest expense decreased $9.9 million, which reflects a decrease in the average outstanding debt of approximately $113.2 million due to decreases in (i) the Bridge Loans of $433 million, which were fully paid off in September 2021, (ii) the Senior Notes due 2025 of $132.8 million, which were partially redeemed in August 2022, partially offset by increases in (iii) the Senior Notes due 2028 of $334.7 million, (iv) the 2021 Bridge Loans issued in December 2021 and February 2022 of $113.3 million, and (v) the Revolving Credit Facility of $5.0 million.</w:t>
      </w:r>
    </w:p>
    <w:p>
      <w:pPr>
        <w:spacing w:after="0" w:line="89"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Acquisition and transaction expense decreased $3.8 million primarily due to a decrease in professional fees related to the Transtar acquisition in Q3 2021.</w:t>
      </w:r>
    </w:p>
    <w:p>
      <w:pPr>
        <w:spacing w:after="0" w:line="7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Operating expenses increased $7.1 million which reflects increases of offshore crew expenses, project costs and other operating expenses as our vessels were on-hire longer in Q3 2022 compared to Q3 2021.</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2022 and 2021</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$25.6 million primarily due to higher interest expense, operating expenses, general and administrative expenses partially offset by lower acquisition and transaction expenses.</w:t>
      </w:r>
    </w:p>
    <w:p>
      <w:pPr>
        <w:spacing w:after="0" w:line="101" w:lineRule="exact"/>
        <w:rPr>
          <w:sz w:val="20"/>
          <w:szCs w:val="20"/>
          <w:color w:val="auto"/>
        </w:rPr>
      </w:pPr>
    </w:p>
    <w:p>
      <w:pPr>
        <w:jc w:val="both"/>
        <w:ind w:left="660" w:hanging="328"/>
        <w:spacing w:after="0" w:line="254"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Interest expense increased $16.6 million, which reflects an increase in the average outstanding debt of approximately $577.8 million due to increases in (i) the Senior Notes due 2028 of $613.1 million, (ii) the 2021 Bridge Loans issued in December 2021 and February 2022 of $237.7 million and (iii) the Revolving Credit Facility of $73.4 million, partially offset by a decrease in (iv) the Bridge Loans of $144.4 million, (v) the Senior Notes due 2022 of $177.4 million, which was redeemed in full in May 2021, and (vi) the Senior Notes due 2025 of $44.6 million, which were partially redeemed in August 2022.</w:t>
      </w:r>
    </w:p>
    <w:p>
      <w:pPr>
        <w:spacing w:after="0" w:line="106"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Operating expenses increased $11.5 million, which reflects increases of of offshore crew expenses, project costs and other operating expenses as our vessels were on-hire longer in 2022 compared to 2021.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54" w:name="page55"/>
    <w:bookmarkEnd w:id="54"/>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and administrative increased $2.2 million primarily due to an increase in reimbursable expenses to the Manager.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Acquisition and transaction expense decreased $4.1 million primarily due a decrease in professional fees related to the Transtar acquisition in 2021.</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Total other expense increased $20.9 million during the three months ended September 30, 2022, which primarily reflects a loss on extinguishment of debt of $19.9 million related to the pay-down of the 2021 Bridge Loans and the partial redemption of the Senior Notes due 2025.</w:t>
      </w:r>
    </w:p>
    <w:p>
      <w:pPr>
        <w:spacing w:after="0" w:line="8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Total other expense increased $16.6 million during the nine months ended September 30, 2022, which primarily reflects $16.6 million increase in loss on extinguishment of debt primarily related to the pay-down of the 2021 Bridge Loans and the partial redemption of the Senior Notes due 2025.</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0"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Adjusted EBITDA decreased $0.9 million and $0.0 million during the three and nine months ended September 30, 2022, respectively, primarily due to the changes noted above.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April 28, 2022, the Board of Directors unanimously approved the spin-off of FTAI Infrastructure. The spin-off was effected as a distribution of all of the shares owned by the Company of common stock of FTAI Infrastructure to the holders of the Company’s common shares as of July 21, 2022. The distribution was completed on August 1, 2022.</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connection with the spin-off, FTAI Infrastructure paid a dividend of $730.3 million to the Company. The Company used these proceeds to repay all outstanding borrowings under its 2021 bridge loans, $200.0 million of its 6.50% senior unsecured notes due 2025, and approximately $175.0 million of the outstanding borrowings under its revolving credit facility. FTAI retained the aviation business and certain other assets, and FTAI’s remaining outstanding corporate indebtedness.</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investments amid the COVID-19 pandemic and market volatility.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Our principal uses of liquidity have been and continue to be (i) acquisitions of aircraft and engines, (ii) dividends to our common and preferred shareholders,</w:t>
      </w:r>
    </w:p>
    <w:p>
      <w:pPr>
        <w:spacing w:after="0" w:line="19"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expenses associated with our operating activities, and (iv) debt service obligations associated with our investments.</w:t>
      </w:r>
    </w:p>
    <w:p>
      <w:pPr>
        <w:spacing w:after="0" w:line="113" w:lineRule="exact"/>
        <w:rPr>
          <w:rFonts w:ascii="Arial" w:cs="Arial" w:eastAsia="Arial" w:hAnsi="Arial"/>
          <w:sz w:val="16"/>
          <w:szCs w:val="16"/>
          <w:color w:val="auto"/>
        </w:rPr>
      </w:pPr>
    </w:p>
    <w:p>
      <w:pPr>
        <w:ind w:left="660" w:hanging="328"/>
        <w:spacing w:after="0" w:line="278" w:lineRule="auto"/>
        <w:tabs>
          <w:tab w:leader="none" w:pos="649" w:val="left"/>
        </w:tabs>
        <w:numPr>
          <w:ilvl w:val="1"/>
          <w:numId w:val="25"/>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$545.7 million and $1,112.1 million during the nine months ended September 30, 2022 and 2021, respectively.</w:t>
      </w:r>
    </w:p>
    <w:p>
      <w:pPr>
        <w:spacing w:after="0" w:line="73" w:lineRule="exact"/>
        <w:rPr>
          <w:rFonts w:ascii="Arial" w:cs="Arial" w:eastAsia="Arial" w:hAnsi="Arial"/>
          <w:sz w:val="16"/>
          <w:szCs w:val="16"/>
          <w:color w:val="auto"/>
        </w:rPr>
      </w:pPr>
    </w:p>
    <w:p>
      <w:pPr>
        <w:ind w:left="640" w:hanging="308"/>
        <w:spacing w:after="0"/>
        <w:tabs>
          <w:tab w:leader="none" w:pos="6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Dividends to shareholders were $119.0 million and $103.2 million during the nine months ended September 30, 2022 and 2021, respectively.</w:t>
      </w:r>
    </w:p>
    <w:p>
      <w:pPr>
        <w:spacing w:after="0" w:line="113" w:lineRule="exact"/>
        <w:rPr>
          <w:rFonts w:ascii="Arial" w:cs="Arial" w:eastAsia="Arial" w:hAnsi="Arial"/>
          <w:sz w:val="16"/>
          <w:szCs w:val="16"/>
          <w:color w:val="auto"/>
        </w:rPr>
      </w:pPr>
    </w:p>
    <w:p>
      <w:pPr>
        <w:ind w:left="660" w:hanging="328"/>
        <w:spacing w:after="0" w:line="278" w:lineRule="auto"/>
        <w:tabs>
          <w:tab w:leader="none" w:pos="649" w:val="left"/>
        </w:tabs>
        <w:numPr>
          <w:ilvl w:val="1"/>
          <w:numId w:val="25"/>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aviation assets (including finance lease collections and maintenance reserve collections) net of operating expenses, (ii) proceeds from borrowings or the issuance of securities and (iii) proceeds from asset sales.</w:t>
      </w:r>
    </w:p>
    <w:p>
      <w:pPr>
        <w:spacing w:after="0" w:line="276" w:lineRule="exact"/>
        <w:rPr>
          <w:sz w:val="20"/>
          <w:szCs w:val="20"/>
          <w:color w:val="auto"/>
        </w:rPr>
      </w:pPr>
    </w:p>
    <w:p>
      <w:pPr>
        <w:ind w:left="660" w:hanging="328"/>
        <w:spacing w:after="0" w:line="278"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flows used in operating activities, plus the principal collections on finance leases and maintenance reserve collections were $18.5 million and $4.1 million during the nine months ended September 30, 2022 and 2021, respectively.</w:t>
      </w:r>
    </w:p>
    <w:p>
      <w:pPr>
        <w:spacing w:after="0" w:line="73" w:lineRule="exact"/>
        <w:rPr>
          <w:rFonts w:ascii="Arial" w:cs="Arial" w:eastAsia="Arial" w:hAnsi="Arial"/>
          <w:sz w:val="16"/>
          <w:szCs w:val="16"/>
          <w:color w:val="auto"/>
        </w:rPr>
      </w:pPr>
    </w:p>
    <w:p>
      <w:pPr>
        <w:jc w:val="both"/>
        <w:ind w:left="660" w:hanging="328"/>
        <w:spacing w:after="0" w:line="254"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nine months ended September 30, 2022, additional borrowings were obtained in connection with the (i) 2021 Bridge Loans of $239.5 million (ii) Revolving Credit Facility of $255.0 million and (iii) EB-5 Loan Agreement of $9.5 million. We made total principal repayments of (i) $444.5 million relating to the Revolving Credit Facility, (ii) $340.0 million related to the 2021 Bridge Loans and (iii) $200.0 million related to the Senior Notes due 2025. During the nine months ended September 30, 2021, additional borrowings were obtained in connection with the (i) Senior Notes due 2028 of $1,002.5 million, (ii) Bridge Loans of $650.0 million and (ii) Revolving Credit Facility of $450.0 million (iv) Series 2021 Bonds of $425.0 million and (v) EB-5 Loan Agreement of $26.1 million. We made total principal repayments of $1,452.7 million relating to the Bridge Loans, Senior Notes due 2022 and Revolving Credit Facility.</w:t>
      </w:r>
    </w:p>
    <w:p>
      <w:pPr>
        <w:spacing w:after="0" w:line="108"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Proceeds from the sale of assets were $267.4 million and $78.5 million during the nine months ended September 30, 2022 and 2021,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5" w:name="page56"/>
    <w:bookmarkEnd w:id="55"/>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Proceeds from the issuance of common shares, net of underwriter’s discount were $291.8 million, and proceeds from the issuance of preferred shares, net of underwriter’s discount and issuance costs were $101.2 million during the nine months ended September 30, 2021.</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are currently evaluating several potential transactions and related financings, which could occur within the next 12 months. None of these potential transactions, negotiations, or financings are definitive or included within our planned liquidity needs. We cannot assure if or when any such transaction will be consummated or the terms of any such transaction or related financing.</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nine months ended September 30, 2022 and 2021</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nine months ended September 30, 2022 and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88"/>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7"/>
        </w:trPr>
        <w:tc>
          <w:tcPr>
            <w:tcW w:w="798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(21,299)</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(20,708)</w:t>
            </w:r>
          </w:p>
        </w:tc>
      </w:tr>
      <w:tr>
        <w:trPr>
          <w:trHeight w:val="208"/>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(268,367)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(1,030,280)</w:t>
            </w:r>
          </w:p>
        </w:tc>
      </w:tr>
      <w:tr>
        <w:trPr>
          <w:trHeight w:val="190"/>
        </w:trPr>
        <w:tc>
          <w:tcPr>
            <w:tcW w:w="7980" w:type="dxa"/>
            <w:vAlign w:val="bottom"/>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(77,653)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1,349,020</w:t>
            </w:r>
          </w:p>
        </w:tc>
      </w:tr>
    </w:tbl>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cash used in operating activities increased $0.6 million, which primarily reflects (i) an increase in our net loss of $127.9 million, and certain adjustments to reconcile net loss to cash used in operating activities including (ii) an increase in gain on sale of assets of $88.9 million, and (iii) changes in working capital of $42.4 million, partially offset by (iv) increases in asset impairment of $125.1 million, provision for credit losses of $46.4 million, deferred income taxes of $17.2 million, equity in losses of unconsolidated entities of $36.9 million and loss on extinguishment of debt of $16.6 million.</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Net cash used in investing activities decreased $761.9 million, primarily due to (i) an decrease in acquisitions of business, net of cash acquired, of $623.6 million, (ii) higher proceeds from the sale of leasing equipment of $183.6 million and (iii) a decrease in investment of unconsolidated entities of $47.2 million, partially offset by (iv) an increase in acquisition of leasing equipment of $61.1 million and (ii) an increase in acquisitions of property, plant and equipment of $29.3 million.</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Net cash provided by financing activities decreased $1,426.7 million, primarily due to (i) a decrease in proceeds from debt of $2,049.6 million, partially offset by (ii) a decrease in repayments of debt of $468.2 million.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Cash Flows of Discontinued Operations</w:t>
      </w:r>
    </w:p>
    <w:p>
      <w:pPr>
        <w:spacing w:after="0" w:line="12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cash flows related to discontinued operations have not been segregated and are included in the Consolidated Statements of Cash Flows for all periods presented.</w:t>
      </w:r>
    </w:p>
    <w:p>
      <w:pPr>
        <w:spacing w:after="0" w:line="8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absence of cash flows from discontinued operations is not expected to adversely affect our liquidity or our ability to fund capital expenditures or working capital needs. The discontinued operations historically generated negative operating and investing cash flows. We also have current availability for borrowing of up to $225.0 million.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 of the Consolidated Financial Statements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Our material cash requirements include the following contractual and other obligations:</w:t>
      </w:r>
    </w:p>
    <w:p>
      <w:pPr>
        <w:spacing w:after="0" w:line="10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00497F"/>
        </w:rPr>
        <w:t>Debt Obligations</w:t>
      </w:r>
      <w:r>
        <w:rPr>
          <w:rFonts w:ascii="Arial" w:cs="Arial" w:eastAsia="Arial" w:hAnsi="Arial"/>
          <w:sz w:val="16"/>
          <w:szCs w:val="16"/>
          <w:color w:val="00497F"/>
        </w:rPr>
        <w:t>—</w:t>
      </w:r>
      <w:r>
        <w:rPr>
          <w:rFonts w:ascii="Arial" w:cs="Arial" w:eastAsia="Arial" w:hAnsi="Arial"/>
          <w:sz w:val="16"/>
          <w:szCs w:val="16"/>
          <w:color w:val="000000"/>
        </w:rPr>
        <w:t>As of September 30, 2022, we had outstanding principal and interest payment obligations of $2.1 billion and $0.6 billion, respectively,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which, $0.0 million and $136.3 million, respectively, are due in the next twelve months. See Note 8 to the consolidated financial statements for additional information about our debt obligations.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Lease Obligations</w:t>
      </w:r>
      <w:r>
        <w:rPr>
          <w:rFonts w:ascii="Arial" w:cs="Arial" w:eastAsia="Arial" w:hAnsi="Arial"/>
          <w:sz w:val="16"/>
          <w:szCs w:val="16"/>
          <w:color w:val="000000"/>
        </w:rPr>
        <w:t>—As of September 30, 2022, we had outstanding operating and finance lease obligations of $3.1 million, of which, $0.8 million is due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next twelve months.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Cash Requirements</w:t>
      </w:r>
      <w:r>
        <w:rPr>
          <w:rFonts w:ascii="Arial" w:cs="Arial" w:eastAsia="Arial" w:hAnsi="Arial"/>
          <w:sz w:val="16"/>
          <w:szCs w:val="16"/>
          <w:color w:val="000000"/>
        </w:rPr>
        <w:t>—In addition to our contractual obligations, we pay quarterly cash dividends on our common shares and preferred shares, which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subject to change at the discretion of our Board of Directors. During the last twelve months, we declared cash dividends of $131.4 million and $27.2 million on our common shares and preferred shares, respectively.</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00497F"/>
        </w:rPr>
        <w:t>Critical Accounting Estimates and Policies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to our critical accounting estimates described in our Annual Report on Form 10-K for the year ended December 31, 2021.</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See Note 2 to our Consolidated Financial Statements for recent accounting pronouncements.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Quantitative and Qualitative Disclosures About Market Risk</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LIBOR and other indices which are deemed “benchmarks” are the subject of recent national, international, and other regulatory guidance and proposals for reform. The ICE Benchmark Administration ceased publication of one-week and two-month USD LIBOR settings after December 31, 2021 and intends to cease publishing the remaining USD LIBOR settings after June 30, 2023. We are monitoring related reform proposals and evaluating the related risks and, as a result of LIBOR’s phase out, amended our revolving credit facility to incorporate SOFR as the successor rate to LIBOR; however, it is not possible to predict the effects of any of these developments, and any future initiatives to regulate, reform or change the manner of administration of LIBOR, SOFR or other benchmark indices could result in adverse consequences to the rate of interest payable and receivable on, market value of and market liquidity for financial instruments tied to variable interest rate indices.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spacing w:after="0" w:line="2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 In addition, the following discussion does not take into account our Series A and Series B preferred shares, on which distributions currently accrue interest at a fixed rate but will accrue interest at a floating rate based on a certain variable interest rate index plus a spread from and after September 15, 2024.</w:t>
      </w:r>
    </w:p>
    <w:p>
      <w:pPr>
        <w:spacing w:after="0" w:line="11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September 30, 2022, assuming we do not hedge our exposure to interest rate fluctuations related to our outstanding floating rate debt, a hypothetical 100-basis point increase/decrease in our variable interest rate on our borrowings would have no impact to interest expense over the next 12 months.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have been no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12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risks related to our common shares and general risks. However, these categories do overlap and should not be considered exclusive.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pandemic, including COVID-19, could have an adverse impact on our business, financial condition, and results of operations.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recent years, the outbreaks of certain highly contagious diseases have increased the risk of a pandemic resulting in economic disruptions. In particular, the ongoing COVID-19 pandemic has led to severe disruptions in the market and the global, U.S. and regional economies that may continue for a prolonged duration and trigger a recession or a period of economic slowdown. In response, various governmental bodies and private enterprises have implemented, and may in the future implement, numerous measures intended to mitigate the outbreak, such as travel bans and restrictions, quarantines, shutdowns and testing or vaccination mandates. The COVID-19 pandemic continues to be dynamic and evolving, including a resurgence of COVID-19 cases in certain geographies, and its ultimate scope, duration and impact, including the efficacy and availability of vaccines, remain uncertain.</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expect that this pandemic, and any future epidemic or pandemic crises, could result in direct and indirect adverse effects on our industries and customers, which in turn may impact our business, results of operations and financial condition. Effects of the current pandemic have included, or may in the future include, among others:</w:t>
      </w:r>
    </w:p>
    <w:p>
      <w:pPr>
        <w:spacing w:after="0" w:line="86" w:lineRule="exact"/>
        <w:rPr>
          <w:sz w:val="20"/>
          <w:szCs w:val="20"/>
          <w:color w:val="auto"/>
        </w:rPr>
      </w:pPr>
    </w:p>
    <w:p>
      <w:pPr>
        <w:ind w:left="660" w:right="20" w:hanging="328"/>
        <w:spacing w:after="0" w:line="278"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deterioration of worldwide, regional or national economic conditions and activity, which could adversely affect global demand for crude oil and petroleum products, demand for our services, and time charter and spot rates;</w:t>
      </w:r>
    </w:p>
    <w:p>
      <w:pPr>
        <w:spacing w:after="0" w:line="7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disruptions to our operations as a result of the potential health impact, such as the availability and efficacy of vaccines, on our employees and crew, and on the workforces of our customers and business partners;</w:t>
      </w:r>
    </w:p>
    <w:p>
      <w:pPr>
        <w:spacing w:after="0" w:line="100"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disruptions to our business from, or additional costs related to, new regulations, directives or practices implemented in response to the pandemic, such as travel restrictions, increased inspection regimes, hygiene measures (such as quarantining and physical distancing) or increased implementation of remote working arrangements;</w:t>
      </w:r>
    </w:p>
    <w:p>
      <w:pPr>
        <w:spacing w:after="0" w:line="85"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asset impairment charges and a decline in revenues;</w:t>
      </w:r>
    </w:p>
    <w:p>
      <w:pPr>
        <w:spacing w:after="0" w:line="113"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lack of air travel demand or an inability of airlines to operate to or from certain regions could impact demand for air travel and the financial health of certain airlines, including increasing the financial stress of our lessees;</w:t>
      </w:r>
    </w:p>
    <w:p>
      <w:pPr>
        <w:spacing w:after="0" w:line="73"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related off hire due to global supply chain disruptions resulting from quarantines, worker health, regulations or other impacts of the COVID-19 pandemic, which in turn could disrupt our operations and result in a reduction of revenue;</w:t>
      </w:r>
    </w:p>
    <w:p>
      <w:pPr>
        <w:spacing w:after="0" w:line="7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potential shortages or a lack of access to required spare parts for our vessels, or potential delays in any repairs to, scheduled or unscheduled maintenance or modifications;</w:t>
      </w:r>
    </w:p>
    <w:p>
      <w:pPr>
        <w:spacing w:after="0" w:line="100"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potential delays in vessel inspections and related certifications by class societies, customers or government agencies;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constraints;</w:t>
      </w:r>
    </w:p>
    <w:p>
      <w:pPr>
        <w:spacing w:after="0" w:line="113"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reduced access to or increased cost of capital, including the ability to refinance any existing obligations, as a result of any credit tightening generally or due to continued declines in global financial markets, including potential interest rate increases and declines in the prices of publicly-traded securities of us, our peers and of listed companies generally; and</w:t>
      </w:r>
    </w:p>
    <w:p>
      <w:pPr>
        <w:spacing w:after="0" w:line="9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potential deterioration in the financial condition and prospects of our customers, joint venture partners or business partners, or attempts by customers or third parties to invoke force majeure contractual clauses as a result of delays or other disruptions.</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the COVID-19 pandemic continues to evolve, the extent to which COVID-19 impacts our operations will depend on future developments, which are highly uncertain and cannot be predicted with confidence, including the duration and severity of the outbreak, and the actions that may be required to try and contain COVID-19 or treat its impact. We continue to monitor the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8" w:name="page59"/>
    <w:bookmarkEnd w:id="58"/>
    <w:p>
      <w:pPr>
        <w:jc w:val="both"/>
        <w:spacing w:after="0" w:line="262" w:lineRule="auto"/>
        <w:rPr>
          <w:sz w:val="20"/>
          <w:szCs w:val="20"/>
          <w:color w:val="auto"/>
        </w:rPr>
      </w:pPr>
      <w:r>
        <w:rPr>
          <w:rFonts w:ascii="Arial" w:cs="Arial" w:eastAsia="Arial" w:hAnsi="Arial"/>
          <w:sz w:val="16"/>
          <w:szCs w:val="16"/>
          <w:color w:val="auto"/>
        </w:rPr>
        <w:t>pandemic and, the extent to which the continued spread of the virus adversely affects our customer base and therefore revenue. As the COVID-19 pandemic is complex and rapidly evolving, our plans as described above may change. At this point, we cannot reasonably estimate the duration and severity of this pandemic, which could have a material adverse impact on our business, results of operations, financial position and cash flows.</w:t>
      </w:r>
    </w:p>
    <w:p>
      <w:pPr>
        <w:spacing w:after="0" w:line="6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aviation and offshore equipment industries.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Several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have in the past been exposed to increased credit risk from our customers and third parties who have obligations to us, which resulted in non-performance of contracts by our lessees and adversely impacted our business, financial condition, results of operations and cash flows. We cannot assure you that similar loss events may not occur in the future.</w:t>
      </w:r>
    </w:p>
    <w:p>
      <w:pPr>
        <w:spacing w:after="0" w:line="7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i w:val="1"/>
          <w:iCs w:val="1"/>
          <w:color w:val="auto"/>
        </w:rPr>
        <w:t>Instability in geographies where we have assets or where we derive revenue could have a material adverse effect on our business, customers, operations and financial results.</w:t>
      </w: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Economic, civil, military and political uncertainty exists and may increase in regions where we operate and derive our revenue. Various countries in which we operate are experiencing and may continue to experience military action and civil and political unrest. We have assets in the emerging market economies of Eastern Europe, including some assets in Russia and Ukraine. In late February 2022, Russian military forces launched significant military action against Ukraine. Sustained conflict and disruption in the region is likely. The impact to Russia and Ukraine, as well as actions taken by other countries, including new and stricter export controls and sanctions by Canada, the United Kingdom, the European Union, the U.S. and other countries and organizations against officials, individuals, regions, and industries in Russia and Ukraine, and each country’s potential response to such sanctions, tensions and military actions, could have a material adverse effect on our business and delay or prevent us from accessing certain of our assets. We are actively monitoring the security of our remaining assets in the region.</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The aviation and offshore industries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86"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restraints;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9" w:name="page60"/>
    <w:bookmarkEnd w:id="59"/>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aviation lessees may redeliver our assets to locations where there is oversupply, which may lead to additional repositioning costs for us if we move them to areas with higher demand. Positioning expenses vary depending on geographic location, distance,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airline industry is heavily regulated, and if we fail to comply with applicable requirements, our results of operations could suffer.</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Federal Aviation Administration (“FAA”) and equivalent regulatory agencies have increasingly focused on the need to assure that airline industry products are designed with sufficient cybersecurity controls to protect against unauthorized access or other unwanted compromise. A failure to meet these evolving expectations could negatively impact sales into the industry and expose us to legal or contractual liability.</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Governmental agencies throughout the world, including the FAA, prescribe standards and qualification requirements for aircraft components, including virtually all commercial airline and general aviation products. Specific regulations vary from country to country, although compliance with FAA requirements generally satisfies regulatory requirements in other countries. If any material authorization or approval qualifying us to supply our products is revoked or suspended, then sale of the product would be prohibited by law, which would have an adverse effect on our business, financial condition and results of operations.</w:t>
      </w:r>
    </w:p>
    <w:p>
      <w:pPr>
        <w:spacing w:after="0" w:line="2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From time to time, the FAA or equivalent regulatory agencies in other countries propose new regulations or changes to existing regulations, which often are more stringent than existing regulations. If such proposals are adopted and enacted, we may incur significant additional costs to achieve compliance, which could have a material adverse effect on our business, financial condition and results of operations.</w:t>
      </w:r>
    </w:p>
    <w:p>
      <w:pPr>
        <w:spacing w:after="0" w:line="10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Recent trends by China’s aviation authority to relax restrictions on airspace may be reversed, and anticipated new regulations loosening airspace restrictions may not materialize, which could impact sales prospects in China for our commercial aerospace businesses.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retirement or prolonged grounding of commercial aircraft could reduce our revenues and the value of any related inventory.</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sell aircraft components and replacement parts. If aircraft or engines for which we offer aircraft components and replacement parts are retired or grounded for prolonged periods of time and there are fewer aircraft that require these components or parts, our revenues may decline as well as the value of any related inventory.</w:t>
      </w:r>
    </w:p>
    <w:p>
      <w:pPr>
        <w:spacing w:after="0" w:line="6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60" w:name="page61"/>
    <w:bookmarkEnd w:id="60"/>
    <w:p>
      <w:pPr>
        <w:jc w:val="both"/>
        <w:spacing w:after="0" w:line="275"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business of acquiring aviation and offshore energy equipment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3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1" w:name="page62"/>
    <w:bookmarkEnd w:id="61"/>
    <w:p>
      <w:pPr>
        <w:jc w:val="both"/>
        <w:spacing w:after="0" w:line="256"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inability to obtain certain components from suppliers could harm our business.</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business is affected by the availability and price of the component parts that we use to manufacture our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pandemics, labor disputes, governmental actions and legislative or regulatory changes. As a result, our suppliers may fail to perform according to specifications when required and we may be unable to identify alternate suppliers or to otherwise mitigate the consequences of their non-performance.</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Transitions to new suppliers may result in significant costs and delays, including those related to the required recertification of parts obtained from new suppliers with our customers and/or regulatory agencies. Our inability to fill our supply needs could jeopardize our ability to fulfill obligations under customer contracts, which could result in reduced revenues and profits, contract penalties or terminations, and damage to customer relationships. Further, increased costs of such components could reduce our profits if we were unable to pass along such price in-creases to our customers.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negatively impacted by environmental, social, and governance (ESG) and sustainability-related matters.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affected by fluctuating prices for fuel and energy.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2" w:name="page63"/>
    <w:bookmarkEnd w:id="62"/>
    <w:p>
      <w:pPr>
        <w:jc w:val="both"/>
        <w:spacing w:after="0" w:line="260" w:lineRule="auto"/>
        <w:rPr>
          <w:sz w:val="20"/>
          <w:szCs w:val="20"/>
          <w:color w:val="auto"/>
        </w:rPr>
      </w:pPr>
      <w:r>
        <w:rPr>
          <w:rFonts w:ascii="Arial" w:cs="Arial" w:eastAsia="Arial" w:hAnsi="Arial"/>
          <w:sz w:val="16"/>
          <w:szCs w:val="16"/>
          <w:color w:val="auto"/>
        </w:rPr>
        <w:t>Volatility in energy prices could have a significant effect on a variety of items including, but not limited to: the economy; demand for transportation services; business related to the energy sector including the fuel prices and fuel surcharges.</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International, political, and economic factors, events and conditions, including current sanctions against Russia related to its invasion of Ukraine,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 In addition, lower fuel prices could have a negative impact on commodities we process and transport, such as crude oil and petroleum products, which could have a material adverse effect on our results of operations, financial condition, and liquidity.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Some of our customers operate in highly regulated industries. A number of our contractual arrangements-for example, our leasing aircraft engines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3" w:name="page64"/>
    <w:bookmarkEnd w:id="63"/>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aviation and offshore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8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87"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1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4" w:name="page65"/>
    <w:bookmarkEnd w:id="64"/>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9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5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aviation and offshore energy sectors which could result in additional risks and uncertainties for our business and unexpected regulatory compliance costs.</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While our existing portfolio consists of assets in the aviation and offshore sectors, we are actively evaluating potential acquisitions of assets and operating companies in other sectors of the aviation and offshore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agreements governing our indebtedness, including, but not limited to, the indenture governing our Senior Notes and the amended and restated revolving credit facility entered into on December 2, 2021 (as amended by Amendment No. 1 dated as of April 28, 2022 and Amendment No. 2 dated as of September 20, 2022, the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88"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5" w:name="page66"/>
    <w:bookmarkEnd w:id="65"/>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pay dividends on our common and preferred shares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Terrorist attacks or other hostilities could negatively impact our operations and our profitability and may expose us to liability and reputational damage.</w:t>
      </w: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or our physical facilities or those of our customers.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7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current leases and charters typically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73"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“-If we are deemed an investment company under the Investment Company Act, it could have a material adverse effect on our business, prospects, financial condition, results of operations and cash flows.”</w:t>
      </w:r>
    </w:p>
    <w:p>
      <w:pPr>
        <w:spacing w:after="0" w:line="6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Legislative and regulatory measures currently under consideration or being implemented by government authorities to address climate change could require reductions in our greenhouse gas or other emissions, establish a carbon tax or increase fuel or energy taxes. These legal requirements are expected to result in increased capital expenditures and compliance costs, and could result in higher costs and may require us to acquire emission credits or carbon offsets. These costs and restrictions could harm our business and results of operations by increasing our expenses or requiring us to alter our operations. The inconsistent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international, regional and/or national requirements associated with climate change regulations also create economic and regulatory uncertainty.</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discontinuation of the LIBOR benchmark interest rate may have an impact on our business.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July 27, 2017, the U.K. Financial Conduct Authority (the "FCA"), which regulates LIBOR, announced that it will no longer persuade or compel banks to submit rates for the calculation of LIBOR rates after 2021.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The IBA ceased publication of one-week and two-month USD LIBOR settings after December 31, 2021, and intends to cease publishing the remaining USD LIBOR settings after June 30, 2023.</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of September 30, 2022, we had $0.0 million of total debt outstanding under facilities with interest rates based on floating-rate indices. As a result of LIBOR’s phase out, our revolving credit facility was amended to incorporate SOFR as the successor rate to LIBOR, and our December 2021 bridge loan bears interest based on SOFR. There are significant differences between how LIBOR and SOFR are calculated, which could result in increased borrowing costs. We cannot predict to what extent the withdrawal and replacement of LIBOR will impact us. However, the implementation of alternative underlying floating-rate indices and reference rates may have an adverse impact on our business, results of operations or financial condition.</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7" w:name="page68"/>
    <w:bookmarkEnd w:id="67"/>
    <w:p>
      <w:pPr>
        <w:jc w:val="both"/>
        <w:spacing w:after="0" w:line="254" w:lineRule="auto"/>
        <w:rPr>
          <w:sz w:val="20"/>
          <w:szCs w:val="20"/>
          <w:color w:val="auto"/>
        </w:rPr>
      </w:pPr>
      <w:r>
        <w:rPr>
          <w:rFonts w:ascii="Arial" w:cs="Arial" w:eastAsia="Arial" w:hAnsi="Arial"/>
          <w:sz w:val="16"/>
          <w:szCs w:val="16"/>
          <w:color w:val="auto"/>
        </w:rPr>
        <w:t>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6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events outside of our control which may disrupt our business and cause damage or losses that may not be adequately covered by insurance.</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Aviation and offshore projects are exposed to unplanned interruptions caused by breakdown or failure of equipment, aging infrastructure, employee error or contractor or subcontractor failure, problems that delay or increase the cost of returning facilities to service after outages, limitations that may be imposed by equipment conditions or environmental, safety or other regulatory requirements, fuel supply or fuel transportation reductions or interruptions, labor disputes, difficulties with the implementation or operation of information systems, derailments,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We have in the past experienced power outages at plants which disrupted their operations and negatively impacted our revenues. We cannot assure you that similar events may not occur in the future.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officers and other individuals who perform services for us are employees of our Manager or other Fortress entities. We are completely reliant on our Manager, which has significant discretion as to the implementation of our operating policies and strategies to conduct our business as a holding and operating company in the transportation section.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payments distributed to the Master GP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8" w:name="page69"/>
    <w:bookmarkEnd w:id="68"/>
    <w:p>
      <w:pPr>
        <w:jc w:val="both"/>
        <w:spacing w:after="0" w:line="260" w:lineRule="auto"/>
        <w:rPr>
          <w:sz w:val="20"/>
          <w:szCs w:val="20"/>
          <w:color w:val="auto"/>
        </w:rPr>
      </w:pPr>
      <w:r>
        <w:rPr>
          <w:rFonts w:ascii="Arial" w:cs="Arial" w:eastAsia="Arial" w:hAnsi="Arial"/>
          <w:sz w:val="16"/>
          <w:szCs w:val="16"/>
          <w:color w:val="auto"/>
        </w:rPr>
        <w:t>assets generating attractive risk-adjusted returns could have a material adverse effect on our business, financial condition, results of operations and cash flows.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SoftBank Merger, Fortress operates within SoftBank as an independent business headquartered in New York.</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Services and Profit Sharing Agreement and our operating agreement were negotiated among affiliated parties, and their terms, including fees and other amounts payable, may not be as favorable to us as if they had been negotiated with an unaffiliated third-party.</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invest in aviation and offshore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some of our directors and officers are also directors or officers of FTAI Infrastructure. Although we have the same Manager, we may compete with entities affiliated with our Manager or Fortress for certain target assets. From time to time, entities affiliated with or managed by our Manager or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aviation and offshore assets. Fortress funds generally have a fee structure similar to ours, but the fees actually paid will vary depending on the size, terms and performance of each fund.</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operating companies similar to us or pooled investment vehicles that invest in assets that meet our asset acquisition objectives. Our Manager has also engaged in additional transportation and infrastructure related management with FTAI Infrastructure in our recent spin-off of our infrastructure assets, and may be involved in other investment opportunities in the future, any of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structure of our Manager’s and Master GP’s compensation arrangements may have unintended consequences for us. We have agreed to pay our Manager a management fee and Master GP is entitled to receive incentive payments from the Company or its subsidiaries that are each based on different measures of performance. Consequently, there may be conflicts in the incentives of our Manager to generate attractive risk-adjusted returns for us. In addition, because Master GP and our Manager are both affiliates of Fortress, the Income Incentive Payment paid to Master GP may cause our Manager to place undue emphasis on the maximization of earnings, including through the use of leverage, at the expense of other objectives, such as preservation of capital, to achieve higher incentive payments. Investments with higher yield potential are generally riskier or more speculative than investments with lower yield potential. This could result in increased risk to the value of our portfolio of assets and our common shares.</w:t>
      </w:r>
    </w:p>
    <w:p>
      <w:pPr>
        <w:spacing w:after="0" w:line="95"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In connection with the spin-off, we entered into a new Management Agreement with our Manager, the terms of which are substantially similar to our previous management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9" w:name="page70"/>
    <w:bookmarkEnd w:id="69"/>
    <w:p>
      <w:pPr>
        <w:jc w:val="both"/>
        <w:spacing w:after="0" w:line="257" w:lineRule="auto"/>
        <w:rPr>
          <w:sz w:val="20"/>
          <w:szCs w:val="20"/>
          <w:color w:val="auto"/>
        </w:rPr>
      </w:pPr>
      <w:r>
        <w:rPr>
          <w:rFonts w:ascii="Arial" w:cs="Arial" w:eastAsia="Arial" w:hAnsi="Arial"/>
          <w:sz w:val="16"/>
          <w:szCs w:val="16"/>
          <w:color w:val="auto"/>
        </w:rPr>
        <w:t>The Management Agreement will remain in effect following the merger. In addition, prior to the merger, Master GP was entitled to certain incentive allocations (comprised of income incentive allocations and capital gains incentive allocations) pursuant to the partnership agreement for the Partnership which will be terminated in connection with the transaction. Following the closing of the merger, Master GP will be entitled to the same incentive allocations pursuant to the Services and Profit Sharing Agreement on substantially similar terms as the existing arrangements.</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will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will not review or pre-approve each proposed acquisition or our related financing arrangements. In addition, in conducting periodic reviews, the directors will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6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7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distributions from us.</w:t>
      </w: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Holders of our common shares may be subject to U.S. federal, state, local and,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distributions from us. Such shareholders may not receive cash distributions equal to their allocable share of our net taxable income or even the tax liability that results from that income.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entities classified as CFCs or PFICs for U.S. federal income tax purposes.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Many of our investments are in non-U.S. corporations or are held through non-U.S. subsidiaries that are classified as corporations for U.S. federal income tax purposes. Some of these foreign entities may be classified as controlled foreign corporations (“CFCs”) or passive foreign investment companies (“PFICs”) (each as defined in the Code). Shareholders subject to U.S. federal income tax may experience adverse U.S. federal income tax consequences related to the indirect ownership of CFC or PFIC shares. For example, such shareholders may be required to take into account U.S. taxable income with respect to such CFCs or PFICs without a corresponding receipt of cash from us. In addition, under the CFC rules, certain capital gains are treated as ordinary dividend income and certain shareholders could be subject to income inclusions in respect of the “subpart F income” and "global intangible low-taxed income" (“GILTI”) of the CFC. Treasury regulations, which are already effective with respect to GILTI and that will generally be effective beginning in 2023 with respect to subpart F income, generally have the effect of limiting certain adverse consequences of the CFC rules to shareholders treated for U.S. federal income tax purposes as owning indirectly or constructively (including through other partnerships) stock possessing less than 10% of the voting power or value of such CFCs through their ownership in FTAI.</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PFIC rules, indirect ownership of PFIC shares by U.S. persons generally gives rise to materially adverse U.S. federal income tax consequences, which may be mitigated by electing to treat the PFIC as a qualified electing fund (“QEF”). We currently anticipate using commercially reasonable efforts to make such an election (a “QEF Election”) with respect to each PFIC in which we hold a material interest, directly or indirectly, in the first year during which we hold shares in such entity, provided such PFIC is not also a CFC. As a result, U.S. holders of our common shares will generally be subject to tax on a current basis on their respective shares of each such PFIC’s undistributed ordinary earnings and net capital gains for each year in which the entity is a PFIC, regardless of whether such holders receive a corresponding distribution of cash from us. In certain cases, however, we may be unable to make a QEF Election with respect to a PFIC because, for example, we are unable to obtain the necessary information. In such event, U.S. holders of our common shares will be subject to imputed interest charges and other disadvantageous tax treatment with respect to certain “excess distributions” from the PFIC and gain realized upon the direct or indirect sale of the PFIC (including through the sale our common shares). Treasury Regulations have been proposed that would require partners in a partnership – rather than the partnership itself – to make a QEF election with respect to stock of a PFIC held indirectly through a partnership, if a partner so chooses. A partner that makes such an election generally would be subject to tax on a current basis on its share of such PFIC’s undistributed ordinary earnings and net capital gains for each year in which the entity is a PFIC, regardless of whether such holders receive a corresponding distribution of cash from the PFIC or from us. In addition, under the proposed regulations, the PFIC rules would apply with respect to a partner’s indirect interest in a PFIC that is held through a partnership even if such entity is also a CFC with respect to the partnership. As a result, if finalized in substantially their current form, these regulations would generally result in the PFIC rules applying to FTAI investors with respect to foreign corporations that are majority-or wholly-owned by us.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regarding the potential impact of the rules regarding CFCs and PFICs before investing in our shares.</w:t>
      </w:r>
    </w:p>
    <w:p>
      <w:pPr>
        <w:spacing w:after="0" w:line="9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Certain tax consequences of the ownership of our preferred shares, including treatment of distributions as guaranteed payments for the use of capital, are uncertain.</w:t>
      </w: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tax treatment of distributions on our preferred shares is uncertain. We intend to treat the holders of our preferred shares as partners for tax purposes and we intend to treat distributions on the shares as guaranteed payments for the use of capital that will generally be taxable to the holders of our preferred shares as ordinary income. Although a holder of our preferred shares will recognize taxable income from the accrual of such a guaranteed payment (even in the absence of a contemporaneous cash distribution), we anticipate accruing and making the guaranteed payment distributions quarterly. Except in the case of any loss recognized in connection with our liquidation, we do not anticipate allocating any items of our income, gain, loss or deduction to holders of our preferred shares, nor do we anticipate allocating them any share of our nonrecourse liabilities. If our preferred shares were treated as indebtedness for tax purposes, rather than as guaranteed payments for the use of capital, distributions in respect of the preferred coupon likely would be treated as payments of interest by us to the holders of our preferred shares.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1" w:name="page72"/>
    <w:bookmarkEnd w:id="71"/>
    <w:p>
      <w:pPr>
        <w:jc w:val="both"/>
        <w:spacing w:after="0" w:line="260" w:lineRule="auto"/>
        <w:rPr>
          <w:sz w:val="20"/>
          <w:szCs w:val="20"/>
          <w:color w:val="auto"/>
        </w:rPr>
      </w:pPr>
      <w:r>
        <w:rPr>
          <w:rFonts w:ascii="Arial" w:cs="Arial" w:eastAsia="Arial" w:hAnsi="Arial"/>
          <w:sz w:val="16"/>
          <w:szCs w:val="16"/>
          <w:color w:val="auto"/>
        </w:rPr>
        <w:t>Finally, if holders of our preferred shares were entitled to an allocation of income from FTAI, the risk factors applicable to holders of common shares would generally apply.</w:t>
      </w:r>
    </w:p>
    <w:p>
      <w:pPr>
        <w:spacing w:after="0" w:line="8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could be subject to U.S. federal income tax, including a 10% withholding tax, on the disposition of our shares.</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current law, any such gain that is treated as effectively connected will generally be subject to U.S. federal income tax. In addition, after December 31, 2022, certain brokers effecting transfers of our shares are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or certain exceptions apply. Additionally, we (or certain qualified intermediaries) may be required to deduct and withhold certain amounts with respect to distributions to the transferees of our shares. Although we do not believe that we are currently engaged in a U.S. trade or business (directly or indirectly through pass-through subsidiaries), we are not required to manage our operations in a manner that is intended to avoid the conduct of a U.S. trade or business.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generally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or in certain other instances. A shareholder may therefore recognize a gain in a sale of our common shares even if the shares are sold at a price that is less than their original cost. A portion of the amount realized, whether or not representing gain, may be treated as ordinary income to such shareholder.</w:t>
      </w:r>
    </w:p>
    <w:p>
      <w:pPr>
        <w:spacing w:after="0" w:line="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Holdco is treated as a partnership for U.S. federal income tax purposes, FTAI’s allocable share of those items of Holdco and any pass-through subsidiaries of Holdco) for each of our taxable years ending with or within such shareholder’s taxable year. However, the cash distributed by FTAI to a shareholder may not be sufficient to pay the full amount of such shareholder’s tax liability in respect of its investment in us.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believe that our return from investments will include interest, dividends, capital gains and other types of qualifying income, but no assurance can be given as to the types of income that will be earned in any given year.</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which could adversely affect our business, operating results and financial condition. In addition, we would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2" w:name="page73"/>
    <w:bookmarkEnd w:id="72"/>
    <w:p>
      <w:pPr>
        <w:jc w:val="both"/>
        <w:spacing w:after="0" w:line="257" w:lineRule="auto"/>
        <w:rPr>
          <w:sz w:val="20"/>
          <w:szCs w:val="20"/>
          <w:color w:val="auto"/>
        </w:rPr>
      </w:pPr>
      <w:r>
        <w:rPr>
          <w:rFonts w:ascii="Arial" w:cs="Arial" w:eastAsia="Arial" w:hAnsi="Arial"/>
          <w:sz w:val="16"/>
          <w:szCs w:val="16"/>
          <w:color w:val="auto"/>
        </w:rPr>
        <w:t>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shares.</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shares.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may be, or may become, engaged in a U.S. trade or business for U.S. federal income tax purposes (directly or indirectly through pass-through subsidiaries), in which case some portion of our income would be treated as effectively connected income with respect to non-U.S. persons. Moreover, we may, in the future,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holding our common shares generally would be required to file U.S. federal income tax returns and would be subject to U.S. federal withholding tax on their allocable share of the effectively connected income or gain at the regular U.S. federal income tax rates. Likewise, non-U.S. persons holding our preferred shares, by virtue of receiving guaranteed payments, may be required to file U.S. federal income tax returns and may be subject to U.S. federal withholding tax on their guaranteed payments, irrespective of our operations or investments. In both cases, non-U.S. persons that are corporations may also be subject to a branch profits tax on their allocable share of such income. Non-U.S. persons should anticipate being required to file U.S. tax returns and may be required to pay U.S. tax solely on account of owning our shares. Non-U.S. shareholders are urged to consult their tax advisors regarding the tax consequences of an investment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any class of our shares (or held, or were deemed to hold, more than 5% of any class of our shares) may be subject to U.S. federal income tax upon the disposition of some or all their shares.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If a non-U.S. person held more than 5% of any class of our shares at any time during the 5-year period preceding such non-U.S. person’s disposition of such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such shares (and may have a U.S. tax return filing obligation).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shares.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In addition, the treatment of guaranteed payments for the use of capital to tax-exempt investors is not certain, and so distributions on our preferred shares may be treated as UBTI for federal income tax purposes, irrespective of our operations or the structure of our investments. The potential for income to be characterized as UBTI could make our shares an unsuitable investment for a tax-exempt entity. Tax-exempt shareholders are urged to consult their tax advisors regarding the tax consequences of an investment in our shares.</w:t>
      </w:r>
    </w:p>
    <w:p>
      <w:pPr>
        <w:spacing w:after="0" w:line="9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corporate tax rate, currently 21%. In addition, such subsidiary would be subject to the U.S. federal branch profits tax on its effectively connected earnings and profits at a rate of 30%. The imposition of such taxes could adversely affect our business and result in decreased funds available for distribution to our shareholders.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3" w:name="page74"/>
    <w:bookmarkEnd w:id="73"/>
    <w:p>
      <w:pPr>
        <w:jc w:val="both"/>
        <w:spacing w:after="0" w:line="260"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shares could cause an ownership change in one or more of our corporate subsidiaries. Sales of our shares by our shareholders, as well as future issuances of our shares, could contribute to a potential ownership change in our corporate subsidiaries.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 which could adversely affect our business and result in decreased funds available for distribution to our shareholders.</w:t>
      </w:r>
    </w:p>
    <w:p>
      <w:pPr>
        <w:spacing w:after="0" w:line="9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7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2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4" w:name="page75"/>
    <w:bookmarkEnd w:id="74"/>
    <w:p>
      <w:pPr>
        <w:jc w:val="both"/>
        <w:spacing w:after="0" w:line="258" w:lineRule="auto"/>
        <w:rPr>
          <w:sz w:val="20"/>
          <w:szCs w:val="20"/>
          <w:color w:val="auto"/>
        </w:rPr>
      </w:pPr>
      <w:r>
        <w:rPr>
          <w:rFonts w:ascii="Arial" w:cs="Arial" w:eastAsia="Arial" w:hAnsi="Arial"/>
          <w:sz w:val="16"/>
          <w:szCs w:val="16"/>
          <w:color w:val="auto"/>
        </w:rPr>
        <w:t>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Rules regarding U.S. federal income tax liability arising from IRS audits could adversely affect our shareholders.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It is possible that certain shareholders or we may be liable for taxes attributable to adjustments to our taxable income with respect to tax years that closed before such shareholders owned our shares. Accordingly, these rules may adversely affect certain shareholders in certain cases. The manner in which these rules apply is uncertain and in many respects depends on the promulgation of future regulations or other guidance by the U.S. Treasury Department or the IRS. Investors should consult their own tax advisors regarding the potential U.S. federal, state, foreign, local and any other tax considerations of the ownership and disposition of our shares.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price and trading volume of our common and preferred shares may be volatile, which could result in rapid and substantial losses for our shareholders.</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market price of our common and preferred shares may be highly volatile and could be subject to wide fluctuations. In addition, the trading volume in our common and preferred shares may fluctuate and cause significant price variations to occur. If the market price of our common or preferred shares declines significantly, you may be unable to resell your shares at or above your purchase price, if at all. The market price of our common and preferred shares may fluctuate or decline significantly in the future. Some of the factors that could negatively affect our share price or result in fluctuations in the price or trading volume of our shares include:</w:t>
      </w:r>
    </w:p>
    <w:p>
      <w:pPr>
        <w:spacing w:after="0" w:line="106"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whether we declare distributions on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and preferred shares.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increase in market interest rates may have an adverse effect on the market price of our shares.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5" w:name="page76"/>
    <w:bookmarkEnd w:id="75"/>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Since 2015, we granted our Manager an option to acquire 3,903,010 common shares in connection with equity offerings.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September 30, 2022, rights relating to 3,737,742 of our common shares were outstanding under the Incentive Plan. In the future on the date of any equity issuance by us during the remaining portion of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remaining portion of the ten-year term of the Incentive Plan, divided by (B) the fair market value of a common share as of the date of such equity issuance.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6" w:name="page77"/>
    <w:bookmarkEnd w:id="76"/>
    <w:p>
      <w:pPr>
        <w:jc w:val="both"/>
        <w:spacing w:after="0" w:line="275"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7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53"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Furthermore, in light of the recent spin-off of FTAI Infrastructure, we expect that the amount of our quarterly dividends will be reduced to give effect to the spin-off.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our existing indebtedness does, and our future indebtedness may, limit our ability to pay dividends on our common and preferred shares. Moreover, pursuant to the Services and Profit Sharing Agreement, the Master GP will be entitled to receive incentive payments before any amounts are distributed by us based both on our consolidated net income and capital gains income in each fiscal quarter and for each fiscal year, respectively. Furthermore, the terms of our Series A preferred shares generally prevent us from declaring or paying dividends on or repurchasing our common shares or other junior capital unless all accrued distributions on such preferred shares have been paid in full.</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7" w:name="page78"/>
    <w:bookmarkEnd w:id="77"/>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006EBF"/>
        </w:rPr>
        <w:t>Item 6. Exhibits</w:t>
      </w:r>
    </w:p>
    <w:p>
      <w:pPr>
        <w:spacing w:after="0" w:line="59" w:lineRule="exact"/>
        <w:rPr>
          <w:sz w:val="20"/>
          <w:szCs w:val="20"/>
          <w:color w:val="auto"/>
        </w:rPr>
      </w:pPr>
    </w:p>
    <w:p>
      <w:pPr>
        <w:ind w:left="58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71995" cy="214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spacing w:after="0" w:line="40" w:lineRule="exact"/>
        <w:rPr>
          <w:sz w:val="20"/>
          <w:szCs w:val="20"/>
          <w:color w:val="auto"/>
        </w:rPr>
      </w:pPr>
    </w:p>
    <w:p>
      <w:pPr>
        <w:ind w:left="1480" w:hanging="343"/>
        <w:spacing w:after="0" w:line="239" w:lineRule="auto"/>
        <w:tabs>
          <w:tab w:leader="none" w:pos="1460" w:val="left"/>
        </w:tabs>
        <w:rPr>
          <w:rFonts w:ascii="Arial" w:cs="Arial" w:eastAsia="Arial" w:hAnsi="Arial"/>
          <w:sz w:val="14"/>
          <w:szCs w:val="14"/>
          <w:color w:val="0000FF"/>
        </w:rPr>
      </w:pPr>
      <w:hyperlink r:id="rId91">
        <w:r>
          <w:rPr>
            <w:rFonts w:ascii="Arial" w:cs="Arial" w:eastAsia="Arial" w:hAnsi="Arial"/>
            <w:sz w:val="14"/>
            <w:szCs w:val="14"/>
            <w:u w:val="single" w:color="auto"/>
            <w:color w:val="0000FF"/>
          </w:rPr>
          <w:t>2.1</w:t>
        </w:r>
      </w:hyperlink>
      <w:r>
        <w:rPr>
          <w:rFonts w:ascii="Arial" w:cs="Arial" w:eastAsia="Arial" w:hAnsi="Arial"/>
          <w:sz w:val="14"/>
          <w:szCs w:val="14"/>
          <w:color w:val="0000FF"/>
        </w:rPr>
        <w:tab/>
        <w:t>Agreement and Plan of Merger, dated as of August 12, 2022, between Fortress Transportation and Infrastructure Investors LLC, FTAI Finance Holdco Ltd. and FTAI Aviation Merger Sub LLC (incorporated by reference to Exhibit 2.1 of the Company’s Current Report on Form 8-K, filed August 15, 2022).</w:t>
      </w:r>
    </w:p>
    <w:p>
      <w:pPr>
        <w:spacing w:after="0" w:line="17" w:lineRule="exact"/>
        <w:rPr>
          <w:sz w:val="20"/>
          <w:szCs w:val="20"/>
          <w:color w:val="auto"/>
        </w:rPr>
      </w:pPr>
    </w:p>
    <w:p>
      <w:pPr>
        <w:ind w:left="1480" w:right="240" w:hanging="343"/>
        <w:spacing w:after="0" w:line="239" w:lineRule="auto"/>
        <w:tabs>
          <w:tab w:leader="none" w:pos="1460" w:val="left"/>
        </w:tabs>
        <w:rPr>
          <w:rFonts w:ascii="Arial" w:cs="Arial" w:eastAsia="Arial" w:hAnsi="Arial"/>
          <w:sz w:val="14"/>
          <w:szCs w:val="14"/>
          <w:color w:val="0000FF"/>
        </w:rPr>
      </w:pPr>
      <w:hyperlink r:id="rId92">
        <w:r>
          <w:rPr>
            <w:rFonts w:ascii="Arial" w:cs="Arial" w:eastAsia="Arial" w:hAnsi="Arial"/>
            <w:sz w:val="14"/>
            <w:szCs w:val="14"/>
            <w:u w:val="single" w:color="auto"/>
            <w:color w:val="0000FF"/>
          </w:rPr>
          <w:t>2.2</w:t>
        </w:r>
      </w:hyperlink>
      <w:r>
        <w:rPr>
          <w:rFonts w:ascii="Arial" w:cs="Arial" w:eastAsia="Arial" w:hAnsi="Arial"/>
          <w:sz w:val="14"/>
          <w:szCs w:val="14"/>
          <w:color w:val="0000FF"/>
        </w:rPr>
        <w:tab/>
        <w:t>Separation and Distribution Agreement, dated as of August 1, 2022, between FTAI Infrastructure Inc. and Fortress Transportation and Infrastructure Investors LLC (incorporated by reference to Exhibit 2.1 of the Company’s Current Report on Form 8-K, filed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146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80" w:right="120" w:hanging="343"/>
        <w:spacing w:after="0" w:line="239" w:lineRule="auto"/>
        <w:tabs>
          <w:tab w:leader="none" w:pos="1460" w:val="left"/>
        </w:tabs>
        <w:rPr>
          <w:rFonts w:ascii="Arial" w:cs="Arial" w:eastAsia="Arial" w:hAnsi="Arial"/>
          <w:sz w:val="14"/>
          <w:szCs w:val="14"/>
          <w:color w:val="0000FF"/>
        </w:rPr>
      </w:pPr>
      <w:hyperlink r:id="rId94">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Formation (incorporated by reference to Exhibit 3.1 of Amendment No. 4 to the Company's Registration Statement on Form S-1, filed on April 30, 2015).</w:t>
      </w:r>
    </w:p>
    <w:p>
      <w:pPr>
        <w:spacing w:after="0" w:line="4"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95">
        <w:r>
          <w:rPr>
            <w:rFonts w:ascii="Arial" w:cs="Arial" w:eastAsia="Arial" w:hAnsi="Arial"/>
            <w:sz w:val="14"/>
            <w:szCs w:val="14"/>
            <w:u w:val="single" w:color="auto"/>
            <w:color w:val="0000FF"/>
          </w:rPr>
          <w:t>3.2</w:t>
        </w:r>
      </w:hyperlink>
      <w:r>
        <w:rPr>
          <w:rFonts w:ascii="Arial" w:cs="Arial" w:eastAsia="Arial" w:hAnsi="Arial"/>
          <w:sz w:val="14"/>
          <w:szCs w:val="14"/>
          <w:color w:val="0000FF"/>
        </w:rPr>
        <w:tab/>
        <w:t>Fourth Amended and Restated Limited Liability Company Agreement of Fortress Transportation and Infrastructure Investors LLC, dated as of March</w:t>
      </w:r>
    </w:p>
    <w:p>
      <w:pPr>
        <w:ind w:left="1480"/>
        <w:spacing w:after="0"/>
        <w:rPr>
          <w:sz w:val="20"/>
          <w:szCs w:val="20"/>
          <w:color w:val="auto"/>
        </w:rPr>
      </w:pPr>
      <w:r>
        <w:rPr>
          <w:rFonts w:ascii="Arial" w:cs="Arial" w:eastAsia="Arial" w:hAnsi="Arial"/>
          <w:sz w:val="14"/>
          <w:szCs w:val="14"/>
          <w:color w:val="auto"/>
        </w:rPr>
        <w:t>25, 2021 (incorporated by reference to Exhibit 3.2 to Fortress Transportation and Infrastructure Investors LLC’s Form 8-A, filed 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146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95">
        <w:r>
          <w:rPr>
            <w:rFonts w:ascii="Arial" w:cs="Arial" w:eastAsia="Arial" w:hAnsi="Arial"/>
            <w:sz w:val="14"/>
            <w:szCs w:val="14"/>
            <w:u w:val="single" w:color="auto"/>
            <w:color w:val="0000FF"/>
          </w:rPr>
          <w:t>3.3</w:t>
        </w:r>
      </w:hyperlink>
      <w:r>
        <w:rPr>
          <w:rFonts w:ascii="Arial" w:cs="Arial" w:eastAsia="Arial" w:hAnsi="Arial"/>
          <w:sz w:val="14"/>
          <w:szCs w:val="14"/>
          <w:color w:val="0000FF"/>
        </w:rPr>
        <w:tab/>
        <w:t>Share Designation with respect to the 8.25% Fixed-to-Floating Series A Cumulative Perpetual Redeemable Preferred Shares, dated as of September</w:t>
      </w:r>
    </w:p>
    <w:p>
      <w:pPr>
        <w:ind w:left="1480"/>
        <w:spacing w:after="0"/>
        <w:rPr>
          <w:sz w:val="20"/>
          <w:szCs w:val="20"/>
          <w:color w:val="auto"/>
        </w:rPr>
      </w:pPr>
      <w:r>
        <w:rPr>
          <w:rFonts w:ascii="Arial" w:cs="Arial" w:eastAsia="Arial" w:hAnsi="Arial"/>
          <w:sz w:val="14"/>
          <w:szCs w:val="14"/>
          <w:color w:val="auto"/>
        </w:rPr>
        <w:t>12, 2019 (included as part of Exhibit 3.2).</w:t>
      </w:r>
    </w:p>
    <w:p>
      <w:pPr>
        <w:spacing w:after="0" w:line="16"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95">
        <w:r>
          <w:rPr>
            <w:rFonts w:ascii="Arial" w:cs="Arial" w:eastAsia="Arial" w:hAnsi="Arial"/>
            <w:sz w:val="14"/>
            <w:szCs w:val="14"/>
            <w:u w:val="single" w:color="auto"/>
            <w:color w:val="0000FF"/>
          </w:rPr>
          <w:t>3.4</w:t>
        </w:r>
      </w:hyperlink>
      <w:r>
        <w:rPr>
          <w:rFonts w:ascii="Arial" w:cs="Arial" w:eastAsia="Arial" w:hAnsi="Arial"/>
          <w:sz w:val="14"/>
          <w:szCs w:val="14"/>
          <w:color w:val="0000FF"/>
        </w:rPr>
        <w:tab/>
        <w:t>Share Designation with respect to the 8.00% Fixed-to-Floating Series B Cumulative Perpetual Redeemable Preferred Shares, dated as of November</w:t>
      </w:r>
    </w:p>
    <w:p>
      <w:pPr>
        <w:ind w:left="1480"/>
        <w:spacing w:after="0"/>
        <w:rPr>
          <w:sz w:val="20"/>
          <w:szCs w:val="20"/>
          <w:color w:val="auto"/>
        </w:rPr>
      </w:pPr>
      <w:r>
        <w:rPr>
          <w:rFonts w:ascii="Arial" w:cs="Arial" w:eastAsia="Arial" w:hAnsi="Arial"/>
          <w:sz w:val="14"/>
          <w:szCs w:val="14"/>
          <w:color w:val="auto"/>
        </w:rPr>
        <w:t>27, 2019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3517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071995" cy="351790"/>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95">
        <w:r>
          <w:rPr>
            <w:rFonts w:ascii="Arial" w:cs="Arial" w:eastAsia="Arial" w:hAnsi="Arial"/>
            <w:sz w:val="14"/>
            <w:szCs w:val="14"/>
            <w:u w:val="single" w:color="auto"/>
            <w:color w:val="0000FF"/>
          </w:rPr>
          <w:t>3.5</w:t>
        </w:r>
      </w:hyperlink>
      <w:r>
        <w:rPr>
          <w:rFonts w:ascii="Arial" w:cs="Arial" w:eastAsia="Arial" w:hAnsi="Arial"/>
          <w:sz w:val="14"/>
          <w:szCs w:val="14"/>
          <w:color w:val="0000FF"/>
        </w:rPr>
        <w:tab/>
        <w:t>Share Designation with respect to the 8.25% Fixed-Rate Reset Series C Cumulative Perpetual Redeemable Preferred Shares, dated as of March 25,</w:t>
      </w:r>
    </w:p>
    <w:p>
      <w:pPr>
        <w:ind w:left="1480"/>
        <w:spacing w:after="0"/>
        <w:rPr>
          <w:sz w:val="20"/>
          <w:szCs w:val="20"/>
          <w:color w:val="auto"/>
        </w:rPr>
      </w:pPr>
      <w:r>
        <w:rPr>
          <w:rFonts w:ascii="Arial" w:cs="Arial" w:eastAsia="Arial" w:hAnsi="Arial"/>
          <w:sz w:val="14"/>
          <w:szCs w:val="14"/>
          <w:color w:val="auto"/>
        </w:rPr>
        <w:t>2021 (included as part of Exhibit 3.2).</w:t>
      </w:r>
    </w:p>
    <w:p>
      <w:pPr>
        <w:spacing w:after="0" w:line="28"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98">
        <w:r>
          <w:rPr>
            <w:rFonts w:ascii="Arial" w:cs="Arial" w:eastAsia="Arial" w:hAnsi="Arial"/>
            <w:sz w:val="14"/>
            <w:szCs w:val="14"/>
            <w:u w:val="single" w:color="auto"/>
            <w:color w:val="0000FF"/>
          </w:rPr>
          <w:t>3.6</w:t>
        </w:r>
      </w:hyperlink>
      <w:r>
        <w:rPr>
          <w:rFonts w:ascii="Arial" w:cs="Arial" w:eastAsia="Arial" w:hAnsi="Arial"/>
          <w:sz w:val="14"/>
          <w:szCs w:val="14"/>
          <w:color w:val="0000FF"/>
        </w:rPr>
        <w:tab/>
        <w:t>Form of Certificate of Designations (incorporated by reference to Exhibit 3.1 of the Company’s Current Report on Form 8-K, filed July 1, 2022).</w:t>
      </w:r>
    </w:p>
    <w:p>
      <w:pPr>
        <w:spacing w:after="0" w:line="43"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99">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September 18, 2018, between Fortress Transportation and Infrastructure Investors LLC and U.S. Bank National Association, as</w:t>
      </w:r>
    </w:p>
    <w:p>
      <w:pPr>
        <w:ind w:left="1480" w:right="100"/>
        <w:spacing w:after="0" w:line="229" w:lineRule="auto"/>
        <w:rPr>
          <w:sz w:val="20"/>
          <w:szCs w:val="20"/>
          <w:color w:val="auto"/>
        </w:rPr>
      </w:pPr>
      <w:r>
        <w:rPr>
          <w:rFonts w:ascii="Arial" w:cs="Arial" w:eastAsia="Arial" w:hAnsi="Arial"/>
          <w:sz w:val="14"/>
          <w:szCs w:val="14"/>
          <w:color w:val="auto"/>
        </w:rPr>
        <w:t>trustee, relating to the Company’s 6.50% senior unsecured notes due 2025 (incorporated by reference to Exhibit 4.1 of the Company’s Current Report on Form 8-K, filed on September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7199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10"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99">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6.50% senior unsecured notes due 2025 (included in Exhibit 4.8).</w:t>
      </w:r>
    </w:p>
    <w:p>
      <w:pPr>
        <w:spacing w:after="0" w:line="29"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01">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May 21, 2019, between Fortress Transportation and Infrastructure Investors LLC and U.S. Bank National</w:t>
      </w:r>
    </w:p>
    <w:p>
      <w:pPr>
        <w:ind w:left="1480" w:right="80"/>
        <w:spacing w:after="0" w:line="229" w:lineRule="auto"/>
        <w:rPr>
          <w:sz w:val="20"/>
          <w:szCs w:val="20"/>
          <w:color w:val="auto"/>
        </w:rPr>
      </w:pPr>
      <w:r>
        <w:rPr>
          <w:rFonts w:ascii="Arial" w:cs="Arial" w:eastAsia="Arial" w:hAnsi="Arial"/>
          <w:sz w:val="14"/>
          <w:szCs w:val="14"/>
          <w:color w:val="auto"/>
        </w:rPr>
        <w:t>Association, as trustee, relating to the Company’s 6.50% senior unsecured notes due 2025 (incorporated by reference to Exhibit 4.1 of the Company’s Current Report on Form 8-K, filed on May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71995" cy="308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071995" cy="308610"/>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103">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December 23, 2020, between Fortress Transportation and Infrastructure Investors LLC and U.S. Bank National</w:t>
      </w:r>
    </w:p>
    <w:p>
      <w:pPr>
        <w:ind w:left="1480" w:right="80"/>
        <w:spacing w:after="0" w:line="229" w:lineRule="auto"/>
        <w:rPr>
          <w:sz w:val="20"/>
          <w:szCs w:val="20"/>
          <w:color w:val="auto"/>
        </w:rPr>
      </w:pPr>
      <w:r>
        <w:rPr>
          <w:rFonts w:ascii="Arial" w:cs="Arial" w:eastAsia="Arial" w:hAnsi="Arial"/>
          <w:sz w:val="14"/>
          <w:szCs w:val="14"/>
          <w:color w:val="auto"/>
        </w:rPr>
        <w:t>Association, as trustee, relating to the Company’s 6.50% senior unsecured notes due 2025 (incorporated by reference to Exhibit 4.1 of the Company’s Current Report on Form 8-K, filed on December 23, 2020).</w:t>
      </w:r>
    </w:p>
    <w:p>
      <w:pPr>
        <w:spacing w:after="0" w:line="18"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04">
        <w:r>
          <w:rPr>
            <w:rFonts w:ascii="Arial" w:cs="Arial" w:eastAsia="Arial" w:hAnsi="Arial"/>
            <w:sz w:val="14"/>
            <w:szCs w:val="14"/>
            <w:u w:val="single" w:color="auto"/>
            <w:color w:val="0000FF"/>
          </w:rPr>
          <w:t>4.5</w:t>
        </w:r>
      </w:hyperlink>
      <w:r>
        <w:rPr>
          <w:rFonts w:ascii="Arial" w:cs="Arial" w:eastAsia="Arial" w:hAnsi="Arial"/>
          <w:sz w:val="14"/>
          <w:szCs w:val="14"/>
          <w:color w:val="0000FF"/>
        </w:rPr>
        <w:tab/>
        <w:t>Indenture, dated July 28, 2020, between Fortress Transportation and Infrastructure Investors LLC and U.S. Bank National Association, as trustee,</w:t>
      </w:r>
    </w:p>
    <w:p>
      <w:pPr>
        <w:ind w:left="1480" w:right="800"/>
        <w:spacing w:after="0" w:line="229" w:lineRule="auto"/>
        <w:rPr>
          <w:sz w:val="20"/>
          <w:szCs w:val="20"/>
          <w:color w:val="auto"/>
        </w:rPr>
      </w:pPr>
      <w:r>
        <w:rPr>
          <w:rFonts w:ascii="Arial" w:cs="Arial" w:eastAsia="Arial" w:hAnsi="Arial"/>
          <w:sz w:val="14"/>
          <w:szCs w:val="14"/>
          <w:color w:val="auto"/>
        </w:rPr>
        <w:t>relating to the Company’s 9.75% senior unsecured notes due 2027 (incorporated by reference to Exhibit 4.1 to Fortress Transportation and Infrastructure Investors LLC's Current Report on Form 8-K, filed July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71995" cy="308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071995" cy="308610"/>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106">
        <w:r>
          <w:rPr>
            <w:rFonts w:ascii="Arial" w:cs="Arial" w:eastAsia="Arial" w:hAnsi="Arial"/>
            <w:sz w:val="14"/>
            <w:szCs w:val="14"/>
            <w:u w:val="single" w:color="auto"/>
            <w:color w:val="0000FF"/>
          </w:rPr>
          <w:t>4.6</w:t>
        </w:r>
      </w:hyperlink>
      <w:r>
        <w:rPr>
          <w:rFonts w:ascii="Arial" w:cs="Arial" w:eastAsia="Arial" w:hAnsi="Arial"/>
          <w:sz w:val="14"/>
          <w:szCs w:val="14"/>
          <w:color w:val="0000FF"/>
        </w:rPr>
        <w:tab/>
        <w:t>Indenture, dated April 12, 2021, between Fortress Transportation and Infrastructure Investors LLC and U.S. Bank National Association, as trustee,</w:t>
      </w:r>
    </w:p>
    <w:p>
      <w:pPr>
        <w:ind w:left="1480" w:right="800"/>
        <w:spacing w:after="0" w:line="229" w:lineRule="auto"/>
        <w:rPr>
          <w:sz w:val="20"/>
          <w:szCs w:val="20"/>
          <w:color w:val="auto"/>
        </w:rPr>
      </w:pPr>
      <w:r>
        <w:rPr>
          <w:rFonts w:ascii="Arial" w:cs="Arial" w:eastAsia="Arial" w:hAnsi="Arial"/>
          <w:sz w:val="14"/>
          <w:szCs w:val="14"/>
          <w:color w:val="auto"/>
        </w:rPr>
        <w:t>relating to the Company’s 5.50% senior unsecured notes due 2028 (incorporated by reference to Exhibit 4.1 to Fortress Transportation and Infrastructure Investors LLC’s Form 8-K, filed April 12, 2021).</w:t>
      </w:r>
    </w:p>
    <w:p>
      <w:pPr>
        <w:spacing w:after="0" w:line="30"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06">
        <w:r>
          <w:rPr>
            <w:rFonts w:ascii="Arial" w:cs="Arial" w:eastAsia="Arial" w:hAnsi="Arial"/>
            <w:sz w:val="14"/>
            <w:szCs w:val="14"/>
            <w:u w:val="single" w:color="auto"/>
            <w:color w:val="0000FF"/>
          </w:rPr>
          <w:t>4.7</w:t>
        </w:r>
      </w:hyperlink>
      <w:r>
        <w:rPr>
          <w:rFonts w:ascii="Arial" w:cs="Arial" w:eastAsia="Arial" w:hAnsi="Arial"/>
          <w:sz w:val="14"/>
          <w:szCs w:val="14"/>
          <w:color w:val="0000FF"/>
        </w:rPr>
        <w:tab/>
        <w:t>Form of global note representing the Company’s 5.50% senior unsecured notes due 2028 (included in Exhibit 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3429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22" w:lineRule="exact"/>
        <w:rPr>
          <w:sz w:val="20"/>
          <w:szCs w:val="20"/>
          <w:color w:val="auto"/>
        </w:rPr>
      </w:pPr>
    </w:p>
    <w:p>
      <w:pPr>
        <w:ind w:left="1480" w:right="280" w:hanging="343"/>
        <w:spacing w:after="0" w:line="249" w:lineRule="auto"/>
        <w:tabs>
          <w:tab w:leader="none" w:pos="1460" w:val="left"/>
        </w:tabs>
        <w:rPr>
          <w:rFonts w:ascii="Arial" w:cs="Arial" w:eastAsia="Arial" w:hAnsi="Arial"/>
          <w:sz w:val="14"/>
          <w:szCs w:val="14"/>
          <w:color w:val="0000FF"/>
        </w:rPr>
      </w:pPr>
      <w:hyperlink r:id="rId108">
        <w:r>
          <w:rPr>
            <w:rFonts w:ascii="Arial" w:cs="Arial" w:eastAsia="Arial" w:hAnsi="Arial"/>
            <w:sz w:val="14"/>
            <w:szCs w:val="14"/>
            <w:u w:val="single" w:color="auto"/>
            <w:color w:val="0000FF"/>
          </w:rPr>
          <w:t>4.8</w:t>
        </w:r>
      </w:hyperlink>
      <w:r>
        <w:rPr>
          <w:rFonts w:ascii="Arial" w:cs="Arial" w:eastAsia="Arial" w:hAnsi="Arial"/>
          <w:sz w:val="14"/>
          <w:szCs w:val="14"/>
          <w:color w:val="0000FF"/>
        </w:rPr>
        <w:tab/>
        <w:t>First Supplemental Indenture, dated as of September 24, 2021, between Fortress Transportation and Infrastructure Investors LLC and U.S. Bank National Association, as trustee, relating to the Company’s 5.50% senior unsecured notes due 2028 (incorporated by reference to Exhibit 4.1 of the Company’s Current Report on Form 8-K, filed on September 24, 2021).</w:t>
      </w:r>
    </w:p>
    <w:p>
      <w:pPr>
        <w:spacing w:after="0" w:line="39" w:lineRule="exact"/>
        <w:rPr>
          <w:sz w:val="20"/>
          <w:szCs w:val="20"/>
          <w:color w:val="auto"/>
        </w:rPr>
      </w:pPr>
    </w:p>
    <w:p>
      <w:pPr>
        <w:ind w:left="1480" w:right="420" w:hanging="343"/>
        <w:spacing w:after="0" w:line="239" w:lineRule="auto"/>
        <w:tabs>
          <w:tab w:leader="none" w:pos="1460" w:val="left"/>
        </w:tabs>
        <w:rPr>
          <w:rFonts w:ascii="Arial" w:cs="Arial" w:eastAsia="Arial" w:hAnsi="Arial"/>
          <w:sz w:val="14"/>
          <w:szCs w:val="14"/>
          <w:color w:val="0000FF"/>
        </w:rPr>
      </w:pPr>
      <w:hyperlink r:id="rId109">
        <w:r>
          <w:rPr>
            <w:rFonts w:ascii="Arial" w:cs="Arial" w:eastAsia="Arial" w:hAnsi="Arial"/>
            <w:sz w:val="14"/>
            <w:szCs w:val="14"/>
            <w:u w:val="single" w:color="auto"/>
            <w:color w:val="0000FF"/>
          </w:rPr>
          <w:t>4.9</w:t>
        </w:r>
      </w:hyperlink>
      <w:r>
        <w:rPr>
          <w:rFonts w:ascii="Arial" w:cs="Arial" w:eastAsia="Arial" w:hAnsi="Arial"/>
          <w:sz w:val="14"/>
          <w:szCs w:val="14"/>
          <w:color w:val="0000FF"/>
        </w:rPr>
        <w:tab/>
        <w:t>Form of certificate representing the 8.25% Fixed-to-Floating Rate Series A Cumulative Perpetual Redeemable Preferred Shares of Fortress Transportation and Infrastructure Investors LLC (incorporated by reference to Exhibit 4.1 of the Company’s Form 8-A, filed September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489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071995" cy="248920"/>
                    </a:xfrm>
                    <a:prstGeom prst="rect">
                      <a:avLst/>
                    </a:prstGeom>
                    <a:noFill/>
                  </pic:spPr>
                </pic:pic>
              </a:graphicData>
            </a:graphic>
          </wp:anchor>
        </w:drawing>
      </w:r>
    </w:p>
    <w:p>
      <w:pPr>
        <w:ind w:left="1480" w:right="460" w:hanging="423"/>
        <w:spacing w:after="0" w:line="258" w:lineRule="auto"/>
        <w:tabs>
          <w:tab w:leader="none" w:pos="1460" w:val="left"/>
        </w:tabs>
        <w:rPr>
          <w:rFonts w:ascii="Arial" w:cs="Arial" w:eastAsia="Arial" w:hAnsi="Arial"/>
          <w:sz w:val="14"/>
          <w:szCs w:val="14"/>
          <w:color w:val="0000FF"/>
        </w:rPr>
      </w:pPr>
      <w:hyperlink r:id="rId111">
        <w:r>
          <w:rPr>
            <w:rFonts w:ascii="Arial" w:cs="Arial" w:eastAsia="Arial" w:hAnsi="Arial"/>
            <w:sz w:val="14"/>
            <w:szCs w:val="14"/>
            <w:u w:val="single" w:color="auto"/>
            <w:color w:val="0000FF"/>
          </w:rPr>
          <w:t>4.10</w:t>
        </w:r>
      </w:hyperlink>
      <w:r>
        <w:rPr>
          <w:rFonts w:ascii="Arial" w:cs="Arial" w:eastAsia="Arial" w:hAnsi="Arial"/>
          <w:sz w:val="14"/>
          <w:szCs w:val="14"/>
          <w:color w:val="0000FF"/>
        </w:rPr>
        <w:tab/>
        <w:t>Form of certificate representing the 8.00% Fixed-to-Floating Rate Series B Cumulative Perpetual Redeemable Preferred Shares of Fortress Transportation and Infrastructure Investors LLC (incorporated by reference to Exhibit 4.1 to the Company’s Form 8-A, filed November 27, 2019).</w:t>
      </w:r>
    </w:p>
    <w:p>
      <w:pPr>
        <w:spacing w:after="0" w:line="45" w:lineRule="exact"/>
        <w:rPr>
          <w:sz w:val="20"/>
          <w:szCs w:val="20"/>
          <w:color w:val="auto"/>
        </w:rPr>
      </w:pPr>
    </w:p>
    <w:p>
      <w:pPr>
        <w:jc w:val="both"/>
        <w:ind w:left="1480" w:right="100" w:hanging="423"/>
        <w:spacing w:after="0" w:line="259" w:lineRule="auto"/>
        <w:tabs>
          <w:tab w:leader="none" w:pos="1460" w:val="left"/>
        </w:tabs>
        <w:rPr>
          <w:rFonts w:ascii="Arial" w:cs="Arial" w:eastAsia="Arial" w:hAnsi="Arial"/>
          <w:sz w:val="14"/>
          <w:szCs w:val="14"/>
          <w:color w:val="0000FF"/>
        </w:rPr>
      </w:pPr>
      <w:hyperlink r:id="rId95">
        <w:r>
          <w:rPr>
            <w:rFonts w:ascii="Arial" w:cs="Arial" w:eastAsia="Arial" w:hAnsi="Arial"/>
            <w:sz w:val="14"/>
            <w:szCs w:val="14"/>
            <w:u w:val="single" w:color="auto"/>
            <w:color w:val="0000FF"/>
          </w:rPr>
          <w:t>4.11</w:t>
        </w:r>
      </w:hyperlink>
      <w:r>
        <w:rPr>
          <w:rFonts w:ascii="Arial" w:cs="Arial" w:eastAsia="Arial" w:hAnsi="Arial"/>
          <w:sz w:val="14"/>
          <w:szCs w:val="14"/>
          <w:color w:val="0000FF"/>
        </w:rPr>
        <w:tab/>
        <w:t>Form of certificate representing the 8.25% Fixed-Rate Reset Series C Cumulative Perpetual Redeemable Preferred Shares of Fortress Transportation and Infrastructure Investors LLC (incorporated by reference to Exhibit 4.1 to Fortress Transportation and Infrastructure Investors LLC’s Form 8-A, filed 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71995" cy="2489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071995" cy="248920"/>
                    </a:xfrm>
                    <a:prstGeom prst="rect">
                      <a:avLst/>
                    </a:prstGeom>
                    <a:noFill/>
                  </pic:spPr>
                </pic:pic>
              </a:graphicData>
            </a:graphic>
          </wp:anchor>
        </w:drawing>
      </w:r>
    </w:p>
    <w:p>
      <w:pPr>
        <w:spacing w:after="0" w:line="12" w:lineRule="exact"/>
        <w:rPr>
          <w:sz w:val="20"/>
          <w:szCs w:val="20"/>
          <w:color w:val="auto"/>
        </w:rPr>
      </w:pPr>
    </w:p>
    <w:p>
      <w:pPr>
        <w:ind w:left="1480" w:right="220" w:hanging="423"/>
        <w:spacing w:after="0" w:line="258" w:lineRule="auto"/>
        <w:tabs>
          <w:tab w:leader="none" w:pos="1460" w:val="left"/>
        </w:tabs>
        <w:rPr>
          <w:rFonts w:ascii="Arial" w:cs="Arial" w:eastAsia="Arial" w:hAnsi="Arial"/>
          <w:sz w:val="14"/>
          <w:szCs w:val="14"/>
          <w:color w:val="0000FF"/>
        </w:rPr>
      </w:pPr>
      <w:hyperlink r:id="rId113">
        <w:r>
          <w:rPr>
            <w:rFonts w:ascii="Arial" w:cs="Arial" w:eastAsia="Arial" w:hAnsi="Arial"/>
            <w:sz w:val="14"/>
            <w:szCs w:val="14"/>
            <w:u w:val="single" w:color="auto"/>
            <w:color w:val="0000FF"/>
          </w:rPr>
          <w:t>4.12</w:t>
        </w:r>
      </w:hyperlink>
      <w:r>
        <w:rPr>
          <w:rFonts w:ascii="Arial" w:cs="Arial" w:eastAsia="Arial" w:hAnsi="Arial"/>
          <w:sz w:val="14"/>
          <w:szCs w:val="14"/>
          <w:color w:val="0000FF"/>
        </w:rPr>
        <w:tab/>
        <w:t>Description of Securities Registered under Section 12 of the Exchange Act (incorporated by reference to Exhibit 4.18 to Fortress Transportation and Infrastructure Investors LLC’s Form 10-K, filed February 25, 2022).</w:t>
      </w:r>
    </w:p>
    <w:p>
      <w:pPr>
        <w:spacing w:after="0" w:line="45" w:lineRule="exact"/>
        <w:rPr>
          <w:sz w:val="20"/>
          <w:szCs w:val="20"/>
          <w:color w:val="auto"/>
        </w:rPr>
      </w:pPr>
    </w:p>
    <w:p>
      <w:pPr>
        <w:ind w:left="1480" w:right="160" w:hanging="423"/>
        <w:spacing w:after="0" w:line="239" w:lineRule="auto"/>
        <w:tabs>
          <w:tab w:leader="none" w:pos="1460" w:val="left"/>
        </w:tabs>
        <w:rPr>
          <w:rFonts w:ascii="Arial" w:cs="Arial" w:eastAsia="Arial" w:hAnsi="Arial"/>
          <w:sz w:val="14"/>
          <w:szCs w:val="14"/>
          <w:color w:val="0000FF"/>
        </w:rPr>
      </w:pPr>
      <w:hyperlink r:id="rId114">
        <w:r>
          <w:rPr>
            <w:rFonts w:ascii="Arial" w:cs="Arial" w:eastAsia="Arial" w:hAnsi="Arial"/>
            <w:sz w:val="14"/>
            <w:szCs w:val="14"/>
            <w:u w:val="single" w:color="auto"/>
            <w:color w:val="0000FF"/>
          </w:rPr>
          <w:t>10.1</w:t>
        </w:r>
      </w:hyperlink>
      <w:r>
        <w:rPr>
          <w:rFonts w:ascii="Arial" w:cs="Arial" w:eastAsia="Arial" w:hAnsi="Arial"/>
          <w:sz w:val="14"/>
          <w:szCs w:val="14"/>
          <w:color w:val="0000FF"/>
        </w:rPr>
        <w:tab/>
        <w:t>Fourth Amended and Restated Partnership Agreement of Fortress Worldwide Transportation and Infrastructure General Partnership (incorporated by reference to Exhibit 10.1 of the Company's Current Report on Form 8-K, filed on May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308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071995" cy="308610"/>
                    </a:xfrm>
                    <a:prstGeom prst="rect">
                      <a:avLst/>
                    </a:prstGeom>
                    <a:noFill/>
                  </pic:spPr>
                </pic:pic>
              </a:graphicData>
            </a:graphic>
          </wp:anchor>
        </w:drawing>
      </w:r>
    </w:p>
    <w:p>
      <w:pPr>
        <w:ind w:left="1480" w:right="160" w:hanging="1454"/>
        <w:spacing w:after="0" w:line="226" w:lineRule="auto"/>
        <w:tabs>
          <w:tab w:leader="none" w:pos="1056" w:val="left"/>
        </w:tabs>
        <w:numPr>
          <w:ilvl w:val="0"/>
          <w:numId w:val="36"/>
        </w:numPr>
        <w:rPr>
          <w:rFonts w:ascii="Arial" w:cs="Arial" w:eastAsia="Arial" w:hAnsi="Arial"/>
          <w:sz w:val="14"/>
          <w:szCs w:val="14"/>
          <w:color w:val="0000FF"/>
        </w:rPr>
      </w:pPr>
      <w:hyperlink r:id="rId116">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July 31, 2022, by and among Fortress Transportation and Infrastructure Investors LLC, FTAI</w:t>
      </w:r>
      <w:r>
        <w:rPr>
          <w:rFonts w:ascii="Arial" w:cs="Arial" w:eastAsia="Arial" w:hAnsi="Arial"/>
          <w:sz w:val="14"/>
          <w:szCs w:val="14"/>
          <w:color w:val="0000FF"/>
        </w:rPr>
        <w:t xml:space="preserve"> </w:t>
      </w:r>
      <w:r>
        <w:rPr>
          <w:rFonts w:ascii="Arial" w:cs="Arial" w:eastAsia="Arial" w:hAnsi="Arial"/>
          <w:sz w:val="14"/>
          <w:szCs w:val="14"/>
          <w:color w:val="000000"/>
        </w:rPr>
        <w:t>Finance Holdco Ltd., the Subsidiaries that are party thereto and FIG LLC (incorporated by reference to Exhibit 10.1 of the Company’s Current Report on Form 8-K, filed August 1, 2022)</w:t>
      </w:r>
    </w:p>
    <w:p>
      <w:pPr>
        <w:spacing w:after="0" w:line="31" w:lineRule="exact"/>
        <w:rPr>
          <w:rFonts w:ascii="Arial" w:cs="Arial" w:eastAsia="Arial" w:hAnsi="Arial"/>
          <w:sz w:val="14"/>
          <w:szCs w:val="14"/>
          <w:color w:val="0000FF"/>
        </w:rPr>
      </w:pPr>
    </w:p>
    <w:p>
      <w:pPr>
        <w:ind w:left="1480" w:right="100" w:hanging="1454"/>
        <w:spacing w:after="0" w:line="239" w:lineRule="auto"/>
        <w:tabs>
          <w:tab w:leader="none" w:pos="1056" w:val="left"/>
        </w:tabs>
        <w:numPr>
          <w:ilvl w:val="0"/>
          <w:numId w:val="36"/>
        </w:numPr>
        <w:rPr>
          <w:rFonts w:ascii="Arial" w:cs="Arial" w:eastAsia="Arial" w:hAnsi="Arial"/>
          <w:sz w:val="14"/>
          <w:szCs w:val="14"/>
          <w:color w:val="0000FF"/>
        </w:rPr>
      </w:pPr>
      <w:hyperlink r:id="rId117">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Services and Profit Sharing Agreement (incorporated by reference to Exhibit 10.2 of the Company’s Current Report on Form 8-K, filed August</w:t>
      </w:r>
      <w:r>
        <w:rPr>
          <w:rFonts w:ascii="Arial" w:cs="Arial" w:eastAsia="Arial" w:hAnsi="Arial"/>
          <w:sz w:val="14"/>
          <w:szCs w:val="14"/>
          <w:color w:val="0000FF"/>
        </w:rPr>
        <w:t xml:space="preserve"> </w:t>
      </w:r>
      <w:r>
        <w:rPr>
          <w:rFonts w:ascii="Arial" w:cs="Arial" w:eastAsia="Arial" w:hAnsi="Arial"/>
          <w:sz w:val="14"/>
          <w:szCs w:val="14"/>
          <w:color w:val="000000"/>
        </w:rPr>
        <w:t>1, 2022)</w:t>
      </w:r>
    </w:p>
    <w:p>
      <w:pPr>
        <w:spacing w:after="0" w:line="16" w:lineRule="exact"/>
        <w:rPr>
          <w:rFonts w:ascii="Arial" w:cs="Arial" w:eastAsia="Arial" w:hAnsi="Arial"/>
          <w:sz w:val="14"/>
          <w:szCs w:val="14"/>
          <w:color w:val="0000FF"/>
        </w:rPr>
      </w:pPr>
    </w:p>
    <w:p>
      <w:pPr>
        <w:ind w:left="1480" w:right="80" w:hanging="1454"/>
        <w:spacing w:after="0" w:line="239" w:lineRule="auto"/>
        <w:tabs>
          <w:tab w:leader="none" w:pos="1056" w:val="left"/>
        </w:tabs>
        <w:numPr>
          <w:ilvl w:val="0"/>
          <w:numId w:val="36"/>
        </w:numPr>
        <w:rPr>
          <w:rFonts w:ascii="Arial" w:cs="Arial" w:eastAsia="Arial" w:hAnsi="Arial"/>
          <w:sz w:val="14"/>
          <w:szCs w:val="14"/>
          <w:color w:val="0000FF"/>
        </w:rPr>
      </w:pPr>
      <w:hyperlink r:id="rId118">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Trademark</w:t>
      </w:r>
      <w:r>
        <w:rPr>
          <w:rFonts w:ascii="Arial" w:cs="Arial" w:eastAsia="Arial" w:hAnsi="Arial"/>
          <w:sz w:val="14"/>
          <w:szCs w:val="14"/>
          <w:color w:val="0000FF"/>
        </w:rPr>
        <w:t xml:space="preserve"> </w:t>
      </w:r>
      <w:r>
        <w:rPr>
          <w:rFonts w:ascii="Arial" w:cs="Arial" w:eastAsia="Arial" w:hAnsi="Arial"/>
          <w:sz w:val="14"/>
          <w:szCs w:val="14"/>
          <w:color w:val="000000"/>
        </w:rPr>
        <w:t>License Agreement, dated as of August 1, 2022, between Fortress Transportation and Infrastructure Investors LLC and FTAI Infrastructure</w:t>
      </w:r>
      <w:r>
        <w:rPr>
          <w:rFonts w:ascii="Arial" w:cs="Arial" w:eastAsia="Arial" w:hAnsi="Arial"/>
          <w:sz w:val="14"/>
          <w:szCs w:val="14"/>
          <w:color w:val="0000FF"/>
        </w:rPr>
        <w:t xml:space="preserve"> </w:t>
      </w:r>
      <w:r>
        <w:rPr>
          <w:rFonts w:ascii="Arial" w:cs="Arial" w:eastAsia="Arial" w:hAnsi="Arial"/>
          <w:sz w:val="14"/>
          <w:szCs w:val="14"/>
          <w:color w:val="000000"/>
        </w:rPr>
        <w:t>Inc. (incorporated by reference to Exhibit 10.3 of the Company’s Current Report on Form 8-K, filed August 1, 2022)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071995"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060"/>
        <w:spacing w:after="0"/>
        <w:tabs>
          <w:tab w:leader="none" w:pos="1460" w:val="left"/>
        </w:tabs>
        <w:rPr>
          <w:rFonts w:ascii="Arial" w:cs="Arial" w:eastAsia="Arial" w:hAnsi="Arial"/>
          <w:sz w:val="14"/>
          <w:szCs w:val="14"/>
          <w:color w:val="0000FF"/>
        </w:rPr>
      </w:pPr>
      <w:hyperlink r:id="rId120">
        <w:r>
          <w:rPr>
            <w:rFonts w:ascii="Arial" w:cs="Arial" w:eastAsia="Arial" w:hAnsi="Arial"/>
            <w:sz w:val="14"/>
            <w:szCs w:val="14"/>
            <w:u w:val="single" w:color="auto"/>
            <w:color w:val="0000FF"/>
          </w:rPr>
          <w:t>10.5</w:t>
        </w:r>
      </w:hyperlink>
      <w:r>
        <w:rPr>
          <w:rFonts w:ascii="Arial" w:cs="Arial" w:eastAsia="Arial" w:hAnsi="Arial"/>
          <w:sz w:val="14"/>
          <w:szCs w:val="14"/>
          <w:color w:val="0000FF"/>
        </w:rPr>
        <w:tab/>
        <w:t>Form of director and officer indemnification agreement of Fortress Transportation and Infrastructure Investors LLC (incorporated by reference to Exhibit</w:t>
      </w:r>
    </w:p>
    <w:p>
      <w:pPr>
        <w:ind w:left="148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p>
      <w:pPr>
        <w:spacing w:after="0" w:line="200" w:lineRule="exact"/>
        <w:rPr>
          <w:rFonts w:ascii="Arial" w:cs="Arial" w:eastAsia="Arial" w:hAnsi="Arial"/>
          <w:sz w:val="14"/>
          <w:szCs w:val="14"/>
          <w:color w:val="auto"/>
        </w:rPr>
      </w:pPr>
    </w:p>
    <w:p>
      <w:pPr>
        <w:spacing w:after="0" w:line="271" w:lineRule="exact"/>
        <w:rPr>
          <w:rFonts w:ascii="Arial" w:cs="Arial" w:eastAsia="Arial" w:hAnsi="Arial"/>
          <w:sz w:val="14"/>
          <w:szCs w:val="14"/>
          <w:color w:val="auto"/>
        </w:rPr>
      </w:pPr>
    </w:p>
    <w:p>
      <w:pPr>
        <w:jc w:val="center"/>
        <w:ind w:right="-159"/>
        <w:spacing w:after="0"/>
        <w:rPr>
          <w:sz w:val="20"/>
          <w:szCs w:val="20"/>
          <w:color w:val="auto"/>
        </w:rPr>
      </w:pPr>
      <w:r>
        <w:rPr>
          <w:rFonts w:ascii="Arial" w:cs="Arial" w:eastAsia="Arial" w:hAnsi="Arial"/>
          <w:sz w:val="16"/>
          <w:szCs w:val="16"/>
          <w:color w:val="auto"/>
        </w:rPr>
        <w:t>78</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35" w:right="479" w:bottom="1440" w:gutter="0" w:footer="0" w:header="0"/>
        </w:sectPr>
      </w:pPr>
    </w:p>
    <w:bookmarkStart w:id="79" w:name="page80"/>
    <w:bookmarkEnd w:id="79"/>
    <w:p>
      <w:pPr>
        <w:ind w:left="554"/>
        <w:spacing w:after="0"/>
        <w:tabs>
          <w:tab w:leader="none" w:pos="5874"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7071995"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spacing w:after="0" w:line="40" w:lineRule="exact"/>
        <w:rPr>
          <w:sz w:val="20"/>
          <w:szCs w:val="20"/>
          <w:color w:val="auto"/>
        </w:rPr>
      </w:pPr>
    </w:p>
    <w:p>
      <w:pPr>
        <w:ind w:left="1454" w:right="620" w:hanging="1454"/>
        <w:spacing w:after="0" w:line="239" w:lineRule="auto"/>
        <w:tabs>
          <w:tab w:leader="none" w:pos="1030" w:val="left"/>
        </w:tabs>
        <w:numPr>
          <w:ilvl w:val="0"/>
          <w:numId w:val="37"/>
        </w:numPr>
        <w:rPr>
          <w:rFonts w:ascii="Arial" w:cs="Arial" w:eastAsia="Arial" w:hAnsi="Arial"/>
          <w:sz w:val="14"/>
          <w:szCs w:val="14"/>
          <w:color w:val="0000FF"/>
        </w:rPr>
      </w:pPr>
      <w:hyperlink r:id="rId123">
        <w:r>
          <w:rPr>
            <w:rFonts w:ascii="Arial" w:cs="Arial" w:eastAsia="Arial" w:hAnsi="Arial"/>
            <w:sz w:val="14"/>
            <w:szCs w:val="14"/>
            <w:u w:val="single" w:color="auto"/>
            <w:color w:val="0000FF"/>
          </w:rPr>
          <w:t>10.6</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Fortress Transportation and Infrastructure Investors Nonqualified Stock Option and Incentive Award Plan</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10.1 of the Company’s Current Report on Form 8-K, filed on January 17, 2018).</w:t>
      </w:r>
    </w:p>
    <w:p>
      <w:pPr>
        <w:spacing w:after="0" w:line="17" w:lineRule="exact"/>
        <w:rPr>
          <w:sz w:val="20"/>
          <w:szCs w:val="20"/>
          <w:color w:val="auto"/>
        </w:rPr>
      </w:pPr>
    </w:p>
    <w:p>
      <w:pPr>
        <w:ind w:left="1454" w:hanging="423"/>
        <w:spacing w:after="0" w:line="249" w:lineRule="auto"/>
        <w:tabs>
          <w:tab w:leader="none" w:pos="1434" w:val="left"/>
        </w:tabs>
        <w:rPr>
          <w:rFonts w:ascii="Arial" w:cs="Arial" w:eastAsia="Arial" w:hAnsi="Arial"/>
          <w:sz w:val="14"/>
          <w:szCs w:val="14"/>
          <w:color w:val="0000FF"/>
        </w:rPr>
      </w:pPr>
      <w:hyperlink r:id="rId124">
        <w:r>
          <w:rPr>
            <w:rFonts w:ascii="Arial" w:cs="Arial" w:eastAsia="Arial" w:hAnsi="Arial"/>
            <w:sz w:val="14"/>
            <w:szCs w:val="14"/>
            <w:u w:val="single" w:color="auto"/>
            <w:color w:val="0000FF"/>
          </w:rPr>
          <w:t>10.7</w:t>
        </w:r>
      </w:hyperlink>
      <w:r>
        <w:rPr>
          <w:rFonts w:ascii="Arial" w:cs="Arial" w:eastAsia="Arial" w:hAnsi="Arial"/>
          <w:sz w:val="14"/>
          <w:szCs w:val="14"/>
          <w:color w:val="0000FF"/>
        </w:rPr>
        <w:tab/>
        <w:t>Second Amended and Restated Credit Agreement, dated as of September 20, 2022, between Fortress Transportation and Infrastructure Investors LLC, the lenders and issuing banks from time to time party thereto and JPMorgan Chase Bank, N.A., as administrative agent (incorporated by reference to Exhibit 10.1 of the Company’s Current Report on Form 8-K, filed September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707199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19" w:lineRule="exact"/>
        <w:rPr>
          <w:sz w:val="20"/>
          <w:szCs w:val="20"/>
          <w:color w:val="auto"/>
        </w:rPr>
      </w:pPr>
    </w:p>
    <w:p>
      <w:pPr>
        <w:ind w:left="1034"/>
        <w:spacing w:after="0"/>
        <w:tabs>
          <w:tab w:leader="none" w:pos="1434" w:val="left"/>
        </w:tabs>
        <w:rPr>
          <w:sz w:val="20"/>
          <w:szCs w:val="20"/>
          <w:color w:val="auto"/>
        </w:rPr>
      </w:pPr>
      <w:r>
        <w:rPr>
          <w:rFonts w:ascii="Arial" w:cs="Arial" w:eastAsia="Arial" w:hAnsi="Arial"/>
          <w:sz w:val="14"/>
          <w:szCs w:val="14"/>
          <w:u w:val="single" w:color="auto"/>
          <w:color w:val="0000FF"/>
        </w:rPr>
        <w:t>31.1</w:t>
      </w:r>
      <w:r>
        <w:rPr>
          <w:sz w:val="20"/>
          <w:szCs w:val="20"/>
          <w:color w:val="auto"/>
        </w:rPr>
        <w:tab/>
      </w:r>
      <w:r>
        <w:rPr>
          <w:rFonts w:ascii="Arial" w:cs="Arial" w:eastAsia="Arial" w:hAnsi="Arial"/>
          <w:sz w:val="14"/>
          <w:szCs w:val="14"/>
          <w:color w:val="auto"/>
        </w:rPr>
        <w:t>Certification of Chief Executive Officer pursuant to Rule 13a-14(a)/15d-14(a), as adopted pursuant to Section 302 of the Sarbanes-Oxley Act of 2002.</w:t>
      </w:r>
    </w:p>
    <w:p>
      <w:pPr>
        <w:spacing w:after="0" w:line="42" w:lineRule="exact"/>
        <w:rPr>
          <w:sz w:val="20"/>
          <w:szCs w:val="20"/>
          <w:color w:val="auto"/>
        </w:rPr>
      </w:pPr>
    </w:p>
    <w:p>
      <w:pPr>
        <w:ind w:left="1034"/>
        <w:spacing w:after="0"/>
        <w:tabs>
          <w:tab w:leader="none" w:pos="1434" w:val="left"/>
        </w:tabs>
        <w:rPr>
          <w:sz w:val="20"/>
          <w:szCs w:val="20"/>
          <w:color w:val="auto"/>
        </w:rPr>
      </w:pPr>
      <w:r>
        <w:rPr>
          <w:rFonts w:ascii="Arial" w:cs="Arial" w:eastAsia="Arial" w:hAnsi="Arial"/>
          <w:sz w:val="14"/>
          <w:szCs w:val="14"/>
          <w:u w:val="single" w:color="auto"/>
          <w:color w:val="0000FF"/>
        </w:rPr>
        <w:t>31.2</w:t>
      </w:r>
      <w:r>
        <w:rPr>
          <w:sz w:val="20"/>
          <w:szCs w:val="20"/>
          <w:color w:val="auto"/>
        </w:rPr>
        <w:tab/>
      </w:r>
      <w:r>
        <w:rPr>
          <w:rFonts w:ascii="Arial" w:cs="Arial" w:eastAsia="Arial" w:hAnsi="Arial"/>
          <w:sz w:val="14"/>
          <w:szCs w:val="14"/>
          <w:color w:val="auto"/>
        </w:rPr>
        <w:t>Certification of Chief Financial Officer pursuant to Rule 13a-14(a)/15d-14(a),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707199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2" w:lineRule="exact"/>
        <w:rPr>
          <w:sz w:val="20"/>
          <w:szCs w:val="20"/>
          <w:color w:val="auto"/>
        </w:rPr>
      </w:pPr>
    </w:p>
    <w:p>
      <w:pPr>
        <w:ind w:left="1034"/>
        <w:spacing w:after="0"/>
        <w:tabs>
          <w:tab w:leader="none" w:pos="1434" w:val="left"/>
        </w:tabs>
        <w:rPr>
          <w:sz w:val="20"/>
          <w:szCs w:val="20"/>
          <w:color w:val="auto"/>
        </w:rPr>
      </w:pPr>
      <w:r>
        <w:rPr>
          <w:rFonts w:ascii="Arial" w:cs="Arial" w:eastAsia="Arial" w:hAnsi="Arial"/>
          <w:sz w:val="14"/>
          <w:szCs w:val="14"/>
          <w:u w:val="single" w:color="auto"/>
          <w:color w:val="0000FF"/>
        </w:rPr>
        <w:t>32.1</w:t>
      </w:r>
      <w:r>
        <w:rPr>
          <w:sz w:val="20"/>
          <w:szCs w:val="20"/>
          <w:color w:val="auto"/>
        </w:rPr>
        <w:tab/>
      </w:r>
      <w:r>
        <w:rPr>
          <w:rFonts w:ascii="Arial" w:cs="Arial" w:eastAsia="Arial" w:hAnsi="Arial"/>
          <w:sz w:val="14"/>
          <w:szCs w:val="14"/>
          <w:color w:val="auto"/>
        </w:rPr>
        <w:t>Certification of Chief Executive Officer pursuant to 18 U.S.C. Section 1350, as adopted pursuant to Section 906 of the Sarbanes-Oxley Act of 2002.</w:t>
      </w:r>
    </w:p>
    <w:p>
      <w:pPr>
        <w:spacing w:after="0" w:line="42" w:lineRule="exact"/>
        <w:rPr>
          <w:sz w:val="20"/>
          <w:szCs w:val="20"/>
          <w:color w:val="auto"/>
        </w:rPr>
      </w:pPr>
    </w:p>
    <w:p>
      <w:pPr>
        <w:ind w:left="1034"/>
        <w:spacing w:after="0"/>
        <w:tabs>
          <w:tab w:leader="none" w:pos="1434" w:val="left"/>
        </w:tabs>
        <w:rPr>
          <w:sz w:val="20"/>
          <w:szCs w:val="20"/>
          <w:color w:val="auto"/>
        </w:rPr>
      </w:pPr>
      <w:r>
        <w:rPr>
          <w:rFonts w:ascii="Arial" w:cs="Arial" w:eastAsia="Arial" w:hAnsi="Arial"/>
          <w:sz w:val="14"/>
          <w:szCs w:val="14"/>
          <w:u w:val="single" w:color="auto"/>
          <w:color w:val="0000FF"/>
        </w:rPr>
        <w:t>32.2</w:t>
      </w:r>
      <w:r>
        <w:rPr>
          <w:sz w:val="20"/>
          <w:szCs w:val="20"/>
          <w:color w:val="auto"/>
        </w:rPr>
        <w:tab/>
      </w:r>
      <w:r>
        <w:rPr>
          <w:rFonts w:ascii="Arial" w:cs="Arial" w:eastAsia="Arial" w:hAnsi="Arial"/>
          <w:sz w:val="14"/>
          <w:szCs w:val="14"/>
          <w:color w:val="auto"/>
        </w:rPr>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7071995" cy="4032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071995" cy="403225"/>
                    </a:xfrm>
                    <a:prstGeom prst="rect">
                      <a:avLst/>
                    </a:prstGeom>
                    <a:noFill/>
                  </pic:spPr>
                </pic:pic>
              </a:graphicData>
            </a:graphic>
          </wp:anchor>
        </w:drawing>
      </w:r>
    </w:p>
    <w:p>
      <w:pPr>
        <w:spacing w:after="0" w:line="22" w:lineRule="exact"/>
        <w:rPr>
          <w:sz w:val="20"/>
          <w:szCs w:val="20"/>
          <w:color w:val="auto"/>
        </w:rPr>
      </w:pPr>
    </w:p>
    <w:p>
      <w:pPr>
        <w:ind w:left="1454" w:right="40" w:hanging="429"/>
        <w:spacing w:after="0" w:line="225" w:lineRule="auto"/>
        <w:tabs>
          <w:tab w:leader="none" w:pos="1454"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Quarterly Report on Form 10-Q for the quarter ended September 30, 2022, formatted in iXBRL (Inline Extensible Business Reporting Language): (i) Consolidated Balance Sheets; (ii) Consolidated Statements of Operations; (iii) Consolidated Statements of Comprehensive Income (Loss); (iv) Consolidated Statements of Changes in Equity; (v) Consolidated Statements of Cash Flows; and (vi) Notes to Consolidated Financial Statements.</w:t>
      </w:r>
    </w:p>
    <w:p>
      <w:pPr>
        <w:spacing w:after="0" w:line="31" w:lineRule="exact"/>
        <w:rPr>
          <w:sz w:val="20"/>
          <w:szCs w:val="20"/>
          <w:color w:val="auto"/>
        </w:rPr>
      </w:pPr>
    </w:p>
    <w:p>
      <w:pPr>
        <w:ind w:left="1454" w:hanging="429"/>
        <w:spacing w:after="0"/>
        <w:tabs>
          <w:tab w:leader="none" w:pos="1454" w:val="left"/>
        </w:tabs>
        <w:numPr>
          <w:ilvl w:val="1"/>
          <w:numId w:val="39"/>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7" w:lineRule="exact"/>
        <w:rPr>
          <w:rFonts w:ascii="Arial" w:cs="Arial" w:eastAsia="Arial" w:hAnsi="Arial"/>
          <w:sz w:val="14"/>
          <w:szCs w:val="14"/>
          <w:color w:val="auto"/>
        </w:rPr>
      </w:pPr>
    </w:p>
    <w:p>
      <w:pPr>
        <w:ind w:left="234" w:hanging="234"/>
        <w:spacing w:after="0"/>
        <w:tabs>
          <w:tab w:leader="none" w:pos="234"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-104140</wp:posOffset>
            </wp:positionV>
            <wp:extent cx="707199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2" w:lineRule="exact"/>
        <w:rPr>
          <w:sz w:val="20"/>
          <w:szCs w:val="20"/>
          <w:color w:val="auto"/>
        </w:rPr>
      </w:pPr>
    </w:p>
    <w:p>
      <w:pPr>
        <w:ind w:left="234" w:hanging="234"/>
        <w:spacing w:after="0"/>
        <w:tabs>
          <w:tab w:leader="none" w:pos="234"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Portions of this exhibit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707199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22" w:lineRule="exact"/>
        <w:rPr>
          <w:sz w:val="20"/>
          <w:szCs w:val="20"/>
          <w:color w:val="auto"/>
        </w:rPr>
      </w:pPr>
    </w:p>
    <w:p>
      <w:pPr>
        <w:ind w:left="234" w:hanging="234"/>
        <w:spacing w:after="0"/>
        <w:tabs>
          <w:tab w:leader="none" w:pos="234"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Certain schedules have been omitted pursuant to Item 601(a)(5) of Regulation S-K.</w:t>
      </w:r>
    </w:p>
    <w:p>
      <w:pPr>
        <w:spacing w:after="0" w:line="200" w:lineRule="exact"/>
        <w:rPr>
          <w:rFonts w:ascii="Arial" w:cs="Arial" w:eastAsia="Arial" w:hAnsi="Arial"/>
          <w:sz w:val="14"/>
          <w:szCs w:val="14"/>
          <w:i w:val="1"/>
          <w:iCs w:val="1"/>
          <w:color w:val="auto"/>
        </w:rPr>
      </w:pPr>
    </w:p>
    <w:p>
      <w:pPr>
        <w:spacing w:after="0" w:line="311" w:lineRule="exact"/>
        <w:rPr>
          <w:rFonts w:ascii="Arial" w:cs="Arial" w:eastAsia="Arial" w:hAnsi="Arial"/>
          <w:sz w:val="14"/>
          <w:szCs w:val="14"/>
          <w:i w:val="1"/>
          <w:iCs w:val="1"/>
          <w:color w:val="auto"/>
        </w:rPr>
      </w:pPr>
    </w:p>
    <w:p>
      <w:pPr>
        <w:ind w:left="5514"/>
        <w:spacing w:after="0"/>
        <w:rPr>
          <w:rFonts w:ascii="Arial" w:cs="Arial" w:eastAsia="Arial" w:hAnsi="Arial"/>
          <w:sz w:val="14"/>
          <w:szCs w:val="14"/>
          <w:i w:val="1"/>
          <w:iCs w:val="1"/>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220980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4"/>
          </w:cols>
          <w:pgMar w:left="346" w:top="1085" w:right="45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00" w:lineRule="exact"/>
        <w:rPr>
          <w:sz w:val="20"/>
          <w:szCs w:val="20"/>
          <w:color w:val="auto"/>
        </w:rPr>
      </w:pPr>
    </w:p>
    <w:p>
      <w:pPr>
        <w:spacing w:after="0" w:line="24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0" w:type="dxa"/>
            <w:vAlign w:val="bottom"/>
            <w:gridSpan w:val="3"/>
          </w:tcPr>
          <w:p>
            <w:pPr>
              <w:spacing w:after="0"/>
              <w:rPr>
                <w:sz w:val="20"/>
                <w:szCs w:val="20"/>
                <w:color w:val="auto"/>
              </w:rPr>
            </w:pPr>
            <w:r>
              <w:rPr>
                <w:rFonts w:ascii="Arial" w:cs="Arial" w:eastAsia="Arial" w:hAnsi="Arial"/>
                <w:sz w:val="16"/>
                <w:szCs w:val="16"/>
                <w:color w:val="auto"/>
              </w:rPr>
              <w:t>FORTRESS TRANSPORTATION AND INFRASTRUCTURE INVESTORS LLC</w:t>
            </w:r>
          </w:p>
        </w:tc>
        <w:tc>
          <w:tcPr>
            <w:tcW w:w="18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2"/>
        </w:trPr>
        <w:tc>
          <w:tcPr>
            <w:tcW w:w="540" w:type="dxa"/>
            <w:vAlign w:val="bottom"/>
          </w:tcPr>
          <w:p>
            <w:pPr>
              <w:ind w:left="2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c>
          <w:tcPr>
            <w:tcW w:w="2640" w:type="dxa"/>
            <w:vAlign w:val="bottom"/>
          </w:tcPr>
          <w:p>
            <w:pPr>
              <w:spacing w:after="0"/>
              <w:rPr>
                <w:sz w:val="20"/>
                <w:szCs w:val="20"/>
                <w:color w:val="auto"/>
              </w:rPr>
            </w:pPr>
          </w:p>
        </w:tc>
        <w:tc>
          <w:tcPr>
            <w:tcW w:w="1860" w:type="dxa"/>
            <w:vAlign w:val="bottom"/>
          </w:tcPr>
          <w:p>
            <w:pPr>
              <w:ind w:left="1180"/>
              <w:spacing w:after="0"/>
              <w:rPr>
                <w:sz w:val="20"/>
                <w:szCs w:val="20"/>
                <w:color w:val="auto"/>
              </w:rPr>
            </w:pPr>
            <w:r>
              <w:rPr>
                <w:rFonts w:ascii="Arial" w:cs="Arial" w:eastAsia="Arial" w:hAnsi="Arial"/>
                <w:sz w:val="16"/>
                <w:szCs w:val="16"/>
                <w:color w:val="auto"/>
              </w:rPr>
              <w:t>Date:</w:t>
            </w:r>
          </w:p>
        </w:tc>
        <w:tc>
          <w:tcPr>
            <w:tcW w:w="1540" w:type="dxa"/>
            <w:vAlign w:val="bottom"/>
          </w:tcPr>
          <w:p>
            <w:pPr>
              <w:ind w:left="280"/>
              <w:spacing w:after="0"/>
              <w:rPr>
                <w:sz w:val="20"/>
                <w:szCs w:val="20"/>
                <w:color w:val="auto"/>
              </w:rPr>
            </w:pPr>
            <w:r>
              <w:rPr>
                <w:rFonts w:ascii="Arial" w:cs="Arial" w:eastAsia="Arial" w:hAnsi="Arial"/>
                <w:sz w:val="16"/>
                <w:szCs w:val="16"/>
                <w:color w:val="auto"/>
              </w:rPr>
              <w:t>October 31, 2022</w:t>
            </w:r>
          </w:p>
        </w:tc>
      </w:tr>
      <w:tr>
        <w:trPr>
          <w:trHeight w:val="207"/>
        </w:trPr>
        <w:tc>
          <w:tcPr>
            <w:tcW w:w="540" w:type="dxa"/>
            <w:vAlign w:val="bottom"/>
          </w:tcPr>
          <w:p>
            <w:pPr>
              <w:spacing w:after="0"/>
              <w:rPr>
                <w:sz w:val="17"/>
                <w:szCs w:val="17"/>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Joseph P. Adams, Jr.</w:t>
            </w:r>
          </w:p>
        </w:tc>
        <w:tc>
          <w:tcPr>
            <w:tcW w:w="18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Chairman and Chief Executive Officer</w:t>
            </w:r>
          </w:p>
        </w:tc>
        <w:tc>
          <w:tcPr>
            <w:tcW w:w="18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49"/>
        </w:trPr>
        <w:tc>
          <w:tcPr>
            <w:tcW w:w="540" w:type="dxa"/>
            <w:vAlign w:val="bottom"/>
          </w:tcPr>
          <w:p>
            <w:pPr>
              <w:ind w:left="2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Eun (Angela) Nam</w:t>
            </w:r>
          </w:p>
        </w:tc>
        <w:tc>
          <w:tcPr>
            <w:tcW w:w="2640" w:type="dxa"/>
            <w:vAlign w:val="bottom"/>
          </w:tcPr>
          <w:p>
            <w:pPr>
              <w:spacing w:after="0"/>
              <w:rPr>
                <w:sz w:val="24"/>
                <w:szCs w:val="24"/>
                <w:color w:val="auto"/>
              </w:rPr>
            </w:pPr>
          </w:p>
        </w:tc>
        <w:tc>
          <w:tcPr>
            <w:tcW w:w="1860" w:type="dxa"/>
            <w:vAlign w:val="bottom"/>
          </w:tcPr>
          <w:p>
            <w:pPr>
              <w:ind w:left="1160"/>
              <w:spacing w:after="0"/>
              <w:rPr>
                <w:sz w:val="20"/>
                <w:szCs w:val="20"/>
                <w:color w:val="auto"/>
              </w:rPr>
            </w:pPr>
            <w:r>
              <w:rPr>
                <w:rFonts w:ascii="Arial" w:cs="Arial" w:eastAsia="Arial" w:hAnsi="Arial"/>
                <w:sz w:val="16"/>
                <w:szCs w:val="16"/>
                <w:color w:val="auto"/>
              </w:rPr>
              <w:t>Date:</w:t>
            </w:r>
          </w:p>
        </w:tc>
        <w:tc>
          <w:tcPr>
            <w:tcW w:w="1540" w:type="dxa"/>
            <w:vAlign w:val="bottom"/>
          </w:tcPr>
          <w:p>
            <w:pPr>
              <w:ind w:left="280"/>
              <w:spacing w:after="0"/>
              <w:rPr>
                <w:sz w:val="20"/>
                <w:szCs w:val="20"/>
                <w:color w:val="auto"/>
              </w:rPr>
            </w:pPr>
            <w:r>
              <w:rPr>
                <w:rFonts w:ascii="Arial" w:cs="Arial" w:eastAsia="Arial" w:hAnsi="Arial"/>
                <w:sz w:val="16"/>
                <w:szCs w:val="16"/>
                <w:color w:val="auto"/>
              </w:rPr>
              <w:t>October 31, 2022</w:t>
            </w:r>
          </w:p>
        </w:tc>
      </w:tr>
      <w:tr>
        <w:trPr>
          <w:trHeight w:val="206"/>
        </w:trPr>
        <w:tc>
          <w:tcPr>
            <w:tcW w:w="540" w:type="dxa"/>
            <w:vAlign w:val="bottom"/>
          </w:tcPr>
          <w:p>
            <w:pPr>
              <w:spacing w:after="0"/>
              <w:rPr>
                <w:sz w:val="17"/>
                <w:szCs w:val="17"/>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Eun (Angela) Nam</w:t>
            </w:r>
          </w:p>
        </w:tc>
        <w:tc>
          <w:tcPr>
            <w:tcW w:w="18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Chief Financial Officer</w:t>
            </w:r>
          </w:p>
        </w:tc>
        <w:tc>
          <w:tcPr>
            <w:tcW w:w="186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20"/>
          </w:cols>
          <w:pgMar w:left="320" w:top="1039" w:right="359" w:bottom="1440" w:gutter="0" w:footer="0" w:header="0"/>
        </w:sectPr>
      </w:pPr>
    </w:p>
    <w:bookmarkStart w:id="81" w:name="page82"/>
    <w:bookmarkEnd w:id="81"/>
    <w:p>
      <w:pPr>
        <w:jc w:val="center"/>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208"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62" w:lineRule="auto"/>
        <w:tabs>
          <w:tab w:leader="none" w:pos="3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660" w:hanging="652"/>
        <w:spacing w:after="0" w:line="278" w:lineRule="auto"/>
        <w:tabs>
          <w:tab w:leader="none" w:pos="418"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6"/>
          <w:szCs w:val="16"/>
          <w:color w:val="auto"/>
        </w:rPr>
      </w:pPr>
    </w:p>
    <w:p>
      <w:pPr>
        <w:ind w:left="660" w:hanging="652"/>
        <w:spacing w:after="0" w:line="262" w:lineRule="auto"/>
        <w:tabs>
          <w:tab w:leader="none" w:pos="42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Arial" w:cs="Arial" w:eastAsia="Arial" w:hAnsi="Arial"/>
          <w:sz w:val="16"/>
          <w:szCs w:val="16"/>
          <w:color w:val="auto"/>
        </w:rPr>
      </w:pPr>
    </w:p>
    <w:p>
      <w:pPr>
        <w:ind w:left="1300" w:hanging="644"/>
        <w:spacing w:after="0" w:line="262" w:lineRule="auto"/>
        <w:tabs>
          <w:tab w:leader="none" w:pos="1042"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6"/>
          <w:szCs w:val="16"/>
          <w:color w:val="auto"/>
        </w:rPr>
      </w:pPr>
    </w:p>
    <w:p>
      <w:pPr>
        <w:ind w:left="1300" w:hanging="644"/>
        <w:spacing w:after="0" w:line="253" w:lineRule="auto"/>
        <w:tabs>
          <w:tab w:leader="none" w:pos="1171"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6"/>
          <w:szCs w:val="16"/>
          <w:color w:val="auto"/>
        </w:rPr>
      </w:pPr>
    </w:p>
    <w:p>
      <w:pPr>
        <w:ind w:left="1300" w:hanging="644"/>
        <w:spacing w:after="0" w:line="260" w:lineRule="auto"/>
        <w:tabs>
          <w:tab w:leader="none" w:pos="1109"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62" w:lineRule="auto"/>
        <w:tabs>
          <w:tab w:leader="none" w:pos="1053"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6"/>
          <w:szCs w:val="16"/>
          <w:color w:val="auto"/>
        </w:rPr>
      </w:pPr>
    </w:p>
    <w:p>
      <w:pPr>
        <w:ind w:left="660" w:hanging="652"/>
        <w:spacing w:after="0" w:line="260" w:lineRule="auto"/>
        <w:tabs>
          <w:tab w:leader="none" w:pos="37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78" w:lineRule="auto"/>
        <w:tabs>
          <w:tab w:leader="none" w:pos="1035"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6"/>
          <w:szCs w:val="16"/>
          <w:color w:val="auto"/>
        </w:rPr>
      </w:pPr>
    </w:p>
    <w:p>
      <w:pPr>
        <w:ind w:left="1300" w:right="20" w:hanging="644"/>
        <w:spacing w:after="0" w:line="278" w:lineRule="auto"/>
        <w:tabs>
          <w:tab w:leader="none" w:pos="1023"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October 31, 2022</w:t>
            </w:r>
          </w:p>
        </w:tc>
        <w:tc>
          <w:tcPr>
            <w:tcW w:w="5360" w:type="dxa"/>
            <w:vAlign w:val="bottom"/>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06"/>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4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16"/>
        </w:trPr>
        <w:tc>
          <w:tcPr>
            <w:tcW w:w="21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9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Eun (Angela) Nam, certify that:</w:t>
      </w:r>
    </w:p>
    <w:p>
      <w:pPr>
        <w:spacing w:after="0" w:line="194"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80" w:lineRule="exact"/>
        <w:rPr>
          <w:rFonts w:ascii="Arial" w:cs="Arial" w:eastAsia="Arial" w:hAnsi="Arial"/>
          <w:sz w:val="16"/>
          <w:szCs w:val="16"/>
          <w:color w:val="auto"/>
        </w:rPr>
      </w:pPr>
    </w:p>
    <w:p>
      <w:pPr>
        <w:ind w:left="660" w:hanging="652"/>
        <w:spacing w:after="0" w:line="262" w:lineRule="auto"/>
        <w:tabs>
          <w:tab w:leader="none" w:pos="385"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660" w:hanging="652"/>
        <w:spacing w:after="0" w:line="260" w:lineRule="auto"/>
        <w:tabs>
          <w:tab w:leader="none" w:pos="418"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6"/>
          <w:szCs w:val="16"/>
          <w:color w:val="auto"/>
        </w:rPr>
      </w:pPr>
    </w:p>
    <w:p>
      <w:pPr>
        <w:ind w:left="660" w:hanging="652"/>
        <w:spacing w:after="0" w:line="262" w:lineRule="auto"/>
        <w:tabs>
          <w:tab w:leader="none" w:pos="42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Arial" w:cs="Arial" w:eastAsia="Arial" w:hAnsi="Arial"/>
          <w:sz w:val="16"/>
          <w:szCs w:val="16"/>
          <w:color w:val="auto"/>
        </w:rPr>
      </w:pPr>
    </w:p>
    <w:p>
      <w:pPr>
        <w:ind w:left="1300" w:hanging="644"/>
        <w:spacing w:after="0" w:line="262" w:lineRule="auto"/>
        <w:tabs>
          <w:tab w:leader="none" w:pos="1042" w:val="left"/>
        </w:tabs>
        <w:numPr>
          <w:ilvl w:val="2"/>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Arial" w:cs="Arial" w:eastAsia="Arial" w:hAnsi="Arial"/>
          <w:sz w:val="16"/>
          <w:szCs w:val="16"/>
          <w:color w:val="auto"/>
        </w:rPr>
      </w:pPr>
    </w:p>
    <w:p>
      <w:pPr>
        <w:ind w:left="1300" w:hanging="644"/>
        <w:spacing w:after="0" w:line="262" w:lineRule="auto"/>
        <w:tabs>
          <w:tab w:leader="none" w:pos="1171" w:val="left"/>
        </w:tabs>
        <w:numPr>
          <w:ilvl w:val="2"/>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Arial" w:cs="Arial" w:eastAsia="Arial" w:hAnsi="Arial"/>
          <w:sz w:val="16"/>
          <w:szCs w:val="16"/>
          <w:color w:val="auto"/>
        </w:rPr>
      </w:pPr>
    </w:p>
    <w:p>
      <w:pPr>
        <w:ind w:left="1300" w:hanging="644"/>
        <w:spacing w:after="0" w:line="278" w:lineRule="auto"/>
        <w:tabs>
          <w:tab w:leader="none" w:pos="1109" w:val="left"/>
        </w:tabs>
        <w:numPr>
          <w:ilvl w:val="2"/>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6"/>
          <w:szCs w:val="16"/>
          <w:color w:val="auto"/>
        </w:rPr>
      </w:pPr>
    </w:p>
    <w:p>
      <w:pPr>
        <w:ind w:left="1300" w:hanging="644"/>
        <w:spacing w:after="0" w:line="262" w:lineRule="auto"/>
        <w:tabs>
          <w:tab w:leader="none" w:pos="1053" w:val="left"/>
        </w:tabs>
        <w:numPr>
          <w:ilvl w:val="2"/>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Arial" w:cs="Arial" w:eastAsia="Arial" w:hAnsi="Arial"/>
          <w:sz w:val="16"/>
          <w:szCs w:val="16"/>
          <w:color w:val="auto"/>
        </w:rPr>
      </w:pPr>
    </w:p>
    <w:p>
      <w:pPr>
        <w:ind w:left="660" w:hanging="571"/>
        <w:spacing w:after="0" w:line="278" w:lineRule="auto"/>
        <w:tabs>
          <w:tab w:leader="none" w:pos="443"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6"/>
          <w:szCs w:val="16"/>
          <w:color w:val="auto"/>
        </w:rPr>
      </w:pPr>
    </w:p>
    <w:p>
      <w:pPr>
        <w:ind w:left="1300" w:hanging="644"/>
        <w:spacing w:after="0" w:line="260" w:lineRule="auto"/>
        <w:tabs>
          <w:tab w:leader="none" w:pos="1035" w:val="left"/>
        </w:tabs>
        <w:numPr>
          <w:ilvl w:val="2"/>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6"/>
          <w:szCs w:val="16"/>
          <w:color w:val="auto"/>
        </w:rPr>
      </w:pPr>
    </w:p>
    <w:p>
      <w:pPr>
        <w:ind w:left="1300" w:right="20" w:hanging="644"/>
        <w:spacing w:after="0" w:line="260" w:lineRule="auto"/>
        <w:tabs>
          <w:tab w:leader="none" w:pos="1023" w:val="left"/>
        </w:tabs>
        <w:numPr>
          <w:ilvl w:val="2"/>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October 31, 2022</w:t>
            </w:r>
          </w:p>
        </w:tc>
        <w:tc>
          <w:tcPr>
            <w:tcW w:w="5560" w:type="dxa"/>
            <w:vAlign w:val="bottom"/>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Eun (Angela) Nam</w:t>
            </w:r>
          </w:p>
        </w:tc>
      </w:tr>
      <w:tr>
        <w:trPr>
          <w:trHeight w:val="206"/>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40" w:type="dxa"/>
            <w:vAlign w:val="bottom"/>
          </w:tcPr>
          <w:p>
            <w:pPr>
              <w:ind w:left="20"/>
              <w:spacing w:after="0"/>
              <w:rPr>
                <w:sz w:val="20"/>
                <w:szCs w:val="20"/>
                <w:color w:val="auto"/>
              </w:rPr>
            </w:pPr>
            <w:r>
              <w:rPr>
                <w:rFonts w:ascii="Arial" w:cs="Arial" w:eastAsia="Arial" w:hAnsi="Arial"/>
                <w:sz w:val="16"/>
                <w:szCs w:val="16"/>
                <w:color w:val="auto"/>
              </w:rPr>
              <w:t>Eun (Angela) Nam</w:t>
            </w:r>
          </w:p>
        </w:tc>
      </w:tr>
      <w:tr>
        <w:trPr>
          <w:trHeight w:val="216"/>
        </w:trPr>
        <w:tc>
          <w:tcPr>
            <w:tcW w:w="19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89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September 30, 2022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43"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380" w:hanging="372"/>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October 31, 2022</w:t>
      </w:r>
    </w:p>
    <w:p>
      <w:pPr>
        <w:sectPr>
          <w:pgSz w:w="11900" w:h="16838" w:orient="portrait"/>
          <w:cols w:equalWidth="0" w:num="1">
            <w:col w:w="11240"/>
          </w:cols>
          <w:pgMar w:left="320" w:top="891"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September 30, 2022 as filed with the Securities and Exchange Commission on the date hereof (the “Report”), Eun (Angela) Nam, as Chief Financial Officer of the Company, hereby certifies, pursuant to 18 U.S.C. Section 1350, as adopted pursuant to Section 906 of the Sarbanes-Oxley Act of 2002, that, to the best of her knowledge:</w:t>
      </w:r>
    </w:p>
    <w:p>
      <w:pPr>
        <w:spacing w:after="0" w:line="143"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380" w:hanging="372"/>
        <w:spacing w:after="0"/>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Eun (Angela) 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Eun (Angela) Nam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October 31,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lowerRoman"/>
      <w:start w:val="3"/>
    </w:lvl>
    <w:lvl w:ilvl="1">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101"/>
    </w:lvl>
  </w:abstractNum>
  <w:abstractNum w:abstractNumId="38">
    <w:nsid w:val="70A64E2A"/>
    <w:multiLevelType w:val="hybridMultilevel"/>
    <w:lvl w:ilvl="0">
      <w:lvlJc w:val="left"/>
      <w:lvlText w:val="†"/>
      <w:numFmt w:val="bullet"/>
      <w:start w:val="1"/>
    </w:lvl>
    <w:lvl w:ilvl="1">
      <w:lvlJc w:val="left"/>
      <w:lvlText w:val="%2"/>
      <w:numFmt w:val="decimal"/>
      <w:start w:val="104"/>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3"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100" Type="http://schemas.openxmlformats.org/officeDocument/2006/relationships/image" Target="media/image87.png"/><Relationship Id="rId102" Type="http://schemas.openxmlformats.org/officeDocument/2006/relationships/image" Target="media/image88.png"/><Relationship Id="rId105" Type="http://schemas.openxmlformats.org/officeDocument/2006/relationships/image" Target="media/image89.png"/><Relationship Id="rId107" Type="http://schemas.openxmlformats.org/officeDocument/2006/relationships/image" Target="media/image90.png"/><Relationship Id="rId110" Type="http://schemas.openxmlformats.org/officeDocument/2006/relationships/image" Target="media/image91.png"/><Relationship Id="rId112" Type="http://schemas.openxmlformats.org/officeDocument/2006/relationships/image" Target="media/image92.png"/><Relationship Id="rId115" Type="http://schemas.openxmlformats.org/officeDocument/2006/relationships/image" Target="media/image93.png"/><Relationship Id="rId119"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91" Type="http://schemas.openxmlformats.org/officeDocument/2006/relationships/hyperlink" Target="http://www.sec.gov/Archives/edgar/data/1590364/000114036122029531/ny20005041x1_ex2-1.htm" TargetMode="External"/><Relationship Id="rId92" Type="http://schemas.openxmlformats.org/officeDocument/2006/relationships/hyperlink" Target="http://www.sec.gov/Archives/edgar/data/1590364/000114036122027698/brhc10040167_ex2-1.htm" TargetMode="External"/><Relationship Id="rId94" Type="http://schemas.openxmlformats.org/officeDocument/2006/relationships/hyperlink" Target="http://www.sec.gov/Archives/edgar/data/1590364/000119312515163776/d616610dex31.htm" TargetMode="External"/><Relationship Id="rId95" Type="http://schemas.openxmlformats.org/officeDocument/2006/relationships/hyperlink" Target="http://www.sec.gov/Archives/edgar/data/1590364/000114036121009916/nt10021826x5_ex3-2.htm" TargetMode="External"/><Relationship Id="rId98" Type="http://schemas.openxmlformats.org/officeDocument/2006/relationships/hyperlink" Target="https://www.sec.gov/Archives/edgar/data/0001590364/000114036122024704/ny20004631x2_ex3-1.htm" TargetMode="External"/><Relationship Id="rId99" Type="http://schemas.openxmlformats.org/officeDocument/2006/relationships/hyperlink" Target="http://www.sec.gov/Archives/edgar/data/1590364/000114036118038650/ex4_1.htm" TargetMode="External"/><Relationship Id="rId101" Type="http://schemas.openxmlformats.org/officeDocument/2006/relationships/hyperlink" Target="http://www.sec.gov/Archives/edgar/data/1590364/000114036119009546/nc10001919x3_ex4-1.htm" TargetMode="External"/><Relationship Id="rId103" Type="http://schemas.openxmlformats.org/officeDocument/2006/relationships/hyperlink" Target="http://www.sec.gov/Archives/edgar/data/1590364/000114036120029408/brhc10018302_ex4-1.htm" TargetMode="External"/><Relationship Id="rId104" Type="http://schemas.openxmlformats.org/officeDocument/2006/relationships/hyperlink" Target="http://www.sec.gov/Archives/edgar/data/1590364/000114036120016865/nt1003669x5_ex4-1.htm" TargetMode="External"/><Relationship Id="rId106" Type="http://schemas.openxmlformats.org/officeDocument/2006/relationships/hyperlink" Target="http://www.sec.gov/Archives/edgar/data/1590364/000114036121012434/nt10022837x5_ex4-1.htm" TargetMode="External"/><Relationship Id="rId108" Type="http://schemas.openxmlformats.org/officeDocument/2006/relationships/hyperlink" Target="http://www.sec.gov/Archives/edgar/data/1590364/000114036121032467/ny20000775x4_ex4-1.htm" TargetMode="External"/><Relationship Id="rId109" Type="http://schemas.openxmlformats.org/officeDocument/2006/relationships/hyperlink" Target="http://www.sec.gov/Archives/edgar/data/1590364/000114036119016562/ex3_2.htm#Exhibit4.1" TargetMode="External"/><Relationship Id="rId111" Type="http://schemas.openxmlformats.org/officeDocument/2006/relationships/hyperlink" Target="http://www.sec.gov/Archives/edgar/data/1590364/000114036119021576/nc10006381x2_ex3-2.htm" TargetMode="External"/><Relationship Id="rId113" Type="http://schemas.openxmlformats.org/officeDocument/2006/relationships/hyperlink" Target="http://www.sec.gov/Archives/edgar/data/1590364/000159036422000002/exhibit418-ftaiseriescdesc.htm" TargetMode="External"/><Relationship Id="rId114" Type="http://schemas.openxmlformats.org/officeDocument/2006/relationships/hyperlink" Target="http://www.sec.gov/Archives/edgar/data/1590364/000119312515197222/d931434dex101.htm" TargetMode="External"/><Relationship Id="rId116" Type="http://schemas.openxmlformats.org/officeDocument/2006/relationships/hyperlink" Target="http://www.sec.gov/Archives/edgar/data/1590364/000119312515197222/d931434dex102.htm" TargetMode="External"/><Relationship Id="rId117" Type="http://schemas.openxmlformats.org/officeDocument/2006/relationships/hyperlink" Target="http://www.sec.gov/Archives/edgar/data/1590364/000119312515197222/d931434dex103.htm" TargetMode="External"/><Relationship Id="rId118" Type="http://schemas.openxmlformats.org/officeDocument/2006/relationships/hyperlink" Target="http://www.sec.gov/Archives/edgar/data/1590364/000119312515197222/d931434dex104.htm" TargetMode="External"/><Relationship Id="rId120" Type="http://schemas.openxmlformats.org/officeDocument/2006/relationships/hyperlink" Target="http://www.sec.gov/Archives/edgar/data/1590364/000119312515163776/d616610dex105.htm" TargetMode="External"/><Relationship Id="rId123" Type="http://schemas.openxmlformats.org/officeDocument/2006/relationships/hyperlink" Target="http://www.sec.gov/Archives/edgar/data/1590364/000114036118002262/s002014x3_ex10-1.htm" TargetMode="External"/><Relationship Id="rId124" Type="http://schemas.openxmlformats.org/officeDocument/2006/relationships/hyperlink" Target="http://www.sec.gov/ix?doc=/Archives/edgar/data/1590364/000114036122034108/brhc10042070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2022-10-31T15:40:08Z</dcterms:created>
  <dcterms:modified xsi:type="dcterms:W3CDTF">2022-10-31T15:40:08Z</dcterms:modified>
</cp:coreProperties>
</file>