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6"/>
          <w:szCs w:val="16"/>
          <w:b w:val="1"/>
          <w:bCs w:val="1"/>
          <w:color w:val="auto"/>
        </w:rPr>
        <w:t>UNITED STATES SECURITIES AND EXCHANGE COMMISSION</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WASHINGTON, D.C. 20549</w:t>
      </w:r>
    </w:p>
    <w:p>
      <w:pPr>
        <w:spacing w:after="0" w:line="198"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FORM 10-Q</w:t>
      </w:r>
    </w:p>
    <w:p>
      <w:pPr>
        <w:spacing w:after="0" w:line="188"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(Mark One)</w:t>
      </w:r>
    </w:p>
    <w:p>
      <w:pPr>
        <w:spacing w:after="0" w:line="194" w:lineRule="exact"/>
        <w:rPr>
          <w:sz w:val="24"/>
          <w:szCs w:val="24"/>
          <w:color w:val="auto"/>
        </w:rPr>
      </w:pPr>
    </w:p>
    <w:p>
      <w:pPr>
        <w:ind w:left="1700" w:hanging="188"/>
        <w:spacing w:after="0"/>
        <w:tabs>
          <w:tab w:leader="none" w:pos="1700"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QUARTERLY REPORT PURSUANT TO SECTION 13 OR 15(d) OF THE SECURITIES EXCHANGE ACT OF 1934</w:t>
      </w:r>
    </w:p>
    <w:p>
      <w:pPr>
        <w:spacing w:after="0" w:line="206"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 xml:space="preserve">For the quarterly period ended </w:t>
      </w:r>
      <w:r>
        <w:rPr>
          <w:rFonts w:ascii="Arial" w:cs="Arial" w:eastAsia="Arial" w:hAnsi="Arial"/>
          <w:sz w:val="16"/>
          <w:szCs w:val="16"/>
          <w:b w:val="1"/>
          <w:bCs w:val="1"/>
          <w:color w:val="auto"/>
        </w:rPr>
        <w:t>September 30, 2017</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OR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190500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373" w:lineRule="exact"/>
        <w:rPr>
          <w:sz w:val="24"/>
          <w:szCs w:val="24"/>
          <w:color w:val="auto"/>
        </w:rPr>
      </w:pPr>
    </w:p>
    <w:p>
      <w:pPr>
        <w:jc w:val="center"/>
        <w:ind w:left="4180" w:right="1480" w:hanging="2691"/>
        <w:spacing w:after="0" w:line="571" w:lineRule="auto"/>
        <w:tabs>
          <w:tab w:leader="none" w:pos="1680" w:val="left"/>
        </w:tabs>
        <w:numPr>
          <w:ilvl w:val="0"/>
          <w:numId w:val="2"/>
        </w:numPr>
        <w:rPr>
          <w:rFonts w:ascii="MS PGothic" w:cs="MS PGothic" w:eastAsia="MS PGothic" w:hAnsi="MS PGothic"/>
          <w:sz w:val="16"/>
          <w:szCs w:val="16"/>
          <w:color w:val="auto"/>
        </w:rPr>
      </w:pPr>
      <w:r>
        <w:rPr>
          <w:rFonts w:ascii="Arial" w:cs="Arial" w:eastAsia="Arial" w:hAnsi="Arial"/>
          <w:sz w:val="16"/>
          <w:szCs w:val="16"/>
          <w:color w:val="auto"/>
        </w:rPr>
        <w:t>TRANSITION REPORT PURSUANT TO SECTION 13 OR 15(d) OF THE SECURITIES EXCHANGE ACT OF 1934 For the transition period from ____ to ____</w:t>
      </w:r>
    </w:p>
    <w:p>
      <w:pPr>
        <w:ind w:left="4440"/>
        <w:spacing w:after="0"/>
        <w:rPr>
          <w:rFonts w:ascii="MS PGothic" w:cs="MS PGothic" w:eastAsia="MS PGothic" w:hAnsi="MS PGothic"/>
          <w:sz w:val="16"/>
          <w:szCs w:val="16"/>
          <w:color w:val="auto"/>
        </w:rPr>
      </w:pPr>
      <w:r>
        <w:rPr>
          <w:rFonts w:ascii="Arial" w:cs="Arial" w:eastAsia="Arial" w:hAnsi="Arial"/>
          <w:sz w:val="16"/>
          <w:szCs w:val="16"/>
          <w:color w:val="auto"/>
        </w:rPr>
        <w:t xml:space="preserve">Commission file number </w:t>
      </w:r>
      <w:r>
        <w:rPr>
          <w:rFonts w:ascii="Arial" w:cs="Arial" w:eastAsia="Arial" w:hAnsi="Arial"/>
          <w:sz w:val="16"/>
          <w:szCs w:val="16"/>
          <w:b w:val="1"/>
          <w:bCs w:val="1"/>
          <w:color w:val="auto"/>
        </w:rPr>
        <w:t>001-37386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2980690</wp:posOffset>
            </wp:positionH>
            <wp:positionV relativeFrom="paragraph">
              <wp:posOffset>50165</wp:posOffset>
            </wp:positionV>
            <wp:extent cx="1294765" cy="49720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94765" cy="4972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62"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FORTRESS TRANSPORTATION AND INFRASTRUCTURE INVESTORS LLC</w:t>
      </w:r>
    </w:p>
    <w:p>
      <w:pPr>
        <w:spacing w:after="0" w:line="43"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(Exact name of registrant as specified in its charter</w:t>
      </w:r>
      <w:r>
        <w:rPr>
          <w:rFonts w:ascii="Arial" w:cs="Arial" w:eastAsia="Arial" w:hAnsi="Arial"/>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59" w:lineRule="exact"/>
        <w:rPr>
          <w:sz w:val="24"/>
          <w:szCs w:val="24"/>
          <w:color w:val="auto"/>
        </w:rPr>
      </w:pPr>
    </w:p>
    <w:tbl>
      <w:tblPr>
        <w:tblLayout w:type="fixed"/>
        <w:tblInd w:w="0" w:type="dxa"/>
        <w:tblCellMar>
          <w:top w:w="0" w:type="dxa"/>
          <w:left w:w="0" w:type="dxa"/>
          <w:bottom w:w="0" w:type="dxa"/>
          <w:right w:w="0" w:type="dxa"/>
        </w:tblCellMar>
      </w:tblPr>
      <w:tr>
        <w:trPr>
          <w:trHeight w:val="229"/>
        </w:trPr>
        <w:tc>
          <w:tcPr>
            <w:tcW w:w="6180" w:type="dxa"/>
            <w:vAlign w:val="bottom"/>
            <w:gridSpan w:val="2"/>
          </w:tcPr>
          <w:p>
            <w:pPr>
              <w:jc w:val="center"/>
              <w:ind w:right="900"/>
              <w:spacing w:after="0"/>
              <w:rPr>
                <w:sz w:val="20"/>
                <w:szCs w:val="20"/>
                <w:color w:val="auto"/>
              </w:rPr>
            </w:pPr>
            <w:r>
              <w:rPr>
                <w:rFonts w:ascii="Arial" w:cs="Arial" w:eastAsia="Arial" w:hAnsi="Arial"/>
                <w:sz w:val="16"/>
                <w:szCs w:val="16"/>
                <w:b w:val="1"/>
                <w:bCs w:val="1"/>
                <w:color w:val="auto"/>
              </w:rPr>
              <w:t>Delaware</w:t>
            </w:r>
          </w:p>
        </w:tc>
        <w:tc>
          <w:tcPr>
            <w:tcW w:w="5240" w:type="dxa"/>
            <w:vAlign w:val="bottom"/>
          </w:tcPr>
          <w:p>
            <w:pPr>
              <w:jc w:val="right"/>
              <w:ind w:right="2099"/>
              <w:spacing w:after="0"/>
              <w:rPr>
                <w:sz w:val="20"/>
                <w:szCs w:val="20"/>
                <w:color w:val="auto"/>
              </w:rPr>
            </w:pPr>
            <w:r>
              <w:rPr>
                <w:rFonts w:ascii="Arial" w:cs="Arial" w:eastAsia="Arial" w:hAnsi="Arial"/>
                <w:sz w:val="16"/>
                <w:szCs w:val="16"/>
                <w:b w:val="1"/>
                <w:bCs w:val="1"/>
                <w:color w:val="auto"/>
              </w:rPr>
              <w:t>32-0434238</w:t>
            </w:r>
          </w:p>
        </w:tc>
      </w:tr>
      <w:tr>
        <w:trPr>
          <w:trHeight w:val="35"/>
        </w:trPr>
        <w:tc>
          <w:tcPr>
            <w:tcW w:w="5260" w:type="dxa"/>
            <w:vAlign w:val="bottom"/>
            <w:tcBorders>
              <w:bottom w:val="single" w:sz="8" w:color="auto"/>
            </w:tcBorders>
          </w:tcPr>
          <w:p>
            <w:pPr>
              <w:spacing w:after="0"/>
              <w:rPr>
                <w:sz w:val="3"/>
                <w:szCs w:val="3"/>
                <w:color w:val="auto"/>
              </w:rPr>
            </w:pPr>
          </w:p>
        </w:tc>
        <w:tc>
          <w:tcPr>
            <w:tcW w:w="920" w:type="dxa"/>
            <w:vAlign w:val="bottom"/>
          </w:tcPr>
          <w:p>
            <w:pPr>
              <w:spacing w:after="0"/>
              <w:rPr>
                <w:sz w:val="3"/>
                <w:szCs w:val="3"/>
                <w:color w:val="auto"/>
              </w:rPr>
            </w:pPr>
          </w:p>
        </w:tc>
        <w:tc>
          <w:tcPr>
            <w:tcW w:w="5240" w:type="dxa"/>
            <w:vAlign w:val="bottom"/>
            <w:tcBorders>
              <w:bottom w:val="single" w:sz="8" w:color="auto"/>
            </w:tcBorders>
          </w:tcPr>
          <w:p>
            <w:pPr>
              <w:spacing w:after="0"/>
              <w:rPr>
                <w:sz w:val="3"/>
                <w:szCs w:val="3"/>
                <w:color w:val="auto"/>
              </w:rPr>
            </w:pPr>
          </w:p>
        </w:tc>
      </w:tr>
      <w:tr>
        <w:trPr>
          <w:trHeight w:val="221"/>
        </w:trPr>
        <w:tc>
          <w:tcPr>
            <w:tcW w:w="6180" w:type="dxa"/>
            <w:vAlign w:val="bottom"/>
            <w:gridSpan w:val="2"/>
          </w:tcPr>
          <w:p>
            <w:pPr>
              <w:jc w:val="center"/>
              <w:ind w:right="920"/>
              <w:spacing w:after="0"/>
              <w:rPr>
                <w:sz w:val="20"/>
                <w:szCs w:val="20"/>
                <w:color w:val="auto"/>
              </w:rPr>
            </w:pPr>
            <w:r>
              <w:rPr>
                <w:rFonts w:ascii="Arial" w:cs="Arial" w:eastAsia="Arial" w:hAnsi="Arial"/>
                <w:sz w:val="16"/>
                <w:szCs w:val="16"/>
                <w:color w:val="auto"/>
              </w:rPr>
              <w:t>(State or other jurisdiction of incorporation or organization)</w:t>
            </w:r>
          </w:p>
        </w:tc>
        <w:tc>
          <w:tcPr>
            <w:tcW w:w="5240" w:type="dxa"/>
            <w:vAlign w:val="bottom"/>
          </w:tcPr>
          <w:p>
            <w:pPr>
              <w:jc w:val="center"/>
              <w:spacing w:after="0"/>
              <w:rPr>
                <w:sz w:val="20"/>
                <w:szCs w:val="20"/>
                <w:color w:val="auto"/>
              </w:rPr>
            </w:pPr>
            <w:r>
              <w:rPr>
                <w:rFonts w:ascii="Arial" w:cs="Arial" w:eastAsia="Arial" w:hAnsi="Arial"/>
                <w:sz w:val="16"/>
                <w:szCs w:val="16"/>
                <w:color w:val="auto"/>
              </w:rPr>
              <w:t>(I.R.S. Employer Identification No.)</w:t>
            </w:r>
          </w:p>
        </w:tc>
      </w:tr>
      <w:tr>
        <w:trPr>
          <w:trHeight w:val="495"/>
        </w:trPr>
        <w:tc>
          <w:tcPr>
            <w:tcW w:w="6180" w:type="dxa"/>
            <w:vAlign w:val="bottom"/>
            <w:gridSpan w:val="2"/>
          </w:tcPr>
          <w:p>
            <w:pPr>
              <w:jc w:val="center"/>
              <w:ind w:right="920"/>
              <w:spacing w:after="0"/>
              <w:rPr>
                <w:sz w:val="20"/>
                <w:szCs w:val="20"/>
                <w:color w:val="auto"/>
              </w:rPr>
            </w:pPr>
            <w:r>
              <w:rPr>
                <w:rFonts w:ascii="Arial" w:cs="Arial" w:eastAsia="Arial" w:hAnsi="Arial"/>
                <w:sz w:val="16"/>
                <w:szCs w:val="16"/>
                <w:b w:val="1"/>
                <w:bCs w:val="1"/>
                <w:color w:val="auto"/>
              </w:rPr>
              <w:t>1345 Avenue of the Americas,</w:t>
            </w:r>
          </w:p>
        </w:tc>
        <w:tc>
          <w:tcPr>
            <w:tcW w:w="5240" w:type="dxa"/>
            <w:vAlign w:val="bottom"/>
          </w:tcPr>
          <w:p>
            <w:pPr>
              <w:spacing w:after="0"/>
              <w:rPr>
                <w:sz w:val="24"/>
                <w:szCs w:val="24"/>
                <w:color w:val="auto"/>
              </w:rPr>
            </w:pPr>
          </w:p>
        </w:tc>
      </w:tr>
      <w:tr>
        <w:trPr>
          <w:trHeight w:val="232"/>
        </w:trPr>
        <w:tc>
          <w:tcPr>
            <w:tcW w:w="526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9"/>
              </w:rPr>
              <w:t>New York, NY</w:t>
            </w:r>
          </w:p>
        </w:tc>
        <w:tc>
          <w:tcPr>
            <w:tcW w:w="920" w:type="dxa"/>
            <w:vAlign w:val="bottom"/>
          </w:tcPr>
          <w:p>
            <w:pPr>
              <w:spacing w:after="0"/>
              <w:rPr>
                <w:sz w:val="20"/>
                <w:szCs w:val="20"/>
                <w:color w:val="auto"/>
              </w:rPr>
            </w:pPr>
          </w:p>
        </w:tc>
        <w:tc>
          <w:tcPr>
            <w:tcW w:w="5240" w:type="dxa"/>
            <w:vAlign w:val="bottom"/>
            <w:tcBorders>
              <w:bottom w:val="single" w:sz="8" w:color="auto"/>
            </w:tcBorders>
          </w:tcPr>
          <w:p>
            <w:pPr>
              <w:jc w:val="right"/>
              <w:ind w:right="2319"/>
              <w:spacing w:after="0"/>
              <w:rPr>
                <w:sz w:val="20"/>
                <w:szCs w:val="20"/>
                <w:color w:val="auto"/>
              </w:rPr>
            </w:pPr>
            <w:r>
              <w:rPr>
                <w:rFonts w:ascii="Arial" w:cs="Arial" w:eastAsia="Arial" w:hAnsi="Arial"/>
                <w:sz w:val="16"/>
                <w:szCs w:val="16"/>
                <w:b w:val="1"/>
                <w:bCs w:val="1"/>
                <w:color w:val="auto"/>
              </w:rPr>
              <w:t>10105</w:t>
            </w:r>
          </w:p>
        </w:tc>
      </w:tr>
      <w:tr>
        <w:trPr>
          <w:trHeight w:val="225"/>
        </w:trPr>
        <w:tc>
          <w:tcPr>
            <w:tcW w:w="6180" w:type="dxa"/>
            <w:vAlign w:val="bottom"/>
            <w:gridSpan w:val="2"/>
          </w:tcPr>
          <w:p>
            <w:pPr>
              <w:jc w:val="center"/>
              <w:ind w:right="920"/>
              <w:spacing w:after="0"/>
              <w:rPr>
                <w:sz w:val="20"/>
                <w:szCs w:val="20"/>
                <w:color w:val="auto"/>
              </w:rPr>
            </w:pPr>
            <w:r>
              <w:rPr>
                <w:rFonts w:ascii="Arial" w:cs="Arial" w:eastAsia="Arial" w:hAnsi="Arial"/>
                <w:sz w:val="16"/>
                <w:szCs w:val="16"/>
                <w:color w:val="auto"/>
              </w:rPr>
              <w:t>(Address of principal executive offices)</w:t>
            </w:r>
          </w:p>
        </w:tc>
        <w:tc>
          <w:tcPr>
            <w:tcW w:w="5240" w:type="dxa"/>
            <w:vAlign w:val="bottom"/>
          </w:tcPr>
          <w:p>
            <w:pPr>
              <w:jc w:val="center"/>
              <w:spacing w:after="0"/>
              <w:rPr>
                <w:sz w:val="20"/>
                <w:szCs w:val="20"/>
                <w:color w:val="auto"/>
              </w:rPr>
            </w:pPr>
            <w:r>
              <w:rPr>
                <w:rFonts w:ascii="Arial" w:cs="Arial" w:eastAsia="Arial" w:hAnsi="Arial"/>
                <w:sz w:val="16"/>
                <w:szCs w:val="16"/>
                <w:color w:val="auto"/>
              </w:rPr>
              <w:t>(Zip Code)</w:t>
            </w:r>
          </w:p>
        </w:tc>
      </w:tr>
    </w:tbl>
    <w:p>
      <w:pPr>
        <w:spacing w:after="0" w:line="306"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 xml:space="preserve">(Registrant’s telephone number, including area code) </w:t>
      </w:r>
      <w:r>
        <w:rPr>
          <w:rFonts w:ascii="Arial" w:cs="Arial" w:eastAsia="Arial" w:hAnsi="Arial"/>
          <w:sz w:val="16"/>
          <w:szCs w:val="16"/>
          <w:b w:val="1"/>
          <w:bCs w:val="1"/>
          <w:color w:val="auto"/>
        </w:rPr>
        <w:t>(212) 798-6100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33020</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90" w:lineRule="exact"/>
        <w:rPr>
          <w:sz w:val="24"/>
          <w:szCs w:val="24"/>
          <w:color w:val="auto"/>
        </w:rPr>
      </w:pPr>
    </w:p>
    <w:p>
      <w:pPr>
        <w:jc w:val="both"/>
        <w:ind w:right="140"/>
        <w:spacing w:after="0" w:line="204" w:lineRule="exact"/>
        <w:rPr>
          <w:sz w:val="20"/>
          <w:szCs w:val="20"/>
          <w:color w:val="auto"/>
        </w:rPr>
      </w:pPr>
      <w:r>
        <w:rPr>
          <w:rFonts w:ascii="Arial" w:cs="Arial" w:eastAsia="Arial" w:hAnsi="Arial"/>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120" w:lineRule="exact"/>
        <w:rPr>
          <w:sz w:val="24"/>
          <w:szCs w:val="24"/>
          <w:color w:val="auto"/>
        </w:rPr>
      </w:pPr>
    </w:p>
    <w:p>
      <w:pPr>
        <w:ind w:right="80"/>
        <w:spacing w:after="0" w:line="204" w:lineRule="exact"/>
        <w:rPr>
          <w:sz w:val="20"/>
          <w:szCs w:val="20"/>
          <w:color w:val="auto"/>
        </w:rPr>
      </w:pPr>
      <w:r>
        <w:rPr>
          <w:rFonts w:ascii="Arial" w:cs="Arial" w:eastAsia="Arial" w:hAnsi="Arial"/>
          <w:sz w:val="16"/>
          <w:szCs w:val="16"/>
          <w:color w:val="auto"/>
        </w:rPr>
        <w:t xml:space="preserve">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133" w:lineRule="exact"/>
        <w:rPr>
          <w:sz w:val="24"/>
          <w:szCs w:val="24"/>
          <w:color w:val="auto"/>
        </w:rPr>
      </w:pPr>
    </w:p>
    <w:p>
      <w:pPr>
        <w:ind w:right="200"/>
        <w:spacing w:after="0" w:line="304"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1420"/>
          </w:cols>
          <w:pgMar w:left="240" w:top="227" w:right="239" w:bottom="1440" w:gutter="0" w:footer="0" w:header="0"/>
        </w:sectPr>
      </w:pPr>
    </w:p>
    <w:p>
      <w:pPr>
        <w:spacing w:after="0" w:line="76" w:lineRule="exact"/>
        <w:rPr>
          <w:sz w:val="24"/>
          <w:szCs w:val="24"/>
          <w:color w:val="auto"/>
        </w:rPr>
      </w:pPr>
    </w:p>
    <w:p>
      <w:pPr>
        <w:ind w:left="1920"/>
        <w:spacing w:after="0" w:line="184" w:lineRule="exact"/>
        <w:rPr>
          <w:sz w:val="20"/>
          <w:szCs w:val="20"/>
          <w:color w:val="auto"/>
        </w:rPr>
      </w:pPr>
      <w:r>
        <w:rPr>
          <w:rFonts w:ascii="Arial" w:cs="Arial" w:eastAsia="Arial" w:hAnsi="Arial"/>
          <w:sz w:val="16"/>
          <w:szCs w:val="16"/>
          <w:color w:val="auto"/>
        </w:rPr>
        <w:t xml:space="preserve">Large accelerated filer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56" w:lineRule="exact"/>
        <w:rPr>
          <w:sz w:val="24"/>
          <w:szCs w:val="24"/>
          <w:color w:val="auto"/>
        </w:rPr>
      </w:pPr>
    </w:p>
    <w:p>
      <w:pPr>
        <w:spacing w:after="0" w:line="173" w:lineRule="exact"/>
        <w:rPr>
          <w:sz w:val="20"/>
          <w:szCs w:val="20"/>
          <w:color w:val="auto"/>
        </w:rPr>
      </w:pPr>
      <w:r>
        <w:rPr>
          <w:rFonts w:ascii="Arial" w:cs="Arial" w:eastAsia="Arial" w:hAnsi="Arial"/>
          <w:sz w:val="15"/>
          <w:szCs w:val="15"/>
          <w:color w:val="auto"/>
        </w:rPr>
        <w:t xml:space="preserve">Accelerated filer </w:t>
      </w:r>
      <w:r>
        <w:rPr>
          <w:rFonts w:ascii="MS PGothic" w:cs="MS PGothic" w:eastAsia="MS PGothic" w:hAnsi="MS PGothic"/>
          <w:sz w:val="15"/>
          <w:szCs w:val="15"/>
          <w:color w:val="auto"/>
        </w:rPr>
        <w:t>☑</w:t>
      </w:r>
    </w:p>
    <w:p>
      <w:pPr>
        <w:spacing w:after="0" w:line="84" w:lineRule="exact"/>
        <w:rPr>
          <w:sz w:val="24"/>
          <w:szCs w:val="24"/>
          <w:color w:val="auto"/>
        </w:rPr>
      </w:pPr>
    </w:p>
    <w:p>
      <w:pPr>
        <w:sectPr>
          <w:pgSz w:w="11900" w:h="16838" w:orient="portrait"/>
          <w:cols w:equalWidth="0" w:num="2">
            <w:col w:w="7160" w:space="720"/>
            <w:col w:w="3540"/>
          </w:cols>
          <w:pgMar w:left="240" w:top="227" w:right="239" w:bottom="1440" w:gutter="0" w:footer="0" w:header="0"/>
          <w:type w:val="continuous"/>
        </w:sectPr>
      </w:pPr>
    </w:p>
    <w:p>
      <w:pPr>
        <w:spacing w:after="0" w:line="21" w:lineRule="exact"/>
        <w:rPr>
          <w:sz w:val="24"/>
          <w:szCs w:val="24"/>
          <w:color w:val="auto"/>
        </w:rPr>
      </w:pPr>
    </w:p>
    <w:p>
      <w:pPr>
        <w:ind w:left="1960"/>
        <w:spacing w:after="0"/>
        <w:rPr>
          <w:sz w:val="20"/>
          <w:szCs w:val="20"/>
          <w:color w:val="auto"/>
        </w:rPr>
      </w:pPr>
      <w:r>
        <w:rPr>
          <w:rFonts w:ascii="Arial" w:cs="Arial" w:eastAsia="Arial" w:hAnsi="Arial"/>
          <w:sz w:val="16"/>
          <w:szCs w:val="16"/>
          <w:color w:val="auto"/>
        </w:rPr>
        <w:t>Non-accelerated filer</w:t>
      </w:r>
    </w:p>
    <w:p>
      <w:pPr>
        <w:spacing w:after="0" w:line="20" w:lineRule="exact"/>
        <w:rPr>
          <w:sz w:val="24"/>
          <w:szCs w:val="24"/>
          <w:color w:val="auto"/>
        </w:rPr>
      </w:pPr>
      <w:r>
        <w:rPr>
          <w:sz w:val="24"/>
          <w:szCs w:val="24"/>
          <w:color w:val="auto"/>
        </w:rPr>
        <w:br w:type="column"/>
      </w:r>
    </w:p>
    <w:p>
      <w:pPr>
        <w:spacing w:after="0" w:line="121" w:lineRule="exact"/>
        <w:rPr>
          <w:sz w:val="20"/>
          <w:szCs w:val="20"/>
          <w:color w:val="auto"/>
        </w:rPr>
      </w:pP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br w:type="column"/>
      </w:r>
    </w:p>
    <w:p>
      <w:pPr>
        <w:spacing w:after="0" w:line="164" w:lineRule="exact"/>
        <w:rPr>
          <w:sz w:val="20"/>
          <w:szCs w:val="20"/>
          <w:color w:val="auto"/>
        </w:rPr>
      </w:pPr>
      <w:r>
        <w:rPr>
          <w:rFonts w:ascii="Arial" w:cs="Arial" w:eastAsia="Arial" w:hAnsi="Arial"/>
          <w:sz w:val="16"/>
          <w:szCs w:val="16"/>
          <w:color w:val="auto"/>
        </w:rPr>
        <w:t xml:space="preserve">Smaller reporting company </w:t>
      </w:r>
      <w:r>
        <w:rPr>
          <w:rFonts w:ascii="MS PGothic" w:cs="MS PGothic" w:eastAsia="MS PGothic" w:hAnsi="MS PGothic"/>
          <w:sz w:val="16"/>
          <w:szCs w:val="16"/>
          <w:color w:val="auto"/>
        </w:rPr>
        <w:t>☐</w:t>
      </w:r>
    </w:p>
    <w:p>
      <w:pPr>
        <w:spacing w:after="0" w:line="221" w:lineRule="exact"/>
        <w:rPr>
          <w:sz w:val="24"/>
          <w:szCs w:val="24"/>
          <w:color w:val="auto"/>
        </w:rPr>
      </w:pPr>
    </w:p>
    <w:p>
      <w:pPr>
        <w:sectPr>
          <w:pgSz w:w="11900" w:h="16838" w:orient="portrait"/>
          <w:cols w:equalWidth="0" w:num="3">
            <w:col w:w="3460" w:space="80"/>
            <w:col w:w="3200" w:space="720"/>
            <w:col w:w="3960"/>
          </w:cols>
          <w:pgMar w:left="240" w:top="227" w:right="239" w:bottom="1440" w:gutter="0" w:footer="0" w:header="0"/>
          <w:type w:val="continuous"/>
        </w:sectPr>
      </w:pPr>
    </w:p>
    <w:p>
      <w:pPr>
        <w:spacing w:after="0" w:line="53" w:lineRule="exact"/>
        <w:rPr>
          <w:sz w:val="24"/>
          <w:szCs w:val="24"/>
          <w:color w:val="auto"/>
        </w:rPr>
      </w:pPr>
    </w:p>
    <w:p>
      <w:pPr>
        <w:jc w:val="center"/>
        <w:ind w:right="40"/>
        <w:spacing w:after="0" w:line="173" w:lineRule="exact"/>
        <w:rPr>
          <w:sz w:val="20"/>
          <w:szCs w:val="20"/>
          <w:color w:val="auto"/>
        </w:rPr>
      </w:pPr>
      <w:r>
        <w:rPr>
          <w:rFonts w:ascii="Arial" w:cs="Arial" w:eastAsia="Arial" w:hAnsi="Arial"/>
          <w:sz w:val="15"/>
          <w:szCs w:val="15"/>
          <w:color w:val="auto"/>
        </w:rPr>
        <w:t xml:space="preserve">Emerging growth company </w:t>
      </w:r>
      <w:r>
        <w:rPr>
          <w:rFonts w:ascii="MS PGothic" w:cs="MS PGothic" w:eastAsia="MS PGothic" w:hAnsi="MS PGothic"/>
          <w:sz w:val="15"/>
          <w:szCs w:val="15"/>
          <w:color w:val="auto"/>
        </w:rPr>
        <w:t>☑</w:t>
      </w:r>
    </w:p>
    <w:p>
      <w:pPr>
        <w:sectPr>
          <w:pgSz w:w="11900" w:h="16838" w:orient="portrait"/>
          <w:cols w:equalWidth="0" w:num="1">
            <w:col w:w="11420"/>
          </w:cols>
          <w:pgMar w:left="240" w:top="227" w:right="239" w:bottom="1440" w:gutter="0" w:footer="0" w:header="0"/>
          <w:type w:val="continuous"/>
        </w:sectPr>
      </w:pPr>
    </w:p>
    <w:p>
      <w:pPr>
        <w:spacing w:after="0" w:line="241" w:lineRule="exact"/>
        <w:rPr>
          <w:sz w:val="24"/>
          <w:szCs w:val="24"/>
          <w:color w:val="auto"/>
        </w:rPr>
      </w:pPr>
    </w:p>
    <w:p>
      <w:pPr>
        <w:ind w:right="300"/>
        <w:spacing w:after="0" w:line="211"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97"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Indicate by check mark whether the registrant is a shell company (as defined in Rule 12b-2 of the Exchange Act).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243" w:lineRule="exact"/>
        <w:rPr>
          <w:sz w:val="24"/>
          <w:szCs w:val="24"/>
          <w:color w:val="auto"/>
        </w:rPr>
      </w:pPr>
    </w:p>
    <w:p>
      <w:pPr>
        <w:spacing w:after="0"/>
        <w:rPr>
          <w:sz w:val="20"/>
          <w:szCs w:val="20"/>
          <w:color w:val="auto"/>
        </w:rPr>
      </w:pPr>
      <w:r>
        <w:rPr>
          <w:rFonts w:ascii="Arial" w:cs="Arial" w:eastAsia="Arial" w:hAnsi="Arial"/>
          <w:sz w:val="16"/>
          <w:szCs w:val="16"/>
          <w:color w:val="auto"/>
        </w:rPr>
        <w:t>There were 75,771,738 common shares representing limited liability company interests outstanding at November 3, 2017.</w:t>
      </w:r>
    </w:p>
    <w:p>
      <w:pPr>
        <w:sectPr>
          <w:pgSz w:w="11900" w:h="16838" w:orient="portrait"/>
          <w:cols w:equalWidth="0" w:num="1">
            <w:col w:w="11420"/>
          </w:cols>
          <w:pgMar w:left="240" w:top="227" w:right="239" w:bottom="1440" w:gutter="0" w:footer="0" w:header="0"/>
          <w:type w:val="continuous"/>
        </w:sectPr>
      </w:pPr>
    </w:p>
    <w:bookmarkStart w:id="1" w:name="page2"/>
    <w:bookmarkEnd w:id="1"/>
    <w:p>
      <w:pPr>
        <w:jc w:val="center"/>
        <w:ind w:right="-19"/>
        <w:spacing w:after="0"/>
        <w:rPr>
          <w:sz w:val="20"/>
          <w:szCs w:val="20"/>
          <w:color w:val="auto"/>
        </w:rPr>
      </w:pPr>
      <w:r>
        <w:rPr>
          <w:rFonts w:ascii="Arial" w:cs="Arial" w:eastAsia="Arial" w:hAnsi="Arial"/>
          <w:sz w:val="22"/>
          <w:szCs w:val="22"/>
          <w:b w:val="1"/>
          <w:bCs w:val="1"/>
          <w:color w:val="00497F"/>
        </w:rPr>
        <w:t>FORWARD-LOOKING STATEMENTS</w:t>
      </w:r>
    </w:p>
    <w:p>
      <w:pPr>
        <w:spacing w:after="0" w:line="225"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This report contains “forward-looking statements” within the meaning of the Private Securities Litigation Reform Act of 1995. Forward-looking statements are not statements of historical fact but instead are based on our present beliefs and assumptions and on information currently available to the Company. You can identify these forward-looking statements by the use of forward-looking words such as “outlook,” “believes,” “expects,” “potential,” “continues,” “may,” “will,” “should,” “could,” “seeks,” “approximately,” “predicts,” “intends,” “plans,” “estimates,” “anticipates,” “target,” “projects,” “contemplates” or the negative version of those words or other comparable words. Any forward-looking statements contained in this report are based upon our historical performance and on our current plans, estimates and expectations in light of information currently available to us. The inclusion of this forward-looking information should not be regarded as a representation by us, that the future plans, estimates or expectations contemplated by us will be achieved. Such forward-looking statements are subject to various risks and uncertainties and assumptions relating to our operations, financial results, financial condition, business, prospects, growth strategy and liquidity. Accordingly, there are or will be important factors that could cause our actual results to differ materially from those indicated in these statements. We believe that these factors include, but are not limited to:</w:t>
      </w:r>
    </w:p>
    <w:p>
      <w:pPr>
        <w:spacing w:after="0" w:line="75" w:lineRule="exact"/>
        <w:rPr>
          <w:sz w:val="20"/>
          <w:szCs w:val="20"/>
          <w:color w:val="auto"/>
        </w:rPr>
      </w:pPr>
    </w:p>
    <w:p>
      <w:pPr>
        <w:ind w:left="820" w:hanging="326"/>
        <w:spacing w:after="0"/>
        <w:tabs>
          <w:tab w:leader="none" w:pos="820" w:val="left"/>
        </w:tabs>
        <w:numPr>
          <w:ilvl w:val="0"/>
          <w:numId w:val="3"/>
        </w:numPr>
        <w:rPr>
          <w:rFonts w:ascii="Arial" w:cs="Arial" w:eastAsia="Arial" w:hAnsi="Arial"/>
          <w:sz w:val="16"/>
          <w:szCs w:val="16"/>
          <w:color w:val="auto"/>
        </w:rPr>
      </w:pPr>
      <w:r>
        <w:rPr>
          <w:rFonts w:ascii="Arial" w:cs="Arial" w:eastAsia="Arial" w:hAnsi="Arial"/>
          <w:sz w:val="16"/>
          <w:szCs w:val="16"/>
          <w:color w:val="auto"/>
        </w:rPr>
        <w:t>changes in economic conditions generally and specifically in our industry sectors, and other risks relating to the global economy;</w:t>
      </w:r>
    </w:p>
    <w:p>
      <w:pPr>
        <w:spacing w:after="0" w:line="113" w:lineRule="exact"/>
        <w:rPr>
          <w:rFonts w:ascii="Arial" w:cs="Arial" w:eastAsia="Arial" w:hAnsi="Arial"/>
          <w:sz w:val="16"/>
          <w:szCs w:val="16"/>
          <w:color w:val="auto"/>
        </w:rPr>
      </w:pPr>
    </w:p>
    <w:p>
      <w:pPr>
        <w:ind w:left="820" w:hanging="326"/>
        <w:spacing w:after="0" w:line="291" w:lineRule="auto"/>
        <w:tabs>
          <w:tab w:leader="none" w:pos="820" w:val="left"/>
        </w:tabs>
        <w:numPr>
          <w:ilvl w:val="0"/>
          <w:numId w:val="3"/>
        </w:numPr>
        <w:rPr>
          <w:rFonts w:ascii="Arial" w:cs="Arial" w:eastAsia="Arial" w:hAnsi="Arial"/>
          <w:sz w:val="16"/>
          <w:szCs w:val="16"/>
          <w:color w:val="auto"/>
        </w:rPr>
      </w:pPr>
      <w:r>
        <w:rPr>
          <w:rFonts w:ascii="Arial" w:cs="Arial" w:eastAsia="Arial" w:hAnsi="Arial"/>
          <w:sz w:val="16"/>
          <w:szCs w:val="16"/>
          <w:color w:val="auto"/>
        </w:rPr>
        <w:t>reductions in cash flows received from our assets, as well as contractual limitations on the use of our aviation assets to secure debt for borrowed money;</w:t>
      </w:r>
    </w:p>
    <w:p>
      <w:pPr>
        <w:spacing w:after="0" w:line="40" w:lineRule="exact"/>
        <w:rPr>
          <w:rFonts w:ascii="Arial" w:cs="Arial" w:eastAsia="Arial" w:hAnsi="Arial"/>
          <w:sz w:val="16"/>
          <w:szCs w:val="16"/>
          <w:color w:val="auto"/>
        </w:rPr>
      </w:pPr>
    </w:p>
    <w:p>
      <w:pPr>
        <w:ind w:left="820" w:hanging="326"/>
        <w:spacing w:after="0"/>
        <w:tabs>
          <w:tab w:leader="none" w:pos="820" w:val="left"/>
        </w:tabs>
        <w:numPr>
          <w:ilvl w:val="0"/>
          <w:numId w:val="3"/>
        </w:numPr>
        <w:rPr>
          <w:rFonts w:ascii="Arial" w:cs="Arial" w:eastAsia="Arial" w:hAnsi="Arial"/>
          <w:sz w:val="16"/>
          <w:szCs w:val="16"/>
          <w:color w:val="auto"/>
        </w:rPr>
      </w:pPr>
      <w:r>
        <w:rPr>
          <w:rFonts w:ascii="Arial" w:cs="Arial" w:eastAsia="Arial" w:hAnsi="Arial"/>
          <w:sz w:val="16"/>
          <w:szCs w:val="16"/>
          <w:color w:val="auto"/>
        </w:rPr>
        <w:t>our ability to take advantage of acquisition opportunities at favorable prices;</w:t>
      </w:r>
    </w:p>
    <w:p>
      <w:pPr>
        <w:spacing w:after="0" w:line="113" w:lineRule="exact"/>
        <w:rPr>
          <w:rFonts w:ascii="Arial" w:cs="Arial" w:eastAsia="Arial" w:hAnsi="Arial"/>
          <w:sz w:val="16"/>
          <w:szCs w:val="16"/>
          <w:color w:val="auto"/>
        </w:rPr>
      </w:pPr>
    </w:p>
    <w:p>
      <w:pPr>
        <w:ind w:left="820" w:hanging="326"/>
        <w:spacing w:after="0"/>
        <w:tabs>
          <w:tab w:leader="none" w:pos="820" w:val="left"/>
        </w:tabs>
        <w:numPr>
          <w:ilvl w:val="0"/>
          <w:numId w:val="3"/>
        </w:numPr>
        <w:rPr>
          <w:rFonts w:ascii="Arial" w:cs="Arial" w:eastAsia="Arial" w:hAnsi="Arial"/>
          <w:sz w:val="16"/>
          <w:szCs w:val="16"/>
          <w:color w:val="auto"/>
        </w:rPr>
      </w:pPr>
      <w:r>
        <w:rPr>
          <w:rFonts w:ascii="Arial" w:cs="Arial" w:eastAsia="Arial" w:hAnsi="Arial"/>
          <w:sz w:val="16"/>
          <w:szCs w:val="16"/>
          <w:color w:val="auto"/>
        </w:rPr>
        <w:t>a lack of liquidity surrounding our assets, which could impede our ability to vary our portfolio in an appropriate manner;</w:t>
      </w:r>
    </w:p>
    <w:p>
      <w:pPr>
        <w:spacing w:after="0" w:line="113" w:lineRule="exact"/>
        <w:rPr>
          <w:rFonts w:ascii="Arial" w:cs="Arial" w:eastAsia="Arial" w:hAnsi="Arial"/>
          <w:sz w:val="16"/>
          <w:szCs w:val="16"/>
          <w:color w:val="auto"/>
        </w:rPr>
      </w:pPr>
    </w:p>
    <w:p>
      <w:pPr>
        <w:ind w:left="820" w:hanging="326"/>
        <w:spacing w:after="0"/>
        <w:tabs>
          <w:tab w:leader="none" w:pos="820" w:val="left"/>
        </w:tabs>
        <w:numPr>
          <w:ilvl w:val="0"/>
          <w:numId w:val="3"/>
        </w:numPr>
        <w:rPr>
          <w:rFonts w:ascii="Arial" w:cs="Arial" w:eastAsia="Arial" w:hAnsi="Arial"/>
          <w:sz w:val="16"/>
          <w:szCs w:val="16"/>
          <w:color w:val="auto"/>
        </w:rPr>
      </w:pPr>
      <w:r>
        <w:rPr>
          <w:rFonts w:ascii="Arial" w:cs="Arial" w:eastAsia="Arial" w:hAnsi="Arial"/>
          <w:sz w:val="16"/>
          <w:szCs w:val="16"/>
          <w:color w:val="auto"/>
        </w:rPr>
        <w:t>the relative spreads between the yield on the assets we acquire and the cost of financing;</w:t>
      </w:r>
    </w:p>
    <w:p>
      <w:pPr>
        <w:spacing w:after="0" w:line="113" w:lineRule="exact"/>
        <w:rPr>
          <w:rFonts w:ascii="Arial" w:cs="Arial" w:eastAsia="Arial" w:hAnsi="Arial"/>
          <w:sz w:val="16"/>
          <w:szCs w:val="16"/>
          <w:color w:val="auto"/>
        </w:rPr>
      </w:pPr>
    </w:p>
    <w:p>
      <w:pPr>
        <w:ind w:left="820" w:hanging="326"/>
        <w:spacing w:after="0"/>
        <w:tabs>
          <w:tab w:leader="none" w:pos="820" w:val="left"/>
        </w:tabs>
        <w:numPr>
          <w:ilvl w:val="0"/>
          <w:numId w:val="3"/>
        </w:numPr>
        <w:rPr>
          <w:rFonts w:ascii="Arial" w:cs="Arial" w:eastAsia="Arial" w:hAnsi="Arial"/>
          <w:sz w:val="16"/>
          <w:szCs w:val="16"/>
          <w:color w:val="auto"/>
        </w:rPr>
      </w:pPr>
      <w:r>
        <w:rPr>
          <w:rFonts w:ascii="Arial" w:cs="Arial" w:eastAsia="Arial" w:hAnsi="Arial"/>
          <w:sz w:val="16"/>
          <w:szCs w:val="16"/>
          <w:color w:val="auto"/>
        </w:rPr>
        <w:t>adverse changes in the financing markets we access affecting our ability to finance our acquisitions;</w:t>
      </w:r>
    </w:p>
    <w:p>
      <w:pPr>
        <w:spacing w:after="0" w:line="113" w:lineRule="exact"/>
        <w:rPr>
          <w:rFonts w:ascii="Arial" w:cs="Arial" w:eastAsia="Arial" w:hAnsi="Arial"/>
          <w:sz w:val="16"/>
          <w:szCs w:val="16"/>
          <w:color w:val="auto"/>
        </w:rPr>
      </w:pPr>
    </w:p>
    <w:p>
      <w:pPr>
        <w:ind w:left="820" w:hanging="326"/>
        <w:spacing w:after="0"/>
        <w:tabs>
          <w:tab w:leader="none" w:pos="820" w:val="left"/>
        </w:tabs>
        <w:numPr>
          <w:ilvl w:val="0"/>
          <w:numId w:val="3"/>
        </w:numPr>
        <w:rPr>
          <w:rFonts w:ascii="Arial" w:cs="Arial" w:eastAsia="Arial" w:hAnsi="Arial"/>
          <w:sz w:val="16"/>
          <w:szCs w:val="16"/>
          <w:color w:val="auto"/>
        </w:rPr>
      </w:pPr>
      <w:r>
        <w:rPr>
          <w:rFonts w:ascii="Arial" w:cs="Arial" w:eastAsia="Arial" w:hAnsi="Arial"/>
          <w:sz w:val="16"/>
          <w:szCs w:val="16"/>
          <w:color w:val="auto"/>
        </w:rPr>
        <w:t>customer defaults on their obligations;</w:t>
      </w:r>
    </w:p>
    <w:p>
      <w:pPr>
        <w:spacing w:after="0" w:line="113" w:lineRule="exact"/>
        <w:rPr>
          <w:rFonts w:ascii="Arial" w:cs="Arial" w:eastAsia="Arial" w:hAnsi="Arial"/>
          <w:sz w:val="16"/>
          <w:szCs w:val="16"/>
          <w:color w:val="auto"/>
        </w:rPr>
      </w:pPr>
    </w:p>
    <w:p>
      <w:pPr>
        <w:ind w:left="820" w:hanging="326"/>
        <w:spacing w:after="0"/>
        <w:tabs>
          <w:tab w:leader="none" w:pos="820" w:val="left"/>
        </w:tabs>
        <w:numPr>
          <w:ilvl w:val="0"/>
          <w:numId w:val="3"/>
        </w:numPr>
        <w:rPr>
          <w:rFonts w:ascii="Arial" w:cs="Arial" w:eastAsia="Arial" w:hAnsi="Arial"/>
          <w:sz w:val="16"/>
          <w:szCs w:val="16"/>
          <w:color w:val="auto"/>
        </w:rPr>
      </w:pPr>
      <w:r>
        <w:rPr>
          <w:rFonts w:ascii="Arial" w:cs="Arial" w:eastAsia="Arial" w:hAnsi="Arial"/>
          <w:sz w:val="16"/>
          <w:szCs w:val="16"/>
          <w:color w:val="auto"/>
        </w:rPr>
        <w:t>our ability to renew existing contracts and win additional contracts with existing or potential customers;</w:t>
      </w:r>
    </w:p>
    <w:p>
      <w:pPr>
        <w:spacing w:after="0" w:line="113" w:lineRule="exact"/>
        <w:rPr>
          <w:rFonts w:ascii="Arial" w:cs="Arial" w:eastAsia="Arial" w:hAnsi="Arial"/>
          <w:sz w:val="16"/>
          <w:szCs w:val="16"/>
          <w:color w:val="auto"/>
        </w:rPr>
      </w:pPr>
    </w:p>
    <w:p>
      <w:pPr>
        <w:ind w:left="820" w:hanging="326"/>
        <w:spacing w:after="0"/>
        <w:tabs>
          <w:tab w:leader="none" w:pos="820" w:val="left"/>
        </w:tabs>
        <w:numPr>
          <w:ilvl w:val="0"/>
          <w:numId w:val="3"/>
        </w:numPr>
        <w:rPr>
          <w:rFonts w:ascii="Arial" w:cs="Arial" w:eastAsia="Arial" w:hAnsi="Arial"/>
          <w:sz w:val="16"/>
          <w:szCs w:val="16"/>
          <w:color w:val="auto"/>
        </w:rPr>
      </w:pPr>
      <w:r>
        <w:rPr>
          <w:rFonts w:ascii="Arial" w:cs="Arial" w:eastAsia="Arial" w:hAnsi="Arial"/>
          <w:sz w:val="16"/>
          <w:szCs w:val="16"/>
          <w:color w:val="auto"/>
        </w:rPr>
        <w:t>the availability and cost of capital for future acquisitions;</w:t>
      </w:r>
    </w:p>
    <w:p>
      <w:pPr>
        <w:spacing w:after="0" w:line="113" w:lineRule="exact"/>
        <w:rPr>
          <w:rFonts w:ascii="Arial" w:cs="Arial" w:eastAsia="Arial" w:hAnsi="Arial"/>
          <w:sz w:val="16"/>
          <w:szCs w:val="16"/>
          <w:color w:val="auto"/>
        </w:rPr>
      </w:pPr>
    </w:p>
    <w:p>
      <w:pPr>
        <w:ind w:left="820" w:hanging="326"/>
        <w:spacing w:after="0"/>
        <w:tabs>
          <w:tab w:leader="none" w:pos="820" w:val="left"/>
        </w:tabs>
        <w:numPr>
          <w:ilvl w:val="0"/>
          <w:numId w:val="3"/>
        </w:numPr>
        <w:rPr>
          <w:rFonts w:ascii="Arial" w:cs="Arial" w:eastAsia="Arial" w:hAnsi="Arial"/>
          <w:sz w:val="16"/>
          <w:szCs w:val="16"/>
          <w:color w:val="auto"/>
        </w:rPr>
      </w:pPr>
      <w:r>
        <w:rPr>
          <w:rFonts w:ascii="Arial" w:cs="Arial" w:eastAsia="Arial" w:hAnsi="Arial"/>
          <w:sz w:val="16"/>
          <w:szCs w:val="16"/>
          <w:color w:val="auto"/>
        </w:rPr>
        <w:t>concentration of a particular type of asset or in a particular sector;</w:t>
      </w:r>
    </w:p>
    <w:p>
      <w:pPr>
        <w:spacing w:after="0" w:line="113" w:lineRule="exact"/>
        <w:rPr>
          <w:rFonts w:ascii="Arial" w:cs="Arial" w:eastAsia="Arial" w:hAnsi="Arial"/>
          <w:sz w:val="16"/>
          <w:szCs w:val="16"/>
          <w:color w:val="auto"/>
        </w:rPr>
      </w:pPr>
    </w:p>
    <w:p>
      <w:pPr>
        <w:ind w:left="820" w:hanging="326"/>
        <w:spacing w:after="0"/>
        <w:tabs>
          <w:tab w:leader="none" w:pos="820" w:val="left"/>
        </w:tabs>
        <w:numPr>
          <w:ilvl w:val="0"/>
          <w:numId w:val="3"/>
        </w:numPr>
        <w:rPr>
          <w:rFonts w:ascii="Arial" w:cs="Arial" w:eastAsia="Arial" w:hAnsi="Arial"/>
          <w:sz w:val="16"/>
          <w:szCs w:val="16"/>
          <w:color w:val="auto"/>
        </w:rPr>
      </w:pPr>
      <w:r>
        <w:rPr>
          <w:rFonts w:ascii="Arial" w:cs="Arial" w:eastAsia="Arial" w:hAnsi="Arial"/>
          <w:sz w:val="16"/>
          <w:szCs w:val="16"/>
          <w:color w:val="auto"/>
        </w:rPr>
        <w:t>competition within the aviation, energy, intermodal transport and rail sectors;</w:t>
      </w:r>
    </w:p>
    <w:p>
      <w:pPr>
        <w:spacing w:after="0" w:line="113" w:lineRule="exact"/>
        <w:rPr>
          <w:rFonts w:ascii="Arial" w:cs="Arial" w:eastAsia="Arial" w:hAnsi="Arial"/>
          <w:sz w:val="16"/>
          <w:szCs w:val="16"/>
          <w:color w:val="auto"/>
        </w:rPr>
      </w:pPr>
    </w:p>
    <w:p>
      <w:pPr>
        <w:ind w:left="820" w:hanging="326"/>
        <w:spacing w:after="0"/>
        <w:tabs>
          <w:tab w:leader="none" w:pos="820" w:val="left"/>
        </w:tabs>
        <w:numPr>
          <w:ilvl w:val="0"/>
          <w:numId w:val="3"/>
        </w:numPr>
        <w:rPr>
          <w:rFonts w:ascii="Arial" w:cs="Arial" w:eastAsia="Arial" w:hAnsi="Arial"/>
          <w:sz w:val="16"/>
          <w:szCs w:val="16"/>
          <w:color w:val="auto"/>
        </w:rPr>
      </w:pPr>
      <w:r>
        <w:rPr>
          <w:rFonts w:ascii="Arial" w:cs="Arial" w:eastAsia="Arial" w:hAnsi="Arial"/>
          <w:sz w:val="16"/>
          <w:szCs w:val="16"/>
          <w:color w:val="auto"/>
        </w:rPr>
        <w:t>the competitive market for acquisition opportunities;</w:t>
      </w:r>
    </w:p>
    <w:p>
      <w:pPr>
        <w:spacing w:after="0" w:line="113" w:lineRule="exact"/>
        <w:rPr>
          <w:rFonts w:ascii="Arial" w:cs="Arial" w:eastAsia="Arial" w:hAnsi="Arial"/>
          <w:sz w:val="16"/>
          <w:szCs w:val="16"/>
          <w:color w:val="auto"/>
        </w:rPr>
      </w:pPr>
    </w:p>
    <w:p>
      <w:pPr>
        <w:ind w:left="820" w:hanging="326"/>
        <w:spacing w:after="0"/>
        <w:tabs>
          <w:tab w:leader="none" w:pos="820" w:val="left"/>
        </w:tabs>
        <w:numPr>
          <w:ilvl w:val="0"/>
          <w:numId w:val="3"/>
        </w:numPr>
        <w:rPr>
          <w:rFonts w:ascii="Arial" w:cs="Arial" w:eastAsia="Arial" w:hAnsi="Arial"/>
          <w:sz w:val="16"/>
          <w:szCs w:val="16"/>
          <w:color w:val="auto"/>
        </w:rPr>
      </w:pPr>
      <w:r>
        <w:rPr>
          <w:rFonts w:ascii="Arial" w:cs="Arial" w:eastAsia="Arial" w:hAnsi="Arial"/>
          <w:sz w:val="16"/>
          <w:szCs w:val="16"/>
          <w:color w:val="auto"/>
        </w:rPr>
        <w:t>risks related to operating through joint ventures or partnerships or through consortium arrangements;</w:t>
      </w:r>
    </w:p>
    <w:p>
      <w:pPr>
        <w:spacing w:after="0" w:line="113" w:lineRule="exact"/>
        <w:rPr>
          <w:rFonts w:ascii="Arial" w:cs="Arial" w:eastAsia="Arial" w:hAnsi="Arial"/>
          <w:sz w:val="16"/>
          <w:szCs w:val="16"/>
          <w:color w:val="auto"/>
        </w:rPr>
      </w:pPr>
    </w:p>
    <w:p>
      <w:pPr>
        <w:ind w:left="820" w:hanging="326"/>
        <w:spacing w:after="0"/>
        <w:tabs>
          <w:tab w:leader="none" w:pos="820" w:val="left"/>
        </w:tabs>
        <w:numPr>
          <w:ilvl w:val="0"/>
          <w:numId w:val="3"/>
        </w:numPr>
        <w:rPr>
          <w:rFonts w:ascii="Arial" w:cs="Arial" w:eastAsia="Arial" w:hAnsi="Arial"/>
          <w:sz w:val="16"/>
          <w:szCs w:val="16"/>
          <w:color w:val="auto"/>
        </w:rPr>
      </w:pPr>
      <w:r>
        <w:rPr>
          <w:rFonts w:ascii="Arial" w:cs="Arial" w:eastAsia="Arial" w:hAnsi="Arial"/>
          <w:sz w:val="16"/>
          <w:szCs w:val="16"/>
          <w:color w:val="auto"/>
        </w:rPr>
        <w:t>obsolescence of our assets or our ability to sell, re-lease or re-charter our assets;</w:t>
      </w:r>
    </w:p>
    <w:p>
      <w:pPr>
        <w:spacing w:after="0" w:line="113" w:lineRule="exact"/>
        <w:rPr>
          <w:rFonts w:ascii="Arial" w:cs="Arial" w:eastAsia="Arial" w:hAnsi="Arial"/>
          <w:sz w:val="16"/>
          <w:szCs w:val="16"/>
          <w:color w:val="auto"/>
        </w:rPr>
      </w:pPr>
    </w:p>
    <w:p>
      <w:pPr>
        <w:ind w:left="820" w:hanging="326"/>
        <w:spacing w:after="0"/>
        <w:tabs>
          <w:tab w:leader="none" w:pos="820" w:val="left"/>
        </w:tabs>
        <w:numPr>
          <w:ilvl w:val="0"/>
          <w:numId w:val="3"/>
        </w:numPr>
        <w:rPr>
          <w:rFonts w:ascii="Arial" w:cs="Arial" w:eastAsia="Arial" w:hAnsi="Arial"/>
          <w:sz w:val="16"/>
          <w:szCs w:val="16"/>
          <w:color w:val="auto"/>
        </w:rPr>
      </w:pPr>
      <w:r>
        <w:rPr>
          <w:rFonts w:ascii="Arial" w:cs="Arial" w:eastAsia="Arial" w:hAnsi="Arial"/>
          <w:sz w:val="16"/>
          <w:szCs w:val="16"/>
          <w:color w:val="auto"/>
        </w:rPr>
        <w:t>exposure to uninsurable losses and force majeure events;</w:t>
      </w:r>
    </w:p>
    <w:p>
      <w:pPr>
        <w:spacing w:after="0" w:line="113" w:lineRule="exact"/>
        <w:rPr>
          <w:rFonts w:ascii="Arial" w:cs="Arial" w:eastAsia="Arial" w:hAnsi="Arial"/>
          <w:sz w:val="16"/>
          <w:szCs w:val="16"/>
          <w:color w:val="auto"/>
        </w:rPr>
      </w:pPr>
    </w:p>
    <w:p>
      <w:pPr>
        <w:ind w:left="820" w:hanging="326"/>
        <w:spacing w:after="0"/>
        <w:tabs>
          <w:tab w:leader="none" w:pos="820" w:val="left"/>
        </w:tabs>
        <w:numPr>
          <w:ilvl w:val="0"/>
          <w:numId w:val="3"/>
        </w:numPr>
        <w:rPr>
          <w:rFonts w:ascii="Arial" w:cs="Arial" w:eastAsia="Arial" w:hAnsi="Arial"/>
          <w:sz w:val="16"/>
          <w:szCs w:val="16"/>
          <w:color w:val="auto"/>
        </w:rPr>
      </w:pPr>
      <w:r>
        <w:rPr>
          <w:rFonts w:ascii="Arial" w:cs="Arial" w:eastAsia="Arial" w:hAnsi="Arial"/>
          <w:sz w:val="16"/>
          <w:szCs w:val="16"/>
          <w:color w:val="auto"/>
        </w:rPr>
        <w:t>infrastructure operations may require substantial capital expenditures;</w:t>
      </w:r>
    </w:p>
    <w:p>
      <w:pPr>
        <w:spacing w:after="0" w:line="113" w:lineRule="exact"/>
        <w:rPr>
          <w:rFonts w:ascii="Arial" w:cs="Arial" w:eastAsia="Arial" w:hAnsi="Arial"/>
          <w:sz w:val="16"/>
          <w:szCs w:val="16"/>
          <w:color w:val="auto"/>
        </w:rPr>
      </w:pPr>
    </w:p>
    <w:p>
      <w:pPr>
        <w:ind w:left="820" w:hanging="326"/>
        <w:spacing w:after="0"/>
        <w:tabs>
          <w:tab w:leader="none" w:pos="820" w:val="left"/>
        </w:tabs>
        <w:numPr>
          <w:ilvl w:val="0"/>
          <w:numId w:val="3"/>
        </w:numPr>
        <w:rPr>
          <w:rFonts w:ascii="Arial" w:cs="Arial" w:eastAsia="Arial" w:hAnsi="Arial"/>
          <w:sz w:val="16"/>
          <w:szCs w:val="16"/>
          <w:color w:val="auto"/>
        </w:rPr>
      </w:pPr>
      <w:r>
        <w:rPr>
          <w:rFonts w:ascii="Arial" w:cs="Arial" w:eastAsia="Arial" w:hAnsi="Arial"/>
          <w:sz w:val="16"/>
          <w:szCs w:val="16"/>
          <w:color w:val="auto"/>
        </w:rPr>
        <w:t>the legislative/regulatory environment and exposure to increased economic regulation;</w:t>
      </w:r>
    </w:p>
    <w:p>
      <w:pPr>
        <w:spacing w:after="0" w:line="113" w:lineRule="exact"/>
        <w:rPr>
          <w:rFonts w:ascii="Arial" w:cs="Arial" w:eastAsia="Arial" w:hAnsi="Arial"/>
          <w:sz w:val="16"/>
          <w:szCs w:val="16"/>
          <w:color w:val="auto"/>
        </w:rPr>
      </w:pPr>
    </w:p>
    <w:p>
      <w:pPr>
        <w:ind w:left="820" w:hanging="326"/>
        <w:spacing w:after="0"/>
        <w:tabs>
          <w:tab w:leader="none" w:pos="820" w:val="left"/>
        </w:tabs>
        <w:numPr>
          <w:ilvl w:val="0"/>
          <w:numId w:val="3"/>
        </w:numPr>
        <w:rPr>
          <w:rFonts w:ascii="Arial" w:cs="Arial" w:eastAsia="Arial" w:hAnsi="Arial"/>
          <w:sz w:val="16"/>
          <w:szCs w:val="16"/>
          <w:color w:val="auto"/>
        </w:rPr>
      </w:pPr>
      <w:r>
        <w:rPr>
          <w:rFonts w:ascii="Arial" w:cs="Arial" w:eastAsia="Arial" w:hAnsi="Arial"/>
          <w:sz w:val="16"/>
          <w:szCs w:val="16"/>
          <w:color w:val="auto"/>
        </w:rPr>
        <w:t>exposure to the oil and gas industry’s volatile oil and gas prices;</w:t>
      </w:r>
    </w:p>
    <w:p>
      <w:pPr>
        <w:spacing w:after="0" w:line="113" w:lineRule="exact"/>
        <w:rPr>
          <w:rFonts w:ascii="Arial" w:cs="Arial" w:eastAsia="Arial" w:hAnsi="Arial"/>
          <w:sz w:val="16"/>
          <w:szCs w:val="16"/>
          <w:color w:val="auto"/>
        </w:rPr>
      </w:pPr>
    </w:p>
    <w:p>
      <w:pPr>
        <w:ind w:left="820" w:hanging="326"/>
        <w:spacing w:after="0"/>
        <w:tabs>
          <w:tab w:leader="none" w:pos="820" w:val="left"/>
        </w:tabs>
        <w:numPr>
          <w:ilvl w:val="0"/>
          <w:numId w:val="3"/>
        </w:numPr>
        <w:rPr>
          <w:rFonts w:ascii="Arial" w:cs="Arial" w:eastAsia="Arial" w:hAnsi="Arial"/>
          <w:sz w:val="16"/>
          <w:szCs w:val="16"/>
          <w:color w:val="auto"/>
        </w:rPr>
      </w:pPr>
      <w:r>
        <w:rPr>
          <w:rFonts w:ascii="Arial" w:cs="Arial" w:eastAsia="Arial" w:hAnsi="Arial"/>
          <w:sz w:val="16"/>
          <w:szCs w:val="16"/>
          <w:color w:val="auto"/>
        </w:rPr>
        <w:t>difficulties in obtaining effective legal redress in jurisdictions in which we operate with less developed legal systems;</w:t>
      </w:r>
    </w:p>
    <w:p>
      <w:pPr>
        <w:spacing w:after="0" w:line="113" w:lineRule="exact"/>
        <w:rPr>
          <w:rFonts w:ascii="Arial" w:cs="Arial" w:eastAsia="Arial" w:hAnsi="Arial"/>
          <w:sz w:val="16"/>
          <w:szCs w:val="16"/>
          <w:color w:val="auto"/>
        </w:rPr>
      </w:pPr>
    </w:p>
    <w:p>
      <w:pPr>
        <w:ind w:left="820" w:right="20" w:hanging="326"/>
        <w:spacing w:after="0" w:line="291" w:lineRule="auto"/>
        <w:tabs>
          <w:tab w:leader="none" w:pos="820" w:val="left"/>
        </w:tabs>
        <w:numPr>
          <w:ilvl w:val="0"/>
          <w:numId w:val="3"/>
        </w:numPr>
        <w:rPr>
          <w:rFonts w:ascii="Arial" w:cs="Arial" w:eastAsia="Arial" w:hAnsi="Arial"/>
          <w:sz w:val="16"/>
          <w:szCs w:val="16"/>
          <w:color w:val="auto"/>
        </w:rPr>
      </w:pPr>
      <w:r>
        <w:rPr>
          <w:rFonts w:ascii="Arial" w:cs="Arial" w:eastAsia="Arial" w:hAnsi="Arial"/>
          <w:sz w:val="16"/>
          <w:szCs w:val="16"/>
          <w:color w:val="auto"/>
        </w:rPr>
        <w:t>our ability to maintain our exemption from registration under the Investment Company Act of 1940 and the fact that maintaining such exemption imposes limits on our operations;</w:t>
      </w:r>
    </w:p>
    <w:p>
      <w:pPr>
        <w:spacing w:after="0" w:line="40" w:lineRule="exact"/>
        <w:rPr>
          <w:rFonts w:ascii="Arial" w:cs="Arial" w:eastAsia="Arial" w:hAnsi="Arial"/>
          <w:sz w:val="16"/>
          <w:szCs w:val="16"/>
          <w:color w:val="auto"/>
        </w:rPr>
      </w:pPr>
    </w:p>
    <w:p>
      <w:pPr>
        <w:ind w:left="820" w:hanging="326"/>
        <w:spacing w:after="0"/>
        <w:tabs>
          <w:tab w:leader="none" w:pos="820" w:val="left"/>
        </w:tabs>
        <w:numPr>
          <w:ilvl w:val="0"/>
          <w:numId w:val="3"/>
        </w:numPr>
        <w:rPr>
          <w:rFonts w:ascii="Arial" w:cs="Arial" w:eastAsia="Arial" w:hAnsi="Arial"/>
          <w:sz w:val="16"/>
          <w:szCs w:val="16"/>
          <w:color w:val="auto"/>
        </w:rPr>
      </w:pPr>
      <w:r>
        <w:rPr>
          <w:rFonts w:ascii="Arial" w:cs="Arial" w:eastAsia="Arial" w:hAnsi="Arial"/>
          <w:sz w:val="16"/>
          <w:szCs w:val="16"/>
          <w:color w:val="auto"/>
        </w:rPr>
        <w:t>our ability to successfully utilize leverage in connection with our investments;</w:t>
      </w:r>
    </w:p>
    <w:p>
      <w:pPr>
        <w:spacing w:after="0" w:line="113" w:lineRule="exact"/>
        <w:rPr>
          <w:rFonts w:ascii="Arial" w:cs="Arial" w:eastAsia="Arial" w:hAnsi="Arial"/>
          <w:sz w:val="16"/>
          <w:szCs w:val="16"/>
          <w:color w:val="auto"/>
        </w:rPr>
      </w:pPr>
    </w:p>
    <w:p>
      <w:pPr>
        <w:ind w:left="820" w:hanging="326"/>
        <w:spacing w:after="0"/>
        <w:tabs>
          <w:tab w:leader="none" w:pos="820" w:val="left"/>
        </w:tabs>
        <w:numPr>
          <w:ilvl w:val="0"/>
          <w:numId w:val="3"/>
        </w:numPr>
        <w:rPr>
          <w:rFonts w:ascii="Arial" w:cs="Arial" w:eastAsia="Arial" w:hAnsi="Arial"/>
          <w:sz w:val="16"/>
          <w:szCs w:val="16"/>
          <w:color w:val="auto"/>
        </w:rPr>
      </w:pPr>
      <w:r>
        <w:rPr>
          <w:rFonts w:ascii="Arial" w:cs="Arial" w:eastAsia="Arial" w:hAnsi="Arial"/>
          <w:sz w:val="16"/>
          <w:szCs w:val="16"/>
          <w:color w:val="auto"/>
        </w:rPr>
        <w:t>foreign currency risk and risk management activities;</w:t>
      </w:r>
    </w:p>
    <w:p>
      <w:pPr>
        <w:spacing w:after="0" w:line="113" w:lineRule="exact"/>
        <w:rPr>
          <w:rFonts w:ascii="Arial" w:cs="Arial" w:eastAsia="Arial" w:hAnsi="Arial"/>
          <w:sz w:val="16"/>
          <w:szCs w:val="16"/>
          <w:color w:val="auto"/>
        </w:rPr>
      </w:pPr>
    </w:p>
    <w:p>
      <w:pPr>
        <w:ind w:left="820" w:hanging="326"/>
        <w:spacing w:after="0"/>
        <w:tabs>
          <w:tab w:leader="none" w:pos="820" w:val="left"/>
        </w:tabs>
        <w:numPr>
          <w:ilvl w:val="0"/>
          <w:numId w:val="3"/>
        </w:numPr>
        <w:rPr>
          <w:rFonts w:ascii="Arial" w:cs="Arial" w:eastAsia="Arial" w:hAnsi="Arial"/>
          <w:sz w:val="16"/>
          <w:szCs w:val="16"/>
          <w:color w:val="auto"/>
        </w:rPr>
      </w:pPr>
      <w:r>
        <w:rPr>
          <w:rFonts w:ascii="Arial" w:cs="Arial" w:eastAsia="Arial" w:hAnsi="Arial"/>
          <w:sz w:val="16"/>
          <w:szCs w:val="16"/>
          <w:color w:val="auto"/>
        </w:rPr>
        <w:t>effectiveness of our internal control over financial reporting;</w:t>
      </w:r>
    </w:p>
    <w:p>
      <w:pPr>
        <w:spacing w:after="0" w:line="113" w:lineRule="exact"/>
        <w:rPr>
          <w:rFonts w:ascii="Arial" w:cs="Arial" w:eastAsia="Arial" w:hAnsi="Arial"/>
          <w:sz w:val="16"/>
          <w:szCs w:val="16"/>
          <w:color w:val="auto"/>
        </w:rPr>
      </w:pPr>
    </w:p>
    <w:p>
      <w:pPr>
        <w:ind w:left="820" w:hanging="326"/>
        <w:spacing w:after="0"/>
        <w:tabs>
          <w:tab w:leader="none" w:pos="820" w:val="left"/>
        </w:tabs>
        <w:numPr>
          <w:ilvl w:val="0"/>
          <w:numId w:val="3"/>
        </w:numPr>
        <w:rPr>
          <w:rFonts w:ascii="Arial" w:cs="Arial" w:eastAsia="Arial" w:hAnsi="Arial"/>
          <w:sz w:val="16"/>
          <w:szCs w:val="16"/>
          <w:color w:val="auto"/>
        </w:rPr>
      </w:pPr>
      <w:r>
        <w:rPr>
          <w:rFonts w:ascii="Arial" w:cs="Arial" w:eastAsia="Arial" w:hAnsi="Arial"/>
          <w:sz w:val="16"/>
          <w:szCs w:val="16"/>
          <w:color w:val="auto"/>
        </w:rPr>
        <w:t>exposure to environmental risks, including increasing environmental legislation and the broader impacts of climate change;</w:t>
      </w:r>
    </w:p>
    <w:p>
      <w:pPr>
        <w:spacing w:after="0" w:line="113" w:lineRule="exact"/>
        <w:rPr>
          <w:rFonts w:ascii="Arial" w:cs="Arial" w:eastAsia="Arial" w:hAnsi="Arial"/>
          <w:sz w:val="16"/>
          <w:szCs w:val="16"/>
          <w:color w:val="auto"/>
        </w:rPr>
      </w:pPr>
    </w:p>
    <w:p>
      <w:pPr>
        <w:ind w:left="820" w:hanging="326"/>
        <w:spacing w:after="0"/>
        <w:tabs>
          <w:tab w:leader="none" w:pos="820" w:val="left"/>
        </w:tabs>
        <w:numPr>
          <w:ilvl w:val="0"/>
          <w:numId w:val="3"/>
        </w:numPr>
        <w:rPr>
          <w:rFonts w:ascii="Arial" w:cs="Arial" w:eastAsia="Arial" w:hAnsi="Arial"/>
          <w:sz w:val="16"/>
          <w:szCs w:val="16"/>
          <w:color w:val="auto"/>
        </w:rPr>
      </w:pPr>
      <w:r>
        <w:rPr>
          <w:rFonts w:ascii="Arial" w:cs="Arial" w:eastAsia="Arial" w:hAnsi="Arial"/>
          <w:sz w:val="16"/>
          <w:szCs w:val="16"/>
          <w:color w:val="auto"/>
        </w:rPr>
        <w:t>changes in interest rates and/or credit spreads, as well as the success of any hedging strategy we may undertake in relation to such changes;</w:t>
      </w:r>
    </w:p>
    <w:p>
      <w:pPr>
        <w:spacing w:after="0" w:line="113" w:lineRule="exact"/>
        <w:rPr>
          <w:rFonts w:ascii="Arial" w:cs="Arial" w:eastAsia="Arial" w:hAnsi="Arial"/>
          <w:sz w:val="16"/>
          <w:szCs w:val="16"/>
          <w:color w:val="auto"/>
        </w:rPr>
      </w:pPr>
    </w:p>
    <w:p>
      <w:pPr>
        <w:ind w:left="820" w:right="20" w:hanging="326"/>
        <w:spacing w:after="0" w:line="291" w:lineRule="auto"/>
        <w:tabs>
          <w:tab w:leader="none" w:pos="820" w:val="left"/>
        </w:tabs>
        <w:numPr>
          <w:ilvl w:val="0"/>
          <w:numId w:val="3"/>
        </w:numPr>
        <w:rPr>
          <w:rFonts w:ascii="Arial" w:cs="Arial" w:eastAsia="Arial" w:hAnsi="Arial"/>
          <w:sz w:val="16"/>
          <w:szCs w:val="16"/>
          <w:color w:val="auto"/>
        </w:rPr>
      </w:pPr>
      <w:r>
        <w:rPr>
          <w:rFonts w:ascii="Arial" w:cs="Arial" w:eastAsia="Arial" w:hAnsi="Arial"/>
          <w:sz w:val="16"/>
          <w:szCs w:val="16"/>
          <w:color w:val="auto"/>
        </w:rPr>
        <w:t>actions taken by national, state, or provincial governments, including nationalization, or the imposition of new taxes, could materially impact the financial performance or value of our assets;</w:t>
      </w:r>
    </w:p>
    <w:p>
      <w:pPr>
        <w:spacing w:after="0" w:line="40" w:lineRule="exact"/>
        <w:rPr>
          <w:rFonts w:ascii="Arial" w:cs="Arial" w:eastAsia="Arial" w:hAnsi="Arial"/>
          <w:sz w:val="16"/>
          <w:szCs w:val="16"/>
          <w:color w:val="auto"/>
        </w:rPr>
      </w:pPr>
    </w:p>
    <w:p>
      <w:pPr>
        <w:ind w:left="820" w:hanging="326"/>
        <w:spacing w:after="0"/>
        <w:tabs>
          <w:tab w:leader="none" w:pos="820" w:val="left"/>
        </w:tabs>
        <w:numPr>
          <w:ilvl w:val="0"/>
          <w:numId w:val="3"/>
        </w:numPr>
        <w:rPr>
          <w:rFonts w:ascii="Arial" w:cs="Arial" w:eastAsia="Arial" w:hAnsi="Arial"/>
          <w:sz w:val="16"/>
          <w:szCs w:val="16"/>
          <w:color w:val="auto"/>
        </w:rPr>
      </w:pPr>
      <w:r>
        <w:rPr>
          <w:rFonts w:ascii="Arial" w:cs="Arial" w:eastAsia="Arial" w:hAnsi="Arial"/>
          <w:sz w:val="16"/>
          <w:szCs w:val="16"/>
          <w:color w:val="auto"/>
        </w:rPr>
        <w:t>our dependence on our Manager and its professionals and actual, potential or perceived conflicts of interest in our relationship with our Manager;</w:t>
      </w:r>
    </w:p>
    <w:p>
      <w:pPr>
        <w:spacing w:after="0" w:line="113" w:lineRule="exact"/>
        <w:rPr>
          <w:rFonts w:ascii="Arial" w:cs="Arial" w:eastAsia="Arial" w:hAnsi="Arial"/>
          <w:sz w:val="16"/>
          <w:szCs w:val="16"/>
          <w:color w:val="auto"/>
        </w:rPr>
      </w:pPr>
    </w:p>
    <w:p>
      <w:pPr>
        <w:ind w:left="820" w:hanging="326"/>
        <w:spacing w:after="0"/>
        <w:tabs>
          <w:tab w:leader="none" w:pos="820" w:val="left"/>
        </w:tabs>
        <w:numPr>
          <w:ilvl w:val="0"/>
          <w:numId w:val="3"/>
        </w:numPr>
        <w:rPr>
          <w:rFonts w:ascii="Arial" w:cs="Arial" w:eastAsia="Arial" w:hAnsi="Arial"/>
          <w:sz w:val="16"/>
          <w:szCs w:val="16"/>
          <w:color w:val="auto"/>
        </w:rPr>
      </w:pPr>
      <w:r>
        <w:rPr>
          <w:rFonts w:ascii="Arial" w:cs="Arial" w:eastAsia="Arial" w:hAnsi="Arial"/>
          <w:sz w:val="16"/>
          <w:szCs w:val="16"/>
          <w:color w:val="auto"/>
        </w:rPr>
        <w:t>effects of the pending merger of Fortress Investment Group LLC with affiliates of SoftBank Group Corp.;</w:t>
      </w:r>
    </w:p>
    <w:p>
      <w:pPr>
        <w:spacing w:after="0" w:line="24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w:t>
      </w:r>
    </w:p>
    <w:p>
      <w:pPr>
        <w:sectPr>
          <w:pgSz w:w="11900" w:h="16838" w:orient="portrait"/>
          <w:cols w:equalWidth="0" w:num="1">
            <w:col w:w="11420"/>
          </w:cols>
          <w:pgMar w:left="240" w:top="576" w:right="239" w:bottom="1440" w:gutter="0" w:footer="0" w:header="0"/>
        </w:sectPr>
      </w:pPr>
    </w:p>
    <w:bookmarkStart w:id="2" w:name="page3"/>
    <w:bookmarkEnd w:id="2"/>
    <w:p>
      <w:pPr>
        <w:ind w:left="820" w:hanging="326"/>
        <w:spacing w:after="0"/>
        <w:tabs>
          <w:tab w:leader="none" w:pos="820" w:val="left"/>
        </w:tabs>
        <w:numPr>
          <w:ilvl w:val="0"/>
          <w:numId w:val="4"/>
        </w:numPr>
        <w:rPr>
          <w:rFonts w:ascii="Arial" w:cs="Arial" w:eastAsia="Arial" w:hAnsi="Arial"/>
          <w:sz w:val="16"/>
          <w:szCs w:val="16"/>
          <w:color w:val="auto"/>
        </w:rPr>
      </w:pPr>
      <w:r>
        <w:rPr>
          <w:rFonts w:ascii="Arial" w:cs="Arial" w:eastAsia="Arial" w:hAnsi="Arial"/>
          <w:sz w:val="16"/>
          <w:szCs w:val="16"/>
          <w:color w:val="auto"/>
        </w:rPr>
        <w:t>volatility in the market price of our common shares;</w:t>
      </w:r>
    </w:p>
    <w:p>
      <w:pPr>
        <w:spacing w:after="0" w:line="113" w:lineRule="exact"/>
        <w:rPr>
          <w:rFonts w:ascii="Arial" w:cs="Arial" w:eastAsia="Arial" w:hAnsi="Arial"/>
          <w:sz w:val="16"/>
          <w:szCs w:val="16"/>
          <w:color w:val="auto"/>
        </w:rPr>
      </w:pPr>
    </w:p>
    <w:p>
      <w:pPr>
        <w:ind w:left="820" w:hanging="326"/>
        <w:spacing w:after="0"/>
        <w:tabs>
          <w:tab w:leader="none" w:pos="820" w:val="left"/>
        </w:tabs>
        <w:numPr>
          <w:ilvl w:val="0"/>
          <w:numId w:val="4"/>
        </w:numPr>
        <w:rPr>
          <w:rFonts w:ascii="Arial" w:cs="Arial" w:eastAsia="Arial" w:hAnsi="Arial"/>
          <w:sz w:val="16"/>
          <w:szCs w:val="16"/>
          <w:color w:val="auto"/>
        </w:rPr>
      </w:pPr>
      <w:r>
        <w:rPr>
          <w:rFonts w:ascii="Arial" w:cs="Arial" w:eastAsia="Arial" w:hAnsi="Arial"/>
          <w:sz w:val="16"/>
          <w:szCs w:val="16"/>
          <w:color w:val="auto"/>
        </w:rPr>
        <w:t>the inability to pay dividends to our shareholders in the future; and</w:t>
      </w:r>
    </w:p>
    <w:p>
      <w:pPr>
        <w:spacing w:after="0" w:line="113" w:lineRule="exact"/>
        <w:rPr>
          <w:rFonts w:ascii="Arial" w:cs="Arial" w:eastAsia="Arial" w:hAnsi="Arial"/>
          <w:sz w:val="16"/>
          <w:szCs w:val="16"/>
          <w:color w:val="auto"/>
        </w:rPr>
      </w:pPr>
    </w:p>
    <w:p>
      <w:pPr>
        <w:ind w:left="820" w:hanging="326"/>
        <w:spacing w:after="0"/>
        <w:tabs>
          <w:tab w:leader="none" w:pos="820" w:val="left"/>
        </w:tabs>
        <w:numPr>
          <w:ilvl w:val="0"/>
          <w:numId w:val="4"/>
        </w:numPr>
        <w:rPr>
          <w:rFonts w:ascii="Arial" w:cs="Arial" w:eastAsia="Arial" w:hAnsi="Arial"/>
          <w:sz w:val="16"/>
          <w:szCs w:val="16"/>
          <w:color w:val="auto"/>
        </w:rPr>
      </w:pPr>
      <w:r>
        <w:rPr>
          <w:rFonts w:ascii="Arial" w:cs="Arial" w:eastAsia="Arial" w:hAnsi="Arial"/>
          <w:sz w:val="16"/>
          <w:szCs w:val="16"/>
          <w:color w:val="auto"/>
        </w:rPr>
        <w:t>other risks described in the “Risk Factors” section of this report.</w:t>
      </w:r>
    </w:p>
    <w:p>
      <w:pPr>
        <w:spacing w:after="0" w:line="113" w:lineRule="exact"/>
        <w:rPr>
          <w:sz w:val="20"/>
          <w:szCs w:val="20"/>
          <w:color w:val="auto"/>
        </w:rPr>
      </w:pPr>
    </w:p>
    <w:p>
      <w:pPr>
        <w:jc w:val="both"/>
        <w:spacing w:after="0" w:line="264" w:lineRule="auto"/>
        <w:rPr>
          <w:sz w:val="20"/>
          <w:szCs w:val="20"/>
          <w:color w:val="auto"/>
        </w:rPr>
      </w:pPr>
      <w:r>
        <w:rPr>
          <w:rFonts w:ascii="Arial" w:cs="Arial" w:eastAsia="Arial" w:hAnsi="Arial"/>
          <w:sz w:val="16"/>
          <w:szCs w:val="16"/>
          <w:color w:val="auto"/>
        </w:rPr>
        <w:t>These factors should not be construed as exhaustive and should be read in conjunction with the other cautionary statements that are included in this report. The forward-looking statements made in this report relate only to events as of the date on which the statements are made. We do not undertake any obligation to publicly update or review any forward-looking statement except as required by law, whether as a result of new information, future developments or otherwise.</w:t>
      </w:r>
    </w:p>
    <w:p>
      <w:pPr>
        <w:spacing w:after="0" w:line="365" w:lineRule="exact"/>
        <w:rPr>
          <w:sz w:val="20"/>
          <w:szCs w:val="20"/>
          <w:color w:val="auto"/>
        </w:rPr>
      </w:pPr>
    </w:p>
    <w:p>
      <w:pPr>
        <w:jc w:val="both"/>
        <w:spacing w:after="0" w:line="264" w:lineRule="auto"/>
        <w:rPr>
          <w:sz w:val="20"/>
          <w:szCs w:val="20"/>
          <w:color w:val="auto"/>
        </w:rPr>
      </w:pPr>
      <w:r>
        <w:rPr>
          <w:rFonts w:ascii="Arial" w:cs="Arial" w:eastAsia="Arial" w:hAnsi="Arial"/>
          <w:sz w:val="16"/>
          <w:szCs w:val="16"/>
          <w:color w:val="auto"/>
        </w:rPr>
        <w:t>If one or more of these or other risks or uncertainties materialize, or if our underlying assumptions prove to be incorrect, our actual results may vary materially from what we may have expressed or implied by these forward-looking statements. We caution that you should not place undue reliance on any of our forward-looking statements. Furthermore, new risks and uncertainties arise from time to time, and it is impossible for us to predict those events or how they may affect us.</w:t>
      </w: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w:t>
      </w:r>
    </w:p>
    <w:p>
      <w:pPr>
        <w:sectPr>
          <w:pgSz w:w="11900" w:h="16838" w:orient="portrait"/>
          <w:cols w:equalWidth="0" w:num="1">
            <w:col w:w="11420"/>
          </w:cols>
          <w:pgMar w:left="240" w:top="689" w:right="239" w:bottom="1440" w:gutter="0" w:footer="0" w:header="0"/>
        </w:sectPr>
      </w:pPr>
    </w:p>
    <w:bookmarkStart w:id="3" w:name="page4"/>
    <w:bookmarkEnd w:id="3"/>
    <w:p>
      <w:pPr>
        <w:jc w:val="center"/>
        <w:ind w:right="-439"/>
        <w:spacing w:after="0"/>
        <w:rPr>
          <w:sz w:val="20"/>
          <w:szCs w:val="20"/>
          <w:color w:val="auto"/>
        </w:rPr>
      </w:pPr>
      <w:r>
        <w:rPr>
          <w:rFonts w:ascii="Arial" w:cs="Arial" w:eastAsia="Arial" w:hAnsi="Arial"/>
          <w:sz w:val="22"/>
          <w:szCs w:val="22"/>
          <w:b w:val="1"/>
          <w:bCs w:val="1"/>
          <w:color w:val="00497F"/>
        </w:rPr>
        <w:t>FORTRESS TRANSPORTATION AND INFRASTRUCTURE INVESTORS LLC</w:t>
      </w:r>
    </w:p>
    <w:p>
      <w:pPr>
        <w:spacing w:after="0" w:line="85" w:lineRule="exact"/>
        <w:rPr>
          <w:sz w:val="20"/>
          <w:szCs w:val="20"/>
          <w:color w:val="auto"/>
        </w:rPr>
      </w:pPr>
    </w:p>
    <w:p>
      <w:pPr>
        <w:jc w:val="center"/>
        <w:ind w:right="-439"/>
        <w:spacing w:after="0"/>
        <w:rPr>
          <w:sz w:val="20"/>
          <w:szCs w:val="20"/>
          <w:color w:val="auto"/>
        </w:rPr>
      </w:pPr>
      <w:r>
        <w:rPr>
          <w:rFonts w:ascii="Arial" w:cs="Arial" w:eastAsia="Arial" w:hAnsi="Arial"/>
          <w:sz w:val="22"/>
          <w:szCs w:val="22"/>
          <w:b w:val="1"/>
          <w:bCs w:val="1"/>
          <w:color w:val="00497F"/>
        </w:rPr>
        <w:t>INDEX TO FORM 10-Q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124460</wp:posOffset>
            </wp:positionV>
            <wp:extent cx="72720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332"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10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340" w:type="dxa"/>
            <w:vAlign w:val="bottom"/>
            <w:gridSpan w:val="11"/>
          </w:tcPr>
          <w:p>
            <w:pPr>
              <w:ind w:left="260"/>
              <w:spacing w:after="0"/>
              <w:rPr>
                <w:sz w:val="20"/>
                <w:szCs w:val="20"/>
                <w:color w:val="auto"/>
              </w:rPr>
            </w:pPr>
            <w:r>
              <w:rPr>
                <w:rFonts w:ascii="Arial" w:cs="Arial" w:eastAsia="Arial" w:hAnsi="Arial"/>
                <w:sz w:val="14"/>
                <w:szCs w:val="14"/>
                <w:b w:val="1"/>
                <w:bCs w:val="1"/>
                <w:color w:val="006EBF"/>
              </w:rPr>
              <w:t>PART I - FINANCIAL INFORMATION</w:t>
            </w: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178"/>
        </w:trPr>
        <w:tc>
          <w:tcPr>
            <w:tcW w:w="1040" w:type="dxa"/>
            <w:vAlign w:val="bottom"/>
          </w:tcPr>
          <w:p>
            <w:pPr>
              <w:spacing w:after="0"/>
              <w:rPr>
                <w:sz w:val="20"/>
                <w:szCs w:val="20"/>
                <w:color w:val="auto"/>
              </w:rPr>
            </w:pPr>
            <w:r>
              <w:rPr>
                <w:rFonts w:ascii="Arial" w:cs="Arial" w:eastAsia="Arial" w:hAnsi="Arial"/>
                <w:sz w:val="14"/>
                <w:szCs w:val="14"/>
                <w:b w:val="1"/>
                <w:bCs w:val="1"/>
                <w:color w:val="006EBF"/>
              </w:rPr>
              <w:t>Item 1.</w:t>
            </w:r>
          </w:p>
        </w:tc>
        <w:tc>
          <w:tcPr>
            <w:tcW w:w="9700" w:type="dxa"/>
            <w:vAlign w:val="bottom"/>
            <w:gridSpan w:val="28"/>
          </w:tcPr>
          <w:p>
            <w:pPr>
              <w:spacing w:after="0"/>
              <w:rPr>
                <w:rFonts w:ascii="Arial" w:cs="Arial" w:eastAsia="Arial" w:hAnsi="Arial"/>
                <w:sz w:val="14"/>
                <w:szCs w:val="14"/>
                <w:color w:val="0000EE"/>
              </w:rPr>
            </w:pPr>
            <w:hyperlink w:anchor="page5">
              <w:r>
                <w:rPr>
                  <w:rFonts w:ascii="Arial" w:cs="Arial" w:eastAsia="Arial" w:hAnsi="Arial"/>
                  <w:sz w:val="14"/>
                  <w:szCs w:val="14"/>
                  <w:color w:val="0000EE"/>
                </w:rPr>
                <w:t>Unaudited Consolidated Financial Statements of Fortress Transportation and Infrastructure Investors LLC:</w:t>
              </w:r>
            </w:hyperlink>
          </w:p>
        </w:tc>
        <w:tc>
          <w:tcPr>
            <w:tcW w:w="140" w:type="dxa"/>
            <w:vAlign w:val="bottom"/>
            <w:gridSpan w:val="2"/>
          </w:tcPr>
          <w:p>
            <w:pPr>
              <w:spacing w:after="0"/>
              <w:rPr>
                <w:rFonts w:ascii="Arial" w:cs="Arial" w:eastAsia="Arial" w:hAnsi="Arial"/>
                <w:sz w:val="14"/>
                <w:szCs w:val="14"/>
                <w:color w:val="0000EE"/>
              </w:rPr>
            </w:pPr>
            <w:hyperlink w:anchor="page5">
              <w:r>
                <w:rPr>
                  <w:rFonts w:ascii="Arial" w:cs="Arial" w:eastAsia="Arial" w:hAnsi="Arial"/>
                  <w:sz w:val="14"/>
                  <w:szCs w:val="14"/>
                  <w:color w:val="0000EE"/>
                </w:rPr>
                <w:t>5</w:t>
              </w:r>
            </w:hyperlink>
          </w:p>
        </w:tc>
        <w:tc>
          <w:tcPr>
            <w:tcW w:w="20" w:type="dxa"/>
            <w:vAlign w:val="bottom"/>
          </w:tcPr>
          <w:p>
            <w:pPr>
              <w:spacing w:after="0"/>
              <w:rPr>
                <w:sz w:val="15"/>
                <w:szCs w:val="15"/>
                <w:color w:val="auto"/>
              </w:rPr>
            </w:pPr>
          </w:p>
        </w:tc>
      </w:tr>
      <w:tr>
        <w:trPr>
          <w:trHeight w:val="250"/>
        </w:trPr>
        <w:tc>
          <w:tcPr>
            <w:tcW w:w="1040" w:type="dxa"/>
            <w:vAlign w:val="bottom"/>
          </w:tcPr>
          <w:p>
            <w:pPr>
              <w:spacing w:after="0"/>
              <w:rPr>
                <w:sz w:val="21"/>
                <w:szCs w:val="21"/>
                <w:color w:val="auto"/>
              </w:rPr>
            </w:pPr>
          </w:p>
        </w:tc>
        <w:tc>
          <w:tcPr>
            <w:tcW w:w="340" w:type="dxa"/>
            <w:vAlign w:val="bottom"/>
            <w:tcBorders>
              <w:top w:val="single" w:sz="8" w:color="0000EE"/>
            </w:tcBorders>
          </w:tcPr>
          <w:p>
            <w:pPr>
              <w:spacing w:after="0"/>
              <w:rPr>
                <w:sz w:val="21"/>
                <w:szCs w:val="21"/>
                <w:color w:val="auto"/>
              </w:rPr>
            </w:pPr>
          </w:p>
        </w:tc>
        <w:tc>
          <w:tcPr>
            <w:tcW w:w="5180" w:type="dxa"/>
            <w:vAlign w:val="bottom"/>
            <w:tcBorders>
              <w:top w:val="single" w:sz="8" w:color="0000EE"/>
              <w:bottom w:val="single" w:sz="8" w:color="0000EE"/>
            </w:tcBorders>
            <w:gridSpan w:val="20"/>
          </w:tcPr>
          <w:p>
            <w:pPr>
              <w:spacing w:after="0"/>
              <w:rPr>
                <w:rFonts w:ascii="Arial" w:cs="Arial" w:eastAsia="Arial" w:hAnsi="Arial"/>
                <w:sz w:val="14"/>
                <w:szCs w:val="14"/>
                <w:color w:val="0000EE"/>
              </w:rPr>
            </w:pPr>
            <w:hyperlink w:anchor="page5">
              <w:r>
                <w:rPr>
                  <w:rFonts w:ascii="Arial" w:cs="Arial" w:eastAsia="Arial" w:hAnsi="Arial"/>
                  <w:sz w:val="14"/>
                  <w:szCs w:val="14"/>
                  <w:color w:val="0000EE"/>
                </w:rPr>
                <w:t>Consolidated Balance Sheets as of September 30, 2017 and December 31, 2016</w:t>
              </w:r>
            </w:hyperlink>
          </w:p>
        </w:tc>
        <w:tc>
          <w:tcPr>
            <w:tcW w:w="1220" w:type="dxa"/>
            <w:vAlign w:val="bottom"/>
            <w:tcBorders>
              <w:top w:val="single" w:sz="8" w:color="0000EE"/>
            </w:tcBorders>
            <w:gridSpan w:val="4"/>
          </w:tcPr>
          <w:p>
            <w:pPr>
              <w:spacing w:after="0"/>
              <w:rPr>
                <w:sz w:val="21"/>
                <w:szCs w:val="21"/>
                <w:color w:val="auto"/>
              </w:rPr>
            </w:pPr>
          </w:p>
        </w:tc>
        <w:tc>
          <w:tcPr>
            <w:tcW w:w="2960" w:type="dxa"/>
            <w:vAlign w:val="bottom"/>
            <w:gridSpan w:val="3"/>
          </w:tcPr>
          <w:p>
            <w:pPr>
              <w:spacing w:after="0"/>
              <w:rPr>
                <w:sz w:val="21"/>
                <w:szCs w:val="21"/>
                <w:color w:val="auto"/>
              </w:rPr>
            </w:pPr>
          </w:p>
        </w:tc>
        <w:tc>
          <w:tcPr>
            <w:tcW w:w="80" w:type="dxa"/>
            <w:vAlign w:val="bottom"/>
            <w:tcBorders>
              <w:top w:val="single" w:sz="8" w:color="0000EE"/>
              <w:bottom w:val="single" w:sz="8" w:color="0000EE"/>
            </w:tcBorders>
          </w:tcPr>
          <w:p>
            <w:pPr>
              <w:spacing w:after="0"/>
              <w:rPr>
                <w:rFonts w:ascii="Arial" w:cs="Arial" w:eastAsia="Arial" w:hAnsi="Arial"/>
                <w:sz w:val="14"/>
                <w:szCs w:val="14"/>
                <w:color w:val="0000EE"/>
                <w:w w:val="76"/>
              </w:rPr>
            </w:pPr>
            <w:hyperlink w:anchor="page5">
              <w:r>
                <w:rPr>
                  <w:rFonts w:ascii="Arial" w:cs="Arial" w:eastAsia="Arial" w:hAnsi="Arial"/>
                  <w:sz w:val="14"/>
                  <w:szCs w:val="14"/>
                  <w:color w:val="0000EE"/>
                  <w:w w:val="76"/>
                </w:rPr>
                <w:t>5</w:t>
              </w:r>
            </w:hyperlink>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r>
      <w:tr>
        <w:trPr>
          <w:trHeight w:val="250"/>
        </w:trPr>
        <w:tc>
          <w:tcPr>
            <w:tcW w:w="10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360" w:type="dxa"/>
            <w:vAlign w:val="bottom"/>
            <w:gridSpan w:val="27"/>
          </w:tcPr>
          <w:p>
            <w:pPr>
              <w:spacing w:after="0"/>
              <w:rPr>
                <w:rFonts w:ascii="Arial" w:cs="Arial" w:eastAsia="Arial" w:hAnsi="Arial"/>
                <w:sz w:val="14"/>
                <w:szCs w:val="14"/>
                <w:color w:val="0000EE"/>
              </w:rPr>
            </w:pPr>
            <w:hyperlink w:anchor="page6">
              <w:r>
                <w:rPr>
                  <w:rFonts w:ascii="Arial" w:cs="Arial" w:eastAsia="Arial" w:hAnsi="Arial"/>
                  <w:sz w:val="14"/>
                  <w:szCs w:val="14"/>
                  <w:color w:val="0000EE"/>
                </w:rPr>
                <w:t>Consolidated Statements of Operations for the three and nine months ended September 30, 2017 and 2016</w:t>
              </w:r>
            </w:hyperlink>
          </w:p>
        </w:tc>
        <w:tc>
          <w:tcPr>
            <w:tcW w:w="140" w:type="dxa"/>
            <w:vAlign w:val="bottom"/>
            <w:gridSpan w:val="2"/>
          </w:tcPr>
          <w:p>
            <w:pPr>
              <w:spacing w:after="0"/>
              <w:rPr>
                <w:rFonts w:ascii="Arial" w:cs="Arial" w:eastAsia="Arial" w:hAnsi="Arial"/>
                <w:sz w:val="14"/>
                <w:szCs w:val="14"/>
                <w:color w:val="0000EE"/>
              </w:rPr>
            </w:pPr>
            <w:hyperlink w:anchor="page6">
              <w:r>
                <w:rPr>
                  <w:rFonts w:ascii="Arial" w:cs="Arial" w:eastAsia="Arial" w:hAnsi="Arial"/>
                  <w:sz w:val="14"/>
                  <w:szCs w:val="14"/>
                  <w:color w:val="0000EE"/>
                </w:rPr>
                <w:t>6</w:t>
              </w:r>
            </w:hyperlink>
          </w:p>
        </w:tc>
        <w:tc>
          <w:tcPr>
            <w:tcW w:w="20" w:type="dxa"/>
            <w:vAlign w:val="bottom"/>
          </w:tcPr>
          <w:p>
            <w:pPr>
              <w:spacing w:after="0"/>
              <w:rPr>
                <w:sz w:val="21"/>
                <w:szCs w:val="21"/>
                <w:color w:val="auto"/>
              </w:rPr>
            </w:pPr>
          </w:p>
        </w:tc>
      </w:tr>
      <w:tr>
        <w:trPr>
          <w:trHeight w:val="20"/>
        </w:trPr>
        <w:tc>
          <w:tcPr>
            <w:tcW w:w="10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0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80" w:type="dxa"/>
            <w:vAlign w:val="bottom"/>
            <w:tcBorders>
              <w:right w:val="single" w:sz="8" w:color="0000EE"/>
            </w:tcBorders>
            <w:shd w:val="clear" w:color="auto" w:fill="0000EE"/>
          </w:tcPr>
          <w:p>
            <w:pPr>
              <w:spacing w:after="0" w:line="20" w:lineRule="exact"/>
              <w:rPr>
                <w:sz w:val="1"/>
                <w:szCs w:val="1"/>
                <w:color w:val="auto"/>
              </w:rPr>
            </w:pPr>
          </w:p>
        </w:tc>
        <w:tc>
          <w:tcPr>
            <w:tcW w:w="200" w:type="dxa"/>
            <w:vAlign w:val="bottom"/>
            <w:tcBorders>
              <w:left w:val="single" w:sz="8" w:color="0000EE"/>
            </w:tcBorders>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280" w:type="dxa"/>
            <w:vAlign w:val="bottom"/>
            <w:gridSpan w:val="2"/>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10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120" w:type="dxa"/>
            <w:vAlign w:val="bottom"/>
            <w:tcBorders>
              <w:bottom w:val="single" w:sz="8" w:color="0000EE"/>
            </w:tcBorders>
            <w:gridSpan w:val="26"/>
          </w:tcPr>
          <w:p>
            <w:pPr>
              <w:spacing w:after="0"/>
              <w:rPr>
                <w:rFonts w:ascii="Arial" w:cs="Arial" w:eastAsia="Arial" w:hAnsi="Arial"/>
                <w:sz w:val="14"/>
                <w:szCs w:val="14"/>
                <w:color w:val="0000EE"/>
              </w:rPr>
            </w:pPr>
            <w:hyperlink w:anchor="page7">
              <w:r>
                <w:rPr>
                  <w:rFonts w:ascii="Arial" w:cs="Arial" w:eastAsia="Arial" w:hAnsi="Arial"/>
                  <w:sz w:val="14"/>
                  <w:szCs w:val="14"/>
                  <w:color w:val="0000EE"/>
                </w:rPr>
                <w:t>Consolidated Statements of Comprehensive Income (Loss) for the three and nine months ended September 30, 2017 and 2016</w:t>
              </w:r>
            </w:hyperlink>
          </w:p>
        </w:tc>
        <w:tc>
          <w:tcPr>
            <w:tcW w:w="1240" w:type="dxa"/>
            <w:vAlign w:val="bottom"/>
          </w:tcPr>
          <w:p>
            <w:pPr>
              <w:spacing w:after="0"/>
              <w:rPr>
                <w:sz w:val="21"/>
                <w:szCs w:val="21"/>
                <w:color w:val="auto"/>
              </w:rPr>
            </w:pPr>
          </w:p>
        </w:tc>
        <w:tc>
          <w:tcPr>
            <w:tcW w:w="80" w:type="dxa"/>
            <w:vAlign w:val="bottom"/>
            <w:tcBorders>
              <w:bottom w:val="single" w:sz="8" w:color="0000EE"/>
            </w:tcBorders>
          </w:tcPr>
          <w:p>
            <w:pPr>
              <w:spacing w:after="0"/>
              <w:rPr>
                <w:rFonts w:ascii="Arial" w:cs="Arial" w:eastAsia="Arial" w:hAnsi="Arial"/>
                <w:sz w:val="14"/>
                <w:szCs w:val="14"/>
                <w:color w:val="0000EE"/>
                <w:w w:val="76"/>
              </w:rPr>
            </w:pPr>
            <w:hyperlink w:anchor="page7">
              <w:r>
                <w:rPr>
                  <w:rFonts w:ascii="Arial" w:cs="Arial" w:eastAsia="Arial" w:hAnsi="Arial"/>
                  <w:sz w:val="14"/>
                  <w:szCs w:val="14"/>
                  <w:color w:val="0000EE"/>
                  <w:w w:val="76"/>
                </w:rPr>
                <w:t>7</w:t>
              </w:r>
            </w:hyperlink>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r>
      <w:tr>
        <w:trPr>
          <w:trHeight w:val="250"/>
        </w:trPr>
        <w:tc>
          <w:tcPr>
            <w:tcW w:w="10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360" w:type="dxa"/>
            <w:vAlign w:val="bottom"/>
            <w:gridSpan w:val="27"/>
          </w:tcPr>
          <w:p>
            <w:pPr>
              <w:spacing w:after="0"/>
              <w:rPr>
                <w:rFonts w:ascii="Arial" w:cs="Arial" w:eastAsia="Arial" w:hAnsi="Arial"/>
                <w:sz w:val="14"/>
                <w:szCs w:val="14"/>
                <w:color w:val="0000EE"/>
              </w:rPr>
            </w:pPr>
            <w:hyperlink w:anchor="page8">
              <w:r>
                <w:rPr>
                  <w:rFonts w:ascii="Arial" w:cs="Arial" w:eastAsia="Arial" w:hAnsi="Arial"/>
                  <w:sz w:val="14"/>
                  <w:szCs w:val="14"/>
                  <w:color w:val="0000EE"/>
                </w:rPr>
                <w:t>Consolidated Statement of Changes in Equity for the nine months ended September 30, 2017</w:t>
              </w:r>
            </w:hyperlink>
          </w:p>
        </w:tc>
        <w:tc>
          <w:tcPr>
            <w:tcW w:w="140" w:type="dxa"/>
            <w:vAlign w:val="bottom"/>
            <w:gridSpan w:val="2"/>
          </w:tcPr>
          <w:p>
            <w:pPr>
              <w:spacing w:after="0"/>
              <w:rPr>
                <w:rFonts w:ascii="Arial" w:cs="Arial" w:eastAsia="Arial" w:hAnsi="Arial"/>
                <w:sz w:val="14"/>
                <w:szCs w:val="14"/>
                <w:color w:val="0000EE"/>
              </w:rPr>
            </w:pPr>
            <w:hyperlink w:anchor="page8">
              <w:r>
                <w:rPr>
                  <w:rFonts w:ascii="Arial" w:cs="Arial" w:eastAsia="Arial" w:hAnsi="Arial"/>
                  <w:sz w:val="14"/>
                  <w:szCs w:val="14"/>
                  <w:color w:val="0000EE"/>
                </w:rPr>
                <w:t>8</w:t>
              </w:r>
            </w:hyperlink>
          </w:p>
        </w:tc>
        <w:tc>
          <w:tcPr>
            <w:tcW w:w="20" w:type="dxa"/>
            <w:vAlign w:val="bottom"/>
          </w:tcPr>
          <w:p>
            <w:pPr>
              <w:spacing w:after="0"/>
              <w:rPr>
                <w:sz w:val="21"/>
                <w:szCs w:val="21"/>
                <w:color w:val="auto"/>
              </w:rPr>
            </w:pPr>
          </w:p>
        </w:tc>
      </w:tr>
      <w:tr>
        <w:trPr>
          <w:trHeight w:val="20"/>
        </w:trPr>
        <w:tc>
          <w:tcPr>
            <w:tcW w:w="10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0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80" w:type="dxa"/>
            <w:vAlign w:val="bottom"/>
            <w:tcBorders>
              <w:right w:val="single" w:sz="8" w:color="0000EE"/>
            </w:tcBorders>
            <w:shd w:val="clear" w:color="auto" w:fill="0000EE"/>
          </w:tcPr>
          <w:p>
            <w:pPr>
              <w:spacing w:after="0" w:line="20" w:lineRule="exact"/>
              <w:rPr>
                <w:sz w:val="1"/>
                <w:szCs w:val="1"/>
                <w:color w:val="auto"/>
              </w:rPr>
            </w:pPr>
          </w:p>
        </w:tc>
        <w:tc>
          <w:tcPr>
            <w:tcW w:w="200" w:type="dxa"/>
            <w:vAlign w:val="bottom"/>
            <w:tcBorders>
              <w:left w:val="single" w:sz="8" w:color="0000EE"/>
            </w:tcBorders>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280" w:type="dxa"/>
            <w:vAlign w:val="bottom"/>
            <w:gridSpan w:val="2"/>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100" w:type="dxa"/>
            <w:vAlign w:val="bottom"/>
            <w:gridSpan w:val="4"/>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10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360" w:type="dxa"/>
            <w:vAlign w:val="bottom"/>
            <w:gridSpan w:val="27"/>
          </w:tcPr>
          <w:p>
            <w:pPr>
              <w:spacing w:after="0"/>
              <w:rPr>
                <w:rFonts w:ascii="Arial" w:cs="Arial" w:eastAsia="Arial" w:hAnsi="Arial"/>
                <w:sz w:val="14"/>
                <w:szCs w:val="14"/>
                <w:color w:val="0000EE"/>
              </w:rPr>
            </w:pPr>
            <w:hyperlink w:anchor="page9">
              <w:r>
                <w:rPr>
                  <w:rFonts w:ascii="Arial" w:cs="Arial" w:eastAsia="Arial" w:hAnsi="Arial"/>
                  <w:sz w:val="14"/>
                  <w:szCs w:val="14"/>
                  <w:color w:val="0000EE"/>
                </w:rPr>
                <w:t>Consolidated Statements of Cash Flows for the nine months ended September 30, 2017 and 2016</w:t>
              </w:r>
            </w:hyperlink>
          </w:p>
        </w:tc>
        <w:tc>
          <w:tcPr>
            <w:tcW w:w="140" w:type="dxa"/>
            <w:vAlign w:val="bottom"/>
            <w:gridSpan w:val="2"/>
          </w:tcPr>
          <w:p>
            <w:pPr>
              <w:spacing w:after="0"/>
              <w:rPr>
                <w:rFonts w:ascii="Arial" w:cs="Arial" w:eastAsia="Arial" w:hAnsi="Arial"/>
                <w:sz w:val="14"/>
                <w:szCs w:val="14"/>
                <w:color w:val="0000EE"/>
              </w:rPr>
            </w:pPr>
            <w:hyperlink w:anchor="page9">
              <w:r>
                <w:rPr>
                  <w:rFonts w:ascii="Arial" w:cs="Arial" w:eastAsia="Arial" w:hAnsi="Arial"/>
                  <w:sz w:val="14"/>
                  <w:szCs w:val="14"/>
                  <w:color w:val="0000EE"/>
                </w:rPr>
                <w:t>9</w:t>
              </w:r>
            </w:hyperlink>
          </w:p>
        </w:tc>
        <w:tc>
          <w:tcPr>
            <w:tcW w:w="20" w:type="dxa"/>
            <w:vAlign w:val="bottom"/>
          </w:tcPr>
          <w:p>
            <w:pPr>
              <w:spacing w:after="0"/>
              <w:rPr>
                <w:sz w:val="21"/>
                <w:szCs w:val="21"/>
                <w:color w:val="auto"/>
              </w:rPr>
            </w:pPr>
          </w:p>
        </w:tc>
      </w:tr>
      <w:tr>
        <w:trPr>
          <w:trHeight w:val="20"/>
        </w:trPr>
        <w:tc>
          <w:tcPr>
            <w:tcW w:w="10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0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80" w:type="dxa"/>
            <w:vAlign w:val="bottom"/>
            <w:tcBorders>
              <w:right w:val="single" w:sz="8" w:color="0000EE"/>
            </w:tcBorders>
            <w:shd w:val="clear" w:color="auto" w:fill="0000EE"/>
          </w:tcPr>
          <w:p>
            <w:pPr>
              <w:spacing w:after="0" w:line="20" w:lineRule="exact"/>
              <w:rPr>
                <w:sz w:val="1"/>
                <w:szCs w:val="1"/>
                <w:color w:val="auto"/>
              </w:rPr>
            </w:pPr>
          </w:p>
        </w:tc>
        <w:tc>
          <w:tcPr>
            <w:tcW w:w="200" w:type="dxa"/>
            <w:vAlign w:val="bottom"/>
            <w:tcBorders>
              <w:left w:val="single" w:sz="8" w:color="0000EE"/>
            </w:tcBorders>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280" w:type="dxa"/>
            <w:vAlign w:val="bottom"/>
            <w:gridSpan w:val="2"/>
            <w:shd w:val="clear" w:color="auto" w:fill="0000EE"/>
          </w:tcPr>
          <w:p>
            <w:pPr>
              <w:spacing w:after="0" w:line="20" w:lineRule="exact"/>
              <w:rPr>
                <w:sz w:val="1"/>
                <w:szCs w:val="1"/>
                <w:color w:val="auto"/>
              </w:rPr>
            </w:pPr>
          </w:p>
        </w:tc>
        <w:tc>
          <w:tcPr>
            <w:tcW w:w="940" w:type="dxa"/>
            <w:vAlign w:val="bottom"/>
            <w:gridSpan w:val="2"/>
            <w:shd w:val="clear" w:color="auto" w:fill="0000EE"/>
          </w:tcPr>
          <w:p>
            <w:pPr>
              <w:spacing w:after="0" w:line="20" w:lineRule="exact"/>
              <w:rPr>
                <w:sz w:val="1"/>
                <w:szCs w:val="1"/>
                <w:color w:val="auto"/>
              </w:rPr>
            </w:pPr>
          </w:p>
        </w:tc>
        <w:tc>
          <w:tcPr>
            <w:tcW w:w="3100" w:type="dxa"/>
            <w:vAlign w:val="bottom"/>
            <w:gridSpan w:val="4"/>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10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6260" w:type="dxa"/>
            <w:vAlign w:val="bottom"/>
            <w:gridSpan w:val="23"/>
          </w:tcPr>
          <w:p>
            <w:pPr>
              <w:spacing w:after="0"/>
              <w:rPr>
                <w:rFonts w:ascii="Arial" w:cs="Arial" w:eastAsia="Arial" w:hAnsi="Arial"/>
                <w:sz w:val="14"/>
                <w:szCs w:val="14"/>
                <w:color w:val="0000EE"/>
              </w:rPr>
            </w:pPr>
            <w:hyperlink w:anchor="page11">
              <w:r>
                <w:rPr>
                  <w:rFonts w:ascii="Arial" w:cs="Arial" w:eastAsia="Arial" w:hAnsi="Arial"/>
                  <w:sz w:val="14"/>
                  <w:szCs w:val="14"/>
                  <w:color w:val="0000EE"/>
                </w:rPr>
                <w:t>Notes to Consolidated Financial Statements</w:t>
              </w:r>
            </w:hyperlink>
          </w:p>
        </w:tc>
        <w:tc>
          <w:tcPr>
            <w:tcW w:w="3100" w:type="dxa"/>
            <w:vAlign w:val="bottom"/>
            <w:gridSpan w:val="4"/>
          </w:tcPr>
          <w:p>
            <w:pPr>
              <w:spacing w:after="0"/>
              <w:rPr>
                <w:sz w:val="21"/>
                <w:szCs w:val="21"/>
                <w:color w:val="auto"/>
              </w:rPr>
            </w:pPr>
          </w:p>
        </w:tc>
        <w:tc>
          <w:tcPr>
            <w:tcW w:w="160" w:type="dxa"/>
            <w:vAlign w:val="bottom"/>
            <w:gridSpan w:val="3"/>
          </w:tcPr>
          <w:p>
            <w:pPr>
              <w:spacing w:after="0"/>
              <w:rPr>
                <w:rFonts w:ascii="Arial" w:cs="Arial" w:eastAsia="Arial" w:hAnsi="Arial"/>
                <w:sz w:val="14"/>
                <w:szCs w:val="14"/>
                <w:color w:val="0000EE"/>
                <w:w w:val="89"/>
              </w:rPr>
            </w:pPr>
            <w:hyperlink w:anchor="page11">
              <w:r>
                <w:rPr>
                  <w:rFonts w:ascii="Arial" w:cs="Arial" w:eastAsia="Arial" w:hAnsi="Arial"/>
                  <w:sz w:val="14"/>
                  <w:szCs w:val="14"/>
                  <w:color w:val="0000EE"/>
                  <w:w w:val="89"/>
                </w:rPr>
                <w:t>11</w:t>
              </w:r>
            </w:hyperlink>
          </w:p>
        </w:tc>
      </w:tr>
      <w:tr>
        <w:trPr>
          <w:trHeight w:val="20"/>
        </w:trPr>
        <w:tc>
          <w:tcPr>
            <w:tcW w:w="10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0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80" w:type="dxa"/>
            <w:vAlign w:val="bottom"/>
            <w:tcBorders>
              <w:right w:val="single" w:sz="8" w:color="0000EE"/>
            </w:tcBorders>
            <w:shd w:val="clear" w:color="auto" w:fill="0000EE"/>
          </w:tcPr>
          <w:p>
            <w:pPr>
              <w:spacing w:after="0" w:line="20" w:lineRule="exact"/>
              <w:rPr>
                <w:sz w:val="1"/>
                <w:szCs w:val="1"/>
                <w:color w:val="auto"/>
              </w:rPr>
            </w:pPr>
          </w:p>
        </w:tc>
        <w:tc>
          <w:tcPr>
            <w:tcW w:w="200" w:type="dxa"/>
            <w:vAlign w:val="bottom"/>
            <w:tcBorders>
              <w:left w:val="single" w:sz="8" w:color="0000EE"/>
            </w:tcBorders>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80" w:type="dxa"/>
            <w:vAlign w:val="bottom"/>
            <w:gridSpan w:val="2"/>
          </w:tcPr>
          <w:p>
            <w:pPr>
              <w:spacing w:after="0" w:line="20" w:lineRule="exact"/>
              <w:rPr>
                <w:sz w:val="1"/>
                <w:szCs w:val="1"/>
                <w:color w:val="auto"/>
              </w:rPr>
            </w:pPr>
          </w:p>
        </w:tc>
        <w:tc>
          <w:tcPr>
            <w:tcW w:w="4040" w:type="dxa"/>
            <w:vAlign w:val="bottom"/>
            <w:gridSpan w:val="6"/>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10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580" w:type="dxa"/>
            <w:vAlign w:val="bottom"/>
            <w:gridSpan w:val="12"/>
          </w:tcPr>
          <w:p>
            <w:pPr>
              <w:spacing w:after="0"/>
              <w:rPr>
                <w:rFonts w:ascii="Arial" w:cs="Arial" w:eastAsia="Arial" w:hAnsi="Arial"/>
                <w:sz w:val="14"/>
                <w:szCs w:val="14"/>
                <w:color w:val="0000EE"/>
              </w:rPr>
            </w:pPr>
            <w:hyperlink w:anchor="page11">
              <w:r>
                <w:rPr>
                  <w:rFonts w:ascii="Arial" w:cs="Arial" w:eastAsia="Arial" w:hAnsi="Arial"/>
                  <w:sz w:val="14"/>
                  <w:szCs w:val="14"/>
                  <w:color w:val="0000EE"/>
                </w:rPr>
                <w:t>Note 1: Organization</w:t>
              </w:r>
            </w:hyperlink>
          </w:p>
        </w:tc>
        <w:tc>
          <w:tcPr>
            <w:tcW w:w="6560" w:type="dxa"/>
            <w:vAlign w:val="bottom"/>
            <w:gridSpan w:val="14"/>
          </w:tcPr>
          <w:p>
            <w:pPr>
              <w:spacing w:after="0"/>
              <w:rPr>
                <w:sz w:val="21"/>
                <w:szCs w:val="21"/>
                <w:color w:val="auto"/>
              </w:rPr>
            </w:pPr>
          </w:p>
        </w:tc>
        <w:tc>
          <w:tcPr>
            <w:tcW w:w="160" w:type="dxa"/>
            <w:vAlign w:val="bottom"/>
            <w:gridSpan w:val="3"/>
          </w:tcPr>
          <w:p>
            <w:pPr>
              <w:spacing w:after="0"/>
              <w:rPr>
                <w:rFonts w:ascii="Arial" w:cs="Arial" w:eastAsia="Arial" w:hAnsi="Arial"/>
                <w:sz w:val="14"/>
                <w:szCs w:val="14"/>
                <w:color w:val="0000EE"/>
                <w:w w:val="89"/>
              </w:rPr>
            </w:pPr>
            <w:hyperlink w:anchor="page11">
              <w:r>
                <w:rPr>
                  <w:rFonts w:ascii="Arial" w:cs="Arial" w:eastAsia="Arial" w:hAnsi="Arial"/>
                  <w:sz w:val="14"/>
                  <w:szCs w:val="14"/>
                  <w:color w:val="0000EE"/>
                  <w:w w:val="89"/>
                </w:rPr>
                <w:t>11</w:t>
              </w:r>
            </w:hyperlink>
          </w:p>
        </w:tc>
      </w:tr>
      <w:tr>
        <w:trPr>
          <w:trHeight w:val="20"/>
        </w:trPr>
        <w:tc>
          <w:tcPr>
            <w:tcW w:w="10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80" w:type="dxa"/>
            <w:vAlign w:val="bottom"/>
            <w:tcBorders>
              <w:right w:val="single" w:sz="8" w:color="0000EE"/>
            </w:tcBorders>
            <w:shd w:val="clear" w:color="auto" w:fill="0000EE"/>
          </w:tcPr>
          <w:p>
            <w:pPr>
              <w:spacing w:after="0" w:line="20" w:lineRule="exact"/>
              <w:rPr>
                <w:sz w:val="1"/>
                <w:szCs w:val="1"/>
                <w:color w:val="auto"/>
              </w:rPr>
            </w:pPr>
          </w:p>
        </w:tc>
        <w:tc>
          <w:tcPr>
            <w:tcW w:w="200" w:type="dxa"/>
            <w:vAlign w:val="bottom"/>
            <w:tcBorders>
              <w:left w:val="single" w:sz="8" w:color="0000EE"/>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80" w:type="dxa"/>
            <w:vAlign w:val="bottom"/>
            <w:gridSpan w:val="2"/>
          </w:tcPr>
          <w:p>
            <w:pPr>
              <w:spacing w:after="0" w:line="20" w:lineRule="exact"/>
              <w:rPr>
                <w:sz w:val="1"/>
                <w:szCs w:val="1"/>
                <w:color w:val="auto"/>
              </w:rPr>
            </w:pPr>
          </w:p>
        </w:tc>
        <w:tc>
          <w:tcPr>
            <w:tcW w:w="4040" w:type="dxa"/>
            <w:vAlign w:val="bottom"/>
            <w:gridSpan w:val="6"/>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10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3280" w:type="dxa"/>
            <w:vAlign w:val="bottom"/>
            <w:gridSpan w:val="17"/>
          </w:tcPr>
          <w:p>
            <w:pPr>
              <w:spacing w:after="0"/>
              <w:rPr>
                <w:rFonts w:ascii="Arial" w:cs="Arial" w:eastAsia="Arial" w:hAnsi="Arial"/>
                <w:sz w:val="14"/>
                <w:szCs w:val="14"/>
                <w:color w:val="0000EE"/>
              </w:rPr>
            </w:pPr>
            <w:hyperlink w:anchor="page11">
              <w:r>
                <w:rPr>
                  <w:rFonts w:ascii="Arial" w:cs="Arial" w:eastAsia="Arial" w:hAnsi="Arial"/>
                  <w:sz w:val="14"/>
                  <w:szCs w:val="14"/>
                  <w:color w:val="0000EE"/>
                </w:rPr>
                <w:t>Note 2: Summary of Significant Accounting Policies</w:t>
              </w:r>
            </w:hyperlink>
          </w:p>
        </w:tc>
        <w:tc>
          <w:tcPr>
            <w:tcW w:w="5860" w:type="dxa"/>
            <w:vAlign w:val="bottom"/>
            <w:gridSpan w:val="9"/>
          </w:tcPr>
          <w:p>
            <w:pPr>
              <w:spacing w:after="0"/>
              <w:rPr>
                <w:sz w:val="21"/>
                <w:szCs w:val="21"/>
                <w:color w:val="auto"/>
              </w:rPr>
            </w:pPr>
          </w:p>
        </w:tc>
        <w:tc>
          <w:tcPr>
            <w:tcW w:w="160" w:type="dxa"/>
            <w:vAlign w:val="bottom"/>
            <w:gridSpan w:val="3"/>
          </w:tcPr>
          <w:p>
            <w:pPr>
              <w:spacing w:after="0"/>
              <w:rPr>
                <w:rFonts w:ascii="Arial" w:cs="Arial" w:eastAsia="Arial" w:hAnsi="Arial"/>
                <w:sz w:val="14"/>
                <w:szCs w:val="14"/>
                <w:color w:val="0000EE"/>
                <w:w w:val="89"/>
              </w:rPr>
            </w:pPr>
            <w:hyperlink w:anchor="page11">
              <w:r>
                <w:rPr>
                  <w:rFonts w:ascii="Arial" w:cs="Arial" w:eastAsia="Arial" w:hAnsi="Arial"/>
                  <w:sz w:val="14"/>
                  <w:szCs w:val="14"/>
                  <w:color w:val="0000EE"/>
                  <w:w w:val="89"/>
                </w:rPr>
                <w:t>11</w:t>
              </w:r>
            </w:hyperlink>
          </w:p>
        </w:tc>
      </w:tr>
      <w:tr>
        <w:trPr>
          <w:trHeight w:val="20"/>
        </w:trPr>
        <w:tc>
          <w:tcPr>
            <w:tcW w:w="10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80" w:type="dxa"/>
            <w:vAlign w:val="bottom"/>
            <w:tcBorders>
              <w:right w:val="single" w:sz="8" w:color="0000EE"/>
            </w:tcBorders>
            <w:shd w:val="clear" w:color="auto" w:fill="0000EE"/>
          </w:tcPr>
          <w:p>
            <w:pPr>
              <w:spacing w:after="0" w:line="20" w:lineRule="exact"/>
              <w:rPr>
                <w:sz w:val="1"/>
                <w:szCs w:val="1"/>
                <w:color w:val="auto"/>
              </w:rPr>
            </w:pPr>
          </w:p>
        </w:tc>
        <w:tc>
          <w:tcPr>
            <w:tcW w:w="200" w:type="dxa"/>
            <w:vAlign w:val="bottom"/>
            <w:tcBorders>
              <w:left w:val="single" w:sz="8" w:color="0000EE"/>
            </w:tcBorders>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80" w:type="dxa"/>
            <w:vAlign w:val="bottom"/>
            <w:gridSpan w:val="2"/>
          </w:tcPr>
          <w:p>
            <w:pPr>
              <w:spacing w:after="0" w:line="20" w:lineRule="exact"/>
              <w:rPr>
                <w:sz w:val="1"/>
                <w:szCs w:val="1"/>
                <w:color w:val="auto"/>
              </w:rPr>
            </w:pPr>
          </w:p>
        </w:tc>
        <w:tc>
          <w:tcPr>
            <w:tcW w:w="4040" w:type="dxa"/>
            <w:vAlign w:val="bottom"/>
            <w:gridSpan w:val="6"/>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10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020" w:type="dxa"/>
            <w:vAlign w:val="bottom"/>
            <w:tcBorders>
              <w:bottom w:val="single" w:sz="8" w:color="0000EE"/>
            </w:tcBorders>
            <w:gridSpan w:val="9"/>
          </w:tcPr>
          <w:p>
            <w:pPr>
              <w:spacing w:after="0"/>
              <w:rPr>
                <w:rFonts w:ascii="Arial" w:cs="Arial" w:eastAsia="Arial" w:hAnsi="Arial"/>
                <w:sz w:val="14"/>
                <w:szCs w:val="14"/>
                <w:color w:val="0000EE"/>
              </w:rPr>
            </w:pPr>
            <w:hyperlink w:anchor="page16">
              <w:r>
                <w:rPr>
                  <w:rFonts w:ascii="Arial" w:cs="Arial" w:eastAsia="Arial" w:hAnsi="Arial"/>
                  <w:sz w:val="14"/>
                  <w:szCs w:val="14"/>
                  <w:color w:val="0000EE"/>
                </w:rPr>
                <w:t>Note 3: Leasing Equipment, net</w:t>
              </w:r>
            </w:hyperlink>
          </w:p>
        </w:tc>
        <w:tc>
          <w:tcPr>
            <w:tcW w:w="1260" w:type="dxa"/>
            <w:vAlign w:val="bottom"/>
            <w:gridSpan w:val="8"/>
          </w:tcPr>
          <w:p>
            <w:pPr>
              <w:spacing w:after="0"/>
              <w:rPr>
                <w:sz w:val="21"/>
                <w:szCs w:val="21"/>
                <w:color w:val="auto"/>
              </w:rPr>
            </w:pPr>
          </w:p>
        </w:tc>
        <w:tc>
          <w:tcPr>
            <w:tcW w:w="5860" w:type="dxa"/>
            <w:vAlign w:val="bottom"/>
            <w:gridSpan w:val="9"/>
          </w:tcPr>
          <w:p>
            <w:pPr>
              <w:spacing w:after="0"/>
              <w:rPr>
                <w:sz w:val="21"/>
                <w:szCs w:val="21"/>
                <w:color w:val="auto"/>
              </w:rPr>
            </w:pPr>
          </w:p>
        </w:tc>
        <w:tc>
          <w:tcPr>
            <w:tcW w:w="160" w:type="dxa"/>
            <w:vAlign w:val="bottom"/>
            <w:tcBorders>
              <w:bottom w:val="single" w:sz="8" w:color="0000EE"/>
            </w:tcBorders>
            <w:gridSpan w:val="3"/>
          </w:tcPr>
          <w:p>
            <w:pPr>
              <w:spacing w:after="0"/>
              <w:rPr>
                <w:rFonts w:ascii="Arial" w:cs="Arial" w:eastAsia="Arial" w:hAnsi="Arial"/>
                <w:sz w:val="14"/>
                <w:szCs w:val="14"/>
                <w:color w:val="0000EE"/>
                <w:w w:val="89"/>
              </w:rPr>
            </w:pPr>
            <w:hyperlink w:anchor="page16">
              <w:r>
                <w:rPr>
                  <w:rFonts w:ascii="Arial" w:cs="Arial" w:eastAsia="Arial" w:hAnsi="Arial"/>
                  <w:sz w:val="14"/>
                  <w:szCs w:val="14"/>
                  <w:color w:val="0000EE"/>
                  <w:w w:val="89"/>
                </w:rPr>
                <w:t>16</w:t>
              </w:r>
            </w:hyperlink>
          </w:p>
        </w:tc>
      </w:tr>
      <w:tr>
        <w:trPr>
          <w:trHeight w:val="250"/>
        </w:trPr>
        <w:tc>
          <w:tcPr>
            <w:tcW w:w="10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140" w:type="dxa"/>
            <w:vAlign w:val="bottom"/>
            <w:gridSpan w:val="26"/>
          </w:tcPr>
          <w:p>
            <w:pPr>
              <w:spacing w:after="0"/>
              <w:rPr>
                <w:rFonts w:ascii="Arial" w:cs="Arial" w:eastAsia="Arial" w:hAnsi="Arial"/>
                <w:sz w:val="14"/>
                <w:szCs w:val="14"/>
                <w:color w:val="0000EE"/>
              </w:rPr>
            </w:pPr>
            <w:hyperlink w:anchor="page17">
              <w:r>
                <w:rPr>
                  <w:rFonts w:ascii="Arial" w:cs="Arial" w:eastAsia="Arial" w:hAnsi="Arial"/>
                  <w:sz w:val="14"/>
                  <w:szCs w:val="14"/>
                  <w:color w:val="0000EE"/>
                </w:rPr>
                <w:t>Note 4: Finance Leases, net</w:t>
              </w:r>
            </w:hyperlink>
          </w:p>
        </w:tc>
        <w:tc>
          <w:tcPr>
            <w:tcW w:w="160" w:type="dxa"/>
            <w:vAlign w:val="bottom"/>
            <w:gridSpan w:val="3"/>
          </w:tcPr>
          <w:p>
            <w:pPr>
              <w:spacing w:after="0"/>
              <w:rPr>
                <w:rFonts w:ascii="Arial" w:cs="Arial" w:eastAsia="Arial" w:hAnsi="Arial"/>
                <w:sz w:val="14"/>
                <w:szCs w:val="14"/>
                <w:color w:val="0000EE"/>
                <w:w w:val="89"/>
              </w:rPr>
            </w:pPr>
            <w:hyperlink w:anchor="page17">
              <w:r>
                <w:rPr>
                  <w:rFonts w:ascii="Arial" w:cs="Arial" w:eastAsia="Arial" w:hAnsi="Arial"/>
                  <w:sz w:val="14"/>
                  <w:szCs w:val="14"/>
                  <w:color w:val="0000EE"/>
                  <w:w w:val="89"/>
                </w:rPr>
                <w:t>17</w:t>
              </w:r>
            </w:hyperlink>
          </w:p>
        </w:tc>
      </w:tr>
      <w:tr>
        <w:trPr>
          <w:trHeight w:val="20"/>
        </w:trPr>
        <w:tc>
          <w:tcPr>
            <w:tcW w:w="10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80" w:type="dxa"/>
            <w:vAlign w:val="bottom"/>
            <w:tcBorders>
              <w:right w:val="single" w:sz="8" w:color="0000EE"/>
            </w:tcBorders>
            <w:shd w:val="clear" w:color="auto" w:fill="0000EE"/>
          </w:tcPr>
          <w:p>
            <w:pPr>
              <w:spacing w:after="0" w:line="20" w:lineRule="exact"/>
              <w:rPr>
                <w:sz w:val="1"/>
                <w:szCs w:val="1"/>
                <w:color w:val="auto"/>
              </w:rPr>
            </w:pPr>
          </w:p>
        </w:tc>
        <w:tc>
          <w:tcPr>
            <w:tcW w:w="200" w:type="dxa"/>
            <w:vAlign w:val="bottom"/>
            <w:tcBorders>
              <w:left w:val="single" w:sz="8" w:color="0000EE"/>
            </w:tcBorders>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1280" w:type="dxa"/>
            <w:vAlign w:val="bottom"/>
            <w:gridSpan w:val="2"/>
          </w:tcPr>
          <w:p>
            <w:pPr>
              <w:spacing w:after="0" w:line="20" w:lineRule="exact"/>
              <w:rPr>
                <w:sz w:val="1"/>
                <w:szCs w:val="1"/>
                <w:color w:val="auto"/>
              </w:rPr>
            </w:pPr>
          </w:p>
        </w:tc>
        <w:tc>
          <w:tcPr>
            <w:tcW w:w="4040" w:type="dxa"/>
            <w:vAlign w:val="bottom"/>
            <w:gridSpan w:val="6"/>
          </w:tcPr>
          <w:p>
            <w:pPr>
              <w:spacing w:after="0" w:line="20" w:lineRule="exact"/>
              <w:rPr>
                <w:sz w:val="1"/>
                <w:szCs w:val="1"/>
                <w:color w:val="auto"/>
              </w:rPr>
            </w:pPr>
          </w:p>
        </w:tc>
        <w:tc>
          <w:tcPr>
            <w:tcW w:w="160" w:type="dxa"/>
            <w:vAlign w:val="bottom"/>
            <w:gridSpan w:val="3"/>
            <w:shd w:val="clear" w:color="auto" w:fill="0000EE"/>
          </w:tcPr>
          <w:p>
            <w:pPr>
              <w:spacing w:after="0" w:line="20" w:lineRule="exact"/>
              <w:rPr>
                <w:sz w:val="1"/>
                <w:szCs w:val="1"/>
                <w:color w:val="auto"/>
              </w:rPr>
            </w:pPr>
          </w:p>
        </w:tc>
      </w:tr>
      <w:tr>
        <w:trPr>
          <w:trHeight w:val="250"/>
        </w:trPr>
        <w:tc>
          <w:tcPr>
            <w:tcW w:w="10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740" w:type="dxa"/>
            <w:vAlign w:val="bottom"/>
            <w:tcBorders>
              <w:bottom w:val="single" w:sz="8" w:color="0000EE"/>
            </w:tcBorders>
            <w:gridSpan w:val="14"/>
          </w:tcPr>
          <w:p>
            <w:pPr>
              <w:spacing w:after="0"/>
              <w:rPr>
                <w:rFonts w:ascii="Arial" w:cs="Arial" w:eastAsia="Arial" w:hAnsi="Arial"/>
                <w:sz w:val="14"/>
                <w:szCs w:val="14"/>
                <w:color w:val="0000EE"/>
              </w:rPr>
            </w:pPr>
            <w:hyperlink w:anchor="page17">
              <w:r>
                <w:rPr>
                  <w:rFonts w:ascii="Arial" w:cs="Arial" w:eastAsia="Arial" w:hAnsi="Arial"/>
                  <w:sz w:val="14"/>
                  <w:szCs w:val="14"/>
                  <w:color w:val="0000EE"/>
                </w:rPr>
                <w:t>Note 5: Property, Plant and Equipment, net</w:t>
              </w:r>
            </w:hyperlink>
          </w:p>
        </w:tc>
        <w:tc>
          <w:tcPr>
            <w:tcW w:w="6400" w:type="dxa"/>
            <w:vAlign w:val="bottom"/>
            <w:gridSpan w:val="12"/>
          </w:tcPr>
          <w:p>
            <w:pPr>
              <w:spacing w:after="0"/>
              <w:rPr>
                <w:sz w:val="21"/>
                <w:szCs w:val="21"/>
                <w:color w:val="auto"/>
              </w:rPr>
            </w:pPr>
          </w:p>
        </w:tc>
        <w:tc>
          <w:tcPr>
            <w:tcW w:w="160" w:type="dxa"/>
            <w:vAlign w:val="bottom"/>
            <w:tcBorders>
              <w:bottom w:val="single" w:sz="8" w:color="0000EE"/>
            </w:tcBorders>
            <w:gridSpan w:val="3"/>
          </w:tcPr>
          <w:p>
            <w:pPr>
              <w:spacing w:after="0"/>
              <w:rPr>
                <w:rFonts w:ascii="Arial" w:cs="Arial" w:eastAsia="Arial" w:hAnsi="Arial"/>
                <w:sz w:val="14"/>
                <w:szCs w:val="14"/>
                <w:color w:val="0000EE"/>
                <w:w w:val="89"/>
              </w:rPr>
            </w:pPr>
            <w:hyperlink w:anchor="page17">
              <w:r>
                <w:rPr>
                  <w:rFonts w:ascii="Arial" w:cs="Arial" w:eastAsia="Arial" w:hAnsi="Arial"/>
                  <w:sz w:val="14"/>
                  <w:szCs w:val="14"/>
                  <w:color w:val="0000EE"/>
                  <w:w w:val="89"/>
                </w:rPr>
                <w:t>17</w:t>
              </w:r>
            </w:hyperlink>
          </w:p>
        </w:tc>
      </w:tr>
      <w:tr>
        <w:trPr>
          <w:trHeight w:val="250"/>
        </w:trPr>
        <w:tc>
          <w:tcPr>
            <w:tcW w:w="10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140" w:type="dxa"/>
            <w:vAlign w:val="bottom"/>
            <w:gridSpan w:val="26"/>
          </w:tcPr>
          <w:p>
            <w:pPr>
              <w:spacing w:after="0"/>
              <w:rPr>
                <w:rFonts w:ascii="Arial" w:cs="Arial" w:eastAsia="Arial" w:hAnsi="Arial"/>
                <w:sz w:val="14"/>
                <w:szCs w:val="14"/>
                <w:color w:val="0000EE"/>
              </w:rPr>
            </w:pPr>
            <w:hyperlink w:anchor="page18">
              <w:r>
                <w:rPr>
                  <w:rFonts w:ascii="Arial" w:cs="Arial" w:eastAsia="Arial" w:hAnsi="Arial"/>
                  <w:sz w:val="14"/>
                  <w:szCs w:val="14"/>
                  <w:color w:val="0000EE"/>
                </w:rPr>
                <w:t>Note 6: Investments</w:t>
              </w:r>
            </w:hyperlink>
          </w:p>
        </w:tc>
        <w:tc>
          <w:tcPr>
            <w:tcW w:w="160" w:type="dxa"/>
            <w:vAlign w:val="bottom"/>
            <w:gridSpan w:val="3"/>
          </w:tcPr>
          <w:p>
            <w:pPr>
              <w:spacing w:after="0"/>
              <w:rPr>
                <w:rFonts w:ascii="Arial" w:cs="Arial" w:eastAsia="Arial" w:hAnsi="Arial"/>
                <w:sz w:val="14"/>
                <w:szCs w:val="14"/>
                <w:color w:val="0000EE"/>
                <w:w w:val="89"/>
              </w:rPr>
            </w:pPr>
            <w:hyperlink w:anchor="page18">
              <w:r>
                <w:rPr>
                  <w:rFonts w:ascii="Arial" w:cs="Arial" w:eastAsia="Arial" w:hAnsi="Arial"/>
                  <w:sz w:val="14"/>
                  <w:szCs w:val="14"/>
                  <w:color w:val="0000EE"/>
                  <w:w w:val="89"/>
                </w:rPr>
                <w:t>18</w:t>
              </w:r>
            </w:hyperlink>
          </w:p>
        </w:tc>
      </w:tr>
      <w:tr>
        <w:trPr>
          <w:trHeight w:val="20"/>
        </w:trPr>
        <w:tc>
          <w:tcPr>
            <w:tcW w:w="10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80" w:type="dxa"/>
            <w:vAlign w:val="bottom"/>
            <w:tcBorders>
              <w:right w:val="single" w:sz="8" w:color="0000EE"/>
            </w:tcBorders>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1280" w:type="dxa"/>
            <w:vAlign w:val="bottom"/>
            <w:gridSpan w:val="2"/>
          </w:tcPr>
          <w:p>
            <w:pPr>
              <w:spacing w:after="0" w:line="20" w:lineRule="exact"/>
              <w:rPr>
                <w:sz w:val="1"/>
                <w:szCs w:val="1"/>
                <w:color w:val="auto"/>
              </w:rPr>
            </w:pPr>
          </w:p>
        </w:tc>
        <w:tc>
          <w:tcPr>
            <w:tcW w:w="4040" w:type="dxa"/>
            <w:vAlign w:val="bottom"/>
            <w:gridSpan w:val="6"/>
          </w:tcPr>
          <w:p>
            <w:pPr>
              <w:spacing w:after="0" w:line="20" w:lineRule="exact"/>
              <w:rPr>
                <w:sz w:val="1"/>
                <w:szCs w:val="1"/>
                <w:color w:val="auto"/>
              </w:rPr>
            </w:pPr>
          </w:p>
        </w:tc>
        <w:tc>
          <w:tcPr>
            <w:tcW w:w="160" w:type="dxa"/>
            <w:vAlign w:val="bottom"/>
            <w:gridSpan w:val="3"/>
            <w:shd w:val="clear" w:color="auto" w:fill="0000EE"/>
          </w:tcPr>
          <w:p>
            <w:pPr>
              <w:spacing w:after="0" w:line="20" w:lineRule="exact"/>
              <w:rPr>
                <w:sz w:val="1"/>
                <w:szCs w:val="1"/>
                <w:color w:val="auto"/>
              </w:rPr>
            </w:pPr>
          </w:p>
        </w:tc>
      </w:tr>
      <w:tr>
        <w:trPr>
          <w:trHeight w:val="250"/>
        </w:trPr>
        <w:tc>
          <w:tcPr>
            <w:tcW w:w="10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800" w:type="dxa"/>
            <w:vAlign w:val="bottom"/>
            <w:tcBorders>
              <w:bottom w:val="single" w:sz="8" w:color="0000EE"/>
            </w:tcBorders>
            <w:gridSpan w:val="15"/>
          </w:tcPr>
          <w:p>
            <w:pPr>
              <w:spacing w:after="0"/>
              <w:rPr>
                <w:rFonts w:ascii="Arial" w:cs="Arial" w:eastAsia="Arial" w:hAnsi="Arial"/>
                <w:sz w:val="14"/>
                <w:szCs w:val="14"/>
                <w:color w:val="0000EE"/>
              </w:rPr>
            </w:pPr>
            <w:hyperlink w:anchor="page19">
              <w:r>
                <w:rPr>
                  <w:rFonts w:ascii="Arial" w:cs="Arial" w:eastAsia="Arial" w:hAnsi="Arial"/>
                  <w:sz w:val="14"/>
                  <w:szCs w:val="14"/>
                  <w:color w:val="0000EE"/>
                </w:rPr>
                <w:t>Note 7: Intangible Assets and Liabilities, net</w:t>
              </w:r>
            </w:hyperlink>
          </w:p>
        </w:tc>
        <w:tc>
          <w:tcPr>
            <w:tcW w:w="6340" w:type="dxa"/>
            <w:vAlign w:val="bottom"/>
            <w:gridSpan w:val="11"/>
          </w:tcPr>
          <w:p>
            <w:pPr>
              <w:spacing w:after="0"/>
              <w:rPr>
                <w:sz w:val="21"/>
                <w:szCs w:val="21"/>
                <w:color w:val="auto"/>
              </w:rPr>
            </w:pPr>
          </w:p>
        </w:tc>
        <w:tc>
          <w:tcPr>
            <w:tcW w:w="160" w:type="dxa"/>
            <w:vAlign w:val="bottom"/>
            <w:tcBorders>
              <w:bottom w:val="single" w:sz="8" w:color="0000EE"/>
            </w:tcBorders>
            <w:gridSpan w:val="3"/>
          </w:tcPr>
          <w:p>
            <w:pPr>
              <w:spacing w:after="0"/>
              <w:rPr>
                <w:rFonts w:ascii="Arial" w:cs="Arial" w:eastAsia="Arial" w:hAnsi="Arial"/>
                <w:sz w:val="14"/>
                <w:szCs w:val="14"/>
                <w:color w:val="0000EE"/>
                <w:w w:val="89"/>
              </w:rPr>
            </w:pPr>
            <w:hyperlink w:anchor="page19">
              <w:r>
                <w:rPr>
                  <w:rFonts w:ascii="Arial" w:cs="Arial" w:eastAsia="Arial" w:hAnsi="Arial"/>
                  <w:sz w:val="14"/>
                  <w:szCs w:val="14"/>
                  <w:color w:val="0000EE"/>
                  <w:w w:val="89"/>
                </w:rPr>
                <w:t>19</w:t>
              </w:r>
            </w:hyperlink>
          </w:p>
        </w:tc>
      </w:tr>
      <w:tr>
        <w:trPr>
          <w:trHeight w:val="250"/>
        </w:trPr>
        <w:tc>
          <w:tcPr>
            <w:tcW w:w="10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00" w:type="dxa"/>
            <w:vAlign w:val="bottom"/>
            <w:tcBorders>
              <w:bottom w:val="single" w:sz="8" w:color="0000EE"/>
            </w:tcBorders>
            <w:gridSpan w:val="2"/>
          </w:tcPr>
          <w:p>
            <w:pPr>
              <w:spacing w:after="0"/>
              <w:rPr>
                <w:rFonts w:ascii="Arial" w:cs="Arial" w:eastAsia="Arial" w:hAnsi="Arial"/>
                <w:sz w:val="14"/>
                <w:szCs w:val="14"/>
                <w:color w:val="0000EE"/>
              </w:rPr>
            </w:pPr>
            <w:hyperlink w:anchor="page20">
              <w:r>
                <w:rPr>
                  <w:rFonts w:ascii="Arial" w:cs="Arial" w:eastAsia="Arial" w:hAnsi="Arial"/>
                  <w:sz w:val="14"/>
                  <w:szCs w:val="14"/>
                  <w:color w:val="0000EE"/>
                </w:rPr>
                <w:t>Note 8: Debt, net</w:t>
              </w:r>
            </w:hyperlink>
          </w:p>
        </w:tc>
        <w:tc>
          <w:tcPr>
            <w:tcW w:w="8040" w:type="dxa"/>
            <w:vAlign w:val="bottom"/>
            <w:gridSpan w:val="24"/>
          </w:tcPr>
          <w:p>
            <w:pPr>
              <w:spacing w:after="0"/>
              <w:rPr>
                <w:sz w:val="21"/>
                <w:szCs w:val="21"/>
                <w:color w:val="auto"/>
              </w:rPr>
            </w:pPr>
          </w:p>
        </w:tc>
        <w:tc>
          <w:tcPr>
            <w:tcW w:w="160" w:type="dxa"/>
            <w:vAlign w:val="bottom"/>
            <w:tcBorders>
              <w:bottom w:val="single" w:sz="8" w:color="0000EE"/>
            </w:tcBorders>
            <w:gridSpan w:val="3"/>
          </w:tcPr>
          <w:p>
            <w:pPr>
              <w:spacing w:after="0"/>
              <w:rPr>
                <w:rFonts w:ascii="Arial" w:cs="Arial" w:eastAsia="Arial" w:hAnsi="Arial"/>
                <w:sz w:val="14"/>
                <w:szCs w:val="14"/>
                <w:color w:val="0000EE"/>
                <w:w w:val="89"/>
              </w:rPr>
            </w:pPr>
            <w:hyperlink w:anchor="page20">
              <w:r>
                <w:rPr>
                  <w:rFonts w:ascii="Arial" w:cs="Arial" w:eastAsia="Arial" w:hAnsi="Arial"/>
                  <w:sz w:val="14"/>
                  <w:szCs w:val="14"/>
                  <w:color w:val="0000EE"/>
                  <w:w w:val="89"/>
                </w:rPr>
                <w:t>20</w:t>
              </w:r>
            </w:hyperlink>
          </w:p>
        </w:tc>
      </w:tr>
      <w:tr>
        <w:trPr>
          <w:trHeight w:val="250"/>
        </w:trPr>
        <w:tc>
          <w:tcPr>
            <w:tcW w:w="10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140" w:type="dxa"/>
            <w:vAlign w:val="bottom"/>
            <w:gridSpan w:val="26"/>
          </w:tcPr>
          <w:p>
            <w:pPr>
              <w:spacing w:after="0"/>
              <w:rPr>
                <w:rFonts w:ascii="Arial" w:cs="Arial" w:eastAsia="Arial" w:hAnsi="Arial"/>
                <w:sz w:val="14"/>
                <w:szCs w:val="14"/>
                <w:color w:val="0000EE"/>
              </w:rPr>
            </w:pPr>
            <w:hyperlink w:anchor="page23">
              <w:r>
                <w:rPr>
                  <w:rFonts w:ascii="Arial" w:cs="Arial" w:eastAsia="Arial" w:hAnsi="Arial"/>
                  <w:sz w:val="14"/>
                  <w:szCs w:val="14"/>
                  <w:color w:val="0000EE"/>
                </w:rPr>
                <w:t>Note 9: Fair Value Measurements</w:t>
              </w:r>
            </w:hyperlink>
          </w:p>
        </w:tc>
        <w:tc>
          <w:tcPr>
            <w:tcW w:w="160" w:type="dxa"/>
            <w:vAlign w:val="bottom"/>
            <w:gridSpan w:val="3"/>
          </w:tcPr>
          <w:p>
            <w:pPr>
              <w:spacing w:after="0"/>
              <w:rPr>
                <w:rFonts w:ascii="Arial" w:cs="Arial" w:eastAsia="Arial" w:hAnsi="Arial"/>
                <w:sz w:val="14"/>
                <w:szCs w:val="14"/>
                <w:color w:val="0000EE"/>
                <w:w w:val="89"/>
              </w:rPr>
            </w:pPr>
            <w:hyperlink w:anchor="page23">
              <w:r>
                <w:rPr>
                  <w:rFonts w:ascii="Arial" w:cs="Arial" w:eastAsia="Arial" w:hAnsi="Arial"/>
                  <w:sz w:val="14"/>
                  <w:szCs w:val="14"/>
                  <w:color w:val="0000EE"/>
                  <w:w w:val="89"/>
                </w:rPr>
                <w:t>23</w:t>
              </w:r>
            </w:hyperlink>
          </w:p>
        </w:tc>
      </w:tr>
      <w:tr>
        <w:trPr>
          <w:trHeight w:val="250"/>
        </w:trPr>
        <w:tc>
          <w:tcPr>
            <w:tcW w:w="10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80" w:type="dxa"/>
            <w:vAlign w:val="bottom"/>
            <w:tcBorders>
              <w:top w:val="single" w:sz="8" w:color="0000EE"/>
              <w:bottom w:val="single" w:sz="8" w:color="0000EE"/>
            </w:tcBorders>
            <w:gridSpan w:val="3"/>
          </w:tcPr>
          <w:p>
            <w:pPr>
              <w:spacing w:after="0"/>
              <w:rPr>
                <w:rFonts w:ascii="Arial" w:cs="Arial" w:eastAsia="Arial" w:hAnsi="Arial"/>
                <w:sz w:val="14"/>
                <w:szCs w:val="14"/>
                <w:color w:val="0000EE"/>
              </w:rPr>
            </w:pPr>
            <w:hyperlink w:anchor="page26">
              <w:r>
                <w:rPr>
                  <w:rFonts w:ascii="Arial" w:cs="Arial" w:eastAsia="Arial" w:hAnsi="Arial"/>
                  <w:sz w:val="14"/>
                  <w:szCs w:val="14"/>
                  <w:color w:val="0000EE"/>
                </w:rPr>
                <w:t>Note 10: Revenues</w:t>
              </w:r>
            </w:hyperlink>
          </w:p>
        </w:tc>
        <w:tc>
          <w:tcPr>
            <w:tcW w:w="860" w:type="dxa"/>
            <w:vAlign w:val="bottom"/>
            <w:tcBorders>
              <w:top w:val="single" w:sz="8" w:color="0000EE"/>
            </w:tcBorders>
            <w:gridSpan w:val="7"/>
          </w:tcPr>
          <w:p>
            <w:pPr>
              <w:spacing w:after="0"/>
              <w:rPr>
                <w:sz w:val="21"/>
                <w:szCs w:val="21"/>
                <w:color w:val="auto"/>
              </w:rPr>
            </w:pPr>
          </w:p>
        </w:tc>
        <w:tc>
          <w:tcPr>
            <w:tcW w:w="7000" w:type="dxa"/>
            <w:vAlign w:val="bottom"/>
            <w:gridSpan w:val="16"/>
          </w:tcPr>
          <w:p>
            <w:pPr>
              <w:spacing w:after="0"/>
              <w:rPr>
                <w:sz w:val="21"/>
                <w:szCs w:val="21"/>
                <w:color w:val="auto"/>
              </w:rPr>
            </w:pPr>
          </w:p>
        </w:tc>
        <w:tc>
          <w:tcPr>
            <w:tcW w:w="160" w:type="dxa"/>
            <w:vAlign w:val="bottom"/>
            <w:tcBorders>
              <w:top w:val="single" w:sz="8" w:color="0000EE"/>
              <w:bottom w:val="single" w:sz="8" w:color="0000EE"/>
            </w:tcBorders>
            <w:gridSpan w:val="3"/>
          </w:tcPr>
          <w:p>
            <w:pPr>
              <w:spacing w:after="0"/>
              <w:rPr>
                <w:rFonts w:ascii="Arial" w:cs="Arial" w:eastAsia="Arial" w:hAnsi="Arial"/>
                <w:sz w:val="14"/>
                <w:szCs w:val="14"/>
                <w:color w:val="0000EE"/>
                <w:w w:val="89"/>
              </w:rPr>
            </w:pPr>
            <w:hyperlink w:anchor="page26">
              <w:r>
                <w:rPr>
                  <w:rFonts w:ascii="Arial" w:cs="Arial" w:eastAsia="Arial" w:hAnsi="Arial"/>
                  <w:sz w:val="14"/>
                  <w:szCs w:val="14"/>
                  <w:color w:val="0000EE"/>
                  <w:w w:val="89"/>
                </w:rPr>
                <w:t>26</w:t>
              </w:r>
            </w:hyperlink>
          </w:p>
        </w:tc>
      </w:tr>
      <w:tr>
        <w:trPr>
          <w:trHeight w:val="250"/>
        </w:trPr>
        <w:tc>
          <w:tcPr>
            <w:tcW w:w="10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400" w:type="dxa"/>
            <w:vAlign w:val="bottom"/>
            <w:tcBorders>
              <w:bottom w:val="single" w:sz="8" w:color="0000EE"/>
            </w:tcBorders>
            <w:gridSpan w:val="11"/>
          </w:tcPr>
          <w:p>
            <w:pPr>
              <w:spacing w:after="0"/>
              <w:rPr>
                <w:rFonts w:ascii="Arial" w:cs="Arial" w:eastAsia="Arial" w:hAnsi="Arial"/>
                <w:sz w:val="14"/>
                <w:szCs w:val="14"/>
                <w:color w:val="0000EE"/>
              </w:rPr>
            </w:pPr>
            <w:hyperlink w:anchor="page28">
              <w:r>
                <w:rPr>
                  <w:rFonts w:ascii="Arial" w:cs="Arial" w:eastAsia="Arial" w:hAnsi="Arial"/>
                  <w:sz w:val="14"/>
                  <w:szCs w:val="14"/>
                  <w:color w:val="0000EE"/>
                </w:rPr>
                <w:t>Note 11: Equity-Based Compensation</w:t>
              </w:r>
            </w:hyperlink>
          </w:p>
        </w:tc>
        <w:tc>
          <w:tcPr>
            <w:tcW w:w="6740" w:type="dxa"/>
            <w:vAlign w:val="bottom"/>
            <w:gridSpan w:val="15"/>
          </w:tcPr>
          <w:p>
            <w:pPr>
              <w:spacing w:after="0"/>
              <w:rPr>
                <w:sz w:val="21"/>
                <w:szCs w:val="21"/>
                <w:color w:val="auto"/>
              </w:rPr>
            </w:pPr>
          </w:p>
        </w:tc>
        <w:tc>
          <w:tcPr>
            <w:tcW w:w="160" w:type="dxa"/>
            <w:vAlign w:val="bottom"/>
            <w:tcBorders>
              <w:bottom w:val="single" w:sz="8" w:color="0000EE"/>
            </w:tcBorders>
            <w:gridSpan w:val="3"/>
          </w:tcPr>
          <w:p>
            <w:pPr>
              <w:spacing w:after="0"/>
              <w:rPr>
                <w:rFonts w:ascii="Arial" w:cs="Arial" w:eastAsia="Arial" w:hAnsi="Arial"/>
                <w:sz w:val="14"/>
                <w:szCs w:val="14"/>
                <w:color w:val="0000EE"/>
                <w:w w:val="89"/>
              </w:rPr>
            </w:pPr>
            <w:hyperlink w:anchor="page28">
              <w:r>
                <w:rPr>
                  <w:rFonts w:ascii="Arial" w:cs="Arial" w:eastAsia="Arial" w:hAnsi="Arial"/>
                  <w:sz w:val="14"/>
                  <w:szCs w:val="14"/>
                  <w:color w:val="0000EE"/>
                  <w:w w:val="89"/>
                </w:rPr>
                <w:t>28</w:t>
              </w:r>
            </w:hyperlink>
          </w:p>
        </w:tc>
      </w:tr>
      <w:tr>
        <w:trPr>
          <w:trHeight w:val="250"/>
        </w:trPr>
        <w:tc>
          <w:tcPr>
            <w:tcW w:w="10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80" w:type="dxa"/>
            <w:vAlign w:val="bottom"/>
            <w:tcBorders>
              <w:bottom w:val="single" w:sz="8" w:color="0000EE"/>
            </w:tcBorders>
            <w:gridSpan w:val="4"/>
          </w:tcPr>
          <w:p>
            <w:pPr>
              <w:spacing w:after="0"/>
              <w:rPr>
                <w:rFonts w:ascii="Arial" w:cs="Arial" w:eastAsia="Arial" w:hAnsi="Arial"/>
                <w:sz w:val="14"/>
                <w:szCs w:val="14"/>
                <w:color w:val="0000EE"/>
              </w:rPr>
            </w:pPr>
            <w:hyperlink w:anchor="page29">
              <w:r>
                <w:rPr>
                  <w:rFonts w:ascii="Arial" w:cs="Arial" w:eastAsia="Arial" w:hAnsi="Arial"/>
                  <w:sz w:val="14"/>
                  <w:szCs w:val="14"/>
                  <w:color w:val="0000EE"/>
                </w:rPr>
                <w:t>Note 12: Income Taxes</w:t>
              </w:r>
            </w:hyperlink>
          </w:p>
        </w:tc>
        <w:tc>
          <w:tcPr>
            <w:tcW w:w="7660" w:type="dxa"/>
            <w:vAlign w:val="bottom"/>
            <w:gridSpan w:val="22"/>
          </w:tcPr>
          <w:p>
            <w:pPr>
              <w:spacing w:after="0"/>
              <w:rPr>
                <w:sz w:val="21"/>
                <w:szCs w:val="21"/>
                <w:color w:val="auto"/>
              </w:rPr>
            </w:pPr>
          </w:p>
        </w:tc>
        <w:tc>
          <w:tcPr>
            <w:tcW w:w="160" w:type="dxa"/>
            <w:vAlign w:val="bottom"/>
            <w:tcBorders>
              <w:bottom w:val="single" w:sz="8" w:color="0000EE"/>
            </w:tcBorders>
            <w:gridSpan w:val="3"/>
          </w:tcPr>
          <w:p>
            <w:pPr>
              <w:spacing w:after="0"/>
              <w:rPr>
                <w:rFonts w:ascii="Arial" w:cs="Arial" w:eastAsia="Arial" w:hAnsi="Arial"/>
                <w:sz w:val="14"/>
                <w:szCs w:val="14"/>
                <w:color w:val="0000EE"/>
                <w:w w:val="89"/>
              </w:rPr>
            </w:pPr>
            <w:hyperlink w:anchor="page29">
              <w:r>
                <w:rPr>
                  <w:rFonts w:ascii="Arial" w:cs="Arial" w:eastAsia="Arial" w:hAnsi="Arial"/>
                  <w:sz w:val="14"/>
                  <w:szCs w:val="14"/>
                  <w:color w:val="0000EE"/>
                  <w:w w:val="89"/>
                </w:rPr>
                <w:t>29</w:t>
              </w:r>
            </w:hyperlink>
          </w:p>
        </w:tc>
      </w:tr>
      <w:tr>
        <w:trPr>
          <w:trHeight w:val="250"/>
        </w:trPr>
        <w:tc>
          <w:tcPr>
            <w:tcW w:w="10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3820" w:type="dxa"/>
            <w:vAlign w:val="bottom"/>
            <w:tcBorders>
              <w:bottom w:val="single" w:sz="8" w:color="0000EE"/>
            </w:tcBorders>
            <w:gridSpan w:val="18"/>
          </w:tcPr>
          <w:p>
            <w:pPr>
              <w:spacing w:after="0"/>
              <w:rPr>
                <w:rFonts w:ascii="Arial" w:cs="Arial" w:eastAsia="Arial" w:hAnsi="Arial"/>
                <w:sz w:val="14"/>
                <w:szCs w:val="14"/>
                <w:color w:val="0000EE"/>
              </w:rPr>
            </w:pPr>
            <w:hyperlink w:anchor="page29">
              <w:r>
                <w:rPr>
                  <w:rFonts w:ascii="Arial" w:cs="Arial" w:eastAsia="Arial" w:hAnsi="Arial"/>
                  <w:sz w:val="14"/>
                  <w:szCs w:val="14"/>
                  <w:color w:val="0000EE"/>
                </w:rPr>
                <w:t>Note 13: Management Agreement and Affiliate Transactions</w:t>
              </w:r>
            </w:hyperlink>
          </w:p>
        </w:tc>
        <w:tc>
          <w:tcPr>
            <w:tcW w:w="5320" w:type="dxa"/>
            <w:vAlign w:val="bottom"/>
            <w:gridSpan w:val="8"/>
          </w:tcPr>
          <w:p>
            <w:pPr>
              <w:spacing w:after="0"/>
              <w:rPr>
                <w:sz w:val="21"/>
                <w:szCs w:val="21"/>
                <w:color w:val="auto"/>
              </w:rPr>
            </w:pPr>
          </w:p>
        </w:tc>
        <w:tc>
          <w:tcPr>
            <w:tcW w:w="160" w:type="dxa"/>
            <w:vAlign w:val="bottom"/>
            <w:tcBorders>
              <w:bottom w:val="single" w:sz="8" w:color="0000EE"/>
            </w:tcBorders>
            <w:gridSpan w:val="3"/>
          </w:tcPr>
          <w:p>
            <w:pPr>
              <w:spacing w:after="0"/>
              <w:rPr>
                <w:rFonts w:ascii="Arial" w:cs="Arial" w:eastAsia="Arial" w:hAnsi="Arial"/>
                <w:sz w:val="14"/>
                <w:szCs w:val="14"/>
                <w:color w:val="0000EE"/>
                <w:w w:val="89"/>
              </w:rPr>
            </w:pPr>
            <w:hyperlink w:anchor="page29">
              <w:r>
                <w:rPr>
                  <w:rFonts w:ascii="Arial" w:cs="Arial" w:eastAsia="Arial" w:hAnsi="Arial"/>
                  <w:sz w:val="14"/>
                  <w:szCs w:val="14"/>
                  <w:color w:val="0000EE"/>
                  <w:w w:val="89"/>
                </w:rPr>
                <w:t>29</w:t>
              </w:r>
            </w:hyperlink>
          </w:p>
        </w:tc>
      </w:tr>
      <w:tr>
        <w:trPr>
          <w:trHeight w:val="250"/>
        </w:trPr>
        <w:tc>
          <w:tcPr>
            <w:tcW w:w="10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140" w:type="dxa"/>
            <w:vAlign w:val="bottom"/>
            <w:gridSpan w:val="26"/>
          </w:tcPr>
          <w:p>
            <w:pPr>
              <w:spacing w:after="0"/>
              <w:rPr>
                <w:rFonts w:ascii="Arial" w:cs="Arial" w:eastAsia="Arial" w:hAnsi="Arial"/>
                <w:sz w:val="14"/>
                <w:szCs w:val="14"/>
                <w:color w:val="0000EE"/>
              </w:rPr>
            </w:pPr>
            <w:hyperlink w:anchor="page31">
              <w:r>
                <w:rPr>
                  <w:rFonts w:ascii="Arial" w:cs="Arial" w:eastAsia="Arial" w:hAnsi="Arial"/>
                  <w:sz w:val="14"/>
                  <w:szCs w:val="14"/>
                  <w:color w:val="0000EE"/>
                </w:rPr>
                <w:t>Note 14: Segment Information</w:t>
              </w:r>
            </w:hyperlink>
          </w:p>
        </w:tc>
        <w:tc>
          <w:tcPr>
            <w:tcW w:w="160" w:type="dxa"/>
            <w:vAlign w:val="bottom"/>
            <w:gridSpan w:val="3"/>
          </w:tcPr>
          <w:p>
            <w:pPr>
              <w:spacing w:after="0"/>
              <w:rPr>
                <w:rFonts w:ascii="Arial" w:cs="Arial" w:eastAsia="Arial" w:hAnsi="Arial"/>
                <w:sz w:val="14"/>
                <w:szCs w:val="14"/>
                <w:color w:val="0000EE"/>
                <w:w w:val="89"/>
              </w:rPr>
            </w:pPr>
            <w:hyperlink w:anchor="page31">
              <w:r>
                <w:rPr>
                  <w:rFonts w:ascii="Arial" w:cs="Arial" w:eastAsia="Arial" w:hAnsi="Arial"/>
                  <w:sz w:val="14"/>
                  <w:szCs w:val="14"/>
                  <w:color w:val="0000EE"/>
                  <w:w w:val="89"/>
                </w:rPr>
                <w:t>31</w:t>
              </w:r>
            </w:hyperlink>
          </w:p>
        </w:tc>
      </w:tr>
      <w:tr>
        <w:trPr>
          <w:trHeight w:val="250"/>
        </w:trPr>
        <w:tc>
          <w:tcPr>
            <w:tcW w:w="10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920" w:type="dxa"/>
            <w:vAlign w:val="bottom"/>
            <w:tcBorders>
              <w:top w:val="single" w:sz="8" w:color="0000EE"/>
            </w:tcBorders>
            <w:gridSpan w:val="8"/>
          </w:tcPr>
          <w:p>
            <w:pPr>
              <w:spacing w:after="0"/>
              <w:rPr>
                <w:rFonts w:ascii="Arial" w:cs="Arial" w:eastAsia="Arial" w:hAnsi="Arial"/>
                <w:sz w:val="14"/>
                <w:szCs w:val="14"/>
                <w:color w:val="0000EE"/>
              </w:rPr>
            </w:pPr>
            <w:hyperlink w:anchor="page41">
              <w:r>
                <w:rPr>
                  <w:rFonts w:ascii="Arial" w:cs="Arial" w:eastAsia="Arial" w:hAnsi="Arial"/>
                  <w:sz w:val="14"/>
                  <w:szCs w:val="14"/>
                  <w:color w:val="0000EE"/>
                </w:rPr>
                <w:t>Note 15: Earnings per Share</w:t>
              </w:r>
            </w:hyperlink>
          </w:p>
        </w:tc>
        <w:tc>
          <w:tcPr>
            <w:tcW w:w="7220" w:type="dxa"/>
            <w:vAlign w:val="bottom"/>
            <w:gridSpan w:val="18"/>
          </w:tcPr>
          <w:p>
            <w:pPr>
              <w:spacing w:after="0"/>
              <w:rPr>
                <w:sz w:val="21"/>
                <w:szCs w:val="21"/>
                <w:color w:val="auto"/>
              </w:rPr>
            </w:pPr>
          </w:p>
        </w:tc>
        <w:tc>
          <w:tcPr>
            <w:tcW w:w="160" w:type="dxa"/>
            <w:vAlign w:val="bottom"/>
            <w:tcBorders>
              <w:top w:val="single" w:sz="8" w:color="0000EE"/>
            </w:tcBorders>
            <w:gridSpan w:val="3"/>
          </w:tcPr>
          <w:p>
            <w:pPr>
              <w:spacing w:after="0"/>
              <w:rPr>
                <w:rFonts w:ascii="Arial" w:cs="Arial" w:eastAsia="Arial" w:hAnsi="Arial"/>
                <w:sz w:val="14"/>
                <w:szCs w:val="14"/>
                <w:color w:val="0000EE"/>
                <w:w w:val="89"/>
              </w:rPr>
            </w:pPr>
            <w:hyperlink w:anchor="page41">
              <w:r>
                <w:rPr>
                  <w:rFonts w:ascii="Arial" w:cs="Arial" w:eastAsia="Arial" w:hAnsi="Arial"/>
                  <w:sz w:val="14"/>
                  <w:szCs w:val="14"/>
                  <w:color w:val="0000EE"/>
                  <w:w w:val="89"/>
                </w:rPr>
                <w:t>41</w:t>
              </w:r>
            </w:hyperlink>
          </w:p>
        </w:tc>
      </w:tr>
      <w:tr>
        <w:trPr>
          <w:trHeight w:val="20"/>
        </w:trPr>
        <w:tc>
          <w:tcPr>
            <w:tcW w:w="10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20" w:type="dxa"/>
            <w:vAlign w:val="bottom"/>
            <w:shd w:val="clear" w:color="auto" w:fill="0000EE"/>
          </w:tcPr>
          <w:p>
            <w:pPr>
              <w:spacing w:after="0" w:line="20" w:lineRule="exact"/>
              <w:rPr>
                <w:sz w:val="1"/>
                <w:szCs w:val="1"/>
                <w:color w:val="auto"/>
              </w:rPr>
            </w:pPr>
          </w:p>
        </w:tc>
        <w:tc>
          <w:tcPr>
            <w:tcW w:w="800" w:type="dxa"/>
            <w:vAlign w:val="bottom"/>
            <w:gridSpan w:val="5"/>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60" w:type="dxa"/>
            <w:vAlign w:val="bottom"/>
            <w:gridSpan w:val="6"/>
          </w:tcPr>
          <w:p>
            <w:pPr>
              <w:spacing w:after="0" w:line="20" w:lineRule="exact"/>
              <w:rPr>
                <w:sz w:val="1"/>
                <w:szCs w:val="1"/>
                <w:color w:val="auto"/>
              </w:rPr>
            </w:pPr>
          </w:p>
        </w:tc>
        <w:tc>
          <w:tcPr>
            <w:tcW w:w="500" w:type="dxa"/>
            <w:vAlign w:val="bottom"/>
            <w:gridSpan w:val="3"/>
          </w:tcPr>
          <w:p>
            <w:pPr>
              <w:spacing w:after="0" w:line="20" w:lineRule="exact"/>
              <w:rPr>
                <w:sz w:val="1"/>
                <w:szCs w:val="1"/>
                <w:color w:val="auto"/>
              </w:rPr>
            </w:pPr>
          </w:p>
        </w:tc>
        <w:tc>
          <w:tcPr>
            <w:tcW w:w="1900" w:type="dxa"/>
            <w:vAlign w:val="bottom"/>
            <w:gridSpan w:val="4"/>
          </w:tcPr>
          <w:p>
            <w:pPr>
              <w:spacing w:after="0" w:line="20" w:lineRule="exact"/>
              <w:rPr>
                <w:sz w:val="1"/>
                <w:szCs w:val="1"/>
                <w:color w:val="auto"/>
              </w:rPr>
            </w:pPr>
          </w:p>
        </w:tc>
        <w:tc>
          <w:tcPr>
            <w:tcW w:w="4040" w:type="dxa"/>
            <w:vAlign w:val="bottom"/>
            <w:gridSpan w:val="6"/>
          </w:tcPr>
          <w:p>
            <w:pPr>
              <w:spacing w:after="0" w:line="20" w:lineRule="exact"/>
              <w:rPr>
                <w:sz w:val="1"/>
                <w:szCs w:val="1"/>
                <w:color w:val="auto"/>
              </w:rPr>
            </w:pPr>
          </w:p>
        </w:tc>
        <w:tc>
          <w:tcPr>
            <w:tcW w:w="160" w:type="dxa"/>
            <w:vAlign w:val="bottom"/>
            <w:gridSpan w:val="3"/>
            <w:shd w:val="clear" w:color="auto" w:fill="0000EE"/>
          </w:tcPr>
          <w:p>
            <w:pPr>
              <w:spacing w:after="0" w:line="20" w:lineRule="exact"/>
              <w:rPr>
                <w:sz w:val="1"/>
                <w:szCs w:val="1"/>
                <w:color w:val="auto"/>
              </w:rPr>
            </w:pPr>
          </w:p>
        </w:tc>
      </w:tr>
      <w:tr>
        <w:trPr>
          <w:trHeight w:val="250"/>
        </w:trPr>
        <w:tc>
          <w:tcPr>
            <w:tcW w:w="10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140" w:type="dxa"/>
            <w:vAlign w:val="bottom"/>
            <w:gridSpan w:val="26"/>
          </w:tcPr>
          <w:p>
            <w:pPr>
              <w:spacing w:after="0"/>
              <w:rPr>
                <w:rFonts w:ascii="Arial" w:cs="Arial" w:eastAsia="Arial" w:hAnsi="Arial"/>
                <w:sz w:val="14"/>
                <w:szCs w:val="14"/>
                <w:color w:val="0000EE"/>
              </w:rPr>
            </w:pPr>
            <w:hyperlink w:anchor="page42">
              <w:r>
                <w:rPr>
                  <w:rFonts w:ascii="Arial" w:cs="Arial" w:eastAsia="Arial" w:hAnsi="Arial"/>
                  <w:sz w:val="14"/>
                  <w:szCs w:val="14"/>
                  <w:color w:val="0000EE"/>
                </w:rPr>
                <w:t>Note 16: Commitments and Contingencies</w:t>
              </w:r>
            </w:hyperlink>
          </w:p>
        </w:tc>
        <w:tc>
          <w:tcPr>
            <w:tcW w:w="160" w:type="dxa"/>
            <w:vAlign w:val="bottom"/>
            <w:gridSpan w:val="3"/>
          </w:tcPr>
          <w:p>
            <w:pPr>
              <w:spacing w:after="0"/>
              <w:rPr>
                <w:rFonts w:ascii="Arial" w:cs="Arial" w:eastAsia="Arial" w:hAnsi="Arial"/>
                <w:sz w:val="14"/>
                <w:szCs w:val="14"/>
                <w:color w:val="0000EE"/>
                <w:w w:val="89"/>
              </w:rPr>
            </w:pPr>
            <w:hyperlink w:anchor="page42">
              <w:r>
                <w:rPr>
                  <w:rFonts w:ascii="Arial" w:cs="Arial" w:eastAsia="Arial" w:hAnsi="Arial"/>
                  <w:sz w:val="14"/>
                  <w:szCs w:val="14"/>
                  <w:color w:val="0000EE"/>
                  <w:w w:val="89"/>
                </w:rPr>
                <w:t>42</w:t>
              </w:r>
            </w:hyperlink>
          </w:p>
        </w:tc>
      </w:tr>
      <w:tr>
        <w:trPr>
          <w:trHeight w:val="250"/>
        </w:trPr>
        <w:tc>
          <w:tcPr>
            <w:tcW w:w="10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840" w:type="dxa"/>
            <w:vAlign w:val="bottom"/>
            <w:tcBorders>
              <w:top w:val="single" w:sz="8" w:color="0000EE"/>
              <w:bottom w:val="single" w:sz="8" w:color="0000EE"/>
            </w:tcBorders>
            <w:gridSpan w:val="7"/>
          </w:tcPr>
          <w:p>
            <w:pPr>
              <w:spacing w:after="0"/>
              <w:rPr>
                <w:rFonts w:ascii="Arial" w:cs="Arial" w:eastAsia="Arial" w:hAnsi="Arial"/>
                <w:sz w:val="14"/>
                <w:szCs w:val="14"/>
                <w:color w:val="0000EE"/>
              </w:rPr>
            </w:pPr>
            <w:hyperlink w:anchor="page42">
              <w:r>
                <w:rPr>
                  <w:rFonts w:ascii="Arial" w:cs="Arial" w:eastAsia="Arial" w:hAnsi="Arial"/>
                  <w:sz w:val="14"/>
                  <w:szCs w:val="14"/>
                  <w:color w:val="0000EE"/>
                </w:rPr>
                <w:t>Note 17: Subsequent Events</w:t>
              </w:r>
            </w:hyperlink>
          </w:p>
        </w:tc>
        <w:tc>
          <w:tcPr>
            <w:tcW w:w="860" w:type="dxa"/>
            <w:vAlign w:val="bottom"/>
            <w:tcBorders>
              <w:top w:val="single" w:sz="8" w:color="0000EE"/>
            </w:tcBorders>
            <w:gridSpan w:val="6"/>
          </w:tcPr>
          <w:p>
            <w:pPr>
              <w:spacing w:after="0"/>
              <w:rPr>
                <w:sz w:val="21"/>
                <w:szCs w:val="21"/>
                <w:color w:val="auto"/>
              </w:rPr>
            </w:pPr>
          </w:p>
        </w:tc>
        <w:tc>
          <w:tcPr>
            <w:tcW w:w="6440" w:type="dxa"/>
            <w:vAlign w:val="bottom"/>
            <w:gridSpan w:val="13"/>
          </w:tcPr>
          <w:p>
            <w:pPr>
              <w:spacing w:after="0"/>
              <w:rPr>
                <w:sz w:val="21"/>
                <w:szCs w:val="21"/>
                <w:color w:val="auto"/>
              </w:rPr>
            </w:pPr>
          </w:p>
        </w:tc>
        <w:tc>
          <w:tcPr>
            <w:tcW w:w="160" w:type="dxa"/>
            <w:vAlign w:val="bottom"/>
            <w:tcBorders>
              <w:top w:val="single" w:sz="8" w:color="0000EE"/>
              <w:bottom w:val="single" w:sz="8" w:color="0000EE"/>
            </w:tcBorders>
            <w:gridSpan w:val="3"/>
          </w:tcPr>
          <w:p>
            <w:pPr>
              <w:spacing w:after="0"/>
              <w:rPr>
                <w:rFonts w:ascii="Arial" w:cs="Arial" w:eastAsia="Arial" w:hAnsi="Arial"/>
                <w:sz w:val="14"/>
                <w:szCs w:val="14"/>
                <w:color w:val="0000EE"/>
                <w:w w:val="89"/>
              </w:rPr>
            </w:pPr>
            <w:hyperlink w:anchor="page42">
              <w:r>
                <w:rPr>
                  <w:rFonts w:ascii="Arial" w:cs="Arial" w:eastAsia="Arial" w:hAnsi="Arial"/>
                  <w:sz w:val="14"/>
                  <w:szCs w:val="14"/>
                  <w:color w:val="0000EE"/>
                  <w:w w:val="89"/>
                </w:rPr>
                <w:t>42</w:t>
              </w:r>
            </w:hyperlink>
          </w:p>
        </w:tc>
      </w:tr>
      <w:tr>
        <w:trPr>
          <w:trHeight w:val="196"/>
        </w:trPr>
        <w:tc>
          <w:tcPr>
            <w:tcW w:w="1040" w:type="dxa"/>
            <w:vAlign w:val="bottom"/>
          </w:tcPr>
          <w:p>
            <w:pPr>
              <w:spacing w:after="0"/>
              <w:rPr>
                <w:sz w:val="20"/>
                <w:szCs w:val="20"/>
                <w:color w:val="auto"/>
              </w:rPr>
            </w:pPr>
            <w:r>
              <w:rPr>
                <w:rFonts w:ascii="Arial" w:cs="Arial" w:eastAsia="Arial" w:hAnsi="Arial"/>
                <w:sz w:val="14"/>
                <w:szCs w:val="14"/>
                <w:b w:val="1"/>
                <w:bCs w:val="1"/>
                <w:color w:val="006EBF"/>
              </w:rPr>
              <w:t>Item 2.</w:t>
            </w:r>
          </w:p>
        </w:tc>
        <w:tc>
          <w:tcPr>
            <w:tcW w:w="5660" w:type="dxa"/>
            <w:vAlign w:val="bottom"/>
            <w:tcBorders>
              <w:bottom w:val="single" w:sz="8" w:color="0000EE"/>
            </w:tcBorders>
            <w:gridSpan w:val="22"/>
          </w:tcPr>
          <w:p>
            <w:pPr>
              <w:spacing w:after="0"/>
              <w:rPr>
                <w:rFonts w:ascii="Arial" w:cs="Arial" w:eastAsia="Arial" w:hAnsi="Arial"/>
                <w:sz w:val="14"/>
                <w:szCs w:val="14"/>
                <w:color w:val="0000EE"/>
              </w:rPr>
            </w:pPr>
            <w:hyperlink w:anchor="page43">
              <w:r>
                <w:rPr>
                  <w:rFonts w:ascii="Arial" w:cs="Arial" w:eastAsia="Arial" w:hAnsi="Arial"/>
                  <w:sz w:val="14"/>
                  <w:szCs w:val="14"/>
                  <w:color w:val="0000EE"/>
                </w:rPr>
                <w:t>Management’s Discussion and Analysis of Financial Condition and Results of Operations</w:t>
              </w:r>
            </w:hyperlink>
          </w:p>
        </w:tc>
        <w:tc>
          <w:tcPr>
            <w:tcW w:w="4040" w:type="dxa"/>
            <w:vAlign w:val="bottom"/>
            <w:gridSpan w:val="6"/>
          </w:tcPr>
          <w:p>
            <w:pPr>
              <w:spacing w:after="0"/>
              <w:rPr>
                <w:sz w:val="17"/>
                <w:szCs w:val="17"/>
                <w:color w:val="auto"/>
              </w:rPr>
            </w:pPr>
          </w:p>
        </w:tc>
        <w:tc>
          <w:tcPr>
            <w:tcW w:w="160" w:type="dxa"/>
            <w:vAlign w:val="bottom"/>
            <w:tcBorders>
              <w:bottom w:val="single" w:sz="8" w:color="0000EE"/>
            </w:tcBorders>
            <w:gridSpan w:val="3"/>
          </w:tcPr>
          <w:p>
            <w:pPr>
              <w:spacing w:after="0"/>
              <w:rPr>
                <w:rFonts w:ascii="Arial" w:cs="Arial" w:eastAsia="Arial" w:hAnsi="Arial"/>
                <w:sz w:val="14"/>
                <w:szCs w:val="14"/>
                <w:color w:val="0000EE"/>
                <w:w w:val="89"/>
              </w:rPr>
            </w:pPr>
            <w:hyperlink w:anchor="page43">
              <w:r>
                <w:rPr>
                  <w:rFonts w:ascii="Arial" w:cs="Arial" w:eastAsia="Arial" w:hAnsi="Arial"/>
                  <w:sz w:val="14"/>
                  <w:szCs w:val="14"/>
                  <w:color w:val="0000EE"/>
                  <w:w w:val="89"/>
                </w:rPr>
                <w:t>43</w:t>
              </w:r>
            </w:hyperlink>
          </w:p>
        </w:tc>
      </w:tr>
      <w:tr>
        <w:trPr>
          <w:trHeight w:val="196"/>
        </w:trPr>
        <w:tc>
          <w:tcPr>
            <w:tcW w:w="1040" w:type="dxa"/>
            <w:vAlign w:val="bottom"/>
          </w:tcPr>
          <w:p>
            <w:pPr>
              <w:spacing w:after="0"/>
              <w:rPr>
                <w:sz w:val="20"/>
                <w:szCs w:val="20"/>
                <w:color w:val="auto"/>
              </w:rPr>
            </w:pPr>
            <w:r>
              <w:rPr>
                <w:rFonts w:ascii="Arial" w:cs="Arial" w:eastAsia="Arial" w:hAnsi="Arial"/>
                <w:sz w:val="14"/>
                <w:szCs w:val="14"/>
                <w:b w:val="1"/>
                <w:bCs w:val="1"/>
                <w:color w:val="006EBF"/>
              </w:rPr>
              <w:t>Item 3.</w:t>
            </w:r>
          </w:p>
        </w:tc>
        <w:tc>
          <w:tcPr>
            <w:tcW w:w="9700" w:type="dxa"/>
            <w:vAlign w:val="bottom"/>
            <w:gridSpan w:val="28"/>
          </w:tcPr>
          <w:p>
            <w:pPr>
              <w:spacing w:after="0"/>
              <w:rPr>
                <w:rFonts w:ascii="Arial" w:cs="Arial" w:eastAsia="Arial" w:hAnsi="Arial"/>
                <w:sz w:val="14"/>
                <w:szCs w:val="14"/>
                <w:color w:val="0000EE"/>
              </w:rPr>
            </w:pPr>
            <w:hyperlink w:anchor="page72">
              <w:r>
                <w:rPr>
                  <w:rFonts w:ascii="Arial" w:cs="Arial" w:eastAsia="Arial" w:hAnsi="Arial"/>
                  <w:sz w:val="14"/>
                  <w:szCs w:val="14"/>
                  <w:color w:val="0000EE"/>
                </w:rPr>
                <w:t>Quantitative and Qualitative Disclosures About Market Risk</w:t>
              </w:r>
            </w:hyperlink>
          </w:p>
        </w:tc>
        <w:tc>
          <w:tcPr>
            <w:tcW w:w="160" w:type="dxa"/>
            <w:vAlign w:val="bottom"/>
            <w:gridSpan w:val="3"/>
          </w:tcPr>
          <w:p>
            <w:pPr>
              <w:spacing w:after="0"/>
              <w:rPr>
                <w:rFonts w:ascii="Arial" w:cs="Arial" w:eastAsia="Arial" w:hAnsi="Arial"/>
                <w:sz w:val="14"/>
                <w:szCs w:val="14"/>
                <w:color w:val="0000EE"/>
                <w:w w:val="89"/>
              </w:rPr>
            </w:pPr>
            <w:hyperlink w:anchor="page72">
              <w:r>
                <w:rPr>
                  <w:rFonts w:ascii="Arial" w:cs="Arial" w:eastAsia="Arial" w:hAnsi="Arial"/>
                  <w:sz w:val="14"/>
                  <w:szCs w:val="14"/>
                  <w:color w:val="0000EE"/>
                  <w:w w:val="89"/>
                </w:rPr>
                <w:t>72</w:t>
              </w:r>
            </w:hyperlink>
          </w:p>
        </w:tc>
      </w:tr>
      <w:tr>
        <w:trPr>
          <w:trHeight w:val="196"/>
        </w:trPr>
        <w:tc>
          <w:tcPr>
            <w:tcW w:w="1040" w:type="dxa"/>
            <w:vAlign w:val="bottom"/>
          </w:tcPr>
          <w:p>
            <w:pPr>
              <w:spacing w:after="0"/>
              <w:rPr>
                <w:sz w:val="20"/>
                <w:szCs w:val="20"/>
                <w:color w:val="auto"/>
              </w:rPr>
            </w:pPr>
            <w:r>
              <w:rPr>
                <w:rFonts w:ascii="Arial" w:cs="Arial" w:eastAsia="Arial" w:hAnsi="Arial"/>
                <w:sz w:val="14"/>
                <w:szCs w:val="14"/>
                <w:b w:val="1"/>
                <w:bCs w:val="1"/>
                <w:color w:val="006EBF"/>
              </w:rPr>
              <w:t>Item 4.</w:t>
            </w:r>
          </w:p>
        </w:tc>
        <w:tc>
          <w:tcPr>
            <w:tcW w:w="3760" w:type="dxa"/>
            <w:vAlign w:val="bottom"/>
            <w:tcBorders>
              <w:top w:val="single" w:sz="8" w:color="0000EE"/>
            </w:tcBorders>
            <w:gridSpan w:val="18"/>
          </w:tcPr>
          <w:p>
            <w:pPr>
              <w:spacing w:after="0"/>
              <w:rPr>
                <w:rFonts w:ascii="Arial" w:cs="Arial" w:eastAsia="Arial" w:hAnsi="Arial"/>
                <w:sz w:val="14"/>
                <w:szCs w:val="14"/>
                <w:color w:val="0000EE"/>
              </w:rPr>
            </w:pPr>
            <w:hyperlink w:anchor="page74">
              <w:r>
                <w:rPr>
                  <w:rFonts w:ascii="Arial" w:cs="Arial" w:eastAsia="Arial" w:hAnsi="Arial"/>
                  <w:sz w:val="14"/>
                  <w:szCs w:val="14"/>
                  <w:color w:val="0000EE"/>
                </w:rPr>
                <w:t>Controls and Procedures</w:t>
              </w:r>
            </w:hyperlink>
          </w:p>
        </w:tc>
        <w:tc>
          <w:tcPr>
            <w:tcW w:w="5940" w:type="dxa"/>
            <w:vAlign w:val="bottom"/>
            <w:gridSpan w:val="10"/>
          </w:tcPr>
          <w:p>
            <w:pPr>
              <w:spacing w:after="0"/>
              <w:rPr>
                <w:sz w:val="17"/>
                <w:szCs w:val="17"/>
                <w:color w:val="auto"/>
              </w:rPr>
            </w:pPr>
          </w:p>
        </w:tc>
        <w:tc>
          <w:tcPr>
            <w:tcW w:w="160" w:type="dxa"/>
            <w:vAlign w:val="bottom"/>
            <w:tcBorders>
              <w:top w:val="single" w:sz="8" w:color="0000EE"/>
            </w:tcBorders>
            <w:gridSpan w:val="3"/>
          </w:tcPr>
          <w:p>
            <w:pPr>
              <w:spacing w:after="0"/>
              <w:rPr>
                <w:rFonts w:ascii="Arial" w:cs="Arial" w:eastAsia="Arial" w:hAnsi="Arial"/>
                <w:sz w:val="14"/>
                <w:szCs w:val="14"/>
                <w:color w:val="0000EE"/>
                <w:w w:val="89"/>
              </w:rPr>
            </w:pPr>
            <w:hyperlink w:anchor="page74">
              <w:r>
                <w:rPr>
                  <w:rFonts w:ascii="Arial" w:cs="Arial" w:eastAsia="Arial" w:hAnsi="Arial"/>
                  <w:sz w:val="14"/>
                  <w:szCs w:val="14"/>
                  <w:color w:val="0000EE"/>
                  <w:w w:val="89"/>
                </w:rPr>
                <w:t>74</w:t>
              </w:r>
            </w:hyperlink>
          </w:p>
        </w:tc>
      </w:tr>
      <w:tr>
        <w:trPr>
          <w:trHeight w:val="20"/>
        </w:trPr>
        <w:tc>
          <w:tcPr>
            <w:tcW w:w="1040" w:type="dxa"/>
            <w:vAlign w:val="bottom"/>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02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r>
    </w:tbl>
    <w:p>
      <w:pPr>
        <w:spacing w:after="0" w:line="363"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10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7660" w:type="dxa"/>
            <w:vAlign w:val="bottom"/>
            <w:gridSpan w:val="2"/>
          </w:tcPr>
          <w:p>
            <w:pPr>
              <w:ind w:left="1680"/>
              <w:spacing w:after="0"/>
              <w:rPr>
                <w:sz w:val="20"/>
                <w:szCs w:val="20"/>
                <w:color w:val="auto"/>
              </w:rPr>
            </w:pPr>
            <w:r>
              <w:rPr>
                <w:rFonts w:ascii="Arial" w:cs="Arial" w:eastAsia="Arial" w:hAnsi="Arial"/>
                <w:sz w:val="14"/>
                <w:szCs w:val="14"/>
                <w:b w:val="1"/>
                <w:bCs w:val="1"/>
                <w:color w:val="006EBF"/>
              </w:rPr>
              <w:t>PART II - OTHER INFORMATION</w:t>
            </w:r>
          </w:p>
        </w:tc>
        <w:tc>
          <w:tcPr>
            <w:tcW w:w="160" w:type="dxa"/>
            <w:vAlign w:val="bottom"/>
          </w:tcPr>
          <w:p>
            <w:pPr>
              <w:spacing w:after="0"/>
              <w:rPr>
                <w:sz w:val="17"/>
                <w:szCs w:val="17"/>
                <w:color w:val="auto"/>
              </w:rPr>
            </w:pPr>
          </w:p>
        </w:tc>
      </w:tr>
      <w:tr>
        <w:trPr>
          <w:trHeight w:val="178"/>
        </w:trPr>
        <w:tc>
          <w:tcPr>
            <w:tcW w:w="1040" w:type="dxa"/>
            <w:vAlign w:val="bottom"/>
          </w:tcPr>
          <w:p>
            <w:pPr>
              <w:spacing w:after="0"/>
              <w:rPr>
                <w:sz w:val="20"/>
                <w:szCs w:val="20"/>
                <w:color w:val="auto"/>
              </w:rPr>
            </w:pPr>
            <w:r>
              <w:rPr>
                <w:rFonts w:ascii="Arial" w:cs="Arial" w:eastAsia="Arial" w:hAnsi="Arial"/>
                <w:sz w:val="14"/>
                <w:szCs w:val="14"/>
                <w:b w:val="1"/>
                <w:bCs w:val="1"/>
                <w:color w:val="006EBF"/>
              </w:rPr>
              <w:t>Item 1.</w:t>
            </w:r>
          </w:p>
        </w:tc>
        <w:tc>
          <w:tcPr>
            <w:tcW w:w="9700" w:type="dxa"/>
            <w:vAlign w:val="bottom"/>
            <w:gridSpan w:val="8"/>
          </w:tcPr>
          <w:p>
            <w:pPr>
              <w:spacing w:after="0"/>
              <w:rPr>
                <w:rFonts w:ascii="Arial" w:cs="Arial" w:eastAsia="Arial" w:hAnsi="Arial"/>
                <w:sz w:val="14"/>
                <w:szCs w:val="14"/>
                <w:color w:val="0000EE"/>
              </w:rPr>
            </w:pPr>
            <w:hyperlink w:anchor="page74">
              <w:r>
                <w:rPr>
                  <w:rFonts w:ascii="Arial" w:cs="Arial" w:eastAsia="Arial" w:hAnsi="Arial"/>
                  <w:sz w:val="14"/>
                  <w:szCs w:val="14"/>
                  <w:color w:val="0000EE"/>
                </w:rPr>
                <w:t>Legal Proceedings</w:t>
              </w:r>
            </w:hyperlink>
          </w:p>
        </w:tc>
        <w:tc>
          <w:tcPr>
            <w:tcW w:w="160" w:type="dxa"/>
            <w:vAlign w:val="bottom"/>
          </w:tcPr>
          <w:p>
            <w:pPr>
              <w:jc w:val="right"/>
              <w:spacing w:after="0"/>
              <w:rPr>
                <w:rFonts w:ascii="Arial" w:cs="Arial" w:eastAsia="Arial" w:hAnsi="Arial"/>
                <w:sz w:val="14"/>
                <w:szCs w:val="14"/>
                <w:color w:val="0000EE"/>
                <w:w w:val="89"/>
              </w:rPr>
            </w:pPr>
            <w:hyperlink w:anchor="page74">
              <w:r>
                <w:rPr>
                  <w:rFonts w:ascii="Arial" w:cs="Arial" w:eastAsia="Arial" w:hAnsi="Arial"/>
                  <w:sz w:val="14"/>
                  <w:szCs w:val="14"/>
                  <w:color w:val="0000EE"/>
                  <w:w w:val="89"/>
                </w:rPr>
                <w:t>74</w:t>
              </w:r>
            </w:hyperlink>
          </w:p>
        </w:tc>
      </w:tr>
      <w:tr>
        <w:trPr>
          <w:trHeight w:val="196"/>
        </w:trPr>
        <w:tc>
          <w:tcPr>
            <w:tcW w:w="1040" w:type="dxa"/>
            <w:vAlign w:val="bottom"/>
          </w:tcPr>
          <w:p>
            <w:pPr>
              <w:spacing w:after="0"/>
              <w:rPr>
                <w:sz w:val="20"/>
                <w:szCs w:val="20"/>
                <w:color w:val="auto"/>
              </w:rPr>
            </w:pPr>
            <w:r>
              <w:rPr>
                <w:rFonts w:ascii="Arial" w:cs="Arial" w:eastAsia="Arial" w:hAnsi="Arial"/>
                <w:sz w:val="14"/>
                <w:szCs w:val="14"/>
                <w:b w:val="1"/>
                <w:bCs w:val="1"/>
                <w:color w:val="006EBF"/>
              </w:rPr>
              <w:t>Item 1A.</w:t>
            </w:r>
          </w:p>
        </w:tc>
        <w:tc>
          <w:tcPr>
            <w:tcW w:w="800" w:type="dxa"/>
            <w:vAlign w:val="bottom"/>
            <w:tcBorders>
              <w:top w:val="single" w:sz="8" w:color="0000EE"/>
              <w:bottom w:val="single" w:sz="8" w:color="0000EE"/>
            </w:tcBorders>
            <w:gridSpan w:val="2"/>
          </w:tcPr>
          <w:p>
            <w:pPr>
              <w:spacing w:after="0"/>
              <w:rPr>
                <w:rFonts w:ascii="Arial" w:cs="Arial" w:eastAsia="Arial" w:hAnsi="Arial"/>
                <w:sz w:val="14"/>
                <w:szCs w:val="14"/>
                <w:color w:val="0000EE"/>
              </w:rPr>
            </w:pPr>
            <w:hyperlink w:anchor="page74">
              <w:r>
                <w:rPr>
                  <w:rFonts w:ascii="Arial" w:cs="Arial" w:eastAsia="Arial" w:hAnsi="Arial"/>
                  <w:sz w:val="14"/>
                  <w:szCs w:val="14"/>
                  <w:color w:val="0000EE"/>
                </w:rPr>
                <w:t>Risk Factors</w:t>
              </w:r>
            </w:hyperlink>
          </w:p>
        </w:tc>
        <w:tc>
          <w:tcPr>
            <w:tcW w:w="380" w:type="dxa"/>
            <w:vAlign w:val="bottom"/>
            <w:tcBorders>
              <w:top w:val="single" w:sz="8" w:color="0000EE"/>
            </w:tcBorders>
            <w:gridSpan w:val="2"/>
          </w:tcPr>
          <w:p>
            <w:pPr>
              <w:spacing w:after="0"/>
              <w:rPr>
                <w:sz w:val="17"/>
                <w:szCs w:val="17"/>
                <w:color w:val="auto"/>
              </w:rPr>
            </w:pPr>
          </w:p>
        </w:tc>
        <w:tc>
          <w:tcPr>
            <w:tcW w:w="8520" w:type="dxa"/>
            <w:vAlign w:val="bottom"/>
            <w:gridSpan w:val="4"/>
          </w:tcPr>
          <w:p>
            <w:pPr>
              <w:spacing w:after="0"/>
              <w:rPr>
                <w:sz w:val="17"/>
                <w:szCs w:val="17"/>
                <w:color w:val="auto"/>
              </w:rPr>
            </w:pPr>
          </w:p>
        </w:tc>
        <w:tc>
          <w:tcPr>
            <w:tcW w:w="160" w:type="dxa"/>
            <w:vAlign w:val="bottom"/>
            <w:tcBorders>
              <w:top w:val="single" w:sz="8" w:color="0000EE"/>
              <w:bottom w:val="single" w:sz="8" w:color="0000EE"/>
            </w:tcBorders>
          </w:tcPr>
          <w:p>
            <w:pPr>
              <w:jc w:val="right"/>
              <w:spacing w:after="0"/>
              <w:rPr>
                <w:rFonts w:ascii="Arial" w:cs="Arial" w:eastAsia="Arial" w:hAnsi="Arial"/>
                <w:sz w:val="14"/>
                <w:szCs w:val="14"/>
                <w:color w:val="0000EE"/>
                <w:w w:val="89"/>
              </w:rPr>
            </w:pPr>
            <w:hyperlink w:anchor="page74">
              <w:r>
                <w:rPr>
                  <w:rFonts w:ascii="Arial" w:cs="Arial" w:eastAsia="Arial" w:hAnsi="Arial"/>
                  <w:sz w:val="14"/>
                  <w:szCs w:val="14"/>
                  <w:color w:val="0000EE"/>
                  <w:w w:val="89"/>
                </w:rPr>
                <w:t>74</w:t>
              </w:r>
            </w:hyperlink>
          </w:p>
        </w:tc>
      </w:tr>
      <w:tr>
        <w:trPr>
          <w:trHeight w:val="196"/>
        </w:trPr>
        <w:tc>
          <w:tcPr>
            <w:tcW w:w="1040" w:type="dxa"/>
            <w:vAlign w:val="bottom"/>
          </w:tcPr>
          <w:p>
            <w:pPr>
              <w:spacing w:after="0"/>
              <w:rPr>
                <w:sz w:val="20"/>
                <w:szCs w:val="20"/>
                <w:color w:val="auto"/>
              </w:rPr>
            </w:pPr>
            <w:r>
              <w:rPr>
                <w:rFonts w:ascii="Arial" w:cs="Arial" w:eastAsia="Arial" w:hAnsi="Arial"/>
                <w:sz w:val="14"/>
                <w:szCs w:val="14"/>
                <w:b w:val="1"/>
                <w:bCs w:val="1"/>
                <w:color w:val="006EBF"/>
              </w:rPr>
              <w:t>Item 2.</w:t>
            </w:r>
          </w:p>
        </w:tc>
        <w:tc>
          <w:tcPr>
            <w:tcW w:w="3880" w:type="dxa"/>
            <w:vAlign w:val="bottom"/>
            <w:tcBorders>
              <w:bottom w:val="single" w:sz="8" w:color="0000EE"/>
            </w:tcBorders>
            <w:gridSpan w:val="7"/>
          </w:tcPr>
          <w:p>
            <w:pPr>
              <w:spacing w:after="0"/>
              <w:rPr>
                <w:rFonts w:ascii="Arial" w:cs="Arial" w:eastAsia="Arial" w:hAnsi="Arial"/>
                <w:sz w:val="14"/>
                <w:szCs w:val="14"/>
                <w:color w:val="0000EE"/>
              </w:rPr>
            </w:pPr>
            <w:hyperlink w:anchor="page97">
              <w:r>
                <w:rPr>
                  <w:rFonts w:ascii="Arial" w:cs="Arial" w:eastAsia="Arial" w:hAnsi="Arial"/>
                  <w:sz w:val="14"/>
                  <w:szCs w:val="14"/>
                  <w:color w:val="0000EE"/>
                </w:rPr>
                <w:t>Unregistered Sales of Equity Securities and Use of Proceeds</w:t>
              </w:r>
            </w:hyperlink>
          </w:p>
        </w:tc>
        <w:tc>
          <w:tcPr>
            <w:tcW w:w="5820" w:type="dxa"/>
            <w:vAlign w:val="bottom"/>
          </w:tcPr>
          <w:p>
            <w:pPr>
              <w:spacing w:after="0"/>
              <w:rPr>
                <w:sz w:val="17"/>
                <w:szCs w:val="17"/>
                <w:color w:val="auto"/>
              </w:rPr>
            </w:pPr>
          </w:p>
        </w:tc>
        <w:tc>
          <w:tcPr>
            <w:tcW w:w="160" w:type="dxa"/>
            <w:vAlign w:val="bottom"/>
            <w:tcBorders>
              <w:bottom w:val="single" w:sz="8" w:color="0000EE"/>
            </w:tcBorders>
          </w:tcPr>
          <w:p>
            <w:pPr>
              <w:jc w:val="right"/>
              <w:spacing w:after="0"/>
              <w:rPr>
                <w:rFonts w:ascii="Arial" w:cs="Arial" w:eastAsia="Arial" w:hAnsi="Arial"/>
                <w:sz w:val="14"/>
                <w:szCs w:val="14"/>
                <w:color w:val="0000EE"/>
                <w:w w:val="89"/>
              </w:rPr>
            </w:pPr>
            <w:hyperlink w:anchor="page97">
              <w:r>
                <w:rPr>
                  <w:rFonts w:ascii="Arial" w:cs="Arial" w:eastAsia="Arial" w:hAnsi="Arial"/>
                  <w:sz w:val="14"/>
                  <w:szCs w:val="14"/>
                  <w:color w:val="0000EE"/>
                  <w:w w:val="89"/>
                </w:rPr>
                <w:t>97</w:t>
              </w:r>
            </w:hyperlink>
          </w:p>
        </w:tc>
      </w:tr>
      <w:tr>
        <w:trPr>
          <w:trHeight w:val="196"/>
        </w:trPr>
        <w:tc>
          <w:tcPr>
            <w:tcW w:w="1040" w:type="dxa"/>
            <w:vAlign w:val="bottom"/>
          </w:tcPr>
          <w:p>
            <w:pPr>
              <w:spacing w:after="0"/>
              <w:rPr>
                <w:sz w:val="20"/>
                <w:szCs w:val="20"/>
                <w:color w:val="auto"/>
              </w:rPr>
            </w:pPr>
            <w:r>
              <w:rPr>
                <w:rFonts w:ascii="Arial" w:cs="Arial" w:eastAsia="Arial" w:hAnsi="Arial"/>
                <w:sz w:val="14"/>
                <w:szCs w:val="14"/>
                <w:b w:val="1"/>
                <w:bCs w:val="1"/>
                <w:color w:val="006EBF"/>
              </w:rPr>
              <w:t>Item 3.</w:t>
            </w:r>
          </w:p>
        </w:tc>
        <w:tc>
          <w:tcPr>
            <w:tcW w:w="2040" w:type="dxa"/>
            <w:vAlign w:val="bottom"/>
            <w:tcBorders>
              <w:bottom w:val="single" w:sz="8" w:color="0000EE"/>
            </w:tcBorders>
            <w:gridSpan w:val="6"/>
          </w:tcPr>
          <w:p>
            <w:pPr>
              <w:spacing w:after="0"/>
              <w:rPr>
                <w:rFonts w:ascii="Arial" w:cs="Arial" w:eastAsia="Arial" w:hAnsi="Arial"/>
                <w:sz w:val="14"/>
                <w:szCs w:val="14"/>
                <w:color w:val="0000EE"/>
              </w:rPr>
            </w:pPr>
            <w:hyperlink w:anchor="page97">
              <w:r>
                <w:rPr>
                  <w:rFonts w:ascii="Arial" w:cs="Arial" w:eastAsia="Arial" w:hAnsi="Arial"/>
                  <w:sz w:val="14"/>
                  <w:szCs w:val="14"/>
                  <w:color w:val="0000EE"/>
                </w:rPr>
                <w:t>Defaults Upon Senior Securities</w:t>
              </w:r>
            </w:hyperlink>
          </w:p>
        </w:tc>
        <w:tc>
          <w:tcPr>
            <w:tcW w:w="7660" w:type="dxa"/>
            <w:vAlign w:val="bottom"/>
            <w:gridSpan w:val="2"/>
          </w:tcPr>
          <w:p>
            <w:pPr>
              <w:spacing w:after="0"/>
              <w:rPr>
                <w:sz w:val="17"/>
                <w:szCs w:val="17"/>
                <w:color w:val="auto"/>
              </w:rPr>
            </w:pPr>
          </w:p>
        </w:tc>
        <w:tc>
          <w:tcPr>
            <w:tcW w:w="160" w:type="dxa"/>
            <w:vAlign w:val="bottom"/>
            <w:tcBorders>
              <w:bottom w:val="single" w:sz="8" w:color="0000EE"/>
            </w:tcBorders>
          </w:tcPr>
          <w:p>
            <w:pPr>
              <w:jc w:val="right"/>
              <w:spacing w:after="0"/>
              <w:rPr>
                <w:rFonts w:ascii="Arial" w:cs="Arial" w:eastAsia="Arial" w:hAnsi="Arial"/>
                <w:sz w:val="14"/>
                <w:szCs w:val="14"/>
                <w:color w:val="0000EE"/>
                <w:w w:val="89"/>
              </w:rPr>
            </w:pPr>
            <w:hyperlink w:anchor="page97">
              <w:r>
                <w:rPr>
                  <w:rFonts w:ascii="Arial" w:cs="Arial" w:eastAsia="Arial" w:hAnsi="Arial"/>
                  <w:sz w:val="14"/>
                  <w:szCs w:val="14"/>
                  <w:color w:val="0000EE"/>
                  <w:w w:val="89"/>
                </w:rPr>
                <w:t>97</w:t>
              </w:r>
            </w:hyperlink>
          </w:p>
        </w:tc>
      </w:tr>
      <w:tr>
        <w:trPr>
          <w:trHeight w:val="196"/>
        </w:trPr>
        <w:tc>
          <w:tcPr>
            <w:tcW w:w="1040" w:type="dxa"/>
            <w:vAlign w:val="bottom"/>
          </w:tcPr>
          <w:p>
            <w:pPr>
              <w:spacing w:after="0"/>
              <w:rPr>
                <w:sz w:val="20"/>
                <w:szCs w:val="20"/>
                <w:color w:val="auto"/>
              </w:rPr>
            </w:pPr>
            <w:r>
              <w:rPr>
                <w:rFonts w:ascii="Arial" w:cs="Arial" w:eastAsia="Arial" w:hAnsi="Arial"/>
                <w:sz w:val="14"/>
                <w:szCs w:val="14"/>
                <w:b w:val="1"/>
                <w:bCs w:val="1"/>
                <w:color w:val="006EBF"/>
              </w:rPr>
              <w:t>Item 4.</w:t>
            </w:r>
          </w:p>
        </w:tc>
        <w:tc>
          <w:tcPr>
            <w:tcW w:w="1540" w:type="dxa"/>
            <w:vAlign w:val="bottom"/>
            <w:tcBorders>
              <w:bottom w:val="single" w:sz="8" w:color="0000EE"/>
            </w:tcBorders>
            <w:gridSpan w:val="5"/>
          </w:tcPr>
          <w:p>
            <w:pPr>
              <w:spacing w:after="0"/>
              <w:rPr>
                <w:rFonts w:ascii="Arial" w:cs="Arial" w:eastAsia="Arial" w:hAnsi="Arial"/>
                <w:sz w:val="14"/>
                <w:szCs w:val="14"/>
                <w:color w:val="0000EE"/>
              </w:rPr>
            </w:pPr>
            <w:hyperlink w:anchor="page97">
              <w:r>
                <w:rPr>
                  <w:rFonts w:ascii="Arial" w:cs="Arial" w:eastAsia="Arial" w:hAnsi="Arial"/>
                  <w:sz w:val="14"/>
                  <w:szCs w:val="14"/>
                  <w:color w:val="0000EE"/>
                </w:rPr>
                <w:t>Mine Safety Disclosures</w:t>
              </w:r>
            </w:hyperlink>
          </w:p>
        </w:tc>
        <w:tc>
          <w:tcPr>
            <w:tcW w:w="8160" w:type="dxa"/>
            <w:vAlign w:val="bottom"/>
            <w:gridSpan w:val="3"/>
          </w:tcPr>
          <w:p>
            <w:pPr>
              <w:spacing w:after="0"/>
              <w:rPr>
                <w:sz w:val="17"/>
                <w:szCs w:val="17"/>
                <w:color w:val="auto"/>
              </w:rPr>
            </w:pPr>
          </w:p>
        </w:tc>
        <w:tc>
          <w:tcPr>
            <w:tcW w:w="160" w:type="dxa"/>
            <w:vAlign w:val="bottom"/>
            <w:tcBorders>
              <w:bottom w:val="single" w:sz="8" w:color="0000EE"/>
            </w:tcBorders>
          </w:tcPr>
          <w:p>
            <w:pPr>
              <w:jc w:val="right"/>
              <w:spacing w:after="0"/>
              <w:rPr>
                <w:rFonts w:ascii="Arial" w:cs="Arial" w:eastAsia="Arial" w:hAnsi="Arial"/>
                <w:sz w:val="14"/>
                <w:szCs w:val="14"/>
                <w:color w:val="0000EE"/>
                <w:w w:val="89"/>
              </w:rPr>
            </w:pPr>
            <w:hyperlink w:anchor="page97">
              <w:r>
                <w:rPr>
                  <w:rFonts w:ascii="Arial" w:cs="Arial" w:eastAsia="Arial" w:hAnsi="Arial"/>
                  <w:sz w:val="14"/>
                  <w:szCs w:val="14"/>
                  <w:color w:val="0000EE"/>
                  <w:w w:val="89"/>
                </w:rPr>
                <w:t>97</w:t>
              </w:r>
            </w:hyperlink>
          </w:p>
        </w:tc>
      </w:tr>
      <w:tr>
        <w:trPr>
          <w:trHeight w:val="196"/>
        </w:trPr>
        <w:tc>
          <w:tcPr>
            <w:tcW w:w="1040" w:type="dxa"/>
            <w:vAlign w:val="bottom"/>
          </w:tcPr>
          <w:p>
            <w:pPr>
              <w:spacing w:after="0"/>
              <w:rPr>
                <w:sz w:val="20"/>
                <w:szCs w:val="20"/>
                <w:color w:val="auto"/>
              </w:rPr>
            </w:pPr>
            <w:r>
              <w:rPr>
                <w:rFonts w:ascii="Arial" w:cs="Arial" w:eastAsia="Arial" w:hAnsi="Arial"/>
                <w:sz w:val="14"/>
                <w:szCs w:val="14"/>
                <w:b w:val="1"/>
                <w:bCs w:val="1"/>
                <w:color w:val="006EBF"/>
              </w:rPr>
              <w:t>Item 5.</w:t>
            </w:r>
          </w:p>
        </w:tc>
        <w:tc>
          <w:tcPr>
            <w:tcW w:w="1120" w:type="dxa"/>
            <w:vAlign w:val="bottom"/>
            <w:tcBorders>
              <w:bottom w:val="single" w:sz="8" w:color="0000EE"/>
            </w:tcBorders>
            <w:gridSpan w:val="3"/>
          </w:tcPr>
          <w:p>
            <w:pPr>
              <w:spacing w:after="0"/>
              <w:rPr>
                <w:rFonts w:ascii="Arial" w:cs="Arial" w:eastAsia="Arial" w:hAnsi="Arial"/>
                <w:sz w:val="14"/>
                <w:szCs w:val="14"/>
                <w:color w:val="0000EE"/>
              </w:rPr>
            </w:pPr>
            <w:hyperlink w:anchor="page97">
              <w:r>
                <w:rPr>
                  <w:rFonts w:ascii="Arial" w:cs="Arial" w:eastAsia="Arial" w:hAnsi="Arial"/>
                  <w:sz w:val="14"/>
                  <w:szCs w:val="14"/>
                  <w:color w:val="0000EE"/>
                </w:rPr>
                <w:t>Other Information</w:t>
              </w:r>
            </w:hyperlink>
          </w:p>
        </w:tc>
        <w:tc>
          <w:tcPr>
            <w:tcW w:w="8580" w:type="dxa"/>
            <w:vAlign w:val="bottom"/>
            <w:gridSpan w:val="5"/>
          </w:tcPr>
          <w:p>
            <w:pPr>
              <w:spacing w:after="0"/>
              <w:rPr>
                <w:sz w:val="17"/>
                <w:szCs w:val="17"/>
                <w:color w:val="auto"/>
              </w:rPr>
            </w:pPr>
          </w:p>
        </w:tc>
        <w:tc>
          <w:tcPr>
            <w:tcW w:w="160" w:type="dxa"/>
            <w:vAlign w:val="bottom"/>
            <w:tcBorders>
              <w:bottom w:val="single" w:sz="8" w:color="0000EE"/>
            </w:tcBorders>
          </w:tcPr>
          <w:p>
            <w:pPr>
              <w:jc w:val="right"/>
              <w:spacing w:after="0"/>
              <w:rPr>
                <w:rFonts w:ascii="Arial" w:cs="Arial" w:eastAsia="Arial" w:hAnsi="Arial"/>
                <w:sz w:val="14"/>
                <w:szCs w:val="14"/>
                <w:color w:val="0000EE"/>
                <w:w w:val="89"/>
              </w:rPr>
            </w:pPr>
            <w:hyperlink w:anchor="page97">
              <w:r>
                <w:rPr>
                  <w:rFonts w:ascii="Arial" w:cs="Arial" w:eastAsia="Arial" w:hAnsi="Arial"/>
                  <w:sz w:val="14"/>
                  <w:szCs w:val="14"/>
                  <w:color w:val="0000EE"/>
                  <w:w w:val="89"/>
                </w:rPr>
                <w:t>97</w:t>
              </w:r>
            </w:hyperlink>
          </w:p>
        </w:tc>
      </w:tr>
      <w:tr>
        <w:trPr>
          <w:trHeight w:val="196"/>
        </w:trPr>
        <w:tc>
          <w:tcPr>
            <w:tcW w:w="1040" w:type="dxa"/>
            <w:vAlign w:val="bottom"/>
          </w:tcPr>
          <w:p>
            <w:pPr>
              <w:spacing w:after="0"/>
              <w:rPr>
                <w:sz w:val="20"/>
                <w:szCs w:val="20"/>
                <w:color w:val="auto"/>
              </w:rPr>
            </w:pPr>
            <w:r>
              <w:rPr>
                <w:rFonts w:ascii="Arial" w:cs="Arial" w:eastAsia="Arial" w:hAnsi="Arial"/>
                <w:sz w:val="14"/>
                <w:szCs w:val="14"/>
                <w:b w:val="1"/>
                <w:bCs w:val="1"/>
                <w:color w:val="006EBF"/>
              </w:rPr>
              <w:t>Item 6.</w:t>
            </w:r>
          </w:p>
        </w:tc>
        <w:tc>
          <w:tcPr>
            <w:tcW w:w="500" w:type="dxa"/>
            <w:vAlign w:val="bottom"/>
            <w:tcBorders>
              <w:bottom w:val="single" w:sz="8" w:color="0000EE"/>
            </w:tcBorders>
          </w:tcPr>
          <w:p>
            <w:pPr>
              <w:spacing w:after="0"/>
              <w:rPr>
                <w:rFonts w:ascii="Arial" w:cs="Arial" w:eastAsia="Arial" w:hAnsi="Arial"/>
                <w:sz w:val="14"/>
                <w:szCs w:val="14"/>
                <w:color w:val="0000EE"/>
                <w:w w:val="97"/>
              </w:rPr>
            </w:pPr>
            <w:hyperlink w:anchor="page97">
              <w:r>
                <w:rPr>
                  <w:rFonts w:ascii="Arial" w:cs="Arial" w:eastAsia="Arial" w:hAnsi="Arial"/>
                  <w:sz w:val="14"/>
                  <w:szCs w:val="14"/>
                  <w:color w:val="0000EE"/>
                  <w:w w:val="97"/>
                </w:rPr>
                <w:t>Exhibits</w:t>
              </w:r>
            </w:hyperlink>
          </w:p>
        </w:tc>
        <w:tc>
          <w:tcPr>
            <w:tcW w:w="9200" w:type="dxa"/>
            <w:vAlign w:val="bottom"/>
            <w:gridSpan w:val="7"/>
          </w:tcPr>
          <w:p>
            <w:pPr>
              <w:spacing w:after="0"/>
              <w:rPr>
                <w:sz w:val="17"/>
                <w:szCs w:val="17"/>
                <w:color w:val="auto"/>
              </w:rPr>
            </w:pPr>
          </w:p>
        </w:tc>
        <w:tc>
          <w:tcPr>
            <w:tcW w:w="160" w:type="dxa"/>
            <w:vAlign w:val="bottom"/>
            <w:tcBorders>
              <w:bottom w:val="single" w:sz="8" w:color="0000EE"/>
            </w:tcBorders>
          </w:tcPr>
          <w:p>
            <w:pPr>
              <w:jc w:val="right"/>
              <w:spacing w:after="0"/>
              <w:rPr>
                <w:rFonts w:ascii="Arial" w:cs="Arial" w:eastAsia="Arial" w:hAnsi="Arial"/>
                <w:sz w:val="14"/>
                <w:szCs w:val="14"/>
                <w:color w:val="0000EE"/>
                <w:w w:val="89"/>
              </w:rPr>
            </w:pPr>
            <w:hyperlink w:anchor="page97">
              <w:r>
                <w:rPr>
                  <w:rFonts w:ascii="Arial" w:cs="Arial" w:eastAsia="Arial" w:hAnsi="Arial"/>
                  <w:sz w:val="14"/>
                  <w:szCs w:val="14"/>
                  <w:color w:val="0000EE"/>
                  <w:w w:val="89"/>
                </w:rPr>
                <w:t>97</w:t>
              </w:r>
            </w:hyperlink>
          </w:p>
        </w:tc>
      </w:tr>
    </w:tbl>
    <w:p>
      <w:pPr>
        <w:spacing w:after="0" w:line="200" w:lineRule="exact"/>
        <w:rPr>
          <w:sz w:val="20"/>
          <w:szCs w:val="20"/>
          <w:color w:val="auto"/>
        </w:rPr>
      </w:pPr>
    </w:p>
    <w:p>
      <w:pPr>
        <w:spacing w:after="0" w:line="268" w:lineRule="exact"/>
        <w:rPr>
          <w:sz w:val="20"/>
          <w:szCs w:val="20"/>
          <w:color w:val="auto"/>
        </w:rPr>
      </w:pPr>
    </w:p>
    <w:p>
      <w:pPr>
        <w:jc w:val="center"/>
        <w:ind w:right="-439"/>
        <w:spacing w:after="0"/>
        <w:rPr>
          <w:sz w:val="20"/>
          <w:szCs w:val="20"/>
          <w:color w:val="auto"/>
        </w:rPr>
      </w:pPr>
      <w:r>
        <w:rPr>
          <w:rFonts w:ascii="Arial" w:cs="Arial" w:eastAsia="Arial" w:hAnsi="Arial"/>
          <w:sz w:val="16"/>
          <w:szCs w:val="16"/>
          <w:color w:val="auto"/>
        </w:rPr>
        <w:t>4</w:t>
      </w:r>
    </w:p>
    <w:p>
      <w:pPr>
        <w:sectPr>
          <w:pgSz w:w="11900" w:h="16838" w:orient="portrait"/>
          <w:cols w:equalWidth="0" w:num="1">
            <w:col w:w="10900"/>
          </w:cols>
          <w:pgMar w:left="280" w:top="657" w:right="71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006EBF"/>
        </w:rPr>
        <w:t>PART I—FINANCIAL INFORMATION</w:t>
      </w:r>
    </w:p>
    <w:p>
      <w:pPr>
        <w:spacing w:after="0" w:line="33" w:lineRule="exact"/>
        <w:rPr>
          <w:sz w:val="20"/>
          <w:szCs w:val="20"/>
          <w:color w:val="auto"/>
        </w:rPr>
      </w:pPr>
    </w:p>
    <w:p>
      <w:pPr>
        <w:spacing w:after="0"/>
        <w:rPr>
          <w:sz w:val="20"/>
          <w:szCs w:val="20"/>
          <w:color w:val="auto"/>
        </w:rPr>
      </w:pPr>
      <w:r>
        <w:rPr>
          <w:rFonts w:ascii="Arial" w:cs="Arial" w:eastAsia="Arial" w:hAnsi="Arial"/>
          <w:sz w:val="18"/>
          <w:szCs w:val="18"/>
          <w:b w:val="1"/>
          <w:bCs w:val="1"/>
          <w:color w:val="006EBF"/>
        </w:rPr>
        <w:t>Item 1. Financial Statements</w:t>
      </w:r>
    </w:p>
    <w:p>
      <w:pPr>
        <w:spacing w:after="0" w:line="244" w:lineRule="exact"/>
        <w:rPr>
          <w:sz w:val="20"/>
          <w:szCs w:val="20"/>
          <w:color w:val="auto"/>
        </w:rPr>
      </w:pPr>
    </w:p>
    <w:p>
      <w:pPr>
        <w:ind w:right="3820"/>
        <w:spacing w:after="0" w:line="395" w:lineRule="auto"/>
        <w:rPr>
          <w:sz w:val="20"/>
          <w:szCs w:val="20"/>
          <w:color w:val="auto"/>
        </w:rPr>
      </w:pPr>
      <w:r>
        <w:rPr>
          <w:rFonts w:ascii="Arial" w:cs="Arial" w:eastAsia="Arial" w:hAnsi="Arial"/>
          <w:sz w:val="22"/>
          <w:szCs w:val="22"/>
          <w:b w:val="1"/>
          <w:bCs w:val="1"/>
          <w:color w:val="00497F"/>
        </w:rPr>
        <w:t>FORTRESS TRANSPORTATION AND INFRASTRUCTURE INVESTORS LLC CONSOLIDATED BALANCE SHEETS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5080</wp:posOffset>
            </wp:positionV>
            <wp:extent cx="72720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344"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70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rPr>
              <w:t>(Unaudited)</w:t>
            </w:r>
          </w:p>
        </w:tc>
        <w:tc>
          <w:tcPr>
            <w:tcW w:w="24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0"/>
        </w:trPr>
        <w:tc>
          <w:tcPr>
            <w:tcW w:w="708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60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rPr>
              <w:t>September 30,</w:t>
            </w:r>
          </w:p>
        </w:tc>
        <w:tc>
          <w:tcPr>
            <w:tcW w:w="240" w:type="dxa"/>
            <w:vAlign w:val="bottom"/>
          </w:tcPr>
          <w:p>
            <w:pPr>
              <w:spacing w:after="0"/>
              <w:rPr>
                <w:sz w:val="23"/>
                <w:szCs w:val="23"/>
                <w:color w:val="auto"/>
              </w:rPr>
            </w:pPr>
          </w:p>
        </w:tc>
        <w:tc>
          <w:tcPr>
            <w:tcW w:w="1440" w:type="dxa"/>
            <w:vAlign w:val="bottom"/>
          </w:tcPr>
          <w:p>
            <w:pPr>
              <w:jc w:val="right"/>
              <w:ind w:right="328"/>
              <w:spacing w:after="0"/>
              <w:rPr>
                <w:sz w:val="20"/>
                <w:szCs w:val="20"/>
                <w:color w:val="auto"/>
              </w:rPr>
            </w:pPr>
            <w:r>
              <w:rPr>
                <w:rFonts w:ascii="Arial" w:cs="Arial" w:eastAsia="Arial" w:hAnsi="Arial"/>
                <w:sz w:val="14"/>
                <w:szCs w:val="14"/>
                <w:color w:val="auto"/>
              </w:rPr>
              <w:t>December 31,</w:t>
            </w:r>
          </w:p>
        </w:tc>
        <w:tc>
          <w:tcPr>
            <w:tcW w:w="0" w:type="dxa"/>
            <w:vAlign w:val="bottom"/>
          </w:tcPr>
          <w:p>
            <w:pPr>
              <w:spacing w:after="0"/>
              <w:rPr>
                <w:sz w:val="1"/>
                <w:szCs w:val="1"/>
                <w:color w:val="auto"/>
              </w:rPr>
            </w:pPr>
          </w:p>
        </w:tc>
      </w:tr>
      <w:tr>
        <w:trPr>
          <w:trHeight w:val="217"/>
        </w:trPr>
        <w:tc>
          <w:tcPr>
            <w:tcW w:w="7080" w:type="dxa"/>
            <w:vAlign w:val="bottom"/>
          </w:tcPr>
          <w:p>
            <w:pPr>
              <w:ind w:left="40"/>
              <w:spacing w:after="0"/>
              <w:rPr>
                <w:sz w:val="20"/>
                <w:szCs w:val="20"/>
                <w:color w:val="auto"/>
              </w:rPr>
            </w:pPr>
            <w:r>
              <w:rPr>
                <w:rFonts w:ascii="Arial" w:cs="Arial" w:eastAsia="Arial" w:hAnsi="Arial"/>
                <w:sz w:val="14"/>
                <w:szCs w:val="14"/>
                <w:i w:val="1"/>
                <w:iCs w:val="1"/>
                <w:color w:val="auto"/>
              </w:rPr>
              <w:t>(Dollar amounts in thousands, except share and per share data)</w:t>
            </w:r>
          </w:p>
        </w:tc>
        <w:tc>
          <w:tcPr>
            <w:tcW w:w="820" w:type="dxa"/>
            <w:vAlign w:val="bottom"/>
            <w:gridSpan w:val="2"/>
          </w:tcPr>
          <w:p>
            <w:pPr>
              <w:ind w:left="140"/>
              <w:spacing w:after="0"/>
              <w:rPr>
                <w:sz w:val="20"/>
                <w:szCs w:val="20"/>
                <w:color w:val="auto"/>
              </w:rPr>
            </w:pPr>
            <w:r>
              <w:rPr>
                <w:rFonts w:ascii="Arial" w:cs="Arial" w:eastAsia="Arial" w:hAnsi="Arial"/>
                <w:sz w:val="14"/>
                <w:szCs w:val="14"/>
                <w:b w:val="1"/>
                <w:bCs w:val="1"/>
                <w:color w:val="auto"/>
              </w:rPr>
              <w:t>Notes</w:t>
            </w:r>
          </w:p>
        </w:tc>
        <w:tc>
          <w:tcPr>
            <w:tcW w:w="240" w:type="dxa"/>
            <w:vAlign w:val="bottom"/>
          </w:tcPr>
          <w:p>
            <w:pPr>
              <w:spacing w:after="0"/>
              <w:rPr>
                <w:sz w:val="18"/>
                <w:szCs w:val="18"/>
                <w:color w:val="auto"/>
              </w:rPr>
            </w:pPr>
          </w:p>
        </w:tc>
        <w:tc>
          <w:tcPr>
            <w:tcW w:w="1480" w:type="dxa"/>
            <w:vAlign w:val="bottom"/>
          </w:tcPr>
          <w:p>
            <w:pPr>
              <w:jc w:val="center"/>
              <w:ind w:right="168"/>
              <w:spacing w:after="0"/>
              <w:rPr>
                <w:sz w:val="20"/>
                <w:szCs w:val="20"/>
                <w:color w:val="auto"/>
              </w:rPr>
            </w:pPr>
            <w:r>
              <w:rPr>
                <w:rFonts w:ascii="Arial" w:cs="Arial" w:eastAsia="Arial" w:hAnsi="Arial"/>
                <w:sz w:val="14"/>
                <w:szCs w:val="14"/>
                <w:b w:val="1"/>
                <w:bCs w:val="1"/>
                <w:color w:val="auto"/>
              </w:rPr>
              <w:t>2017</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40" w:type="dxa"/>
            <w:vAlign w:val="bottom"/>
          </w:tcPr>
          <w:p>
            <w:pPr>
              <w:jc w:val="right"/>
              <w:ind w:right="608"/>
              <w:spacing w:after="0"/>
              <w:rPr>
                <w:sz w:val="20"/>
                <w:szCs w:val="20"/>
                <w:color w:val="auto"/>
              </w:rPr>
            </w:pPr>
            <w:r>
              <w:rPr>
                <w:rFonts w:ascii="Arial" w:cs="Arial" w:eastAsia="Arial" w:hAnsi="Arial"/>
                <w:sz w:val="14"/>
                <w:szCs w:val="14"/>
                <w:color w:val="auto"/>
              </w:rPr>
              <w:t>2016</w:t>
            </w:r>
          </w:p>
        </w:tc>
        <w:tc>
          <w:tcPr>
            <w:tcW w:w="0" w:type="dxa"/>
            <w:vAlign w:val="bottom"/>
          </w:tcPr>
          <w:p>
            <w:pPr>
              <w:spacing w:after="0"/>
              <w:rPr>
                <w:sz w:val="1"/>
                <w:szCs w:val="1"/>
                <w:color w:val="auto"/>
              </w:rPr>
            </w:pPr>
          </w:p>
        </w:tc>
      </w:tr>
      <w:tr>
        <w:trPr>
          <w:trHeight w:val="211"/>
        </w:trPr>
        <w:tc>
          <w:tcPr>
            <w:tcW w:w="708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4"/>
                <w:szCs w:val="14"/>
                <w:b w:val="1"/>
                <w:bCs w:val="1"/>
                <w:color w:val="auto"/>
              </w:rPr>
              <w:t>Assets</w:t>
            </w:r>
          </w:p>
        </w:tc>
        <w:tc>
          <w:tcPr>
            <w:tcW w:w="70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48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44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7080" w:type="dxa"/>
            <w:vAlign w:val="bottom"/>
          </w:tcPr>
          <w:p>
            <w:pPr>
              <w:ind w:left="500"/>
              <w:spacing w:after="0"/>
              <w:rPr>
                <w:sz w:val="20"/>
                <w:szCs w:val="20"/>
                <w:color w:val="auto"/>
              </w:rPr>
            </w:pPr>
            <w:r>
              <w:rPr>
                <w:rFonts w:ascii="Arial" w:cs="Arial" w:eastAsia="Arial" w:hAnsi="Arial"/>
                <w:sz w:val="14"/>
                <w:szCs w:val="14"/>
                <w:color w:val="auto"/>
              </w:rPr>
              <w:t>Cash and cash equivalents</w:t>
            </w:r>
          </w:p>
        </w:tc>
        <w:tc>
          <w:tcPr>
            <w:tcW w:w="700" w:type="dxa"/>
            <w:vAlign w:val="bottom"/>
          </w:tcPr>
          <w:p>
            <w:pPr>
              <w:jc w:val="center"/>
              <w:spacing w:after="0"/>
              <w:rPr>
                <w:sz w:val="20"/>
                <w:szCs w:val="20"/>
                <w:color w:val="auto"/>
              </w:rPr>
            </w:pPr>
            <w:r>
              <w:rPr>
                <w:rFonts w:ascii="Arial" w:cs="Arial" w:eastAsia="Arial" w:hAnsi="Arial"/>
                <w:sz w:val="14"/>
                <w:szCs w:val="14"/>
                <w:color w:val="auto"/>
              </w:rPr>
              <w:t>2</w:t>
            </w:r>
          </w:p>
        </w:tc>
        <w:tc>
          <w:tcPr>
            <w:tcW w:w="120" w:type="dxa"/>
            <w:vAlign w:val="bottom"/>
          </w:tcPr>
          <w:p>
            <w:pPr>
              <w:spacing w:after="0"/>
              <w:rPr>
                <w:sz w:val="18"/>
                <w:szCs w:val="18"/>
                <w:color w:val="auto"/>
              </w:rPr>
            </w:pPr>
          </w:p>
        </w:tc>
        <w:tc>
          <w:tcPr>
            <w:tcW w:w="240" w:type="dxa"/>
            <w:vAlign w:val="bottom"/>
          </w:tcPr>
          <w:p>
            <w:pPr>
              <w:jc w:val="right"/>
              <w:ind w:right="68"/>
              <w:spacing w:after="0"/>
              <w:rPr>
                <w:sz w:val="20"/>
                <w:szCs w:val="20"/>
                <w:color w:val="auto"/>
              </w:rPr>
            </w:pPr>
            <w:r>
              <w:rPr>
                <w:rFonts w:ascii="Arial" w:cs="Arial" w:eastAsia="Arial" w:hAnsi="Arial"/>
                <w:sz w:val="14"/>
                <w:szCs w:val="14"/>
                <w:b w:val="1"/>
                <w:bCs w:val="1"/>
                <w:color w:val="auto"/>
              </w:rPr>
              <w:t>$</w:t>
            </w:r>
          </w:p>
        </w:tc>
        <w:tc>
          <w:tcPr>
            <w:tcW w:w="1480" w:type="dxa"/>
            <w:vAlign w:val="bottom"/>
          </w:tcPr>
          <w:p>
            <w:pPr>
              <w:jc w:val="right"/>
              <w:ind w:right="48"/>
              <w:spacing w:after="0"/>
              <w:rPr>
                <w:sz w:val="20"/>
                <w:szCs w:val="20"/>
                <w:color w:val="auto"/>
              </w:rPr>
            </w:pPr>
            <w:r>
              <w:rPr>
                <w:rFonts w:ascii="Arial" w:cs="Arial" w:eastAsia="Arial" w:hAnsi="Arial"/>
                <w:sz w:val="14"/>
                <w:szCs w:val="14"/>
                <w:b w:val="1"/>
                <w:bCs w:val="1"/>
                <w:color w:val="auto"/>
              </w:rPr>
              <w:t>176,357</w:t>
            </w:r>
          </w:p>
        </w:tc>
        <w:tc>
          <w:tcPr>
            <w:tcW w:w="120" w:type="dxa"/>
            <w:vAlign w:val="bottom"/>
          </w:tcPr>
          <w:p>
            <w:pPr>
              <w:spacing w:after="0"/>
              <w:rPr>
                <w:sz w:val="18"/>
                <w:szCs w:val="18"/>
                <w:color w:val="auto"/>
              </w:rPr>
            </w:pP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1440" w:type="dxa"/>
            <w:vAlign w:val="bottom"/>
          </w:tcPr>
          <w:p>
            <w:pPr>
              <w:jc w:val="right"/>
              <w:ind w:right="28"/>
              <w:spacing w:after="0"/>
              <w:rPr>
                <w:sz w:val="20"/>
                <w:szCs w:val="20"/>
                <w:color w:val="auto"/>
              </w:rPr>
            </w:pPr>
            <w:r>
              <w:rPr>
                <w:rFonts w:ascii="Arial" w:cs="Arial" w:eastAsia="Arial" w:hAnsi="Arial"/>
                <w:sz w:val="14"/>
                <w:szCs w:val="14"/>
                <w:color w:val="auto"/>
              </w:rPr>
              <w:t>68,055</w:t>
            </w:r>
          </w:p>
        </w:tc>
        <w:tc>
          <w:tcPr>
            <w:tcW w:w="0" w:type="dxa"/>
            <w:vAlign w:val="bottom"/>
          </w:tcPr>
          <w:p>
            <w:pPr>
              <w:spacing w:after="0"/>
              <w:rPr>
                <w:sz w:val="1"/>
                <w:szCs w:val="1"/>
                <w:color w:val="auto"/>
              </w:rPr>
            </w:pPr>
          </w:p>
        </w:tc>
      </w:tr>
      <w:tr>
        <w:trPr>
          <w:trHeight w:val="217"/>
        </w:trPr>
        <w:tc>
          <w:tcPr>
            <w:tcW w:w="7080" w:type="dxa"/>
            <w:vAlign w:val="bottom"/>
            <w:shd w:val="clear" w:color="auto" w:fill="CCEEFF"/>
          </w:tcPr>
          <w:p>
            <w:pPr>
              <w:ind w:left="500"/>
              <w:spacing w:after="0"/>
              <w:rPr>
                <w:sz w:val="20"/>
                <w:szCs w:val="20"/>
                <w:color w:val="auto"/>
              </w:rPr>
            </w:pPr>
            <w:r>
              <w:rPr>
                <w:rFonts w:ascii="Arial" w:cs="Arial" w:eastAsia="Arial" w:hAnsi="Arial"/>
                <w:sz w:val="14"/>
                <w:szCs w:val="14"/>
                <w:color w:val="auto"/>
              </w:rPr>
              <w:t>Restricted cash</w:t>
            </w:r>
          </w:p>
        </w:tc>
        <w:tc>
          <w:tcPr>
            <w:tcW w:w="70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2</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8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36,458</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65,441</w:t>
            </w:r>
          </w:p>
        </w:tc>
        <w:tc>
          <w:tcPr>
            <w:tcW w:w="0" w:type="dxa"/>
            <w:vAlign w:val="bottom"/>
          </w:tcPr>
          <w:p>
            <w:pPr>
              <w:spacing w:after="0"/>
              <w:rPr>
                <w:sz w:val="1"/>
                <w:szCs w:val="1"/>
                <w:color w:val="auto"/>
              </w:rPr>
            </w:pPr>
          </w:p>
        </w:tc>
      </w:tr>
      <w:tr>
        <w:trPr>
          <w:trHeight w:val="215"/>
        </w:trPr>
        <w:tc>
          <w:tcPr>
            <w:tcW w:w="7080" w:type="dxa"/>
            <w:vAlign w:val="bottom"/>
          </w:tcPr>
          <w:p>
            <w:pPr>
              <w:ind w:left="500"/>
              <w:spacing w:after="0"/>
              <w:rPr>
                <w:sz w:val="20"/>
                <w:szCs w:val="20"/>
                <w:color w:val="auto"/>
              </w:rPr>
            </w:pPr>
            <w:r>
              <w:rPr>
                <w:rFonts w:ascii="Arial" w:cs="Arial" w:eastAsia="Arial" w:hAnsi="Arial"/>
                <w:sz w:val="14"/>
                <w:szCs w:val="14"/>
                <w:color w:val="auto"/>
              </w:rPr>
              <w:t>Accounts receivable, net</w:t>
            </w: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80" w:type="dxa"/>
            <w:vAlign w:val="bottom"/>
          </w:tcPr>
          <w:p>
            <w:pPr>
              <w:jc w:val="right"/>
              <w:ind w:right="48"/>
              <w:spacing w:after="0"/>
              <w:rPr>
                <w:sz w:val="20"/>
                <w:szCs w:val="20"/>
                <w:color w:val="auto"/>
              </w:rPr>
            </w:pPr>
            <w:r>
              <w:rPr>
                <w:rFonts w:ascii="Arial" w:cs="Arial" w:eastAsia="Arial" w:hAnsi="Arial"/>
                <w:sz w:val="14"/>
                <w:szCs w:val="14"/>
                <w:b w:val="1"/>
                <w:bCs w:val="1"/>
                <w:color w:val="auto"/>
              </w:rPr>
              <w:t>27,926</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40" w:type="dxa"/>
            <w:vAlign w:val="bottom"/>
          </w:tcPr>
          <w:p>
            <w:pPr>
              <w:jc w:val="right"/>
              <w:ind w:right="28"/>
              <w:spacing w:after="0"/>
              <w:rPr>
                <w:sz w:val="20"/>
                <w:szCs w:val="20"/>
                <w:color w:val="auto"/>
              </w:rPr>
            </w:pPr>
            <w:r>
              <w:rPr>
                <w:rFonts w:ascii="Arial" w:cs="Arial" w:eastAsia="Arial" w:hAnsi="Arial"/>
                <w:sz w:val="14"/>
                <w:szCs w:val="14"/>
                <w:color w:val="auto"/>
              </w:rPr>
              <w:t>21,358</w:t>
            </w:r>
          </w:p>
        </w:tc>
        <w:tc>
          <w:tcPr>
            <w:tcW w:w="0" w:type="dxa"/>
            <w:vAlign w:val="bottom"/>
          </w:tcPr>
          <w:p>
            <w:pPr>
              <w:spacing w:after="0"/>
              <w:rPr>
                <w:sz w:val="1"/>
                <w:szCs w:val="1"/>
                <w:color w:val="auto"/>
              </w:rPr>
            </w:pPr>
          </w:p>
        </w:tc>
      </w:tr>
      <w:tr>
        <w:trPr>
          <w:trHeight w:val="217"/>
        </w:trPr>
        <w:tc>
          <w:tcPr>
            <w:tcW w:w="7080" w:type="dxa"/>
            <w:vAlign w:val="bottom"/>
            <w:shd w:val="clear" w:color="auto" w:fill="CCEEFF"/>
          </w:tcPr>
          <w:p>
            <w:pPr>
              <w:ind w:left="500"/>
              <w:spacing w:after="0"/>
              <w:rPr>
                <w:sz w:val="20"/>
                <w:szCs w:val="20"/>
                <w:color w:val="auto"/>
              </w:rPr>
            </w:pPr>
            <w:r>
              <w:rPr>
                <w:rFonts w:ascii="Arial" w:cs="Arial" w:eastAsia="Arial" w:hAnsi="Arial"/>
                <w:sz w:val="14"/>
                <w:szCs w:val="14"/>
                <w:color w:val="auto"/>
              </w:rPr>
              <w:t>Leasing equipment, net</w:t>
            </w:r>
          </w:p>
        </w:tc>
        <w:tc>
          <w:tcPr>
            <w:tcW w:w="70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3</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8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929,364</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765,455</w:t>
            </w:r>
          </w:p>
        </w:tc>
        <w:tc>
          <w:tcPr>
            <w:tcW w:w="0" w:type="dxa"/>
            <w:vAlign w:val="bottom"/>
          </w:tcPr>
          <w:p>
            <w:pPr>
              <w:spacing w:after="0"/>
              <w:rPr>
                <w:sz w:val="1"/>
                <w:szCs w:val="1"/>
                <w:color w:val="auto"/>
              </w:rPr>
            </w:pPr>
          </w:p>
        </w:tc>
      </w:tr>
      <w:tr>
        <w:trPr>
          <w:trHeight w:val="215"/>
        </w:trPr>
        <w:tc>
          <w:tcPr>
            <w:tcW w:w="7080" w:type="dxa"/>
            <w:vAlign w:val="bottom"/>
          </w:tcPr>
          <w:p>
            <w:pPr>
              <w:ind w:left="500"/>
              <w:spacing w:after="0"/>
              <w:rPr>
                <w:sz w:val="20"/>
                <w:szCs w:val="20"/>
                <w:color w:val="auto"/>
              </w:rPr>
            </w:pPr>
            <w:r>
              <w:rPr>
                <w:rFonts w:ascii="Arial" w:cs="Arial" w:eastAsia="Arial" w:hAnsi="Arial"/>
                <w:sz w:val="14"/>
                <w:szCs w:val="14"/>
                <w:color w:val="auto"/>
              </w:rPr>
              <w:t>Finance leases, net</w:t>
            </w:r>
          </w:p>
        </w:tc>
        <w:tc>
          <w:tcPr>
            <w:tcW w:w="700" w:type="dxa"/>
            <w:vAlign w:val="bottom"/>
          </w:tcPr>
          <w:p>
            <w:pPr>
              <w:jc w:val="center"/>
              <w:spacing w:after="0"/>
              <w:rPr>
                <w:sz w:val="20"/>
                <w:szCs w:val="20"/>
                <w:color w:val="auto"/>
              </w:rPr>
            </w:pPr>
            <w:r>
              <w:rPr>
                <w:rFonts w:ascii="Arial" w:cs="Arial" w:eastAsia="Arial" w:hAnsi="Arial"/>
                <w:sz w:val="14"/>
                <w:szCs w:val="14"/>
                <w:color w:val="auto"/>
              </w:rPr>
              <w:t>4</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80" w:type="dxa"/>
            <w:vAlign w:val="bottom"/>
          </w:tcPr>
          <w:p>
            <w:pPr>
              <w:jc w:val="right"/>
              <w:ind w:right="48"/>
              <w:spacing w:after="0"/>
              <w:rPr>
                <w:sz w:val="20"/>
                <w:szCs w:val="20"/>
                <w:color w:val="auto"/>
              </w:rPr>
            </w:pPr>
            <w:r>
              <w:rPr>
                <w:rFonts w:ascii="Arial" w:cs="Arial" w:eastAsia="Arial" w:hAnsi="Arial"/>
                <w:sz w:val="14"/>
                <w:szCs w:val="14"/>
                <w:b w:val="1"/>
                <w:bCs w:val="1"/>
                <w:color w:val="auto"/>
              </w:rPr>
              <w:t>9,370</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40" w:type="dxa"/>
            <w:vAlign w:val="bottom"/>
          </w:tcPr>
          <w:p>
            <w:pPr>
              <w:jc w:val="right"/>
              <w:ind w:right="28"/>
              <w:spacing w:after="0"/>
              <w:rPr>
                <w:sz w:val="20"/>
                <w:szCs w:val="20"/>
                <w:color w:val="auto"/>
              </w:rPr>
            </w:pPr>
            <w:r>
              <w:rPr>
                <w:rFonts w:ascii="Arial" w:cs="Arial" w:eastAsia="Arial" w:hAnsi="Arial"/>
                <w:sz w:val="14"/>
                <w:szCs w:val="14"/>
                <w:color w:val="auto"/>
              </w:rPr>
              <w:t>9,717</w:t>
            </w:r>
          </w:p>
        </w:tc>
        <w:tc>
          <w:tcPr>
            <w:tcW w:w="0" w:type="dxa"/>
            <w:vAlign w:val="bottom"/>
          </w:tcPr>
          <w:p>
            <w:pPr>
              <w:spacing w:after="0"/>
              <w:rPr>
                <w:sz w:val="1"/>
                <w:szCs w:val="1"/>
                <w:color w:val="auto"/>
              </w:rPr>
            </w:pPr>
          </w:p>
        </w:tc>
      </w:tr>
      <w:tr>
        <w:trPr>
          <w:trHeight w:val="217"/>
        </w:trPr>
        <w:tc>
          <w:tcPr>
            <w:tcW w:w="7080" w:type="dxa"/>
            <w:vAlign w:val="bottom"/>
            <w:shd w:val="clear" w:color="auto" w:fill="CCEEFF"/>
          </w:tcPr>
          <w:p>
            <w:pPr>
              <w:ind w:left="500"/>
              <w:spacing w:after="0"/>
              <w:rPr>
                <w:sz w:val="20"/>
                <w:szCs w:val="20"/>
                <w:color w:val="auto"/>
              </w:rPr>
            </w:pPr>
            <w:r>
              <w:rPr>
                <w:rFonts w:ascii="Arial" w:cs="Arial" w:eastAsia="Arial" w:hAnsi="Arial"/>
                <w:sz w:val="14"/>
                <w:szCs w:val="14"/>
                <w:color w:val="auto"/>
              </w:rPr>
              <w:t>Property, plant, and equipment, net</w:t>
            </w:r>
          </w:p>
        </w:tc>
        <w:tc>
          <w:tcPr>
            <w:tcW w:w="70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5</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8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464,399</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352,181</w:t>
            </w:r>
          </w:p>
        </w:tc>
        <w:tc>
          <w:tcPr>
            <w:tcW w:w="0" w:type="dxa"/>
            <w:vAlign w:val="bottom"/>
          </w:tcPr>
          <w:p>
            <w:pPr>
              <w:spacing w:after="0"/>
              <w:rPr>
                <w:sz w:val="1"/>
                <w:szCs w:val="1"/>
                <w:color w:val="auto"/>
              </w:rPr>
            </w:pPr>
          </w:p>
        </w:tc>
      </w:tr>
      <w:tr>
        <w:trPr>
          <w:trHeight w:val="176"/>
        </w:trPr>
        <w:tc>
          <w:tcPr>
            <w:tcW w:w="7080" w:type="dxa"/>
            <w:vAlign w:val="bottom"/>
          </w:tcPr>
          <w:p>
            <w:pPr>
              <w:ind w:left="500"/>
              <w:spacing w:after="0"/>
              <w:rPr>
                <w:sz w:val="20"/>
                <w:szCs w:val="20"/>
                <w:color w:val="auto"/>
              </w:rPr>
            </w:pPr>
            <w:r>
              <w:rPr>
                <w:rFonts w:ascii="Arial" w:cs="Arial" w:eastAsia="Arial" w:hAnsi="Arial"/>
                <w:sz w:val="14"/>
                <w:szCs w:val="14"/>
                <w:color w:val="auto"/>
              </w:rPr>
              <w:t>Investments (includes $30,470 and $17,630 available-for-sale securities at fair value as of September</w:t>
            </w:r>
          </w:p>
        </w:tc>
        <w:tc>
          <w:tcPr>
            <w:tcW w:w="7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80" w:type="dxa"/>
            <w:vAlign w:val="bottom"/>
            <w:vMerge w:val="restart"/>
          </w:tcPr>
          <w:p>
            <w:pPr>
              <w:jc w:val="right"/>
              <w:ind w:right="48"/>
              <w:spacing w:after="0"/>
              <w:rPr>
                <w:sz w:val="20"/>
                <w:szCs w:val="20"/>
                <w:color w:val="auto"/>
              </w:rPr>
            </w:pPr>
            <w:r>
              <w:rPr>
                <w:rFonts w:ascii="Arial" w:cs="Arial" w:eastAsia="Arial" w:hAnsi="Arial"/>
                <w:sz w:val="14"/>
                <w:szCs w:val="14"/>
                <w:b w:val="1"/>
                <w:bCs w:val="1"/>
                <w:color w:val="auto"/>
              </w:rPr>
              <w:t>67,792</w:t>
            </w: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1"/>
        </w:trPr>
        <w:tc>
          <w:tcPr>
            <w:tcW w:w="7080" w:type="dxa"/>
            <w:vAlign w:val="bottom"/>
          </w:tcPr>
          <w:p>
            <w:pPr>
              <w:ind w:left="500"/>
              <w:spacing w:after="0"/>
              <w:rPr>
                <w:sz w:val="20"/>
                <w:szCs w:val="20"/>
                <w:color w:val="auto"/>
              </w:rPr>
            </w:pPr>
            <w:r>
              <w:rPr>
                <w:rFonts w:ascii="Arial" w:cs="Arial" w:eastAsia="Arial" w:hAnsi="Arial"/>
                <w:sz w:val="14"/>
                <w:szCs w:val="14"/>
                <w:color w:val="auto"/>
              </w:rPr>
              <w:t>30, 2017 and December 31, 2016, respectively)</w:t>
            </w:r>
          </w:p>
        </w:tc>
        <w:tc>
          <w:tcPr>
            <w:tcW w:w="700" w:type="dxa"/>
            <w:vAlign w:val="bottom"/>
          </w:tcPr>
          <w:p>
            <w:pPr>
              <w:jc w:val="center"/>
              <w:spacing w:after="0"/>
              <w:rPr>
                <w:sz w:val="20"/>
                <w:szCs w:val="20"/>
                <w:color w:val="auto"/>
              </w:rPr>
            </w:pPr>
            <w:r>
              <w:rPr>
                <w:rFonts w:ascii="Arial" w:cs="Arial" w:eastAsia="Arial" w:hAnsi="Arial"/>
                <w:sz w:val="14"/>
                <w:szCs w:val="14"/>
                <w:color w:val="auto"/>
              </w:rPr>
              <w:t>6</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8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40" w:type="dxa"/>
            <w:vAlign w:val="bottom"/>
          </w:tcPr>
          <w:p>
            <w:pPr>
              <w:jc w:val="right"/>
              <w:ind w:right="28"/>
              <w:spacing w:after="0"/>
              <w:rPr>
                <w:sz w:val="20"/>
                <w:szCs w:val="20"/>
                <w:color w:val="auto"/>
              </w:rPr>
            </w:pPr>
            <w:r>
              <w:rPr>
                <w:rFonts w:ascii="Arial" w:cs="Arial" w:eastAsia="Arial" w:hAnsi="Arial"/>
                <w:sz w:val="14"/>
                <w:szCs w:val="14"/>
                <w:color w:val="auto"/>
              </w:rPr>
              <w:t>39,978</w:t>
            </w:r>
          </w:p>
        </w:tc>
        <w:tc>
          <w:tcPr>
            <w:tcW w:w="0" w:type="dxa"/>
            <w:vAlign w:val="bottom"/>
          </w:tcPr>
          <w:p>
            <w:pPr>
              <w:spacing w:after="0"/>
              <w:rPr>
                <w:sz w:val="1"/>
                <w:szCs w:val="1"/>
                <w:color w:val="auto"/>
              </w:rPr>
            </w:pPr>
          </w:p>
        </w:tc>
      </w:tr>
      <w:tr>
        <w:trPr>
          <w:trHeight w:val="217"/>
        </w:trPr>
        <w:tc>
          <w:tcPr>
            <w:tcW w:w="7080" w:type="dxa"/>
            <w:vAlign w:val="bottom"/>
            <w:shd w:val="clear" w:color="auto" w:fill="CCEEFF"/>
          </w:tcPr>
          <w:p>
            <w:pPr>
              <w:ind w:left="500"/>
              <w:spacing w:after="0"/>
              <w:rPr>
                <w:sz w:val="20"/>
                <w:szCs w:val="20"/>
                <w:color w:val="auto"/>
              </w:rPr>
            </w:pPr>
            <w:r>
              <w:rPr>
                <w:rFonts w:ascii="Arial" w:cs="Arial" w:eastAsia="Arial" w:hAnsi="Arial"/>
                <w:sz w:val="14"/>
                <w:szCs w:val="14"/>
                <w:color w:val="auto"/>
              </w:rPr>
              <w:t>Intangible assets, net</w:t>
            </w:r>
          </w:p>
        </w:tc>
        <w:tc>
          <w:tcPr>
            <w:tcW w:w="70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7</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8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33,882</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38,954</w:t>
            </w:r>
          </w:p>
        </w:tc>
        <w:tc>
          <w:tcPr>
            <w:tcW w:w="0" w:type="dxa"/>
            <w:vAlign w:val="bottom"/>
          </w:tcPr>
          <w:p>
            <w:pPr>
              <w:spacing w:after="0"/>
              <w:rPr>
                <w:sz w:val="1"/>
                <w:szCs w:val="1"/>
                <w:color w:val="auto"/>
              </w:rPr>
            </w:pPr>
          </w:p>
        </w:tc>
      </w:tr>
      <w:tr>
        <w:trPr>
          <w:trHeight w:val="215"/>
        </w:trPr>
        <w:tc>
          <w:tcPr>
            <w:tcW w:w="7080" w:type="dxa"/>
            <w:vAlign w:val="bottom"/>
          </w:tcPr>
          <w:p>
            <w:pPr>
              <w:ind w:left="500"/>
              <w:spacing w:after="0"/>
              <w:rPr>
                <w:sz w:val="20"/>
                <w:szCs w:val="20"/>
                <w:color w:val="auto"/>
              </w:rPr>
            </w:pPr>
            <w:r>
              <w:rPr>
                <w:rFonts w:ascii="Arial" w:cs="Arial" w:eastAsia="Arial" w:hAnsi="Arial"/>
                <w:sz w:val="14"/>
                <w:szCs w:val="14"/>
                <w:color w:val="auto"/>
              </w:rPr>
              <w:t>Goodwill</w:t>
            </w: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80" w:type="dxa"/>
            <w:vAlign w:val="bottom"/>
          </w:tcPr>
          <w:p>
            <w:pPr>
              <w:jc w:val="right"/>
              <w:ind w:right="48"/>
              <w:spacing w:after="0"/>
              <w:rPr>
                <w:sz w:val="20"/>
                <w:szCs w:val="20"/>
                <w:color w:val="auto"/>
              </w:rPr>
            </w:pPr>
            <w:r>
              <w:rPr>
                <w:rFonts w:ascii="Arial" w:cs="Arial" w:eastAsia="Arial" w:hAnsi="Arial"/>
                <w:sz w:val="14"/>
                <w:szCs w:val="14"/>
                <w:b w:val="1"/>
                <w:bCs w:val="1"/>
                <w:color w:val="auto"/>
              </w:rPr>
              <w:t>116,584</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40" w:type="dxa"/>
            <w:vAlign w:val="bottom"/>
          </w:tcPr>
          <w:p>
            <w:pPr>
              <w:jc w:val="right"/>
              <w:ind w:right="28"/>
              <w:spacing w:after="0"/>
              <w:rPr>
                <w:sz w:val="20"/>
                <w:szCs w:val="20"/>
                <w:color w:val="auto"/>
              </w:rPr>
            </w:pPr>
            <w:r>
              <w:rPr>
                <w:rFonts w:ascii="Arial" w:cs="Arial" w:eastAsia="Arial" w:hAnsi="Arial"/>
                <w:sz w:val="14"/>
                <w:szCs w:val="14"/>
                <w:color w:val="auto"/>
              </w:rPr>
              <w:t>116,584</w:t>
            </w:r>
          </w:p>
        </w:tc>
        <w:tc>
          <w:tcPr>
            <w:tcW w:w="0" w:type="dxa"/>
            <w:vAlign w:val="bottom"/>
          </w:tcPr>
          <w:p>
            <w:pPr>
              <w:spacing w:after="0"/>
              <w:rPr>
                <w:sz w:val="1"/>
                <w:szCs w:val="1"/>
                <w:color w:val="auto"/>
              </w:rPr>
            </w:pPr>
          </w:p>
        </w:tc>
      </w:tr>
      <w:tr>
        <w:trPr>
          <w:trHeight w:val="216"/>
        </w:trPr>
        <w:tc>
          <w:tcPr>
            <w:tcW w:w="7080" w:type="dxa"/>
            <w:vAlign w:val="bottom"/>
            <w:shd w:val="clear" w:color="auto" w:fill="CCEEFF"/>
          </w:tcPr>
          <w:p>
            <w:pPr>
              <w:ind w:left="500"/>
              <w:spacing w:after="0"/>
              <w:rPr>
                <w:sz w:val="20"/>
                <w:szCs w:val="20"/>
                <w:color w:val="auto"/>
              </w:rPr>
            </w:pPr>
            <w:r>
              <w:rPr>
                <w:rFonts w:ascii="Arial" w:cs="Arial" w:eastAsia="Arial" w:hAnsi="Arial"/>
                <w:sz w:val="14"/>
                <w:szCs w:val="14"/>
                <w:color w:val="auto"/>
              </w:rPr>
              <w:t>Other assets</w:t>
            </w:r>
          </w:p>
        </w:tc>
        <w:tc>
          <w:tcPr>
            <w:tcW w:w="70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2</w:t>
            </w:r>
          </w:p>
        </w:tc>
        <w:tc>
          <w:tcPr>
            <w:tcW w:w="12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48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47,789</w:t>
            </w:r>
          </w:p>
        </w:tc>
        <w:tc>
          <w:tcPr>
            <w:tcW w:w="12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4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69,589</w:t>
            </w:r>
          </w:p>
        </w:tc>
        <w:tc>
          <w:tcPr>
            <w:tcW w:w="0" w:type="dxa"/>
            <w:vAlign w:val="bottom"/>
          </w:tcPr>
          <w:p>
            <w:pPr>
              <w:spacing w:after="0"/>
              <w:rPr>
                <w:sz w:val="1"/>
                <w:szCs w:val="1"/>
                <w:color w:val="auto"/>
              </w:rPr>
            </w:pPr>
          </w:p>
        </w:tc>
      </w:tr>
      <w:tr>
        <w:trPr>
          <w:trHeight w:val="251"/>
        </w:trPr>
        <w:tc>
          <w:tcPr>
            <w:tcW w:w="7080" w:type="dxa"/>
            <w:vAlign w:val="bottom"/>
            <w:tcBorders>
              <w:bottom w:val="single" w:sz="8" w:color="CCEEFF"/>
            </w:tcBorders>
          </w:tcPr>
          <w:p>
            <w:pPr>
              <w:ind w:left="500"/>
              <w:spacing w:after="0"/>
              <w:rPr>
                <w:sz w:val="20"/>
                <w:szCs w:val="20"/>
                <w:color w:val="auto"/>
              </w:rPr>
            </w:pPr>
            <w:r>
              <w:rPr>
                <w:rFonts w:ascii="Arial" w:cs="Arial" w:eastAsia="Arial" w:hAnsi="Arial"/>
                <w:sz w:val="14"/>
                <w:szCs w:val="14"/>
                <w:color w:val="auto"/>
              </w:rPr>
              <w:t>Total assets</w:t>
            </w:r>
          </w:p>
        </w:tc>
        <w:tc>
          <w:tcPr>
            <w:tcW w:w="700" w:type="dxa"/>
            <w:vAlign w:val="bottom"/>
            <w:tcBorders>
              <w:bottom w:val="single" w:sz="8" w:color="CCEEFF"/>
            </w:tcBorders>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b w:val="1"/>
                <w:bCs w:val="1"/>
                <w:color w:val="auto"/>
              </w:rPr>
              <w:t>$</w:t>
            </w:r>
          </w:p>
        </w:tc>
        <w:tc>
          <w:tcPr>
            <w:tcW w:w="14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1,909,921</w:t>
            </w:r>
          </w:p>
        </w:tc>
        <w:tc>
          <w:tcPr>
            <w:tcW w:w="12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14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1,547,312</w:t>
            </w:r>
          </w:p>
        </w:tc>
        <w:tc>
          <w:tcPr>
            <w:tcW w:w="0" w:type="dxa"/>
            <w:vAlign w:val="bottom"/>
          </w:tcPr>
          <w:p>
            <w:pPr>
              <w:spacing w:after="0"/>
              <w:rPr>
                <w:sz w:val="1"/>
                <w:szCs w:val="1"/>
                <w:color w:val="auto"/>
              </w:rPr>
            </w:pPr>
          </w:p>
        </w:tc>
      </w:tr>
      <w:tr>
        <w:trPr>
          <w:trHeight w:val="197"/>
        </w:trPr>
        <w:tc>
          <w:tcPr>
            <w:tcW w:w="70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4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4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7080" w:type="dxa"/>
            <w:vAlign w:val="bottom"/>
          </w:tcPr>
          <w:p>
            <w:pPr>
              <w:ind w:left="40"/>
              <w:spacing w:after="0"/>
              <w:rPr>
                <w:sz w:val="20"/>
                <w:szCs w:val="20"/>
                <w:color w:val="auto"/>
              </w:rPr>
            </w:pPr>
            <w:r>
              <w:rPr>
                <w:rFonts w:ascii="Arial" w:cs="Arial" w:eastAsia="Arial" w:hAnsi="Arial"/>
                <w:sz w:val="14"/>
                <w:szCs w:val="14"/>
                <w:b w:val="1"/>
                <w:bCs w:val="1"/>
                <w:color w:val="auto"/>
              </w:rPr>
              <w:t>Liabilities</w:t>
            </w: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7080" w:type="dxa"/>
            <w:vAlign w:val="bottom"/>
            <w:shd w:val="clear" w:color="auto" w:fill="CCEEFF"/>
          </w:tcPr>
          <w:p>
            <w:pPr>
              <w:ind w:left="500"/>
              <w:spacing w:after="0"/>
              <w:rPr>
                <w:sz w:val="20"/>
                <w:szCs w:val="20"/>
                <w:color w:val="auto"/>
              </w:rPr>
            </w:pPr>
            <w:r>
              <w:rPr>
                <w:rFonts w:ascii="Arial" w:cs="Arial" w:eastAsia="Arial" w:hAnsi="Arial"/>
                <w:sz w:val="14"/>
                <w:szCs w:val="14"/>
                <w:color w:val="auto"/>
              </w:rPr>
              <w:t>Accounts payable and accrued liabilities</w:t>
            </w:r>
          </w:p>
        </w:tc>
        <w:tc>
          <w:tcPr>
            <w:tcW w:w="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68"/>
              <w:spacing w:after="0"/>
              <w:rPr>
                <w:sz w:val="20"/>
                <w:szCs w:val="20"/>
                <w:color w:val="auto"/>
              </w:rPr>
            </w:pPr>
            <w:r>
              <w:rPr>
                <w:rFonts w:ascii="Arial" w:cs="Arial" w:eastAsia="Arial" w:hAnsi="Arial"/>
                <w:sz w:val="14"/>
                <w:szCs w:val="14"/>
                <w:b w:val="1"/>
                <w:bCs w:val="1"/>
                <w:color w:val="auto"/>
              </w:rPr>
              <w:t>$</w:t>
            </w:r>
          </w:p>
        </w:tc>
        <w:tc>
          <w:tcPr>
            <w:tcW w:w="148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51,684</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14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38,239</w:t>
            </w:r>
          </w:p>
        </w:tc>
        <w:tc>
          <w:tcPr>
            <w:tcW w:w="0" w:type="dxa"/>
            <w:vAlign w:val="bottom"/>
          </w:tcPr>
          <w:p>
            <w:pPr>
              <w:spacing w:after="0"/>
              <w:rPr>
                <w:sz w:val="1"/>
                <w:szCs w:val="1"/>
                <w:color w:val="auto"/>
              </w:rPr>
            </w:pPr>
          </w:p>
        </w:tc>
      </w:tr>
      <w:tr>
        <w:trPr>
          <w:trHeight w:val="215"/>
        </w:trPr>
        <w:tc>
          <w:tcPr>
            <w:tcW w:w="7080" w:type="dxa"/>
            <w:vAlign w:val="bottom"/>
          </w:tcPr>
          <w:p>
            <w:pPr>
              <w:ind w:left="500"/>
              <w:spacing w:after="0"/>
              <w:rPr>
                <w:sz w:val="20"/>
                <w:szCs w:val="20"/>
                <w:color w:val="auto"/>
              </w:rPr>
            </w:pPr>
            <w:r>
              <w:rPr>
                <w:rFonts w:ascii="Arial" w:cs="Arial" w:eastAsia="Arial" w:hAnsi="Arial"/>
                <w:sz w:val="14"/>
                <w:szCs w:val="14"/>
                <w:color w:val="auto"/>
              </w:rPr>
              <w:t>Debt, net</w:t>
            </w:r>
          </w:p>
        </w:tc>
        <w:tc>
          <w:tcPr>
            <w:tcW w:w="700" w:type="dxa"/>
            <w:vAlign w:val="bottom"/>
          </w:tcPr>
          <w:p>
            <w:pPr>
              <w:jc w:val="center"/>
              <w:spacing w:after="0"/>
              <w:rPr>
                <w:sz w:val="20"/>
                <w:szCs w:val="20"/>
                <w:color w:val="auto"/>
              </w:rPr>
            </w:pPr>
            <w:r>
              <w:rPr>
                <w:rFonts w:ascii="Arial" w:cs="Arial" w:eastAsia="Arial" w:hAnsi="Arial"/>
                <w:sz w:val="14"/>
                <w:szCs w:val="14"/>
                <w:color w:val="auto"/>
              </w:rPr>
              <w:t>8</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80" w:type="dxa"/>
            <w:vAlign w:val="bottom"/>
          </w:tcPr>
          <w:p>
            <w:pPr>
              <w:jc w:val="right"/>
              <w:ind w:right="48"/>
              <w:spacing w:after="0"/>
              <w:rPr>
                <w:sz w:val="20"/>
                <w:szCs w:val="20"/>
                <w:color w:val="auto"/>
              </w:rPr>
            </w:pPr>
            <w:r>
              <w:rPr>
                <w:rFonts w:ascii="Arial" w:cs="Arial" w:eastAsia="Arial" w:hAnsi="Arial"/>
                <w:sz w:val="14"/>
                <w:szCs w:val="14"/>
                <w:b w:val="1"/>
                <w:bCs w:val="1"/>
                <w:color w:val="auto"/>
              </w:rPr>
              <w:t>655,580</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40" w:type="dxa"/>
            <w:vAlign w:val="bottom"/>
          </w:tcPr>
          <w:p>
            <w:pPr>
              <w:jc w:val="right"/>
              <w:ind w:right="28"/>
              <w:spacing w:after="0"/>
              <w:rPr>
                <w:sz w:val="20"/>
                <w:szCs w:val="20"/>
                <w:color w:val="auto"/>
              </w:rPr>
            </w:pPr>
            <w:r>
              <w:rPr>
                <w:rFonts w:ascii="Arial" w:cs="Arial" w:eastAsia="Arial" w:hAnsi="Arial"/>
                <w:sz w:val="14"/>
                <w:szCs w:val="14"/>
                <w:color w:val="auto"/>
              </w:rPr>
              <w:t>259,512</w:t>
            </w:r>
          </w:p>
        </w:tc>
        <w:tc>
          <w:tcPr>
            <w:tcW w:w="0" w:type="dxa"/>
            <w:vAlign w:val="bottom"/>
          </w:tcPr>
          <w:p>
            <w:pPr>
              <w:spacing w:after="0"/>
              <w:rPr>
                <w:sz w:val="1"/>
                <w:szCs w:val="1"/>
                <w:color w:val="auto"/>
              </w:rPr>
            </w:pPr>
          </w:p>
        </w:tc>
      </w:tr>
      <w:tr>
        <w:trPr>
          <w:trHeight w:val="271"/>
        </w:trPr>
        <w:tc>
          <w:tcPr>
            <w:tcW w:w="7080" w:type="dxa"/>
            <w:vAlign w:val="bottom"/>
            <w:shd w:val="clear" w:color="auto" w:fill="CCEEFF"/>
          </w:tcPr>
          <w:p>
            <w:pPr>
              <w:ind w:left="500"/>
              <w:spacing w:after="0"/>
              <w:rPr>
                <w:sz w:val="20"/>
                <w:szCs w:val="20"/>
                <w:color w:val="auto"/>
              </w:rPr>
            </w:pPr>
            <w:r>
              <w:rPr>
                <w:rFonts w:ascii="Arial" w:cs="Arial" w:eastAsia="Arial" w:hAnsi="Arial"/>
                <w:sz w:val="14"/>
                <w:szCs w:val="14"/>
                <w:color w:val="auto"/>
              </w:rPr>
              <w:t>Maintenance deposits</w:t>
            </w:r>
          </w:p>
        </w:tc>
        <w:tc>
          <w:tcPr>
            <w:tcW w:w="7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48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81,775</w:t>
            </w:r>
          </w:p>
        </w:tc>
        <w:tc>
          <w:tcPr>
            <w:tcW w:w="12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4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45,394</w:t>
            </w:r>
          </w:p>
        </w:tc>
        <w:tc>
          <w:tcPr>
            <w:tcW w:w="0" w:type="dxa"/>
            <w:vAlign w:val="bottom"/>
          </w:tcPr>
          <w:p>
            <w:pPr>
              <w:spacing w:after="0"/>
              <w:rPr>
                <w:sz w:val="1"/>
                <w:szCs w:val="1"/>
                <w:color w:val="auto"/>
              </w:rPr>
            </w:pPr>
          </w:p>
        </w:tc>
      </w:tr>
      <w:tr>
        <w:trPr>
          <w:trHeight w:val="269"/>
        </w:trPr>
        <w:tc>
          <w:tcPr>
            <w:tcW w:w="7080" w:type="dxa"/>
            <w:vAlign w:val="bottom"/>
          </w:tcPr>
          <w:p>
            <w:pPr>
              <w:ind w:left="500"/>
              <w:spacing w:after="0"/>
              <w:rPr>
                <w:sz w:val="20"/>
                <w:szCs w:val="20"/>
                <w:color w:val="auto"/>
              </w:rPr>
            </w:pPr>
            <w:r>
              <w:rPr>
                <w:rFonts w:ascii="Arial" w:cs="Arial" w:eastAsia="Arial" w:hAnsi="Arial"/>
                <w:sz w:val="14"/>
                <w:szCs w:val="14"/>
                <w:color w:val="auto"/>
              </w:rPr>
              <w:t>Security deposits</w:t>
            </w:r>
          </w:p>
        </w:tc>
        <w:tc>
          <w:tcPr>
            <w:tcW w:w="7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480" w:type="dxa"/>
            <w:vAlign w:val="bottom"/>
          </w:tcPr>
          <w:p>
            <w:pPr>
              <w:jc w:val="right"/>
              <w:ind w:right="48"/>
              <w:spacing w:after="0"/>
              <w:rPr>
                <w:sz w:val="20"/>
                <w:szCs w:val="20"/>
                <w:color w:val="auto"/>
              </w:rPr>
            </w:pPr>
            <w:r>
              <w:rPr>
                <w:rFonts w:ascii="Arial" w:cs="Arial" w:eastAsia="Arial" w:hAnsi="Arial"/>
                <w:sz w:val="14"/>
                <w:szCs w:val="14"/>
                <w:b w:val="1"/>
                <w:bCs w:val="1"/>
                <w:color w:val="auto"/>
              </w:rPr>
              <w:t>24,752</w:t>
            </w: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440" w:type="dxa"/>
            <w:vAlign w:val="bottom"/>
          </w:tcPr>
          <w:p>
            <w:pPr>
              <w:jc w:val="right"/>
              <w:ind w:right="28"/>
              <w:spacing w:after="0"/>
              <w:rPr>
                <w:sz w:val="20"/>
                <w:szCs w:val="20"/>
                <w:color w:val="auto"/>
              </w:rPr>
            </w:pPr>
            <w:r>
              <w:rPr>
                <w:rFonts w:ascii="Arial" w:cs="Arial" w:eastAsia="Arial" w:hAnsi="Arial"/>
                <w:sz w:val="14"/>
                <w:szCs w:val="14"/>
                <w:color w:val="auto"/>
              </w:rPr>
              <w:t>19,947</w:t>
            </w:r>
          </w:p>
        </w:tc>
        <w:tc>
          <w:tcPr>
            <w:tcW w:w="0" w:type="dxa"/>
            <w:vAlign w:val="bottom"/>
          </w:tcPr>
          <w:p>
            <w:pPr>
              <w:spacing w:after="0"/>
              <w:rPr>
                <w:sz w:val="1"/>
                <w:szCs w:val="1"/>
                <w:color w:val="auto"/>
              </w:rPr>
            </w:pPr>
          </w:p>
        </w:tc>
      </w:tr>
      <w:tr>
        <w:trPr>
          <w:trHeight w:val="216"/>
        </w:trPr>
        <w:tc>
          <w:tcPr>
            <w:tcW w:w="7080" w:type="dxa"/>
            <w:vAlign w:val="bottom"/>
            <w:shd w:val="clear" w:color="auto" w:fill="CCEEFF"/>
          </w:tcPr>
          <w:p>
            <w:pPr>
              <w:ind w:left="500"/>
              <w:spacing w:after="0"/>
              <w:rPr>
                <w:sz w:val="20"/>
                <w:szCs w:val="20"/>
                <w:color w:val="auto"/>
              </w:rPr>
            </w:pPr>
            <w:r>
              <w:rPr>
                <w:rFonts w:ascii="Arial" w:cs="Arial" w:eastAsia="Arial" w:hAnsi="Arial"/>
                <w:sz w:val="14"/>
                <w:szCs w:val="14"/>
                <w:color w:val="auto"/>
              </w:rPr>
              <w:t>Other liabilities</w:t>
            </w:r>
          </w:p>
        </w:tc>
        <w:tc>
          <w:tcPr>
            <w:tcW w:w="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48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18,207</w:t>
            </w:r>
          </w:p>
        </w:tc>
        <w:tc>
          <w:tcPr>
            <w:tcW w:w="12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4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18,540</w:t>
            </w:r>
          </w:p>
        </w:tc>
        <w:tc>
          <w:tcPr>
            <w:tcW w:w="0" w:type="dxa"/>
            <w:vAlign w:val="bottom"/>
          </w:tcPr>
          <w:p>
            <w:pPr>
              <w:spacing w:after="0"/>
              <w:rPr>
                <w:sz w:val="1"/>
                <w:szCs w:val="1"/>
                <w:color w:val="auto"/>
              </w:rPr>
            </w:pPr>
          </w:p>
        </w:tc>
      </w:tr>
      <w:tr>
        <w:trPr>
          <w:trHeight w:val="210"/>
        </w:trPr>
        <w:tc>
          <w:tcPr>
            <w:tcW w:w="7080" w:type="dxa"/>
            <w:vAlign w:val="bottom"/>
            <w:tcBorders>
              <w:bottom w:val="single" w:sz="8" w:color="CCEEFF"/>
            </w:tcBorders>
          </w:tcPr>
          <w:p>
            <w:pPr>
              <w:ind w:left="500"/>
              <w:spacing w:after="0"/>
              <w:rPr>
                <w:sz w:val="20"/>
                <w:szCs w:val="20"/>
                <w:color w:val="auto"/>
              </w:rPr>
            </w:pPr>
            <w:r>
              <w:rPr>
                <w:rFonts w:ascii="Arial" w:cs="Arial" w:eastAsia="Arial" w:hAnsi="Arial"/>
                <w:sz w:val="14"/>
                <w:szCs w:val="14"/>
                <w:color w:val="auto"/>
              </w:rPr>
              <w:t>Total liabilities</w:t>
            </w:r>
          </w:p>
        </w:tc>
        <w:tc>
          <w:tcPr>
            <w:tcW w:w="70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b w:val="1"/>
                <w:bCs w:val="1"/>
                <w:color w:val="auto"/>
              </w:rPr>
              <w:t>$</w:t>
            </w:r>
          </w:p>
        </w:tc>
        <w:tc>
          <w:tcPr>
            <w:tcW w:w="14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831,998</w:t>
            </w:r>
          </w:p>
        </w:tc>
        <w:tc>
          <w:tcPr>
            <w:tcW w:w="12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14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381,632</w:t>
            </w:r>
          </w:p>
        </w:tc>
        <w:tc>
          <w:tcPr>
            <w:tcW w:w="0" w:type="dxa"/>
            <w:vAlign w:val="bottom"/>
          </w:tcPr>
          <w:p>
            <w:pPr>
              <w:spacing w:after="0"/>
              <w:rPr>
                <w:sz w:val="1"/>
                <w:szCs w:val="1"/>
                <w:color w:val="auto"/>
              </w:rPr>
            </w:pPr>
          </w:p>
        </w:tc>
      </w:tr>
      <w:tr>
        <w:trPr>
          <w:trHeight w:val="211"/>
        </w:trPr>
        <w:tc>
          <w:tcPr>
            <w:tcW w:w="70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7080" w:type="dxa"/>
            <w:vAlign w:val="bottom"/>
          </w:tcPr>
          <w:p>
            <w:pPr>
              <w:ind w:left="500"/>
              <w:spacing w:after="0"/>
              <w:rPr>
                <w:sz w:val="20"/>
                <w:szCs w:val="20"/>
                <w:color w:val="auto"/>
              </w:rPr>
            </w:pPr>
            <w:r>
              <w:rPr>
                <w:rFonts w:ascii="Arial" w:cs="Arial" w:eastAsia="Arial" w:hAnsi="Arial"/>
                <w:sz w:val="14"/>
                <w:szCs w:val="14"/>
                <w:color w:val="auto"/>
              </w:rPr>
              <w:t>Commitments and contingencies</w:t>
            </w:r>
          </w:p>
        </w:tc>
        <w:tc>
          <w:tcPr>
            <w:tcW w:w="700" w:type="dxa"/>
            <w:vAlign w:val="bottom"/>
          </w:tcPr>
          <w:p>
            <w:pPr>
              <w:jc w:val="center"/>
              <w:spacing w:after="0"/>
              <w:rPr>
                <w:sz w:val="20"/>
                <w:szCs w:val="20"/>
                <w:color w:val="auto"/>
              </w:rPr>
            </w:pPr>
            <w:r>
              <w:rPr>
                <w:rFonts w:ascii="Arial" w:cs="Arial" w:eastAsia="Arial" w:hAnsi="Arial"/>
                <w:sz w:val="14"/>
                <w:szCs w:val="14"/>
                <w:color w:val="auto"/>
              </w:rPr>
              <w:t>16</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708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7080" w:type="dxa"/>
            <w:vAlign w:val="bottom"/>
          </w:tcPr>
          <w:p>
            <w:pPr>
              <w:ind w:left="40"/>
              <w:spacing w:after="0"/>
              <w:rPr>
                <w:sz w:val="20"/>
                <w:szCs w:val="20"/>
                <w:color w:val="auto"/>
              </w:rPr>
            </w:pPr>
            <w:r>
              <w:rPr>
                <w:rFonts w:ascii="Arial" w:cs="Arial" w:eastAsia="Arial" w:hAnsi="Arial"/>
                <w:sz w:val="14"/>
                <w:szCs w:val="14"/>
                <w:b w:val="1"/>
                <w:bCs w:val="1"/>
                <w:color w:val="auto"/>
              </w:rPr>
              <w:t>Equity</w:t>
            </w: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7"/>
        </w:trPr>
        <w:tc>
          <w:tcPr>
            <w:tcW w:w="7080" w:type="dxa"/>
            <w:vAlign w:val="bottom"/>
            <w:shd w:val="clear" w:color="auto" w:fill="CCEEFF"/>
          </w:tcPr>
          <w:p>
            <w:pPr>
              <w:ind w:left="500"/>
              <w:spacing w:after="0"/>
              <w:rPr>
                <w:sz w:val="20"/>
                <w:szCs w:val="20"/>
                <w:color w:val="auto"/>
              </w:rPr>
            </w:pPr>
            <w:r>
              <w:rPr>
                <w:rFonts w:ascii="Arial" w:cs="Arial" w:eastAsia="Arial" w:hAnsi="Arial"/>
                <w:sz w:val="14"/>
                <w:szCs w:val="14"/>
                <w:color w:val="auto"/>
              </w:rPr>
              <w:t>Common shares ($0.01 par value per share; 2,000,000,000 shares authorized; 75,771,738 and</w:t>
            </w:r>
          </w:p>
        </w:tc>
        <w:tc>
          <w:tcPr>
            <w:tcW w:w="7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4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4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7080" w:type="dxa"/>
            <w:vAlign w:val="bottom"/>
            <w:shd w:val="clear" w:color="auto" w:fill="CCEEFF"/>
          </w:tcPr>
          <w:p>
            <w:pPr>
              <w:ind w:left="500"/>
              <w:spacing w:after="0"/>
              <w:rPr>
                <w:sz w:val="20"/>
                <w:szCs w:val="20"/>
                <w:color w:val="auto"/>
              </w:rPr>
            </w:pPr>
            <w:r>
              <w:rPr>
                <w:rFonts w:ascii="Arial" w:cs="Arial" w:eastAsia="Arial" w:hAnsi="Arial"/>
                <w:sz w:val="14"/>
                <w:szCs w:val="14"/>
                <w:color w:val="auto"/>
              </w:rPr>
              <w:t>75,750,943 shares issued and outstanding as of September 30, 2017 and December 31, 2016,</w:t>
            </w:r>
          </w:p>
        </w:tc>
        <w:tc>
          <w:tcPr>
            <w:tcW w:w="7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48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758</w:t>
            </w:r>
          </w:p>
        </w:tc>
        <w:tc>
          <w:tcPr>
            <w:tcW w:w="1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4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2"/>
        </w:trPr>
        <w:tc>
          <w:tcPr>
            <w:tcW w:w="7080" w:type="dxa"/>
            <w:vAlign w:val="bottom"/>
            <w:shd w:val="clear" w:color="auto" w:fill="CCEEFF"/>
          </w:tcPr>
          <w:p>
            <w:pPr>
              <w:ind w:left="500"/>
              <w:spacing w:after="0"/>
              <w:rPr>
                <w:sz w:val="20"/>
                <w:szCs w:val="20"/>
                <w:color w:val="auto"/>
              </w:rPr>
            </w:pPr>
            <w:r>
              <w:rPr>
                <w:rFonts w:ascii="Arial" w:cs="Arial" w:eastAsia="Arial" w:hAnsi="Arial"/>
                <w:sz w:val="14"/>
                <w:szCs w:val="14"/>
                <w:color w:val="auto"/>
              </w:rPr>
              <w:t>respectively)</w:t>
            </w:r>
          </w:p>
        </w:tc>
        <w:tc>
          <w:tcPr>
            <w:tcW w:w="7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480" w:type="dxa"/>
            <w:vAlign w:val="bottom"/>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4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758</w:t>
            </w:r>
          </w:p>
        </w:tc>
        <w:tc>
          <w:tcPr>
            <w:tcW w:w="0" w:type="dxa"/>
            <w:vAlign w:val="bottom"/>
          </w:tcPr>
          <w:p>
            <w:pPr>
              <w:spacing w:after="0"/>
              <w:rPr>
                <w:sz w:val="1"/>
                <w:szCs w:val="1"/>
                <w:color w:val="auto"/>
              </w:rPr>
            </w:pPr>
          </w:p>
        </w:tc>
      </w:tr>
      <w:tr>
        <w:trPr>
          <w:trHeight w:val="215"/>
        </w:trPr>
        <w:tc>
          <w:tcPr>
            <w:tcW w:w="7080" w:type="dxa"/>
            <w:vAlign w:val="bottom"/>
          </w:tcPr>
          <w:p>
            <w:pPr>
              <w:ind w:left="500"/>
              <w:spacing w:after="0"/>
              <w:rPr>
                <w:sz w:val="20"/>
                <w:szCs w:val="20"/>
                <w:color w:val="auto"/>
              </w:rPr>
            </w:pPr>
            <w:r>
              <w:rPr>
                <w:rFonts w:ascii="Arial" w:cs="Arial" w:eastAsia="Arial" w:hAnsi="Arial"/>
                <w:sz w:val="14"/>
                <w:szCs w:val="14"/>
                <w:color w:val="auto"/>
              </w:rPr>
              <w:t>Additional paid in capital</w:t>
            </w: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80" w:type="dxa"/>
            <w:vAlign w:val="bottom"/>
          </w:tcPr>
          <w:p>
            <w:pPr>
              <w:jc w:val="right"/>
              <w:ind w:right="48"/>
              <w:spacing w:after="0"/>
              <w:rPr>
                <w:sz w:val="20"/>
                <w:szCs w:val="20"/>
                <w:color w:val="auto"/>
              </w:rPr>
            </w:pPr>
            <w:r>
              <w:rPr>
                <w:rFonts w:ascii="Arial" w:cs="Arial" w:eastAsia="Arial" w:hAnsi="Arial"/>
                <w:sz w:val="14"/>
                <w:szCs w:val="14"/>
                <w:b w:val="1"/>
                <w:bCs w:val="1"/>
                <w:color w:val="auto"/>
              </w:rPr>
              <w:t>1,010,026</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40" w:type="dxa"/>
            <w:vAlign w:val="bottom"/>
          </w:tcPr>
          <w:p>
            <w:pPr>
              <w:jc w:val="right"/>
              <w:ind w:right="28"/>
              <w:spacing w:after="0"/>
              <w:rPr>
                <w:sz w:val="20"/>
                <w:szCs w:val="20"/>
                <w:color w:val="auto"/>
              </w:rPr>
            </w:pPr>
            <w:r>
              <w:rPr>
                <w:rFonts w:ascii="Arial" w:cs="Arial" w:eastAsia="Arial" w:hAnsi="Arial"/>
                <w:sz w:val="14"/>
                <w:szCs w:val="14"/>
                <w:color w:val="auto"/>
              </w:rPr>
              <w:t>1,084,757</w:t>
            </w:r>
          </w:p>
        </w:tc>
        <w:tc>
          <w:tcPr>
            <w:tcW w:w="0" w:type="dxa"/>
            <w:vAlign w:val="bottom"/>
          </w:tcPr>
          <w:p>
            <w:pPr>
              <w:spacing w:after="0"/>
              <w:rPr>
                <w:sz w:val="1"/>
                <w:szCs w:val="1"/>
                <w:color w:val="auto"/>
              </w:rPr>
            </w:pPr>
          </w:p>
        </w:tc>
      </w:tr>
      <w:tr>
        <w:trPr>
          <w:trHeight w:val="271"/>
        </w:trPr>
        <w:tc>
          <w:tcPr>
            <w:tcW w:w="7080" w:type="dxa"/>
            <w:vAlign w:val="bottom"/>
            <w:shd w:val="clear" w:color="auto" w:fill="CCEEFF"/>
          </w:tcPr>
          <w:p>
            <w:pPr>
              <w:ind w:left="500"/>
              <w:spacing w:after="0"/>
              <w:rPr>
                <w:sz w:val="20"/>
                <w:szCs w:val="20"/>
                <w:color w:val="auto"/>
              </w:rPr>
            </w:pPr>
            <w:r>
              <w:rPr>
                <w:rFonts w:ascii="Arial" w:cs="Arial" w:eastAsia="Arial" w:hAnsi="Arial"/>
                <w:sz w:val="14"/>
                <w:szCs w:val="14"/>
                <w:color w:val="auto"/>
              </w:rPr>
              <w:t>Accumulated deficit</w:t>
            </w:r>
          </w:p>
        </w:tc>
        <w:tc>
          <w:tcPr>
            <w:tcW w:w="7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(41,709)</w:t>
            </w:r>
          </w:p>
        </w:tc>
        <w:tc>
          <w:tcPr>
            <w:tcW w:w="12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(38,833)</w:t>
            </w:r>
          </w:p>
        </w:tc>
        <w:tc>
          <w:tcPr>
            <w:tcW w:w="0" w:type="dxa"/>
            <w:vAlign w:val="bottom"/>
          </w:tcPr>
          <w:p>
            <w:pPr>
              <w:spacing w:after="0"/>
              <w:rPr>
                <w:sz w:val="1"/>
                <w:szCs w:val="1"/>
                <w:color w:val="auto"/>
              </w:rPr>
            </w:pPr>
          </w:p>
        </w:tc>
      </w:tr>
      <w:tr>
        <w:trPr>
          <w:trHeight w:val="215"/>
        </w:trPr>
        <w:tc>
          <w:tcPr>
            <w:tcW w:w="7080" w:type="dxa"/>
            <w:vAlign w:val="bottom"/>
            <w:tcBorders>
              <w:bottom w:val="single" w:sz="8" w:color="CCEEFF"/>
            </w:tcBorders>
          </w:tcPr>
          <w:p>
            <w:pPr>
              <w:ind w:left="500"/>
              <w:spacing w:after="0"/>
              <w:rPr>
                <w:sz w:val="20"/>
                <w:szCs w:val="20"/>
                <w:color w:val="auto"/>
              </w:rPr>
            </w:pPr>
            <w:r>
              <w:rPr>
                <w:rFonts w:ascii="Arial" w:cs="Arial" w:eastAsia="Arial" w:hAnsi="Arial"/>
                <w:sz w:val="14"/>
                <w:szCs w:val="14"/>
                <w:color w:val="auto"/>
              </w:rPr>
              <w:t>Accumulated other comprehensive income</w:t>
            </w:r>
          </w:p>
        </w:tc>
        <w:tc>
          <w:tcPr>
            <w:tcW w:w="70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11,638</w:t>
            </w:r>
          </w:p>
        </w:tc>
        <w:tc>
          <w:tcPr>
            <w:tcW w:w="12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7,130</w:t>
            </w:r>
          </w:p>
        </w:tc>
        <w:tc>
          <w:tcPr>
            <w:tcW w:w="0" w:type="dxa"/>
            <w:vAlign w:val="bottom"/>
          </w:tcPr>
          <w:p>
            <w:pPr>
              <w:spacing w:after="0"/>
              <w:rPr>
                <w:sz w:val="1"/>
                <w:szCs w:val="1"/>
                <w:color w:val="auto"/>
              </w:rPr>
            </w:pPr>
          </w:p>
        </w:tc>
      </w:tr>
      <w:tr>
        <w:trPr>
          <w:trHeight w:val="211"/>
        </w:trPr>
        <w:tc>
          <w:tcPr>
            <w:tcW w:w="7080" w:type="dxa"/>
            <w:vAlign w:val="bottom"/>
            <w:shd w:val="clear" w:color="auto" w:fill="CCEEFF"/>
          </w:tcPr>
          <w:p>
            <w:pPr>
              <w:ind w:left="500"/>
              <w:spacing w:after="0"/>
              <w:rPr>
                <w:sz w:val="20"/>
                <w:szCs w:val="20"/>
                <w:color w:val="auto"/>
              </w:rPr>
            </w:pPr>
            <w:r>
              <w:rPr>
                <w:rFonts w:ascii="Arial" w:cs="Arial" w:eastAsia="Arial" w:hAnsi="Arial"/>
                <w:sz w:val="14"/>
                <w:szCs w:val="14"/>
                <w:color w:val="auto"/>
              </w:rPr>
              <w:t>Shareholders' equity</w:t>
            </w:r>
          </w:p>
        </w:tc>
        <w:tc>
          <w:tcPr>
            <w:tcW w:w="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8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980,713</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1,053,812</w:t>
            </w:r>
          </w:p>
        </w:tc>
        <w:tc>
          <w:tcPr>
            <w:tcW w:w="0" w:type="dxa"/>
            <w:vAlign w:val="bottom"/>
          </w:tcPr>
          <w:p>
            <w:pPr>
              <w:spacing w:after="0"/>
              <w:rPr>
                <w:sz w:val="1"/>
                <w:szCs w:val="1"/>
                <w:color w:val="auto"/>
              </w:rPr>
            </w:pPr>
          </w:p>
        </w:tc>
      </w:tr>
      <w:tr>
        <w:trPr>
          <w:trHeight w:val="215"/>
        </w:trPr>
        <w:tc>
          <w:tcPr>
            <w:tcW w:w="7080" w:type="dxa"/>
            <w:vAlign w:val="bottom"/>
            <w:tcBorders>
              <w:bottom w:val="single" w:sz="8" w:color="CCEEFF"/>
            </w:tcBorders>
          </w:tcPr>
          <w:p>
            <w:pPr>
              <w:ind w:left="500"/>
              <w:spacing w:after="0"/>
              <w:rPr>
                <w:sz w:val="20"/>
                <w:szCs w:val="20"/>
                <w:color w:val="auto"/>
              </w:rPr>
            </w:pPr>
            <w:r>
              <w:rPr>
                <w:rFonts w:ascii="Arial" w:cs="Arial" w:eastAsia="Arial" w:hAnsi="Arial"/>
                <w:sz w:val="14"/>
                <w:szCs w:val="14"/>
                <w:color w:val="auto"/>
              </w:rPr>
              <w:t>Non-controlling interest in equity of consolidated subsidiaries</w:t>
            </w:r>
          </w:p>
        </w:tc>
        <w:tc>
          <w:tcPr>
            <w:tcW w:w="70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97,210</w:t>
            </w:r>
          </w:p>
        </w:tc>
        <w:tc>
          <w:tcPr>
            <w:tcW w:w="12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111,868</w:t>
            </w:r>
          </w:p>
        </w:tc>
        <w:tc>
          <w:tcPr>
            <w:tcW w:w="0" w:type="dxa"/>
            <w:vAlign w:val="bottom"/>
          </w:tcPr>
          <w:p>
            <w:pPr>
              <w:spacing w:after="0"/>
              <w:rPr>
                <w:sz w:val="1"/>
                <w:szCs w:val="1"/>
                <w:color w:val="auto"/>
              </w:rPr>
            </w:pPr>
          </w:p>
        </w:tc>
      </w:tr>
      <w:tr>
        <w:trPr>
          <w:trHeight w:val="210"/>
        </w:trPr>
        <w:tc>
          <w:tcPr>
            <w:tcW w:w="7080" w:type="dxa"/>
            <w:vAlign w:val="bottom"/>
            <w:shd w:val="clear" w:color="auto" w:fill="CCEEFF"/>
          </w:tcPr>
          <w:p>
            <w:pPr>
              <w:ind w:left="500"/>
              <w:spacing w:after="0"/>
              <w:rPr>
                <w:sz w:val="20"/>
                <w:szCs w:val="20"/>
                <w:color w:val="auto"/>
              </w:rPr>
            </w:pPr>
            <w:r>
              <w:rPr>
                <w:rFonts w:ascii="Arial" w:cs="Arial" w:eastAsia="Arial" w:hAnsi="Arial"/>
                <w:sz w:val="14"/>
                <w:szCs w:val="14"/>
                <w:color w:val="auto"/>
              </w:rPr>
              <w:t>Total equity</w:t>
            </w:r>
          </w:p>
        </w:tc>
        <w:tc>
          <w:tcPr>
            <w:tcW w:w="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48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1,077,923</w:t>
            </w:r>
          </w:p>
        </w:tc>
        <w:tc>
          <w:tcPr>
            <w:tcW w:w="12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4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1,165,680</w:t>
            </w:r>
          </w:p>
        </w:tc>
        <w:tc>
          <w:tcPr>
            <w:tcW w:w="0" w:type="dxa"/>
            <w:vAlign w:val="bottom"/>
          </w:tcPr>
          <w:p>
            <w:pPr>
              <w:spacing w:after="0"/>
              <w:rPr>
                <w:sz w:val="1"/>
                <w:szCs w:val="1"/>
                <w:color w:val="auto"/>
              </w:rPr>
            </w:pPr>
          </w:p>
        </w:tc>
      </w:tr>
      <w:tr>
        <w:trPr>
          <w:trHeight w:val="211"/>
        </w:trPr>
        <w:tc>
          <w:tcPr>
            <w:tcW w:w="7080" w:type="dxa"/>
            <w:vAlign w:val="bottom"/>
          </w:tcPr>
          <w:p>
            <w:pPr>
              <w:ind w:left="500"/>
              <w:spacing w:after="0"/>
              <w:rPr>
                <w:sz w:val="20"/>
                <w:szCs w:val="20"/>
                <w:color w:val="auto"/>
              </w:rPr>
            </w:pPr>
            <w:r>
              <w:rPr>
                <w:rFonts w:ascii="Arial" w:cs="Arial" w:eastAsia="Arial" w:hAnsi="Arial"/>
                <w:sz w:val="14"/>
                <w:szCs w:val="14"/>
                <w:color w:val="auto"/>
              </w:rPr>
              <w:t>Total liabilities and equity</w:t>
            </w: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b w:val="1"/>
                <w:bCs w:val="1"/>
                <w:color w:val="auto"/>
              </w:rPr>
              <w:t>$</w:t>
            </w:r>
          </w:p>
        </w:tc>
        <w:tc>
          <w:tcPr>
            <w:tcW w:w="14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1,909,921</w:t>
            </w:r>
          </w:p>
        </w:tc>
        <w:tc>
          <w:tcPr>
            <w:tcW w:w="120" w:type="dxa"/>
            <w:vAlign w:val="bottom"/>
          </w:tcPr>
          <w:p>
            <w:pPr>
              <w:spacing w:after="0"/>
              <w:rPr>
                <w:sz w:val="18"/>
                <w:szCs w:val="18"/>
                <w:color w:val="auto"/>
              </w:rPr>
            </w:pPr>
          </w:p>
        </w:tc>
        <w:tc>
          <w:tcPr>
            <w:tcW w:w="2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14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1,547,312</w:t>
            </w:r>
          </w:p>
        </w:tc>
        <w:tc>
          <w:tcPr>
            <w:tcW w:w="0" w:type="dxa"/>
            <w:vAlign w:val="bottom"/>
          </w:tcPr>
          <w:p>
            <w:pPr>
              <w:spacing w:after="0"/>
              <w:rPr>
                <w:sz w:val="1"/>
                <w:szCs w:val="1"/>
                <w:color w:val="auto"/>
              </w:rPr>
            </w:pPr>
          </w:p>
        </w:tc>
      </w:tr>
      <w:tr>
        <w:trPr>
          <w:trHeight w:val="20"/>
        </w:trPr>
        <w:tc>
          <w:tcPr>
            <w:tcW w:w="70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Arial" w:cs="Arial" w:eastAsia="Arial" w:hAnsi="Arial"/>
          <w:sz w:val="16"/>
          <w:szCs w:val="16"/>
          <w:color w:val="00497F"/>
        </w:rPr>
        <w:t>See accompanying notes to consolidated financial statements.</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w:t>
      </w:r>
    </w:p>
    <w:p>
      <w:pPr>
        <w:sectPr>
          <w:pgSz w:w="11900" w:h="16838" w:orient="portrait"/>
          <w:cols w:equalWidth="0" w:num="1">
            <w:col w:w="11420"/>
          </w:cols>
          <w:pgMar w:left="240" w:top="574" w:right="239" w:bottom="1440" w:gutter="0" w:footer="0" w:header="0"/>
        </w:sectPr>
      </w:pPr>
    </w:p>
    <w:bookmarkStart w:id="5" w:name="page6"/>
    <w:bookmarkEnd w:id="5"/>
    <w:p>
      <w:pPr>
        <w:ind w:right="3820"/>
        <w:spacing w:after="0" w:line="395" w:lineRule="auto"/>
        <w:rPr>
          <w:sz w:val="20"/>
          <w:szCs w:val="20"/>
          <w:color w:val="auto"/>
        </w:rPr>
      </w:pPr>
      <w:r>
        <w:rPr>
          <w:rFonts w:ascii="Arial" w:cs="Arial" w:eastAsia="Arial" w:hAnsi="Arial"/>
          <w:sz w:val="22"/>
          <w:szCs w:val="22"/>
          <w:b w:val="1"/>
          <w:bCs w:val="1"/>
          <w:color w:val="00497F"/>
        </w:rPr>
        <w:t xml:space="preserve">FORTRESS TRANSPORTATION AND INFRASTRUCTURE INVESTORS LLC CONSOLIDATED STATEMENTS OF OPERATIONS </w:t>
      </w:r>
      <w:r>
        <w:rPr>
          <w:rFonts w:ascii="Arial" w:cs="Arial" w:eastAsia="Arial" w:hAnsi="Arial"/>
          <w:sz w:val="22"/>
          <w:szCs w:val="22"/>
          <w:b w:val="1"/>
          <w:bCs w:val="1"/>
          <w:i w:val="1"/>
          <w:iCs w:val="1"/>
          <w:color w:val="00497F"/>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2720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3440" w:type="dxa"/>
            <w:vAlign w:val="bottom"/>
            <w:vMerge w:val="restart"/>
          </w:tcPr>
          <w:p>
            <w:pPr>
              <w:ind w:left="40"/>
              <w:spacing w:after="0"/>
              <w:rPr>
                <w:sz w:val="20"/>
                <w:szCs w:val="20"/>
                <w:color w:val="auto"/>
              </w:rPr>
            </w:pPr>
            <w:r>
              <w:rPr>
                <w:rFonts w:ascii="Arial" w:cs="Arial" w:eastAsia="Arial" w:hAnsi="Arial"/>
                <w:sz w:val="14"/>
                <w:szCs w:val="14"/>
                <w:i w:val="1"/>
                <w:iCs w:val="1"/>
                <w:color w:val="auto"/>
              </w:rPr>
              <w:t>(Dollar amounts in thousands, except share and per</w:t>
            </w: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3220" w:type="dxa"/>
            <w:vAlign w:val="bottom"/>
            <w:tcBorders>
              <w:bottom w:val="single" w:sz="8" w:color="auto"/>
            </w:tcBorders>
            <w:gridSpan w:val="4"/>
          </w:tcPr>
          <w:p>
            <w:pPr>
              <w:jc w:val="right"/>
              <w:ind w:right="468"/>
              <w:spacing w:after="0"/>
              <w:rPr>
                <w:sz w:val="20"/>
                <w:szCs w:val="20"/>
                <w:color w:val="auto"/>
              </w:rPr>
            </w:pPr>
            <w:r>
              <w:rPr>
                <w:rFonts w:ascii="Arial" w:cs="Arial" w:eastAsia="Arial" w:hAnsi="Arial"/>
                <w:sz w:val="14"/>
                <w:szCs w:val="14"/>
                <w:b w:val="1"/>
                <w:bCs w:val="1"/>
                <w:color w:val="auto"/>
              </w:rPr>
              <w:t>Three Months Ended September 30,</w:t>
            </w:r>
          </w:p>
        </w:tc>
        <w:tc>
          <w:tcPr>
            <w:tcW w:w="12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3140" w:type="dxa"/>
            <w:vAlign w:val="bottom"/>
            <w:tcBorders>
              <w:bottom w:val="single" w:sz="8" w:color="auto"/>
            </w:tcBorders>
            <w:gridSpan w:val="4"/>
          </w:tcPr>
          <w:p>
            <w:pPr>
              <w:jc w:val="right"/>
              <w:ind w:right="468"/>
              <w:spacing w:after="0"/>
              <w:rPr>
                <w:sz w:val="20"/>
                <w:szCs w:val="20"/>
                <w:color w:val="auto"/>
              </w:rPr>
            </w:pPr>
            <w:r>
              <w:rPr>
                <w:rFonts w:ascii="Arial" w:cs="Arial" w:eastAsia="Arial" w:hAnsi="Arial"/>
                <w:sz w:val="14"/>
                <w:szCs w:val="14"/>
                <w:b w:val="1"/>
                <w:bCs w:val="1"/>
                <w:color w:val="auto"/>
              </w:rPr>
              <w:t>Nine Months Ended September 30,</w:t>
            </w:r>
          </w:p>
        </w:tc>
        <w:tc>
          <w:tcPr>
            <w:tcW w:w="0" w:type="dxa"/>
            <w:vAlign w:val="bottom"/>
          </w:tcPr>
          <w:p>
            <w:pPr>
              <w:spacing w:after="0"/>
              <w:rPr>
                <w:sz w:val="1"/>
                <w:szCs w:val="1"/>
                <w:color w:val="auto"/>
              </w:rPr>
            </w:pPr>
          </w:p>
        </w:tc>
      </w:tr>
      <w:tr>
        <w:trPr>
          <w:trHeight w:val="64"/>
        </w:trPr>
        <w:tc>
          <w:tcPr>
            <w:tcW w:w="3440" w:type="dxa"/>
            <w:vAlign w:val="bottom"/>
            <w:vMerge w:val="continue"/>
          </w:tcPr>
          <w:p>
            <w:pPr>
              <w:spacing w:after="0"/>
              <w:rPr>
                <w:sz w:val="5"/>
                <w:szCs w:val="5"/>
                <w:color w:val="auto"/>
              </w:rPr>
            </w:pPr>
          </w:p>
        </w:tc>
        <w:tc>
          <w:tcPr>
            <w:tcW w:w="1160" w:type="dxa"/>
            <w:vAlign w:val="bottom"/>
            <w:gridSpan w:val="3"/>
            <w:vMerge w:val="restart"/>
          </w:tcPr>
          <w:p>
            <w:pPr>
              <w:jc w:val="right"/>
              <w:ind w:right="620"/>
              <w:spacing w:after="0"/>
              <w:rPr>
                <w:sz w:val="20"/>
                <w:szCs w:val="20"/>
                <w:color w:val="auto"/>
              </w:rPr>
            </w:pPr>
            <w:r>
              <w:rPr>
                <w:rFonts w:ascii="Arial" w:cs="Arial" w:eastAsia="Arial" w:hAnsi="Arial"/>
                <w:sz w:val="14"/>
                <w:szCs w:val="14"/>
                <w:b w:val="1"/>
                <w:bCs w:val="1"/>
                <w:color w:val="auto"/>
              </w:rPr>
              <w:t>Notes</w:t>
            </w:r>
          </w:p>
        </w:tc>
        <w:tc>
          <w:tcPr>
            <w:tcW w:w="1380" w:type="dxa"/>
            <w:vAlign w:val="bottom"/>
            <w:vMerge w:val="restart"/>
          </w:tcPr>
          <w:p>
            <w:pPr>
              <w:jc w:val="right"/>
              <w:ind w:right="628"/>
              <w:spacing w:after="0"/>
              <w:rPr>
                <w:sz w:val="20"/>
                <w:szCs w:val="20"/>
                <w:color w:val="auto"/>
              </w:rPr>
            </w:pPr>
            <w:r>
              <w:rPr>
                <w:rFonts w:ascii="Arial" w:cs="Arial" w:eastAsia="Arial" w:hAnsi="Arial"/>
                <w:sz w:val="14"/>
                <w:szCs w:val="14"/>
                <w:b w:val="1"/>
                <w:bCs w:val="1"/>
                <w:color w:val="auto"/>
              </w:rPr>
              <w:t>2017</w:t>
            </w:r>
          </w:p>
        </w:tc>
        <w:tc>
          <w:tcPr>
            <w:tcW w:w="120" w:type="dxa"/>
            <w:vAlign w:val="bottom"/>
          </w:tcPr>
          <w:p>
            <w:pPr>
              <w:spacing w:after="0"/>
              <w:rPr>
                <w:sz w:val="5"/>
                <w:szCs w:val="5"/>
                <w:color w:val="auto"/>
              </w:rPr>
            </w:pPr>
          </w:p>
        </w:tc>
        <w:tc>
          <w:tcPr>
            <w:tcW w:w="400" w:type="dxa"/>
            <w:vAlign w:val="bottom"/>
          </w:tcPr>
          <w:p>
            <w:pPr>
              <w:spacing w:after="0"/>
              <w:rPr>
                <w:sz w:val="5"/>
                <w:szCs w:val="5"/>
                <w:color w:val="auto"/>
              </w:rPr>
            </w:pPr>
          </w:p>
        </w:tc>
        <w:tc>
          <w:tcPr>
            <w:tcW w:w="1320" w:type="dxa"/>
            <w:vAlign w:val="bottom"/>
            <w:vMerge w:val="restart"/>
          </w:tcPr>
          <w:p>
            <w:pPr>
              <w:jc w:val="right"/>
              <w:ind w:right="628"/>
              <w:spacing w:after="0"/>
              <w:rPr>
                <w:sz w:val="20"/>
                <w:szCs w:val="20"/>
                <w:color w:val="auto"/>
              </w:rPr>
            </w:pPr>
            <w:r>
              <w:rPr>
                <w:rFonts w:ascii="Arial" w:cs="Arial" w:eastAsia="Arial" w:hAnsi="Arial"/>
                <w:sz w:val="14"/>
                <w:szCs w:val="14"/>
                <w:b w:val="1"/>
                <w:bCs w:val="1"/>
                <w:color w:val="auto"/>
              </w:rPr>
              <w:t>2016</w:t>
            </w:r>
          </w:p>
        </w:tc>
        <w:tc>
          <w:tcPr>
            <w:tcW w:w="120" w:type="dxa"/>
            <w:vAlign w:val="bottom"/>
          </w:tcPr>
          <w:p>
            <w:pPr>
              <w:spacing w:after="0"/>
              <w:rPr>
                <w:sz w:val="5"/>
                <w:szCs w:val="5"/>
                <w:color w:val="auto"/>
              </w:rPr>
            </w:pPr>
          </w:p>
        </w:tc>
        <w:tc>
          <w:tcPr>
            <w:tcW w:w="340" w:type="dxa"/>
            <w:vAlign w:val="bottom"/>
          </w:tcPr>
          <w:p>
            <w:pPr>
              <w:spacing w:after="0"/>
              <w:rPr>
                <w:sz w:val="5"/>
                <w:szCs w:val="5"/>
                <w:color w:val="auto"/>
              </w:rPr>
            </w:pPr>
          </w:p>
        </w:tc>
        <w:tc>
          <w:tcPr>
            <w:tcW w:w="1340" w:type="dxa"/>
            <w:vAlign w:val="bottom"/>
            <w:vMerge w:val="restart"/>
          </w:tcPr>
          <w:p>
            <w:pPr>
              <w:jc w:val="right"/>
              <w:ind w:right="608"/>
              <w:spacing w:after="0"/>
              <w:rPr>
                <w:sz w:val="20"/>
                <w:szCs w:val="20"/>
                <w:color w:val="auto"/>
              </w:rPr>
            </w:pPr>
            <w:r>
              <w:rPr>
                <w:rFonts w:ascii="Arial" w:cs="Arial" w:eastAsia="Arial" w:hAnsi="Arial"/>
                <w:sz w:val="14"/>
                <w:szCs w:val="14"/>
                <w:b w:val="1"/>
                <w:bCs w:val="1"/>
                <w:color w:val="auto"/>
              </w:rPr>
              <w:t>2017</w:t>
            </w:r>
          </w:p>
        </w:tc>
        <w:tc>
          <w:tcPr>
            <w:tcW w:w="120" w:type="dxa"/>
            <w:vAlign w:val="bottom"/>
          </w:tcPr>
          <w:p>
            <w:pPr>
              <w:spacing w:after="0"/>
              <w:rPr>
                <w:sz w:val="5"/>
                <w:szCs w:val="5"/>
                <w:color w:val="auto"/>
              </w:rPr>
            </w:pPr>
          </w:p>
        </w:tc>
        <w:tc>
          <w:tcPr>
            <w:tcW w:w="380" w:type="dxa"/>
            <w:vAlign w:val="bottom"/>
          </w:tcPr>
          <w:p>
            <w:pPr>
              <w:spacing w:after="0"/>
              <w:rPr>
                <w:sz w:val="5"/>
                <w:szCs w:val="5"/>
                <w:color w:val="auto"/>
              </w:rPr>
            </w:pPr>
          </w:p>
        </w:tc>
        <w:tc>
          <w:tcPr>
            <w:tcW w:w="1300" w:type="dxa"/>
            <w:vAlign w:val="bottom"/>
            <w:vMerge w:val="restart"/>
          </w:tcPr>
          <w:p>
            <w:pPr>
              <w:jc w:val="right"/>
              <w:ind w:right="608"/>
              <w:spacing w:after="0"/>
              <w:rPr>
                <w:sz w:val="20"/>
                <w:szCs w:val="20"/>
                <w:color w:val="auto"/>
              </w:rPr>
            </w:pPr>
            <w:r>
              <w:rPr>
                <w:rFonts w:ascii="Arial" w:cs="Arial" w:eastAsia="Arial" w:hAnsi="Arial"/>
                <w:sz w:val="14"/>
                <w:szCs w:val="14"/>
                <w:b w:val="1"/>
                <w:bCs w:val="1"/>
                <w:color w:val="auto"/>
              </w:rPr>
              <w:t>2016</w:t>
            </w:r>
          </w:p>
        </w:tc>
        <w:tc>
          <w:tcPr>
            <w:tcW w:w="0" w:type="dxa"/>
            <w:vAlign w:val="bottom"/>
          </w:tcPr>
          <w:p>
            <w:pPr>
              <w:spacing w:after="0"/>
              <w:rPr>
                <w:sz w:val="1"/>
                <w:szCs w:val="1"/>
                <w:color w:val="auto"/>
              </w:rPr>
            </w:pPr>
          </w:p>
        </w:tc>
      </w:tr>
      <w:tr>
        <w:trPr>
          <w:trHeight w:val="199"/>
        </w:trPr>
        <w:tc>
          <w:tcPr>
            <w:tcW w:w="3440" w:type="dxa"/>
            <w:vAlign w:val="bottom"/>
          </w:tcPr>
          <w:p>
            <w:pPr>
              <w:ind w:left="40"/>
              <w:spacing w:after="0"/>
              <w:rPr>
                <w:sz w:val="20"/>
                <w:szCs w:val="20"/>
                <w:color w:val="auto"/>
              </w:rPr>
            </w:pPr>
            <w:r>
              <w:rPr>
                <w:rFonts w:ascii="Arial" w:cs="Arial" w:eastAsia="Arial" w:hAnsi="Arial"/>
                <w:sz w:val="14"/>
                <w:szCs w:val="14"/>
                <w:i w:val="1"/>
                <w:iCs w:val="1"/>
                <w:color w:val="auto"/>
              </w:rPr>
              <w:t>share data)</w:t>
            </w:r>
          </w:p>
        </w:tc>
        <w:tc>
          <w:tcPr>
            <w:tcW w:w="1160" w:type="dxa"/>
            <w:vAlign w:val="bottom"/>
            <w:gridSpan w:val="3"/>
            <w:vMerge w:val="continue"/>
          </w:tcPr>
          <w:p>
            <w:pPr>
              <w:spacing w:after="0"/>
              <w:rPr>
                <w:sz w:val="17"/>
                <w:szCs w:val="17"/>
                <w:color w:val="auto"/>
              </w:rPr>
            </w:pPr>
          </w:p>
        </w:tc>
        <w:tc>
          <w:tcPr>
            <w:tcW w:w="138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32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34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3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1"/>
        </w:trPr>
        <w:tc>
          <w:tcPr>
            <w:tcW w:w="344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4"/>
                <w:szCs w:val="14"/>
                <w:b w:val="1"/>
                <w:bCs w:val="1"/>
                <w:color w:val="auto"/>
              </w:rPr>
              <w:t>Revenues</w:t>
            </w:r>
          </w:p>
        </w:tc>
        <w:tc>
          <w:tcPr>
            <w:tcW w:w="68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138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spacing w:after="0"/>
              <w:rPr>
                <w:sz w:val="18"/>
                <w:szCs w:val="18"/>
                <w:color w:val="auto"/>
              </w:rPr>
            </w:pPr>
          </w:p>
        </w:tc>
        <w:tc>
          <w:tcPr>
            <w:tcW w:w="13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134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3440" w:type="dxa"/>
            <w:vAlign w:val="bottom"/>
          </w:tcPr>
          <w:p>
            <w:pPr>
              <w:ind w:left="500"/>
              <w:spacing w:after="0"/>
              <w:rPr>
                <w:sz w:val="20"/>
                <w:szCs w:val="20"/>
                <w:color w:val="auto"/>
              </w:rPr>
            </w:pPr>
            <w:r>
              <w:rPr>
                <w:rFonts w:ascii="Arial" w:cs="Arial" w:eastAsia="Arial" w:hAnsi="Arial"/>
                <w:sz w:val="14"/>
                <w:szCs w:val="14"/>
                <w:color w:val="auto"/>
              </w:rPr>
              <w:t>Equipment leasing revenues</w:t>
            </w:r>
          </w:p>
        </w:tc>
        <w:tc>
          <w:tcPr>
            <w:tcW w:w="1160" w:type="dxa"/>
            <w:vAlign w:val="bottom"/>
            <w:gridSpan w:val="3"/>
          </w:tcPr>
          <w:p>
            <w:pPr>
              <w:jc w:val="right"/>
              <w:ind w:right="240"/>
              <w:spacing w:after="0"/>
              <w:rPr>
                <w:sz w:val="20"/>
                <w:szCs w:val="20"/>
                <w:color w:val="auto"/>
              </w:rPr>
            </w:pPr>
            <w:r>
              <w:rPr>
                <w:rFonts w:ascii="Arial" w:cs="Arial" w:eastAsia="Arial" w:hAnsi="Arial"/>
                <w:sz w:val="14"/>
                <w:szCs w:val="14"/>
                <w:b w:val="1"/>
                <w:bCs w:val="1"/>
                <w:color w:val="auto"/>
              </w:rPr>
              <w:t>$</w:t>
            </w:r>
          </w:p>
        </w:tc>
        <w:tc>
          <w:tcPr>
            <w:tcW w:w="1380" w:type="dxa"/>
            <w:vAlign w:val="bottom"/>
          </w:tcPr>
          <w:p>
            <w:pPr>
              <w:jc w:val="right"/>
              <w:ind w:right="48"/>
              <w:spacing w:after="0"/>
              <w:rPr>
                <w:sz w:val="20"/>
                <w:szCs w:val="20"/>
                <w:color w:val="auto"/>
              </w:rPr>
            </w:pPr>
            <w:r>
              <w:rPr>
                <w:rFonts w:ascii="Arial" w:cs="Arial" w:eastAsia="Arial" w:hAnsi="Arial"/>
                <w:sz w:val="14"/>
                <w:szCs w:val="14"/>
                <w:b w:val="1"/>
                <w:bCs w:val="1"/>
                <w:color w:val="auto"/>
              </w:rPr>
              <w:t>49,616</w:t>
            </w:r>
          </w:p>
        </w:tc>
        <w:tc>
          <w:tcPr>
            <w:tcW w:w="120" w:type="dxa"/>
            <w:vAlign w:val="bottom"/>
          </w:tcPr>
          <w:p>
            <w:pPr>
              <w:spacing w:after="0"/>
              <w:rPr>
                <w:sz w:val="18"/>
                <w:szCs w:val="18"/>
                <w:color w:val="auto"/>
              </w:rPr>
            </w:pPr>
          </w:p>
        </w:tc>
        <w:tc>
          <w:tcPr>
            <w:tcW w:w="400" w:type="dxa"/>
            <w:vAlign w:val="bottom"/>
          </w:tcPr>
          <w:p>
            <w:pPr>
              <w:jc w:val="right"/>
              <w:ind w:right="228"/>
              <w:spacing w:after="0"/>
              <w:rPr>
                <w:sz w:val="20"/>
                <w:szCs w:val="20"/>
                <w:color w:val="auto"/>
              </w:rPr>
            </w:pPr>
            <w:r>
              <w:rPr>
                <w:rFonts w:ascii="Arial" w:cs="Arial" w:eastAsia="Arial" w:hAnsi="Arial"/>
                <w:sz w:val="14"/>
                <w:szCs w:val="14"/>
                <w:color w:val="auto"/>
              </w:rPr>
              <w:t>$</w:t>
            </w:r>
          </w:p>
        </w:tc>
        <w:tc>
          <w:tcPr>
            <w:tcW w:w="1320" w:type="dxa"/>
            <w:vAlign w:val="bottom"/>
          </w:tcPr>
          <w:p>
            <w:pPr>
              <w:jc w:val="right"/>
              <w:ind w:right="48"/>
              <w:spacing w:after="0"/>
              <w:rPr>
                <w:sz w:val="20"/>
                <w:szCs w:val="20"/>
                <w:color w:val="auto"/>
              </w:rPr>
            </w:pPr>
            <w:r>
              <w:rPr>
                <w:rFonts w:ascii="Arial" w:cs="Arial" w:eastAsia="Arial" w:hAnsi="Arial"/>
                <w:sz w:val="14"/>
                <w:szCs w:val="14"/>
                <w:color w:val="auto"/>
              </w:rPr>
              <w:t>30,054</w:t>
            </w:r>
          </w:p>
        </w:tc>
        <w:tc>
          <w:tcPr>
            <w:tcW w:w="120" w:type="dxa"/>
            <w:vAlign w:val="bottom"/>
          </w:tcPr>
          <w:p>
            <w:pPr>
              <w:spacing w:after="0"/>
              <w:rPr>
                <w:sz w:val="18"/>
                <w:szCs w:val="18"/>
                <w:color w:val="auto"/>
              </w:rPr>
            </w:pPr>
          </w:p>
        </w:tc>
        <w:tc>
          <w:tcPr>
            <w:tcW w:w="340" w:type="dxa"/>
            <w:vAlign w:val="bottom"/>
          </w:tcPr>
          <w:p>
            <w:pPr>
              <w:jc w:val="right"/>
              <w:ind w:right="168"/>
              <w:spacing w:after="0"/>
              <w:rPr>
                <w:sz w:val="20"/>
                <w:szCs w:val="20"/>
                <w:color w:val="auto"/>
              </w:rPr>
            </w:pPr>
            <w:r>
              <w:rPr>
                <w:rFonts w:ascii="Arial" w:cs="Arial" w:eastAsia="Arial" w:hAnsi="Arial"/>
                <w:sz w:val="14"/>
                <w:szCs w:val="14"/>
                <w:b w:val="1"/>
                <w:bCs w:val="1"/>
                <w:color w:val="auto"/>
              </w:rPr>
              <w:t>$</w:t>
            </w:r>
          </w:p>
        </w:tc>
        <w:tc>
          <w:tcPr>
            <w:tcW w:w="1340" w:type="dxa"/>
            <w:vAlign w:val="bottom"/>
          </w:tcPr>
          <w:p>
            <w:pPr>
              <w:jc w:val="right"/>
              <w:ind w:right="28"/>
              <w:spacing w:after="0"/>
              <w:rPr>
                <w:sz w:val="20"/>
                <w:szCs w:val="20"/>
                <w:color w:val="auto"/>
              </w:rPr>
            </w:pPr>
            <w:r>
              <w:rPr>
                <w:rFonts w:ascii="Arial" w:cs="Arial" w:eastAsia="Arial" w:hAnsi="Arial"/>
                <w:sz w:val="14"/>
                <w:szCs w:val="14"/>
                <w:b w:val="1"/>
                <w:bCs w:val="1"/>
                <w:color w:val="auto"/>
              </w:rPr>
              <w:t>121,387</w:t>
            </w:r>
          </w:p>
        </w:tc>
        <w:tc>
          <w:tcPr>
            <w:tcW w:w="120" w:type="dxa"/>
            <w:vAlign w:val="bottom"/>
          </w:tcPr>
          <w:p>
            <w:pPr>
              <w:spacing w:after="0"/>
              <w:rPr>
                <w:sz w:val="18"/>
                <w:szCs w:val="18"/>
                <w:color w:val="auto"/>
              </w:rPr>
            </w:pPr>
          </w:p>
        </w:tc>
        <w:tc>
          <w:tcPr>
            <w:tcW w:w="380" w:type="dxa"/>
            <w:vAlign w:val="bottom"/>
          </w:tcPr>
          <w:p>
            <w:pPr>
              <w:jc w:val="right"/>
              <w:ind w:right="208"/>
              <w:spacing w:after="0"/>
              <w:rPr>
                <w:sz w:val="20"/>
                <w:szCs w:val="20"/>
                <w:color w:val="auto"/>
              </w:rPr>
            </w:pPr>
            <w:r>
              <w:rPr>
                <w:rFonts w:ascii="Arial" w:cs="Arial" w:eastAsia="Arial" w:hAnsi="Arial"/>
                <w:sz w:val="14"/>
                <w:szCs w:val="14"/>
                <w:color w:val="auto"/>
              </w:rPr>
              <w:t>$</w:t>
            </w:r>
          </w:p>
        </w:tc>
        <w:tc>
          <w:tcPr>
            <w:tcW w:w="1300" w:type="dxa"/>
            <w:vAlign w:val="bottom"/>
          </w:tcPr>
          <w:p>
            <w:pPr>
              <w:jc w:val="right"/>
              <w:ind w:right="28"/>
              <w:spacing w:after="0"/>
              <w:rPr>
                <w:sz w:val="20"/>
                <w:szCs w:val="20"/>
                <w:color w:val="auto"/>
              </w:rPr>
            </w:pPr>
            <w:r>
              <w:rPr>
                <w:rFonts w:ascii="Arial" w:cs="Arial" w:eastAsia="Arial" w:hAnsi="Arial"/>
                <w:sz w:val="14"/>
                <w:szCs w:val="14"/>
                <w:color w:val="auto"/>
              </w:rPr>
              <w:t>71,980</w:t>
            </w:r>
          </w:p>
        </w:tc>
        <w:tc>
          <w:tcPr>
            <w:tcW w:w="0" w:type="dxa"/>
            <w:vAlign w:val="bottom"/>
          </w:tcPr>
          <w:p>
            <w:pPr>
              <w:spacing w:after="0"/>
              <w:rPr>
                <w:sz w:val="1"/>
                <w:szCs w:val="1"/>
                <w:color w:val="auto"/>
              </w:rPr>
            </w:pPr>
          </w:p>
        </w:tc>
      </w:tr>
      <w:tr>
        <w:trPr>
          <w:trHeight w:val="216"/>
        </w:trPr>
        <w:tc>
          <w:tcPr>
            <w:tcW w:w="3440" w:type="dxa"/>
            <w:vAlign w:val="bottom"/>
            <w:shd w:val="clear" w:color="auto" w:fill="CCEEFF"/>
          </w:tcPr>
          <w:p>
            <w:pPr>
              <w:ind w:left="500"/>
              <w:spacing w:after="0"/>
              <w:rPr>
                <w:sz w:val="20"/>
                <w:szCs w:val="20"/>
                <w:color w:val="auto"/>
              </w:rPr>
            </w:pPr>
            <w:r>
              <w:rPr>
                <w:rFonts w:ascii="Arial" w:cs="Arial" w:eastAsia="Arial" w:hAnsi="Arial"/>
                <w:sz w:val="14"/>
                <w:szCs w:val="14"/>
                <w:color w:val="auto"/>
              </w:rPr>
              <w:t>Infrastructure revenues</w:t>
            </w: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38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10,746</w:t>
            </w:r>
          </w:p>
        </w:tc>
        <w:tc>
          <w:tcPr>
            <w:tcW w:w="120" w:type="dxa"/>
            <w:vAlign w:val="bottom"/>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11,672</w:t>
            </w:r>
          </w:p>
        </w:tc>
        <w:tc>
          <w:tcPr>
            <w:tcW w:w="12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3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34,842</w:t>
            </w:r>
          </w:p>
        </w:tc>
        <w:tc>
          <w:tcPr>
            <w:tcW w:w="12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34,394</w:t>
            </w:r>
          </w:p>
        </w:tc>
        <w:tc>
          <w:tcPr>
            <w:tcW w:w="0" w:type="dxa"/>
            <w:vAlign w:val="bottom"/>
          </w:tcPr>
          <w:p>
            <w:pPr>
              <w:spacing w:after="0"/>
              <w:rPr>
                <w:sz w:val="1"/>
                <w:szCs w:val="1"/>
                <w:color w:val="auto"/>
              </w:rPr>
            </w:pPr>
          </w:p>
        </w:tc>
      </w:tr>
      <w:tr>
        <w:trPr>
          <w:trHeight w:val="210"/>
        </w:trPr>
        <w:tc>
          <w:tcPr>
            <w:tcW w:w="3440" w:type="dxa"/>
            <w:vAlign w:val="bottom"/>
            <w:tcBorders>
              <w:bottom w:val="single" w:sz="8" w:color="CCEEFF"/>
            </w:tcBorders>
          </w:tcPr>
          <w:p>
            <w:pPr>
              <w:ind w:left="500"/>
              <w:spacing w:after="0"/>
              <w:rPr>
                <w:sz w:val="20"/>
                <w:szCs w:val="20"/>
                <w:color w:val="auto"/>
              </w:rPr>
            </w:pPr>
            <w:r>
              <w:rPr>
                <w:rFonts w:ascii="Arial" w:cs="Arial" w:eastAsia="Arial" w:hAnsi="Arial"/>
                <w:sz w:val="14"/>
                <w:szCs w:val="14"/>
                <w:color w:val="auto"/>
              </w:rPr>
              <w:t>Total revenues</w:t>
            </w:r>
          </w:p>
        </w:tc>
        <w:tc>
          <w:tcPr>
            <w:tcW w:w="680" w:type="dxa"/>
            <w:vAlign w:val="bottom"/>
            <w:tcBorders>
              <w:bottom w:val="single" w:sz="8" w:color="CCEEFF"/>
            </w:tcBorders>
          </w:tcPr>
          <w:p>
            <w:pPr>
              <w:jc w:val="center"/>
              <w:spacing w:after="0"/>
              <w:rPr>
                <w:sz w:val="20"/>
                <w:szCs w:val="20"/>
                <w:color w:val="auto"/>
              </w:rPr>
            </w:pPr>
            <w:r>
              <w:rPr>
                <w:rFonts w:ascii="Arial" w:cs="Arial" w:eastAsia="Arial" w:hAnsi="Arial"/>
                <w:sz w:val="14"/>
                <w:szCs w:val="14"/>
                <w:color w:val="auto"/>
              </w:rPr>
              <w:t>10</w:t>
            </w:r>
          </w:p>
        </w:tc>
        <w:tc>
          <w:tcPr>
            <w:tcW w:w="12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60,362</w:t>
            </w:r>
          </w:p>
        </w:tc>
        <w:tc>
          <w:tcPr>
            <w:tcW w:w="12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41,726</w:t>
            </w:r>
          </w:p>
        </w:tc>
        <w:tc>
          <w:tcPr>
            <w:tcW w:w="12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156,229</w:t>
            </w:r>
          </w:p>
        </w:tc>
        <w:tc>
          <w:tcPr>
            <w:tcW w:w="12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106,374</w:t>
            </w:r>
          </w:p>
        </w:tc>
        <w:tc>
          <w:tcPr>
            <w:tcW w:w="0" w:type="dxa"/>
            <w:vAlign w:val="bottom"/>
          </w:tcPr>
          <w:p>
            <w:pPr>
              <w:spacing w:after="0"/>
              <w:rPr>
                <w:sz w:val="1"/>
                <w:szCs w:val="1"/>
                <w:color w:val="auto"/>
              </w:rPr>
            </w:pPr>
          </w:p>
        </w:tc>
      </w:tr>
      <w:tr>
        <w:trPr>
          <w:trHeight w:val="211"/>
        </w:trPr>
        <w:tc>
          <w:tcPr>
            <w:tcW w:w="34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3440" w:type="dxa"/>
            <w:vAlign w:val="bottom"/>
          </w:tcPr>
          <w:p>
            <w:pPr>
              <w:ind w:left="40"/>
              <w:spacing w:after="0"/>
              <w:rPr>
                <w:sz w:val="20"/>
                <w:szCs w:val="20"/>
                <w:color w:val="auto"/>
              </w:rPr>
            </w:pPr>
            <w:r>
              <w:rPr>
                <w:rFonts w:ascii="Arial" w:cs="Arial" w:eastAsia="Arial" w:hAnsi="Arial"/>
                <w:sz w:val="14"/>
                <w:szCs w:val="14"/>
                <w:b w:val="1"/>
                <w:bCs w:val="1"/>
                <w:color w:val="auto"/>
              </w:rPr>
              <w:t>Expenses</w:t>
            </w: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3440" w:type="dxa"/>
            <w:vAlign w:val="bottom"/>
            <w:shd w:val="clear" w:color="auto" w:fill="CCEEFF"/>
          </w:tcPr>
          <w:p>
            <w:pPr>
              <w:ind w:left="500"/>
              <w:spacing w:after="0"/>
              <w:rPr>
                <w:sz w:val="20"/>
                <w:szCs w:val="20"/>
                <w:color w:val="auto"/>
              </w:rPr>
            </w:pPr>
            <w:r>
              <w:rPr>
                <w:rFonts w:ascii="Arial" w:cs="Arial" w:eastAsia="Arial" w:hAnsi="Arial"/>
                <w:sz w:val="14"/>
                <w:szCs w:val="14"/>
                <w:color w:val="auto"/>
              </w:rPr>
              <w:t>Operating expenses</w:t>
            </w: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38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23,688</w:t>
            </w: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3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17,028</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34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66,025</w:t>
            </w: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3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48,937</w:t>
            </w:r>
          </w:p>
        </w:tc>
        <w:tc>
          <w:tcPr>
            <w:tcW w:w="0" w:type="dxa"/>
            <w:vAlign w:val="bottom"/>
          </w:tcPr>
          <w:p>
            <w:pPr>
              <w:spacing w:after="0"/>
              <w:rPr>
                <w:sz w:val="1"/>
                <w:szCs w:val="1"/>
                <w:color w:val="auto"/>
              </w:rPr>
            </w:pPr>
          </w:p>
        </w:tc>
      </w:tr>
      <w:tr>
        <w:trPr>
          <w:trHeight w:val="215"/>
        </w:trPr>
        <w:tc>
          <w:tcPr>
            <w:tcW w:w="3440" w:type="dxa"/>
            <w:vAlign w:val="bottom"/>
          </w:tcPr>
          <w:p>
            <w:pPr>
              <w:ind w:left="500"/>
              <w:spacing w:after="0"/>
              <w:rPr>
                <w:sz w:val="20"/>
                <w:szCs w:val="20"/>
                <w:color w:val="auto"/>
              </w:rPr>
            </w:pPr>
            <w:r>
              <w:rPr>
                <w:rFonts w:ascii="Arial" w:cs="Arial" w:eastAsia="Arial" w:hAnsi="Arial"/>
                <w:sz w:val="14"/>
                <w:szCs w:val="14"/>
                <w:color w:val="auto"/>
              </w:rPr>
              <w:t>General and administrative</w:t>
            </w: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80" w:type="dxa"/>
            <w:vAlign w:val="bottom"/>
          </w:tcPr>
          <w:p>
            <w:pPr>
              <w:jc w:val="right"/>
              <w:ind w:right="48"/>
              <w:spacing w:after="0"/>
              <w:rPr>
                <w:sz w:val="20"/>
                <w:szCs w:val="20"/>
                <w:color w:val="auto"/>
              </w:rPr>
            </w:pPr>
            <w:r>
              <w:rPr>
                <w:rFonts w:ascii="Arial" w:cs="Arial" w:eastAsia="Arial" w:hAnsi="Arial"/>
                <w:sz w:val="14"/>
                <w:szCs w:val="14"/>
                <w:b w:val="1"/>
                <w:bCs w:val="1"/>
                <w:color w:val="auto"/>
              </w:rPr>
              <w:t>3,439</w:t>
            </w: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20" w:type="dxa"/>
            <w:vAlign w:val="bottom"/>
          </w:tcPr>
          <w:p>
            <w:pPr>
              <w:jc w:val="right"/>
              <w:ind w:right="48"/>
              <w:spacing w:after="0"/>
              <w:rPr>
                <w:sz w:val="20"/>
                <w:szCs w:val="20"/>
                <w:color w:val="auto"/>
              </w:rPr>
            </w:pPr>
            <w:r>
              <w:rPr>
                <w:rFonts w:ascii="Arial" w:cs="Arial" w:eastAsia="Arial" w:hAnsi="Arial"/>
                <w:sz w:val="14"/>
                <w:szCs w:val="14"/>
                <w:color w:val="auto"/>
              </w:rPr>
              <w:t>3,205</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40" w:type="dxa"/>
            <w:vAlign w:val="bottom"/>
          </w:tcPr>
          <w:p>
            <w:pPr>
              <w:jc w:val="right"/>
              <w:ind w:right="28"/>
              <w:spacing w:after="0"/>
              <w:rPr>
                <w:sz w:val="20"/>
                <w:szCs w:val="20"/>
                <w:color w:val="auto"/>
              </w:rPr>
            </w:pPr>
            <w:r>
              <w:rPr>
                <w:rFonts w:ascii="Arial" w:cs="Arial" w:eastAsia="Arial" w:hAnsi="Arial"/>
                <w:sz w:val="14"/>
                <w:szCs w:val="14"/>
                <w:b w:val="1"/>
                <w:bCs w:val="1"/>
                <w:color w:val="auto"/>
              </w:rPr>
              <w:t>10,615</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00" w:type="dxa"/>
            <w:vAlign w:val="bottom"/>
          </w:tcPr>
          <w:p>
            <w:pPr>
              <w:jc w:val="right"/>
              <w:ind w:right="28"/>
              <w:spacing w:after="0"/>
              <w:rPr>
                <w:sz w:val="20"/>
                <w:szCs w:val="20"/>
                <w:color w:val="auto"/>
              </w:rPr>
            </w:pPr>
            <w:r>
              <w:rPr>
                <w:rFonts w:ascii="Arial" w:cs="Arial" w:eastAsia="Arial" w:hAnsi="Arial"/>
                <w:sz w:val="14"/>
                <w:szCs w:val="14"/>
                <w:color w:val="auto"/>
              </w:rPr>
              <w:t>9,154</w:t>
            </w:r>
          </w:p>
        </w:tc>
        <w:tc>
          <w:tcPr>
            <w:tcW w:w="0" w:type="dxa"/>
            <w:vAlign w:val="bottom"/>
          </w:tcPr>
          <w:p>
            <w:pPr>
              <w:spacing w:after="0"/>
              <w:rPr>
                <w:sz w:val="1"/>
                <w:szCs w:val="1"/>
                <w:color w:val="auto"/>
              </w:rPr>
            </w:pPr>
          </w:p>
        </w:tc>
      </w:tr>
      <w:tr>
        <w:trPr>
          <w:trHeight w:val="217"/>
        </w:trPr>
        <w:tc>
          <w:tcPr>
            <w:tcW w:w="3440" w:type="dxa"/>
            <w:vAlign w:val="bottom"/>
            <w:shd w:val="clear" w:color="auto" w:fill="CCEEFF"/>
          </w:tcPr>
          <w:p>
            <w:pPr>
              <w:ind w:left="500"/>
              <w:spacing w:after="0"/>
              <w:rPr>
                <w:sz w:val="20"/>
                <w:szCs w:val="20"/>
                <w:color w:val="auto"/>
              </w:rPr>
            </w:pPr>
            <w:r>
              <w:rPr>
                <w:rFonts w:ascii="Arial" w:cs="Arial" w:eastAsia="Arial" w:hAnsi="Arial"/>
                <w:sz w:val="14"/>
                <w:szCs w:val="14"/>
                <w:color w:val="auto"/>
              </w:rPr>
              <w:t>Acquisition and transaction expenses</w:t>
            </w: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38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1,732</w:t>
            </w: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3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1,688</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34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5,064</w:t>
            </w: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3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4,622</w:t>
            </w:r>
          </w:p>
        </w:tc>
        <w:tc>
          <w:tcPr>
            <w:tcW w:w="0" w:type="dxa"/>
            <w:vAlign w:val="bottom"/>
          </w:tcPr>
          <w:p>
            <w:pPr>
              <w:spacing w:after="0"/>
              <w:rPr>
                <w:sz w:val="1"/>
                <w:szCs w:val="1"/>
                <w:color w:val="auto"/>
              </w:rPr>
            </w:pPr>
          </w:p>
        </w:tc>
      </w:tr>
      <w:tr>
        <w:trPr>
          <w:trHeight w:val="176"/>
        </w:trPr>
        <w:tc>
          <w:tcPr>
            <w:tcW w:w="3440" w:type="dxa"/>
            <w:vAlign w:val="bottom"/>
          </w:tcPr>
          <w:p>
            <w:pPr>
              <w:ind w:left="500"/>
              <w:spacing w:after="0"/>
              <w:rPr>
                <w:sz w:val="20"/>
                <w:szCs w:val="20"/>
                <w:color w:val="auto"/>
              </w:rPr>
            </w:pPr>
            <w:r>
              <w:rPr>
                <w:rFonts w:ascii="Arial" w:cs="Arial" w:eastAsia="Arial" w:hAnsi="Arial"/>
                <w:sz w:val="14"/>
                <w:szCs w:val="14"/>
                <w:color w:val="auto"/>
              </w:rPr>
              <w:t>Management fees and incentive allocation to</w:t>
            </w:r>
          </w:p>
        </w:tc>
        <w:tc>
          <w:tcPr>
            <w:tcW w:w="6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380" w:type="dxa"/>
            <w:vAlign w:val="bottom"/>
            <w:vMerge w:val="restart"/>
          </w:tcPr>
          <w:p>
            <w:pPr>
              <w:jc w:val="right"/>
              <w:ind w:right="48"/>
              <w:spacing w:after="0"/>
              <w:rPr>
                <w:sz w:val="20"/>
                <w:szCs w:val="20"/>
                <w:color w:val="auto"/>
              </w:rPr>
            </w:pPr>
            <w:r>
              <w:rPr>
                <w:rFonts w:ascii="Arial" w:cs="Arial" w:eastAsia="Arial" w:hAnsi="Arial"/>
                <w:sz w:val="14"/>
                <w:szCs w:val="14"/>
                <w:b w:val="1"/>
                <w:bCs w:val="1"/>
                <w:color w:val="auto"/>
              </w:rPr>
              <w:t>3,771</w:t>
            </w:r>
          </w:p>
        </w:tc>
        <w:tc>
          <w:tcPr>
            <w:tcW w:w="1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340" w:type="dxa"/>
            <w:vAlign w:val="bottom"/>
            <w:vMerge w:val="restart"/>
          </w:tcPr>
          <w:p>
            <w:pPr>
              <w:jc w:val="right"/>
              <w:ind w:right="28"/>
              <w:spacing w:after="0"/>
              <w:rPr>
                <w:sz w:val="20"/>
                <w:szCs w:val="20"/>
                <w:color w:val="auto"/>
              </w:rPr>
            </w:pPr>
            <w:r>
              <w:rPr>
                <w:rFonts w:ascii="Arial" w:cs="Arial" w:eastAsia="Arial" w:hAnsi="Arial"/>
                <w:sz w:val="14"/>
                <w:szCs w:val="14"/>
                <w:b w:val="1"/>
                <w:bCs w:val="1"/>
                <w:color w:val="auto"/>
              </w:rPr>
              <w:t>11,529</w:t>
            </w:r>
          </w:p>
        </w:tc>
        <w:tc>
          <w:tcPr>
            <w:tcW w:w="1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1"/>
        </w:trPr>
        <w:tc>
          <w:tcPr>
            <w:tcW w:w="3440" w:type="dxa"/>
            <w:vAlign w:val="bottom"/>
          </w:tcPr>
          <w:p>
            <w:pPr>
              <w:ind w:left="500"/>
              <w:spacing w:after="0"/>
              <w:rPr>
                <w:sz w:val="20"/>
                <w:szCs w:val="20"/>
                <w:color w:val="auto"/>
              </w:rPr>
            </w:pPr>
            <w:r>
              <w:rPr>
                <w:rFonts w:ascii="Arial" w:cs="Arial" w:eastAsia="Arial" w:hAnsi="Arial"/>
                <w:sz w:val="14"/>
                <w:szCs w:val="14"/>
                <w:color w:val="auto"/>
              </w:rPr>
              <w:t>affiliate</w:t>
            </w:r>
          </w:p>
        </w:tc>
        <w:tc>
          <w:tcPr>
            <w:tcW w:w="680" w:type="dxa"/>
            <w:vAlign w:val="bottom"/>
          </w:tcPr>
          <w:p>
            <w:pPr>
              <w:jc w:val="center"/>
              <w:spacing w:after="0"/>
              <w:rPr>
                <w:sz w:val="20"/>
                <w:szCs w:val="20"/>
                <w:color w:val="auto"/>
              </w:rPr>
            </w:pPr>
            <w:r>
              <w:rPr>
                <w:rFonts w:ascii="Arial" w:cs="Arial" w:eastAsia="Arial" w:hAnsi="Arial"/>
                <w:sz w:val="14"/>
                <w:szCs w:val="14"/>
                <w:color w:val="auto"/>
              </w:rPr>
              <w:t>13</w:t>
            </w: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38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320" w:type="dxa"/>
            <w:vAlign w:val="bottom"/>
          </w:tcPr>
          <w:p>
            <w:pPr>
              <w:jc w:val="right"/>
              <w:ind w:right="48"/>
              <w:spacing w:after="0"/>
              <w:rPr>
                <w:sz w:val="20"/>
                <w:szCs w:val="20"/>
                <w:color w:val="auto"/>
              </w:rPr>
            </w:pPr>
            <w:r>
              <w:rPr>
                <w:rFonts w:ascii="Arial" w:cs="Arial" w:eastAsia="Arial" w:hAnsi="Arial"/>
                <w:sz w:val="14"/>
                <w:szCs w:val="14"/>
                <w:color w:val="auto"/>
              </w:rPr>
              <w:t>4,146</w:t>
            </w: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34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300" w:type="dxa"/>
            <w:vAlign w:val="bottom"/>
          </w:tcPr>
          <w:p>
            <w:pPr>
              <w:jc w:val="right"/>
              <w:ind w:right="28"/>
              <w:spacing w:after="0"/>
              <w:rPr>
                <w:sz w:val="20"/>
                <w:szCs w:val="20"/>
                <w:color w:val="auto"/>
              </w:rPr>
            </w:pPr>
            <w:r>
              <w:rPr>
                <w:rFonts w:ascii="Arial" w:cs="Arial" w:eastAsia="Arial" w:hAnsi="Arial"/>
                <w:sz w:val="14"/>
                <w:szCs w:val="14"/>
                <w:color w:val="auto"/>
              </w:rPr>
              <w:t>12,725</w:t>
            </w:r>
          </w:p>
        </w:tc>
        <w:tc>
          <w:tcPr>
            <w:tcW w:w="0" w:type="dxa"/>
            <w:vAlign w:val="bottom"/>
          </w:tcPr>
          <w:p>
            <w:pPr>
              <w:spacing w:after="0"/>
              <w:rPr>
                <w:sz w:val="1"/>
                <w:szCs w:val="1"/>
                <w:color w:val="auto"/>
              </w:rPr>
            </w:pPr>
          </w:p>
        </w:tc>
      </w:tr>
      <w:tr>
        <w:trPr>
          <w:trHeight w:val="217"/>
        </w:trPr>
        <w:tc>
          <w:tcPr>
            <w:tcW w:w="3440" w:type="dxa"/>
            <w:vAlign w:val="bottom"/>
            <w:shd w:val="clear" w:color="auto" w:fill="CCEEFF"/>
          </w:tcPr>
          <w:p>
            <w:pPr>
              <w:ind w:left="500"/>
              <w:spacing w:after="0"/>
              <w:rPr>
                <w:sz w:val="20"/>
                <w:szCs w:val="20"/>
                <w:color w:val="auto"/>
              </w:rPr>
            </w:pPr>
            <w:r>
              <w:rPr>
                <w:rFonts w:ascii="Arial" w:cs="Arial" w:eastAsia="Arial" w:hAnsi="Arial"/>
                <w:sz w:val="14"/>
                <w:szCs w:val="14"/>
                <w:color w:val="auto"/>
              </w:rPr>
              <w:t>Depreciation and amortization</w:t>
            </w:r>
          </w:p>
        </w:tc>
        <w:tc>
          <w:tcPr>
            <w:tcW w:w="68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3, 5, 7</w:t>
            </w: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38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24,784</w:t>
            </w: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3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15,376</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34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62,382</w:t>
            </w: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3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43,294</w:t>
            </w:r>
          </w:p>
        </w:tc>
        <w:tc>
          <w:tcPr>
            <w:tcW w:w="0" w:type="dxa"/>
            <w:vAlign w:val="bottom"/>
          </w:tcPr>
          <w:p>
            <w:pPr>
              <w:spacing w:after="0"/>
              <w:rPr>
                <w:sz w:val="1"/>
                <w:szCs w:val="1"/>
                <w:color w:val="auto"/>
              </w:rPr>
            </w:pPr>
          </w:p>
        </w:tc>
      </w:tr>
      <w:tr>
        <w:trPr>
          <w:trHeight w:val="215"/>
        </w:trPr>
        <w:tc>
          <w:tcPr>
            <w:tcW w:w="3440" w:type="dxa"/>
            <w:vAlign w:val="bottom"/>
            <w:tcBorders>
              <w:bottom w:val="single" w:sz="8" w:color="CCEEFF"/>
            </w:tcBorders>
          </w:tcPr>
          <w:p>
            <w:pPr>
              <w:ind w:left="500"/>
              <w:spacing w:after="0"/>
              <w:rPr>
                <w:sz w:val="20"/>
                <w:szCs w:val="20"/>
                <w:color w:val="auto"/>
              </w:rPr>
            </w:pPr>
            <w:r>
              <w:rPr>
                <w:rFonts w:ascii="Arial" w:cs="Arial" w:eastAsia="Arial" w:hAnsi="Arial"/>
                <w:sz w:val="14"/>
                <w:szCs w:val="14"/>
                <w:color w:val="auto"/>
              </w:rPr>
              <w:t>Interest expense</w:t>
            </w:r>
          </w:p>
        </w:tc>
        <w:tc>
          <w:tcPr>
            <w:tcW w:w="68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8,914</w:t>
            </w:r>
          </w:p>
        </w:tc>
        <w:tc>
          <w:tcPr>
            <w:tcW w:w="12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5,416</w:t>
            </w:r>
          </w:p>
        </w:tc>
        <w:tc>
          <w:tcPr>
            <w:tcW w:w="12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21,292</w:t>
            </w:r>
          </w:p>
        </w:tc>
        <w:tc>
          <w:tcPr>
            <w:tcW w:w="12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15,839</w:t>
            </w:r>
          </w:p>
        </w:tc>
        <w:tc>
          <w:tcPr>
            <w:tcW w:w="0" w:type="dxa"/>
            <w:vAlign w:val="bottom"/>
          </w:tcPr>
          <w:p>
            <w:pPr>
              <w:spacing w:after="0"/>
              <w:rPr>
                <w:sz w:val="1"/>
                <w:szCs w:val="1"/>
                <w:color w:val="auto"/>
              </w:rPr>
            </w:pPr>
          </w:p>
        </w:tc>
      </w:tr>
      <w:tr>
        <w:trPr>
          <w:trHeight w:val="210"/>
        </w:trPr>
        <w:tc>
          <w:tcPr>
            <w:tcW w:w="3440" w:type="dxa"/>
            <w:vAlign w:val="bottom"/>
            <w:shd w:val="clear" w:color="auto" w:fill="CCEEFF"/>
          </w:tcPr>
          <w:p>
            <w:pPr>
              <w:ind w:left="500"/>
              <w:spacing w:after="0"/>
              <w:rPr>
                <w:sz w:val="20"/>
                <w:szCs w:val="20"/>
                <w:color w:val="auto"/>
              </w:rPr>
            </w:pPr>
            <w:r>
              <w:rPr>
                <w:rFonts w:ascii="Arial" w:cs="Arial" w:eastAsia="Arial" w:hAnsi="Arial"/>
                <w:sz w:val="14"/>
                <w:szCs w:val="14"/>
                <w:color w:val="auto"/>
              </w:rPr>
              <w:t>Total expenses</w:t>
            </w: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38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66,328</w:t>
            </w:r>
          </w:p>
        </w:tc>
        <w:tc>
          <w:tcPr>
            <w:tcW w:w="120" w:type="dxa"/>
            <w:vAlign w:val="bottom"/>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46,859</w:t>
            </w:r>
          </w:p>
        </w:tc>
        <w:tc>
          <w:tcPr>
            <w:tcW w:w="12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3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176,907</w:t>
            </w:r>
          </w:p>
        </w:tc>
        <w:tc>
          <w:tcPr>
            <w:tcW w:w="12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134,571</w:t>
            </w:r>
          </w:p>
        </w:tc>
        <w:tc>
          <w:tcPr>
            <w:tcW w:w="0" w:type="dxa"/>
            <w:vAlign w:val="bottom"/>
          </w:tcPr>
          <w:p>
            <w:pPr>
              <w:spacing w:after="0"/>
              <w:rPr>
                <w:sz w:val="1"/>
                <w:szCs w:val="1"/>
                <w:color w:val="auto"/>
              </w:rPr>
            </w:pPr>
          </w:p>
        </w:tc>
      </w:tr>
      <w:tr>
        <w:trPr>
          <w:trHeight w:val="211"/>
        </w:trPr>
        <w:tc>
          <w:tcPr>
            <w:tcW w:w="34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4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Other income (expense)</w:t>
            </w: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3440" w:type="dxa"/>
            <w:vAlign w:val="bottom"/>
          </w:tcPr>
          <w:p>
            <w:pPr>
              <w:ind w:left="500"/>
              <w:spacing w:after="0"/>
              <w:rPr>
                <w:sz w:val="20"/>
                <w:szCs w:val="20"/>
                <w:color w:val="auto"/>
              </w:rPr>
            </w:pPr>
            <w:r>
              <w:rPr>
                <w:rFonts w:ascii="Arial" w:cs="Arial" w:eastAsia="Arial" w:hAnsi="Arial"/>
                <w:sz w:val="14"/>
                <w:szCs w:val="14"/>
                <w:color w:val="auto"/>
              </w:rPr>
              <w:t>Equity in earnings (losses) of unconsolidated</w:t>
            </w:r>
          </w:p>
        </w:tc>
        <w:tc>
          <w:tcPr>
            <w:tcW w:w="6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380" w:type="dxa"/>
            <w:vAlign w:val="bottom"/>
            <w:vMerge w:val="restart"/>
          </w:tcPr>
          <w:p>
            <w:pPr>
              <w:jc w:val="right"/>
              <w:ind w:right="48"/>
              <w:spacing w:after="0"/>
              <w:rPr>
                <w:sz w:val="20"/>
                <w:szCs w:val="20"/>
                <w:color w:val="auto"/>
              </w:rPr>
            </w:pPr>
            <w:r>
              <w:rPr>
                <w:rFonts w:ascii="Arial" w:cs="Arial" w:eastAsia="Arial" w:hAnsi="Arial"/>
                <w:sz w:val="14"/>
                <w:szCs w:val="14"/>
                <w:b w:val="1"/>
                <w:bCs w:val="1"/>
                <w:color w:val="auto"/>
              </w:rPr>
              <w:t>132</w:t>
            </w:r>
          </w:p>
        </w:tc>
        <w:tc>
          <w:tcPr>
            <w:tcW w:w="1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34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(1,461)</w:t>
            </w:r>
          </w:p>
        </w:tc>
        <w:tc>
          <w:tcPr>
            <w:tcW w:w="1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1"/>
        </w:trPr>
        <w:tc>
          <w:tcPr>
            <w:tcW w:w="3440" w:type="dxa"/>
            <w:vAlign w:val="bottom"/>
          </w:tcPr>
          <w:p>
            <w:pPr>
              <w:ind w:left="500"/>
              <w:spacing w:after="0"/>
              <w:rPr>
                <w:sz w:val="20"/>
                <w:szCs w:val="20"/>
                <w:color w:val="auto"/>
              </w:rPr>
            </w:pPr>
            <w:r>
              <w:rPr>
                <w:rFonts w:ascii="Arial" w:cs="Arial" w:eastAsia="Arial" w:hAnsi="Arial"/>
                <w:sz w:val="14"/>
                <w:szCs w:val="14"/>
                <w:color w:val="auto"/>
              </w:rPr>
              <w:t>entities</w:t>
            </w:r>
          </w:p>
        </w:tc>
        <w:tc>
          <w:tcPr>
            <w:tcW w:w="680" w:type="dxa"/>
            <w:vAlign w:val="bottom"/>
          </w:tcPr>
          <w:p>
            <w:pPr>
              <w:jc w:val="center"/>
              <w:spacing w:after="0"/>
              <w:rPr>
                <w:sz w:val="20"/>
                <w:szCs w:val="20"/>
                <w:color w:val="auto"/>
              </w:rPr>
            </w:pPr>
            <w:r>
              <w:rPr>
                <w:rFonts w:ascii="Arial" w:cs="Arial" w:eastAsia="Arial" w:hAnsi="Arial"/>
                <w:sz w:val="14"/>
                <w:szCs w:val="14"/>
                <w:color w:val="auto"/>
              </w:rPr>
              <w:t>6</w:t>
            </w: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38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Arial" w:cs="Arial" w:eastAsia="Arial" w:hAnsi="Arial"/>
                <w:sz w:val="14"/>
                <w:szCs w:val="14"/>
                <w:color w:val="auto"/>
              </w:rPr>
              <w:t>(1,161)</w:t>
            </w: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34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(1,335)</w:t>
            </w:r>
          </w:p>
        </w:tc>
        <w:tc>
          <w:tcPr>
            <w:tcW w:w="0" w:type="dxa"/>
            <w:vAlign w:val="bottom"/>
          </w:tcPr>
          <w:p>
            <w:pPr>
              <w:spacing w:after="0"/>
              <w:rPr>
                <w:sz w:val="1"/>
                <w:szCs w:val="1"/>
                <w:color w:val="auto"/>
              </w:rPr>
            </w:pPr>
          </w:p>
        </w:tc>
      </w:tr>
      <w:tr>
        <w:trPr>
          <w:trHeight w:val="177"/>
        </w:trPr>
        <w:tc>
          <w:tcPr>
            <w:tcW w:w="3440" w:type="dxa"/>
            <w:vAlign w:val="bottom"/>
            <w:shd w:val="clear" w:color="auto" w:fill="CCEEFF"/>
          </w:tcPr>
          <w:p>
            <w:pPr>
              <w:ind w:left="500"/>
              <w:spacing w:after="0"/>
              <w:rPr>
                <w:sz w:val="20"/>
                <w:szCs w:val="20"/>
                <w:color w:val="auto"/>
              </w:rPr>
            </w:pPr>
            <w:r>
              <w:rPr>
                <w:rFonts w:ascii="Arial" w:cs="Arial" w:eastAsia="Arial" w:hAnsi="Arial"/>
                <w:sz w:val="14"/>
                <w:szCs w:val="14"/>
                <w:color w:val="auto"/>
              </w:rPr>
              <w:t>Gain on sale of equipment and finance</w:t>
            </w:r>
          </w:p>
        </w:tc>
        <w:tc>
          <w:tcPr>
            <w:tcW w:w="6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38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2,709</w:t>
            </w:r>
          </w:p>
        </w:tc>
        <w:tc>
          <w:tcPr>
            <w:tcW w:w="12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3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34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6,726</w:t>
            </w:r>
          </w:p>
        </w:tc>
        <w:tc>
          <w:tcPr>
            <w:tcW w:w="12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3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2"/>
        </w:trPr>
        <w:tc>
          <w:tcPr>
            <w:tcW w:w="3440" w:type="dxa"/>
            <w:vAlign w:val="bottom"/>
            <w:shd w:val="clear" w:color="auto" w:fill="CCEEFF"/>
          </w:tcPr>
          <w:p>
            <w:pPr>
              <w:ind w:left="500"/>
              <w:spacing w:after="0"/>
              <w:rPr>
                <w:sz w:val="20"/>
                <w:szCs w:val="20"/>
                <w:color w:val="auto"/>
              </w:rPr>
            </w:pPr>
            <w:r>
              <w:rPr>
                <w:rFonts w:ascii="Arial" w:cs="Arial" w:eastAsia="Arial" w:hAnsi="Arial"/>
                <w:sz w:val="14"/>
                <w:szCs w:val="14"/>
                <w:color w:val="auto"/>
              </w:rPr>
              <w:t>leases, net</w:t>
            </w:r>
          </w:p>
        </w:tc>
        <w:tc>
          <w:tcPr>
            <w:tcW w:w="6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380" w:type="dxa"/>
            <w:vAlign w:val="bottom"/>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3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40</w:t>
            </w:r>
          </w:p>
        </w:tc>
        <w:tc>
          <w:tcPr>
            <w:tcW w:w="1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340" w:type="dxa"/>
            <w:vAlign w:val="bottom"/>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3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3,307</w:t>
            </w:r>
          </w:p>
        </w:tc>
        <w:tc>
          <w:tcPr>
            <w:tcW w:w="0" w:type="dxa"/>
            <w:vAlign w:val="bottom"/>
          </w:tcPr>
          <w:p>
            <w:pPr>
              <w:spacing w:after="0"/>
              <w:rPr>
                <w:sz w:val="1"/>
                <w:szCs w:val="1"/>
                <w:color w:val="auto"/>
              </w:rPr>
            </w:pPr>
          </w:p>
        </w:tc>
      </w:tr>
      <w:tr>
        <w:trPr>
          <w:trHeight w:val="215"/>
        </w:trPr>
        <w:tc>
          <w:tcPr>
            <w:tcW w:w="3440" w:type="dxa"/>
            <w:vAlign w:val="bottom"/>
          </w:tcPr>
          <w:p>
            <w:pPr>
              <w:ind w:left="500"/>
              <w:spacing w:after="0"/>
              <w:rPr>
                <w:sz w:val="20"/>
                <w:szCs w:val="20"/>
                <w:color w:val="auto"/>
              </w:rPr>
            </w:pPr>
            <w:r>
              <w:rPr>
                <w:rFonts w:ascii="Arial" w:cs="Arial" w:eastAsia="Arial" w:hAnsi="Arial"/>
                <w:sz w:val="14"/>
                <w:szCs w:val="14"/>
                <w:color w:val="auto"/>
              </w:rPr>
              <w:t>Loss on extinguishment of debt</w:t>
            </w:r>
          </w:p>
        </w:tc>
        <w:tc>
          <w:tcPr>
            <w:tcW w:w="680" w:type="dxa"/>
            <w:vAlign w:val="bottom"/>
          </w:tcPr>
          <w:p>
            <w:pPr>
              <w:jc w:val="center"/>
              <w:spacing w:after="0"/>
              <w:rPr>
                <w:sz w:val="20"/>
                <w:szCs w:val="20"/>
                <w:color w:val="auto"/>
              </w:rPr>
            </w:pPr>
            <w:r>
              <w:rPr>
                <w:rFonts w:ascii="Arial" w:cs="Arial" w:eastAsia="Arial" w:hAnsi="Arial"/>
                <w:sz w:val="14"/>
                <w:szCs w:val="14"/>
                <w:color w:val="auto"/>
              </w:rPr>
              <w:t>8</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50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rPr>
              <w:t>—</w:t>
            </w:r>
          </w:p>
        </w:tc>
        <w:tc>
          <w:tcPr>
            <w:tcW w:w="400" w:type="dxa"/>
            <w:vAlign w:val="bottom"/>
          </w:tcPr>
          <w:p>
            <w:pPr>
              <w:spacing w:after="0"/>
              <w:rPr>
                <w:sz w:val="18"/>
                <w:szCs w:val="18"/>
                <w:color w:val="auto"/>
              </w:rPr>
            </w:pPr>
          </w:p>
        </w:tc>
        <w:tc>
          <w:tcPr>
            <w:tcW w:w="14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4"/>
                <w:szCs w:val="14"/>
                <w:b w:val="1"/>
                <w:bCs w:val="1"/>
                <w:color w:val="auto"/>
              </w:rPr>
              <w:t>(2,456)</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(1,579)</w:t>
            </w:r>
          </w:p>
        </w:tc>
        <w:tc>
          <w:tcPr>
            <w:tcW w:w="0" w:type="dxa"/>
            <w:vAlign w:val="bottom"/>
          </w:tcPr>
          <w:p>
            <w:pPr>
              <w:spacing w:after="0"/>
              <w:rPr>
                <w:sz w:val="1"/>
                <w:szCs w:val="1"/>
                <w:color w:val="auto"/>
              </w:rPr>
            </w:pPr>
          </w:p>
        </w:tc>
      </w:tr>
      <w:tr>
        <w:trPr>
          <w:trHeight w:val="271"/>
        </w:trPr>
        <w:tc>
          <w:tcPr>
            <w:tcW w:w="3440" w:type="dxa"/>
            <w:vAlign w:val="bottom"/>
            <w:shd w:val="clear" w:color="auto" w:fill="CCEEFF"/>
          </w:tcPr>
          <w:p>
            <w:pPr>
              <w:ind w:left="500"/>
              <w:spacing w:after="0"/>
              <w:rPr>
                <w:sz w:val="20"/>
                <w:szCs w:val="20"/>
                <w:color w:val="auto"/>
              </w:rPr>
            </w:pPr>
            <w:r>
              <w:rPr>
                <w:rFonts w:ascii="Arial" w:cs="Arial" w:eastAsia="Arial" w:hAnsi="Arial"/>
                <w:sz w:val="14"/>
                <w:szCs w:val="14"/>
                <w:color w:val="auto"/>
              </w:rPr>
              <w:t>Asset impairment</w:t>
            </w:r>
          </w:p>
        </w:tc>
        <w:tc>
          <w:tcPr>
            <w:tcW w:w="6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50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b w:val="1"/>
                <w:bCs w:val="1"/>
                <w:color w:val="auto"/>
              </w:rPr>
              <w:t>—</w:t>
            </w:r>
          </w:p>
        </w:tc>
        <w:tc>
          <w:tcPr>
            <w:tcW w:w="400" w:type="dxa"/>
            <w:vAlign w:val="bottom"/>
            <w:shd w:val="clear" w:color="auto" w:fill="CCEEFF"/>
          </w:tcPr>
          <w:p>
            <w:pPr>
              <w:spacing w:after="0"/>
              <w:rPr>
                <w:sz w:val="23"/>
                <w:szCs w:val="23"/>
                <w:color w:val="auto"/>
              </w:rPr>
            </w:pPr>
          </w:p>
        </w:tc>
        <w:tc>
          <w:tcPr>
            <w:tcW w:w="14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340" w:type="dxa"/>
            <w:vAlign w:val="bottom"/>
            <w:shd w:val="clear" w:color="auto" w:fill="CCEEFF"/>
          </w:tcPr>
          <w:p>
            <w:pPr>
              <w:spacing w:after="0"/>
              <w:rPr>
                <w:sz w:val="23"/>
                <w:szCs w:val="23"/>
                <w:color w:val="auto"/>
              </w:rPr>
            </w:pPr>
          </w:p>
        </w:tc>
        <w:tc>
          <w:tcPr>
            <w:tcW w:w="14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b w:val="1"/>
                <w:bCs w:val="1"/>
                <w:color w:val="auto"/>
              </w:rPr>
              <w:t>—</w:t>
            </w:r>
          </w:p>
        </w:tc>
        <w:tc>
          <w:tcPr>
            <w:tcW w:w="380" w:type="dxa"/>
            <w:vAlign w:val="bottom"/>
            <w:shd w:val="clear" w:color="auto" w:fill="CCEEFF"/>
          </w:tcPr>
          <w:p>
            <w:pPr>
              <w:spacing w:after="0"/>
              <w:rPr>
                <w:sz w:val="23"/>
                <w:szCs w:val="23"/>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(7,450)</w:t>
            </w:r>
          </w:p>
        </w:tc>
        <w:tc>
          <w:tcPr>
            <w:tcW w:w="0" w:type="dxa"/>
            <w:vAlign w:val="bottom"/>
          </w:tcPr>
          <w:p>
            <w:pPr>
              <w:spacing w:after="0"/>
              <w:rPr>
                <w:sz w:val="1"/>
                <w:szCs w:val="1"/>
                <w:color w:val="auto"/>
              </w:rPr>
            </w:pPr>
          </w:p>
        </w:tc>
      </w:tr>
      <w:tr>
        <w:trPr>
          <w:trHeight w:val="215"/>
        </w:trPr>
        <w:tc>
          <w:tcPr>
            <w:tcW w:w="3440" w:type="dxa"/>
            <w:vAlign w:val="bottom"/>
          </w:tcPr>
          <w:p>
            <w:pPr>
              <w:ind w:left="500"/>
              <w:spacing w:after="0"/>
              <w:rPr>
                <w:sz w:val="20"/>
                <w:szCs w:val="20"/>
                <w:color w:val="auto"/>
              </w:rPr>
            </w:pPr>
            <w:r>
              <w:rPr>
                <w:rFonts w:ascii="Arial" w:cs="Arial" w:eastAsia="Arial" w:hAnsi="Arial"/>
                <w:sz w:val="14"/>
                <w:szCs w:val="14"/>
                <w:color w:val="auto"/>
              </w:rPr>
              <w:t>Interest income</w:t>
            </w: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80" w:type="dxa"/>
            <w:vAlign w:val="bottom"/>
          </w:tcPr>
          <w:p>
            <w:pPr>
              <w:jc w:val="right"/>
              <w:ind w:right="48"/>
              <w:spacing w:after="0"/>
              <w:rPr>
                <w:sz w:val="20"/>
                <w:szCs w:val="20"/>
                <w:color w:val="auto"/>
              </w:rPr>
            </w:pPr>
            <w:r>
              <w:rPr>
                <w:rFonts w:ascii="Arial" w:cs="Arial" w:eastAsia="Arial" w:hAnsi="Arial"/>
                <w:sz w:val="14"/>
                <w:szCs w:val="14"/>
                <w:b w:val="1"/>
                <w:bCs w:val="1"/>
                <w:color w:val="auto"/>
              </w:rPr>
              <w:t>215</w:t>
            </w: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20" w:type="dxa"/>
            <w:vAlign w:val="bottom"/>
          </w:tcPr>
          <w:p>
            <w:pPr>
              <w:jc w:val="right"/>
              <w:ind w:right="48"/>
              <w:spacing w:after="0"/>
              <w:rPr>
                <w:sz w:val="20"/>
                <w:szCs w:val="20"/>
                <w:color w:val="auto"/>
              </w:rPr>
            </w:pPr>
            <w:r>
              <w:rPr>
                <w:rFonts w:ascii="Arial" w:cs="Arial" w:eastAsia="Arial" w:hAnsi="Arial"/>
                <w:sz w:val="14"/>
                <w:szCs w:val="14"/>
                <w:color w:val="auto"/>
              </w:rPr>
              <w:t>206</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40" w:type="dxa"/>
            <w:vAlign w:val="bottom"/>
          </w:tcPr>
          <w:p>
            <w:pPr>
              <w:jc w:val="right"/>
              <w:ind w:right="28"/>
              <w:spacing w:after="0"/>
              <w:rPr>
                <w:sz w:val="20"/>
                <w:szCs w:val="20"/>
                <w:color w:val="auto"/>
              </w:rPr>
            </w:pPr>
            <w:r>
              <w:rPr>
                <w:rFonts w:ascii="Arial" w:cs="Arial" w:eastAsia="Arial" w:hAnsi="Arial"/>
                <w:sz w:val="14"/>
                <w:szCs w:val="14"/>
                <w:b w:val="1"/>
                <w:bCs w:val="1"/>
                <w:color w:val="auto"/>
              </w:rPr>
              <w:t>582</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00" w:type="dxa"/>
            <w:vAlign w:val="bottom"/>
          </w:tcPr>
          <w:p>
            <w:pPr>
              <w:jc w:val="right"/>
              <w:ind w:right="28"/>
              <w:spacing w:after="0"/>
              <w:rPr>
                <w:sz w:val="20"/>
                <w:szCs w:val="20"/>
                <w:color w:val="auto"/>
              </w:rPr>
            </w:pPr>
            <w:r>
              <w:rPr>
                <w:rFonts w:ascii="Arial" w:cs="Arial" w:eastAsia="Arial" w:hAnsi="Arial"/>
                <w:sz w:val="14"/>
                <w:szCs w:val="14"/>
                <w:color w:val="auto"/>
              </w:rPr>
              <w:t>87</w:t>
            </w:r>
          </w:p>
        </w:tc>
        <w:tc>
          <w:tcPr>
            <w:tcW w:w="0" w:type="dxa"/>
            <w:vAlign w:val="bottom"/>
          </w:tcPr>
          <w:p>
            <w:pPr>
              <w:spacing w:after="0"/>
              <w:rPr>
                <w:sz w:val="1"/>
                <w:szCs w:val="1"/>
                <w:color w:val="auto"/>
              </w:rPr>
            </w:pPr>
          </w:p>
        </w:tc>
      </w:tr>
      <w:tr>
        <w:trPr>
          <w:trHeight w:val="216"/>
        </w:trPr>
        <w:tc>
          <w:tcPr>
            <w:tcW w:w="3440" w:type="dxa"/>
            <w:vAlign w:val="bottom"/>
            <w:shd w:val="clear" w:color="auto" w:fill="CCEEFF"/>
          </w:tcPr>
          <w:p>
            <w:pPr>
              <w:ind w:left="500"/>
              <w:spacing w:after="0"/>
              <w:rPr>
                <w:sz w:val="20"/>
                <w:szCs w:val="20"/>
                <w:color w:val="auto"/>
              </w:rPr>
            </w:pPr>
            <w:r>
              <w:rPr>
                <w:rFonts w:ascii="Arial" w:cs="Arial" w:eastAsia="Arial" w:hAnsi="Arial"/>
                <w:sz w:val="14"/>
                <w:szCs w:val="14"/>
                <w:color w:val="auto"/>
              </w:rPr>
              <w:t>Other income</w:t>
            </w: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38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2,148</w:t>
            </w:r>
          </w:p>
        </w:tc>
        <w:tc>
          <w:tcPr>
            <w:tcW w:w="120" w:type="dxa"/>
            <w:vAlign w:val="bottom"/>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485</w:t>
            </w:r>
          </w:p>
        </w:tc>
        <w:tc>
          <w:tcPr>
            <w:tcW w:w="12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3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2,180</w:t>
            </w:r>
          </w:p>
        </w:tc>
        <w:tc>
          <w:tcPr>
            <w:tcW w:w="12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583</w:t>
            </w:r>
          </w:p>
        </w:tc>
        <w:tc>
          <w:tcPr>
            <w:tcW w:w="0" w:type="dxa"/>
            <w:vAlign w:val="bottom"/>
          </w:tcPr>
          <w:p>
            <w:pPr>
              <w:spacing w:after="0"/>
              <w:rPr>
                <w:sz w:val="1"/>
                <w:szCs w:val="1"/>
                <w:color w:val="auto"/>
              </w:rPr>
            </w:pPr>
          </w:p>
        </w:tc>
      </w:tr>
      <w:tr>
        <w:trPr>
          <w:trHeight w:val="210"/>
        </w:trPr>
        <w:tc>
          <w:tcPr>
            <w:tcW w:w="3440" w:type="dxa"/>
            <w:vAlign w:val="bottom"/>
            <w:tcBorders>
              <w:bottom w:val="single" w:sz="8" w:color="CCEEFF"/>
            </w:tcBorders>
          </w:tcPr>
          <w:p>
            <w:pPr>
              <w:ind w:left="500"/>
              <w:spacing w:after="0"/>
              <w:rPr>
                <w:sz w:val="20"/>
                <w:szCs w:val="20"/>
                <w:color w:val="auto"/>
              </w:rPr>
            </w:pPr>
            <w:r>
              <w:rPr>
                <w:rFonts w:ascii="Arial" w:cs="Arial" w:eastAsia="Arial" w:hAnsi="Arial"/>
                <w:sz w:val="14"/>
                <w:szCs w:val="14"/>
                <w:color w:val="auto"/>
              </w:rPr>
              <w:t>Total other income (expense)</w:t>
            </w:r>
          </w:p>
        </w:tc>
        <w:tc>
          <w:tcPr>
            <w:tcW w:w="68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5,204</w:t>
            </w:r>
          </w:p>
        </w:tc>
        <w:tc>
          <w:tcPr>
            <w:tcW w:w="12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(430)</w:t>
            </w:r>
          </w:p>
        </w:tc>
        <w:tc>
          <w:tcPr>
            <w:tcW w:w="12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5,571</w:t>
            </w:r>
          </w:p>
        </w:tc>
        <w:tc>
          <w:tcPr>
            <w:tcW w:w="12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(6,387)</w:t>
            </w:r>
          </w:p>
        </w:tc>
        <w:tc>
          <w:tcPr>
            <w:tcW w:w="0" w:type="dxa"/>
            <w:vAlign w:val="bottom"/>
          </w:tcPr>
          <w:p>
            <w:pPr>
              <w:spacing w:after="0"/>
              <w:rPr>
                <w:sz w:val="1"/>
                <w:szCs w:val="1"/>
                <w:color w:val="auto"/>
              </w:rPr>
            </w:pPr>
          </w:p>
        </w:tc>
      </w:tr>
      <w:tr>
        <w:trPr>
          <w:trHeight w:val="211"/>
        </w:trPr>
        <w:tc>
          <w:tcPr>
            <w:tcW w:w="34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3440" w:type="dxa"/>
            <w:vAlign w:val="bottom"/>
          </w:tcPr>
          <w:p>
            <w:pPr>
              <w:ind w:left="500"/>
              <w:spacing w:after="0"/>
              <w:rPr>
                <w:sz w:val="20"/>
                <w:szCs w:val="20"/>
                <w:color w:val="auto"/>
              </w:rPr>
            </w:pPr>
            <w:r>
              <w:rPr>
                <w:rFonts w:ascii="Arial" w:cs="Arial" w:eastAsia="Arial" w:hAnsi="Arial"/>
                <w:sz w:val="14"/>
                <w:szCs w:val="14"/>
                <w:b w:val="1"/>
                <w:bCs w:val="1"/>
                <w:color w:val="auto"/>
              </w:rPr>
              <w:t>Loss before income taxes</w:t>
            </w: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80" w:type="dxa"/>
            <w:vAlign w:val="bottom"/>
          </w:tcPr>
          <w:p>
            <w:pPr>
              <w:jc w:val="right"/>
              <w:ind w:right="8"/>
              <w:spacing w:after="0"/>
              <w:rPr>
                <w:sz w:val="20"/>
                <w:szCs w:val="20"/>
                <w:color w:val="auto"/>
              </w:rPr>
            </w:pPr>
            <w:r>
              <w:rPr>
                <w:rFonts w:ascii="Arial" w:cs="Arial" w:eastAsia="Arial" w:hAnsi="Arial"/>
                <w:sz w:val="14"/>
                <w:szCs w:val="14"/>
                <w:b w:val="1"/>
                <w:bCs w:val="1"/>
                <w:color w:val="auto"/>
              </w:rPr>
              <w:t>(762)</w:t>
            </w: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4"/>
                <w:szCs w:val="14"/>
                <w:color w:val="auto"/>
              </w:rPr>
              <w:t>(5,563)</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4"/>
                <w:szCs w:val="14"/>
                <w:b w:val="1"/>
                <w:bCs w:val="1"/>
                <w:color w:val="auto"/>
              </w:rPr>
              <w:t>(15,107)</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(34,584)</w:t>
            </w:r>
          </w:p>
        </w:tc>
        <w:tc>
          <w:tcPr>
            <w:tcW w:w="0" w:type="dxa"/>
            <w:vAlign w:val="bottom"/>
          </w:tcPr>
          <w:p>
            <w:pPr>
              <w:spacing w:after="0"/>
              <w:rPr>
                <w:sz w:val="1"/>
                <w:szCs w:val="1"/>
                <w:color w:val="auto"/>
              </w:rPr>
            </w:pPr>
          </w:p>
        </w:tc>
      </w:tr>
      <w:tr>
        <w:trPr>
          <w:trHeight w:val="216"/>
        </w:trPr>
        <w:tc>
          <w:tcPr>
            <w:tcW w:w="3440" w:type="dxa"/>
            <w:vAlign w:val="bottom"/>
            <w:shd w:val="clear" w:color="auto" w:fill="CCEEFF"/>
          </w:tcPr>
          <w:p>
            <w:pPr>
              <w:ind w:left="500"/>
              <w:spacing w:after="0"/>
              <w:rPr>
                <w:sz w:val="20"/>
                <w:szCs w:val="20"/>
                <w:color w:val="auto"/>
              </w:rPr>
            </w:pPr>
            <w:r>
              <w:rPr>
                <w:rFonts w:ascii="Arial" w:cs="Arial" w:eastAsia="Arial" w:hAnsi="Arial"/>
                <w:sz w:val="14"/>
                <w:szCs w:val="14"/>
                <w:color w:val="auto"/>
              </w:rPr>
              <w:t>Provision for income taxes</w:t>
            </w:r>
          </w:p>
        </w:tc>
        <w:tc>
          <w:tcPr>
            <w:tcW w:w="68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12</w:t>
            </w:r>
          </w:p>
        </w:tc>
        <w:tc>
          <w:tcPr>
            <w:tcW w:w="12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38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909</w:t>
            </w:r>
          </w:p>
        </w:tc>
        <w:tc>
          <w:tcPr>
            <w:tcW w:w="120" w:type="dxa"/>
            <w:vAlign w:val="bottom"/>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83</w:t>
            </w:r>
          </w:p>
        </w:tc>
        <w:tc>
          <w:tcPr>
            <w:tcW w:w="12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3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1,585</w:t>
            </w:r>
          </w:p>
        </w:tc>
        <w:tc>
          <w:tcPr>
            <w:tcW w:w="12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195</w:t>
            </w:r>
          </w:p>
        </w:tc>
        <w:tc>
          <w:tcPr>
            <w:tcW w:w="0" w:type="dxa"/>
            <w:vAlign w:val="bottom"/>
          </w:tcPr>
          <w:p>
            <w:pPr>
              <w:spacing w:after="0"/>
              <w:rPr>
                <w:sz w:val="1"/>
                <w:szCs w:val="1"/>
                <w:color w:val="auto"/>
              </w:rPr>
            </w:pPr>
          </w:p>
        </w:tc>
      </w:tr>
      <w:tr>
        <w:trPr>
          <w:trHeight w:val="210"/>
        </w:trPr>
        <w:tc>
          <w:tcPr>
            <w:tcW w:w="3440" w:type="dxa"/>
            <w:vAlign w:val="bottom"/>
            <w:tcBorders>
              <w:bottom w:val="single" w:sz="8" w:color="CCEEFF"/>
            </w:tcBorders>
          </w:tcPr>
          <w:p>
            <w:pPr>
              <w:ind w:left="500"/>
              <w:spacing w:after="0"/>
              <w:rPr>
                <w:sz w:val="20"/>
                <w:szCs w:val="20"/>
                <w:color w:val="auto"/>
              </w:rPr>
            </w:pPr>
            <w:r>
              <w:rPr>
                <w:rFonts w:ascii="Arial" w:cs="Arial" w:eastAsia="Arial" w:hAnsi="Arial"/>
                <w:sz w:val="14"/>
                <w:szCs w:val="14"/>
                <w:b w:val="1"/>
                <w:bCs w:val="1"/>
                <w:color w:val="auto"/>
              </w:rPr>
              <w:t>Net loss</w:t>
            </w:r>
          </w:p>
        </w:tc>
        <w:tc>
          <w:tcPr>
            <w:tcW w:w="68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(1,671)</w:t>
            </w:r>
          </w:p>
        </w:tc>
        <w:tc>
          <w:tcPr>
            <w:tcW w:w="12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(5,646)</w:t>
            </w:r>
          </w:p>
        </w:tc>
        <w:tc>
          <w:tcPr>
            <w:tcW w:w="12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(16,692)</w:t>
            </w:r>
          </w:p>
        </w:tc>
        <w:tc>
          <w:tcPr>
            <w:tcW w:w="12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(34,779)</w:t>
            </w:r>
          </w:p>
        </w:tc>
        <w:tc>
          <w:tcPr>
            <w:tcW w:w="0" w:type="dxa"/>
            <w:vAlign w:val="bottom"/>
          </w:tcPr>
          <w:p>
            <w:pPr>
              <w:spacing w:after="0"/>
              <w:rPr>
                <w:sz w:val="1"/>
                <w:szCs w:val="1"/>
                <w:color w:val="auto"/>
              </w:rPr>
            </w:pPr>
          </w:p>
        </w:tc>
      </w:tr>
      <w:tr>
        <w:trPr>
          <w:trHeight w:val="157"/>
        </w:trPr>
        <w:tc>
          <w:tcPr>
            <w:tcW w:w="3440" w:type="dxa"/>
            <w:vAlign w:val="bottom"/>
            <w:shd w:val="clear" w:color="auto" w:fill="CCEEFF"/>
          </w:tcPr>
          <w:p>
            <w:pPr>
              <w:ind w:left="440"/>
              <w:spacing w:after="0" w:line="157" w:lineRule="exact"/>
              <w:rPr>
                <w:sz w:val="20"/>
                <w:szCs w:val="20"/>
                <w:color w:val="auto"/>
              </w:rPr>
            </w:pPr>
            <w:r>
              <w:rPr>
                <w:rFonts w:ascii="Arial" w:cs="Arial" w:eastAsia="Arial" w:hAnsi="Arial"/>
                <w:sz w:val="14"/>
                <w:szCs w:val="14"/>
                <w:color w:val="auto"/>
              </w:rPr>
              <w:t>Less: Net loss attributable to non-controlling</w:t>
            </w:r>
          </w:p>
        </w:tc>
        <w:tc>
          <w:tcPr>
            <w:tcW w:w="6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138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(4,669)</w:t>
            </w:r>
          </w:p>
        </w:tc>
        <w:tc>
          <w:tcPr>
            <w:tcW w:w="12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3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340" w:type="dxa"/>
            <w:vAlign w:val="bottom"/>
            <w:vMerge w:val="restart"/>
            <w:shd w:val="clear" w:color="auto" w:fill="CCEEFF"/>
          </w:tcPr>
          <w:p>
            <w:pPr>
              <w:jc w:val="right"/>
              <w:spacing w:after="0"/>
              <w:rPr>
                <w:sz w:val="20"/>
                <w:szCs w:val="20"/>
                <w:color w:val="auto"/>
              </w:rPr>
            </w:pPr>
            <w:r>
              <w:rPr>
                <w:rFonts w:ascii="Arial" w:cs="Arial" w:eastAsia="Arial" w:hAnsi="Arial"/>
                <w:sz w:val="14"/>
                <w:szCs w:val="14"/>
                <w:b w:val="1"/>
                <w:bCs w:val="1"/>
                <w:color w:val="auto"/>
              </w:rPr>
              <w:t>(13,816)</w:t>
            </w:r>
          </w:p>
        </w:tc>
        <w:tc>
          <w:tcPr>
            <w:tcW w:w="12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3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01"/>
        </w:trPr>
        <w:tc>
          <w:tcPr>
            <w:tcW w:w="3440" w:type="dxa"/>
            <w:vAlign w:val="bottom"/>
            <w:shd w:val="clear" w:color="auto" w:fill="CCEEFF"/>
          </w:tcPr>
          <w:p>
            <w:pPr>
              <w:ind w:left="440"/>
              <w:spacing w:after="0"/>
              <w:rPr>
                <w:sz w:val="20"/>
                <w:szCs w:val="20"/>
                <w:color w:val="auto"/>
              </w:rPr>
            </w:pPr>
            <w:r>
              <w:rPr>
                <w:rFonts w:ascii="Arial" w:cs="Arial" w:eastAsia="Arial" w:hAnsi="Arial"/>
                <w:sz w:val="14"/>
                <w:szCs w:val="14"/>
                <w:color w:val="auto"/>
              </w:rPr>
              <w:t>interests in consolidated subsidiaries</w:t>
            </w:r>
          </w:p>
        </w:tc>
        <w:tc>
          <w:tcPr>
            <w:tcW w:w="6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60" w:type="dxa"/>
            <w:vAlign w:val="bottom"/>
            <w:tcBorders>
              <w:bottom w:val="single" w:sz="8" w:color="auto"/>
            </w:tcBorders>
            <w:shd w:val="clear" w:color="auto" w:fill="CCEEFF"/>
          </w:tcPr>
          <w:p>
            <w:pPr>
              <w:spacing w:after="0"/>
              <w:rPr>
                <w:sz w:val="17"/>
                <w:szCs w:val="17"/>
                <w:color w:val="auto"/>
              </w:rPr>
            </w:pPr>
          </w:p>
        </w:tc>
        <w:tc>
          <w:tcPr>
            <w:tcW w:w="1380" w:type="dxa"/>
            <w:vAlign w:val="bottom"/>
            <w:tcBorders>
              <w:bottom w:val="single" w:sz="8" w:color="auto"/>
            </w:tcBorders>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0" w:type="dxa"/>
            <w:vAlign w:val="bottom"/>
            <w:tcBorders>
              <w:bottom w:val="single" w:sz="8" w:color="auto"/>
            </w:tcBorders>
            <w:shd w:val="clear" w:color="auto" w:fill="CCEEFF"/>
          </w:tcPr>
          <w:p>
            <w:pPr>
              <w:spacing w:after="0"/>
              <w:rPr>
                <w:sz w:val="17"/>
                <w:szCs w:val="17"/>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(4,370)</w:t>
            </w:r>
          </w:p>
        </w:tc>
        <w:tc>
          <w:tcPr>
            <w:tcW w:w="120" w:type="dxa"/>
            <w:vAlign w:val="bottom"/>
            <w:shd w:val="clear" w:color="auto" w:fill="CCEEFF"/>
          </w:tcPr>
          <w:p>
            <w:pPr>
              <w:spacing w:after="0"/>
              <w:rPr>
                <w:sz w:val="17"/>
                <w:szCs w:val="17"/>
                <w:color w:val="auto"/>
              </w:rPr>
            </w:pPr>
          </w:p>
        </w:tc>
        <w:tc>
          <w:tcPr>
            <w:tcW w:w="340" w:type="dxa"/>
            <w:vAlign w:val="bottom"/>
            <w:tcBorders>
              <w:bottom w:val="single" w:sz="8" w:color="auto"/>
            </w:tcBorders>
            <w:shd w:val="clear" w:color="auto" w:fill="CCEEFF"/>
          </w:tcPr>
          <w:p>
            <w:pPr>
              <w:spacing w:after="0"/>
              <w:rPr>
                <w:sz w:val="17"/>
                <w:szCs w:val="17"/>
                <w:color w:val="auto"/>
              </w:rPr>
            </w:pPr>
          </w:p>
        </w:tc>
        <w:tc>
          <w:tcPr>
            <w:tcW w:w="1340" w:type="dxa"/>
            <w:vAlign w:val="bottom"/>
            <w:tcBorders>
              <w:bottom w:val="single" w:sz="8" w:color="auto"/>
            </w:tcBorders>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80" w:type="dxa"/>
            <w:vAlign w:val="bottom"/>
            <w:tcBorders>
              <w:bottom w:val="single" w:sz="8" w:color="auto"/>
            </w:tcBorders>
            <w:shd w:val="clear" w:color="auto" w:fill="CCEEFF"/>
          </w:tcPr>
          <w:p>
            <w:pPr>
              <w:spacing w:after="0"/>
              <w:rPr>
                <w:sz w:val="17"/>
                <w:szCs w:val="17"/>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(16,528)</w:t>
            </w:r>
          </w:p>
        </w:tc>
        <w:tc>
          <w:tcPr>
            <w:tcW w:w="0" w:type="dxa"/>
            <w:vAlign w:val="bottom"/>
          </w:tcPr>
          <w:p>
            <w:pPr>
              <w:spacing w:after="0"/>
              <w:rPr>
                <w:sz w:val="1"/>
                <w:szCs w:val="1"/>
                <w:color w:val="auto"/>
              </w:rPr>
            </w:pPr>
          </w:p>
        </w:tc>
      </w:tr>
      <w:tr>
        <w:trPr>
          <w:trHeight w:val="251"/>
        </w:trPr>
        <w:tc>
          <w:tcPr>
            <w:tcW w:w="3440" w:type="dxa"/>
            <w:vAlign w:val="bottom"/>
          </w:tcPr>
          <w:p>
            <w:pPr>
              <w:ind w:left="40"/>
              <w:spacing w:after="0"/>
              <w:rPr>
                <w:sz w:val="20"/>
                <w:szCs w:val="20"/>
                <w:color w:val="auto"/>
              </w:rPr>
            </w:pPr>
            <w:r>
              <w:rPr>
                <w:rFonts w:ascii="Arial" w:cs="Arial" w:eastAsia="Arial" w:hAnsi="Arial"/>
                <w:sz w:val="14"/>
                <w:szCs w:val="14"/>
                <w:b w:val="1"/>
                <w:bCs w:val="1"/>
                <w:color w:val="auto"/>
              </w:rPr>
              <w:t>Net income (loss) attributable to shareholders</w:t>
            </w:r>
          </w:p>
        </w:tc>
        <w:tc>
          <w:tcPr>
            <w:tcW w:w="1160" w:type="dxa"/>
            <w:vAlign w:val="bottom"/>
            <w:gridSpan w:val="3"/>
          </w:tcPr>
          <w:p>
            <w:pPr>
              <w:jc w:val="right"/>
              <w:ind w:right="240"/>
              <w:spacing w:after="0"/>
              <w:rPr>
                <w:sz w:val="20"/>
                <w:szCs w:val="20"/>
                <w:color w:val="auto"/>
              </w:rPr>
            </w:pPr>
            <w:r>
              <w:rPr>
                <w:rFonts w:ascii="Arial" w:cs="Arial" w:eastAsia="Arial" w:hAnsi="Arial"/>
                <w:sz w:val="14"/>
                <w:szCs w:val="14"/>
                <w:b w:val="1"/>
                <w:bCs w:val="1"/>
                <w:color w:val="auto"/>
              </w:rPr>
              <w:t>$</w:t>
            </w:r>
          </w:p>
        </w:tc>
        <w:tc>
          <w:tcPr>
            <w:tcW w:w="1380" w:type="dxa"/>
            <w:vAlign w:val="bottom"/>
          </w:tcPr>
          <w:p>
            <w:pPr>
              <w:jc w:val="right"/>
              <w:ind w:right="48"/>
              <w:spacing w:after="0"/>
              <w:rPr>
                <w:sz w:val="20"/>
                <w:szCs w:val="20"/>
                <w:color w:val="auto"/>
              </w:rPr>
            </w:pPr>
            <w:r>
              <w:rPr>
                <w:rFonts w:ascii="Arial" w:cs="Arial" w:eastAsia="Arial" w:hAnsi="Arial"/>
                <w:sz w:val="14"/>
                <w:szCs w:val="14"/>
                <w:b w:val="1"/>
                <w:bCs w:val="1"/>
                <w:color w:val="auto"/>
              </w:rPr>
              <w:t>2,998</w:t>
            </w:r>
          </w:p>
        </w:tc>
        <w:tc>
          <w:tcPr>
            <w:tcW w:w="120" w:type="dxa"/>
            <w:vAlign w:val="bottom"/>
          </w:tcPr>
          <w:p>
            <w:pPr>
              <w:spacing w:after="0"/>
              <w:rPr>
                <w:sz w:val="21"/>
                <w:szCs w:val="21"/>
                <w:color w:val="auto"/>
              </w:rPr>
            </w:pPr>
          </w:p>
        </w:tc>
        <w:tc>
          <w:tcPr>
            <w:tcW w:w="400" w:type="dxa"/>
            <w:vAlign w:val="bottom"/>
          </w:tcPr>
          <w:p>
            <w:pPr>
              <w:jc w:val="right"/>
              <w:ind w:right="228"/>
              <w:spacing w:after="0"/>
              <w:rPr>
                <w:sz w:val="20"/>
                <w:szCs w:val="20"/>
                <w:color w:val="auto"/>
              </w:rPr>
            </w:pPr>
            <w:r>
              <w:rPr>
                <w:rFonts w:ascii="Arial" w:cs="Arial" w:eastAsia="Arial" w:hAnsi="Arial"/>
                <w:sz w:val="14"/>
                <w:szCs w:val="14"/>
                <w:color w:val="auto"/>
              </w:rPr>
              <w:t>$</w:t>
            </w:r>
          </w:p>
        </w:tc>
        <w:tc>
          <w:tcPr>
            <w:tcW w:w="1320" w:type="dxa"/>
            <w:vAlign w:val="bottom"/>
          </w:tcPr>
          <w:p>
            <w:pPr>
              <w:jc w:val="right"/>
              <w:spacing w:after="0"/>
              <w:rPr>
                <w:sz w:val="20"/>
                <w:szCs w:val="20"/>
                <w:color w:val="auto"/>
              </w:rPr>
            </w:pPr>
            <w:r>
              <w:rPr>
                <w:rFonts w:ascii="Arial" w:cs="Arial" w:eastAsia="Arial" w:hAnsi="Arial"/>
                <w:sz w:val="14"/>
                <w:szCs w:val="14"/>
                <w:color w:val="auto"/>
              </w:rPr>
              <w:t>(1,276)</w:t>
            </w:r>
          </w:p>
        </w:tc>
        <w:tc>
          <w:tcPr>
            <w:tcW w:w="120" w:type="dxa"/>
            <w:vAlign w:val="bottom"/>
          </w:tcPr>
          <w:p>
            <w:pPr>
              <w:spacing w:after="0"/>
              <w:rPr>
                <w:sz w:val="21"/>
                <w:szCs w:val="21"/>
                <w:color w:val="auto"/>
              </w:rPr>
            </w:pPr>
          </w:p>
        </w:tc>
        <w:tc>
          <w:tcPr>
            <w:tcW w:w="340" w:type="dxa"/>
            <w:vAlign w:val="bottom"/>
          </w:tcPr>
          <w:p>
            <w:pPr>
              <w:jc w:val="right"/>
              <w:ind w:right="168"/>
              <w:spacing w:after="0"/>
              <w:rPr>
                <w:sz w:val="20"/>
                <w:szCs w:val="20"/>
                <w:color w:val="auto"/>
              </w:rPr>
            </w:pPr>
            <w:r>
              <w:rPr>
                <w:rFonts w:ascii="Arial" w:cs="Arial" w:eastAsia="Arial" w:hAnsi="Arial"/>
                <w:sz w:val="14"/>
                <w:szCs w:val="14"/>
                <w:b w:val="1"/>
                <w:bCs w:val="1"/>
                <w:color w:val="auto"/>
              </w:rPr>
              <w:t>$</w:t>
            </w:r>
          </w:p>
        </w:tc>
        <w:tc>
          <w:tcPr>
            <w:tcW w:w="1340" w:type="dxa"/>
            <w:vAlign w:val="bottom"/>
          </w:tcPr>
          <w:p>
            <w:pPr>
              <w:jc w:val="right"/>
              <w:spacing w:after="0"/>
              <w:rPr>
                <w:sz w:val="20"/>
                <w:szCs w:val="20"/>
                <w:color w:val="auto"/>
              </w:rPr>
            </w:pPr>
            <w:r>
              <w:rPr>
                <w:rFonts w:ascii="Arial" w:cs="Arial" w:eastAsia="Arial" w:hAnsi="Arial"/>
                <w:sz w:val="14"/>
                <w:szCs w:val="14"/>
                <w:b w:val="1"/>
                <w:bCs w:val="1"/>
                <w:color w:val="auto"/>
              </w:rPr>
              <w:t>(2,876)</w:t>
            </w:r>
          </w:p>
        </w:tc>
        <w:tc>
          <w:tcPr>
            <w:tcW w:w="120" w:type="dxa"/>
            <w:vAlign w:val="bottom"/>
          </w:tcPr>
          <w:p>
            <w:pPr>
              <w:spacing w:after="0"/>
              <w:rPr>
                <w:sz w:val="21"/>
                <w:szCs w:val="21"/>
                <w:color w:val="auto"/>
              </w:rPr>
            </w:pPr>
          </w:p>
        </w:tc>
        <w:tc>
          <w:tcPr>
            <w:tcW w:w="380" w:type="dxa"/>
            <w:vAlign w:val="bottom"/>
          </w:tcPr>
          <w:p>
            <w:pPr>
              <w:jc w:val="right"/>
              <w:ind w:right="208"/>
              <w:spacing w:after="0"/>
              <w:rPr>
                <w:sz w:val="20"/>
                <w:szCs w:val="20"/>
                <w:color w:val="auto"/>
              </w:rPr>
            </w:pPr>
            <w:r>
              <w:rPr>
                <w:rFonts w:ascii="Arial" w:cs="Arial" w:eastAsia="Arial" w:hAnsi="Arial"/>
                <w:sz w:val="14"/>
                <w:szCs w:val="14"/>
                <w:color w:val="auto"/>
              </w:rPr>
              <w:t>$</w:t>
            </w:r>
          </w:p>
        </w:tc>
        <w:tc>
          <w:tcPr>
            <w:tcW w:w="1300" w:type="dxa"/>
            <w:vAlign w:val="bottom"/>
          </w:tcPr>
          <w:p>
            <w:pPr>
              <w:jc w:val="right"/>
              <w:spacing w:after="0"/>
              <w:rPr>
                <w:sz w:val="20"/>
                <w:szCs w:val="20"/>
                <w:color w:val="auto"/>
              </w:rPr>
            </w:pPr>
            <w:r>
              <w:rPr>
                <w:rFonts w:ascii="Arial" w:cs="Arial" w:eastAsia="Arial" w:hAnsi="Arial"/>
                <w:sz w:val="14"/>
                <w:szCs w:val="14"/>
                <w:color w:val="auto"/>
              </w:rPr>
              <w:t>(18,251)</w:t>
            </w:r>
          </w:p>
        </w:tc>
        <w:tc>
          <w:tcPr>
            <w:tcW w:w="0" w:type="dxa"/>
            <w:vAlign w:val="bottom"/>
          </w:tcPr>
          <w:p>
            <w:pPr>
              <w:spacing w:after="0"/>
              <w:rPr>
                <w:sz w:val="1"/>
                <w:szCs w:val="1"/>
                <w:color w:val="auto"/>
              </w:rPr>
            </w:pPr>
          </w:p>
        </w:tc>
      </w:tr>
      <w:tr>
        <w:trPr>
          <w:trHeight w:val="197"/>
        </w:trPr>
        <w:tc>
          <w:tcPr>
            <w:tcW w:w="3440" w:type="dxa"/>
            <w:vAlign w:val="bottom"/>
            <w:tcBorders>
              <w:top w:val="single" w:sz="8" w:color="CCEEFF"/>
            </w:tcBorders>
            <w:shd w:val="clear" w:color="auto" w:fill="CCEEFF"/>
          </w:tcPr>
          <w:p>
            <w:pPr>
              <w:spacing w:after="0"/>
              <w:rPr>
                <w:sz w:val="17"/>
                <w:szCs w:val="17"/>
                <w:color w:val="auto"/>
              </w:rPr>
            </w:pPr>
          </w:p>
        </w:tc>
        <w:tc>
          <w:tcPr>
            <w:tcW w:w="6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360" w:type="dxa"/>
            <w:vAlign w:val="bottom"/>
            <w:tcBorders>
              <w:top w:val="single" w:sz="8" w:color="auto"/>
            </w:tcBorders>
            <w:shd w:val="clear" w:color="auto" w:fill="CCEEFF"/>
          </w:tcPr>
          <w:p>
            <w:pPr>
              <w:spacing w:after="0"/>
              <w:rPr>
                <w:sz w:val="17"/>
                <w:szCs w:val="17"/>
                <w:color w:val="auto"/>
              </w:rPr>
            </w:pPr>
          </w:p>
        </w:tc>
        <w:tc>
          <w:tcPr>
            <w:tcW w:w="138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400" w:type="dxa"/>
            <w:vAlign w:val="bottom"/>
            <w:tcBorders>
              <w:top w:val="single" w:sz="8" w:color="auto"/>
            </w:tcBorders>
            <w:shd w:val="clear" w:color="auto" w:fill="CCEEFF"/>
          </w:tcPr>
          <w:p>
            <w:pPr>
              <w:spacing w:after="0"/>
              <w:rPr>
                <w:sz w:val="17"/>
                <w:szCs w:val="17"/>
                <w:color w:val="auto"/>
              </w:rPr>
            </w:pPr>
          </w:p>
        </w:tc>
        <w:tc>
          <w:tcPr>
            <w:tcW w:w="132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340" w:type="dxa"/>
            <w:vAlign w:val="bottom"/>
            <w:tcBorders>
              <w:top w:val="single" w:sz="8" w:color="auto"/>
            </w:tcBorders>
            <w:shd w:val="clear" w:color="auto" w:fill="CCEEFF"/>
          </w:tcPr>
          <w:p>
            <w:pPr>
              <w:spacing w:after="0"/>
              <w:rPr>
                <w:sz w:val="17"/>
                <w:szCs w:val="17"/>
                <w:color w:val="auto"/>
              </w:rPr>
            </w:pPr>
          </w:p>
        </w:tc>
        <w:tc>
          <w:tcPr>
            <w:tcW w:w="134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380" w:type="dxa"/>
            <w:vAlign w:val="bottom"/>
            <w:tcBorders>
              <w:top w:val="single" w:sz="8" w:color="auto"/>
            </w:tcBorders>
            <w:shd w:val="clear" w:color="auto" w:fill="CCEEFF"/>
          </w:tcPr>
          <w:p>
            <w:pPr>
              <w:spacing w:after="0"/>
              <w:rPr>
                <w:sz w:val="17"/>
                <w:szCs w:val="17"/>
                <w:color w:val="auto"/>
              </w:rPr>
            </w:pPr>
          </w:p>
        </w:tc>
        <w:tc>
          <w:tcPr>
            <w:tcW w:w="130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69"/>
        </w:trPr>
        <w:tc>
          <w:tcPr>
            <w:tcW w:w="3440" w:type="dxa"/>
            <w:vAlign w:val="bottom"/>
          </w:tcPr>
          <w:p>
            <w:pPr>
              <w:ind w:left="40"/>
              <w:spacing w:after="0"/>
              <w:rPr>
                <w:sz w:val="20"/>
                <w:szCs w:val="20"/>
                <w:color w:val="auto"/>
              </w:rPr>
            </w:pPr>
            <w:r>
              <w:rPr>
                <w:rFonts w:ascii="Arial" w:cs="Arial" w:eastAsia="Arial" w:hAnsi="Arial"/>
                <w:sz w:val="14"/>
                <w:szCs w:val="14"/>
                <w:b w:val="1"/>
                <w:bCs w:val="1"/>
                <w:color w:val="auto"/>
              </w:rPr>
              <w:t>Earnings/(loss) per share</w:t>
            </w:r>
          </w:p>
        </w:tc>
        <w:tc>
          <w:tcPr>
            <w:tcW w:w="680" w:type="dxa"/>
            <w:vAlign w:val="bottom"/>
          </w:tcPr>
          <w:p>
            <w:pPr>
              <w:jc w:val="center"/>
              <w:spacing w:after="0"/>
              <w:rPr>
                <w:sz w:val="20"/>
                <w:szCs w:val="20"/>
                <w:color w:val="auto"/>
              </w:rPr>
            </w:pPr>
            <w:r>
              <w:rPr>
                <w:rFonts w:ascii="Arial" w:cs="Arial" w:eastAsia="Arial" w:hAnsi="Arial"/>
                <w:sz w:val="14"/>
                <w:szCs w:val="14"/>
                <w:color w:val="auto"/>
              </w:rPr>
              <w:t>15</w:t>
            </w:r>
          </w:p>
        </w:tc>
        <w:tc>
          <w:tcPr>
            <w:tcW w:w="1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3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3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3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3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1"/>
        </w:trPr>
        <w:tc>
          <w:tcPr>
            <w:tcW w:w="3440" w:type="dxa"/>
            <w:vAlign w:val="bottom"/>
            <w:shd w:val="clear" w:color="auto" w:fill="CCEEFF"/>
          </w:tcPr>
          <w:p>
            <w:pPr>
              <w:ind w:left="500"/>
              <w:spacing w:after="0"/>
              <w:rPr>
                <w:sz w:val="20"/>
                <w:szCs w:val="20"/>
                <w:color w:val="auto"/>
              </w:rPr>
            </w:pPr>
            <w:r>
              <w:rPr>
                <w:rFonts w:ascii="Arial" w:cs="Arial" w:eastAsia="Arial" w:hAnsi="Arial"/>
                <w:sz w:val="14"/>
                <w:szCs w:val="14"/>
                <w:b w:val="1"/>
                <w:bCs w:val="1"/>
                <w:color w:val="auto"/>
              </w:rPr>
              <w:t>Basic</w:t>
            </w:r>
          </w:p>
        </w:tc>
        <w:tc>
          <w:tcPr>
            <w:tcW w:w="1160" w:type="dxa"/>
            <w:vAlign w:val="bottom"/>
            <w:gridSpan w:val="3"/>
            <w:shd w:val="clear" w:color="auto" w:fill="CCEEFF"/>
          </w:tcPr>
          <w:p>
            <w:pPr>
              <w:jc w:val="right"/>
              <w:ind w:right="240"/>
              <w:spacing w:after="0"/>
              <w:rPr>
                <w:sz w:val="20"/>
                <w:szCs w:val="20"/>
                <w:color w:val="auto"/>
              </w:rPr>
            </w:pPr>
            <w:r>
              <w:rPr>
                <w:rFonts w:ascii="Arial" w:cs="Arial" w:eastAsia="Arial" w:hAnsi="Arial"/>
                <w:sz w:val="14"/>
                <w:szCs w:val="14"/>
                <w:b w:val="1"/>
                <w:bCs w:val="1"/>
                <w:color w:val="auto"/>
              </w:rPr>
              <w:t>$</w:t>
            </w:r>
          </w:p>
        </w:tc>
        <w:tc>
          <w:tcPr>
            <w:tcW w:w="138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0.04</w:t>
            </w:r>
          </w:p>
        </w:tc>
        <w:tc>
          <w:tcPr>
            <w:tcW w:w="120" w:type="dxa"/>
            <w:vAlign w:val="bottom"/>
            <w:shd w:val="clear" w:color="auto" w:fill="CCEEFF"/>
          </w:tcPr>
          <w:p>
            <w:pPr>
              <w:spacing w:after="0"/>
              <w:rPr>
                <w:sz w:val="23"/>
                <w:szCs w:val="23"/>
                <w:color w:val="auto"/>
              </w:rPr>
            </w:pPr>
          </w:p>
        </w:tc>
        <w:tc>
          <w:tcPr>
            <w:tcW w:w="400" w:type="dxa"/>
            <w:vAlign w:val="bottom"/>
            <w:shd w:val="clear" w:color="auto" w:fill="CCEEFF"/>
          </w:tcPr>
          <w:p>
            <w:pPr>
              <w:jc w:val="right"/>
              <w:ind w:right="228"/>
              <w:spacing w:after="0"/>
              <w:rPr>
                <w:sz w:val="20"/>
                <w:szCs w:val="20"/>
                <w:color w:val="auto"/>
              </w:rPr>
            </w:pPr>
            <w:r>
              <w:rPr>
                <w:rFonts w:ascii="Arial" w:cs="Arial" w:eastAsia="Arial" w:hAnsi="Arial"/>
                <w:sz w:val="14"/>
                <w:szCs w:val="14"/>
                <w:b w:val="1"/>
                <w:bCs w:val="1"/>
                <w:color w:val="auto"/>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(0.02)</w:t>
            </w:r>
          </w:p>
        </w:tc>
        <w:tc>
          <w:tcPr>
            <w:tcW w:w="120" w:type="dxa"/>
            <w:vAlign w:val="bottom"/>
            <w:shd w:val="clear" w:color="auto" w:fill="CCEEFF"/>
          </w:tcPr>
          <w:p>
            <w:pPr>
              <w:spacing w:after="0"/>
              <w:rPr>
                <w:sz w:val="23"/>
                <w:szCs w:val="23"/>
                <w:color w:val="auto"/>
              </w:rPr>
            </w:pPr>
          </w:p>
        </w:tc>
        <w:tc>
          <w:tcPr>
            <w:tcW w:w="340" w:type="dxa"/>
            <w:vAlign w:val="bottom"/>
            <w:shd w:val="clear" w:color="auto" w:fill="CCEEFF"/>
          </w:tcPr>
          <w:p>
            <w:pPr>
              <w:jc w:val="right"/>
              <w:ind w:right="168"/>
              <w:spacing w:after="0"/>
              <w:rPr>
                <w:sz w:val="20"/>
                <w:szCs w:val="20"/>
                <w:color w:val="auto"/>
              </w:rPr>
            </w:pPr>
            <w:r>
              <w:rPr>
                <w:rFonts w:ascii="Arial" w:cs="Arial" w:eastAsia="Arial" w:hAnsi="Arial"/>
                <w:sz w:val="14"/>
                <w:szCs w:val="14"/>
                <w:b w:val="1"/>
                <w:bCs w:val="1"/>
                <w:color w:val="auto"/>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(0.04)</w:t>
            </w:r>
          </w:p>
        </w:tc>
        <w:tc>
          <w:tcPr>
            <w:tcW w:w="120" w:type="dxa"/>
            <w:vAlign w:val="bottom"/>
            <w:shd w:val="clear" w:color="auto" w:fill="CCEEFF"/>
          </w:tcPr>
          <w:p>
            <w:pPr>
              <w:spacing w:after="0"/>
              <w:rPr>
                <w:sz w:val="23"/>
                <w:szCs w:val="23"/>
                <w:color w:val="auto"/>
              </w:rPr>
            </w:pPr>
          </w:p>
        </w:tc>
        <w:tc>
          <w:tcPr>
            <w:tcW w:w="380" w:type="dxa"/>
            <w:vAlign w:val="bottom"/>
            <w:shd w:val="clear" w:color="auto" w:fill="CCEEFF"/>
          </w:tcPr>
          <w:p>
            <w:pPr>
              <w:jc w:val="right"/>
              <w:ind w:right="208"/>
              <w:spacing w:after="0"/>
              <w:rPr>
                <w:sz w:val="20"/>
                <w:szCs w:val="20"/>
                <w:color w:val="auto"/>
              </w:rPr>
            </w:pPr>
            <w:r>
              <w:rPr>
                <w:rFonts w:ascii="Arial" w:cs="Arial" w:eastAsia="Arial" w:hAnsi="Arial"/>
                <w:sz w:val="14"/>
                <w:szCs w:val="14"/>
                <w:color w:val="auto"/>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(0.24)</w:t>
            </w:r>
          </w:p>
        </w:tc>
        <w:tc>
          <w:tcPr>
            <w:tcW w:w="0" w:type="dxa"/>
            <w:vAlign w:val="bottom"/>
          </w:tcPr>
          <w:p>
            <w:pPr>
              <w:spacing w:after="0"/>
              <w:rPr>
                <w:sz w:val="1"/>
                <w:szCs w:val="1"/>
                <w:color w:val="auto"/>
              </w:rPr>
            </w:pPr>
          </w:p>
        </w:tc>
      </w:tr>
      <w:tr>
        <w:trPr>
          <w:trHeight w:val="269"/>
        </w:trPr>
        <w:tc>
          <w:tcPr>
            <w:tcW w:w="3440" w:type="dxa"/>
            <w:vAlign w:val="bottom"/>
          </w:tcPr>
          <w:p>
            <w:pPr>
              <w:ind w:left="500"/>
              <w:spacing w:after="0"/>
              <w:rPr>
                <w:sz w:val="20"/>
                <w:szCs w:val="20"/>
                <w:color w:val="auto"/>
              </w:rPr>
            </w:pPr>
            <w:r>
              <w:rPr>
                <w:rFonts w:ascii="Arial" w:cs="Arial" w:eastAsia="Arial" w:hAnsi="Arial"/>
                <w:sz w:val="14"/>
                <w:szCs w:val="14"/>
                <w:b w:val="1"/>
                <w:bCs w:val="1"/>
                <w:color w:val="auto"/>
              </w:rPr>
              <w:t>Diluted</w:t>
            </w:r>
          </w:p>
        </w:tc>
        <w:tc>
          <w:tcPr>
            <w:tcW w:w="1160" w:type="dxa"/>
            <w:vAlign w:val="bottom"/>
            <w:gridSpan w:val="3"/>
          </w:tcPr>
          <w:p>
            <w:pPr>
              <w:jc w:val="right"/>
              <w:ind w:right="240"/>
              <w:spacing w:after="0"/>
              <w:rPr>
                <w:sz w:val="20"/>
                <w:szCs w:val="20"/>
                <w:color w:val="auto"/>
              </w:rPr>
            </w:pPr>
            <w:r>
              <w:rPr>
                <w:rFonts w:ascii="Arial" w:cs="Arial" w:eastAsia="Arial" w:hAnsi="Arial"/>
                <w:sz w:val="14"/>
                <w:szCs w:val="14"/>
                <w:b w:val="1"/>
                <w:bCs w:val="1"/>
                <w:color w:val="auto"/>
              </w:rPr>
              <w:t>$</w:t>
            </w:r>
          </w:p>
        </w:tc>
        <w:tc>
          <w:tcPr>
            <w:tcW w:w="1380" w:type="dxa"/>
            <w:vAlign w:val="bottom"/>
          </w:tcPr>
          <w:p>
            <w:pPr>
              <w:jc w:val="right"/>
              <w:ind w:right="48"/>
              <w:spacing w:after="0"/>
              <w:rPr>
                <w:sz w:val="20"/>
                <w:szCs w:val="20"/>
                <w:color w:val="auto"/>
              </w:rPr>
            </w:pPr>
            <w:r>
              <w:rPr>
                <w:rFonts w:ascii="Arial" w:cs="Arial" w:eastAsia="Arial" w:hAnsi="Arial"/>
                <w:sz w:val="14"/>
                <w:szCs w:val="14"/>
                <w:b w:val="1"/>
                <w:bCs w:val="1"/>
                <w:color w:val="auto"/>
              </w:rPr>
              <w:t>0.04</w:t>
            </w:r>
          </w:p>
        </w:tc>
        <w:tc>
          <w:tcPr>
            <w:tcW w:w="120" w:type="dxa"/>
            <w:vAlign w:val="bottom"/>
          </w:tcPr>
          <w:p>
            <w:pPr>
              <w:spacing w:after="0"/>
              <w:rPr>
                <w:sz w:val="23"/>
                <w:szCs w:val="23"/>
                <w:color w:val="auto"/>
              </w:rPr>
            </w:pPr>
          </w:p>
        </w:tc>
        <w:tc>
          <w:tcPr>
            <w:tcW w:w="400" w:type="dxa"/>
            <w:vAlign w:val="bottom"/>
          </w:tcPr>
          <w:p>
            <w:pPr>
              <w:jc w:val="right"/>
              <w:ind w:right="228"/>
              <w:spacing w:after="0"/>
              <w:rPr>
                <w:sz w:val="20"/>
                <w:szCs w:val="20"/>
                <w:color w:val="auto"/>
              </w:rPr>
            </w:pPr>
            <w:r>
              <w:rPr>
                <w:rFonts w:ascii="Arial" w:cs="Arial" w:eastAsia="Arial" w:hAnsi="Arial"/>
                <w:sz w:val="14"/>
                <w:szCs w:val="14"/>
                <w:b w:val="1"/>
                <w:bCs w:val="1"/>
                <w:color w:val="auto"/>
              </w:rPr>
              <w:t>$</w:t>
            </w:r>
          </w:p>
        </w:tc>
        <w:tc>
          <w:tcPr>
            <w:tcW w:w="1320" w:type="dxa"/>
            <w:vAlign w:val="bottom"/>
          </w:tcPr>
          <w:p>
            <w:pPr>
              <w:jc w:val="right"/>
              <w:spacing w:after="0"/>
              <w:rPr>
                <w:sz w:val="20"/>
                <w:szCs w:val="20"/>
                <w:color w:val="auto"/>
              </w:rPr>
            </w:pPr>
            <w:r>
              <w:rPr>
                <w:rFonts w:ascii="Arial" w:cs="Arial" w:eastAsia="Arial" w:hAnsi="Arial"/>
                <w:sz w:val="14"/>
                <w:szCs w:val="14"/>
                <w:b w:val="1"/>
                <w:bCs w:val="1"/>
                <w:color w:val="auto"/>
              </w:rPr>
              <w:t>(0.02)</w:t>
            </w:r>
          </w:p>
        </w:tc>
        <w:tc>
          <w:tcPr>
            <w:tcW w:w="120" w:type="dxa"/>
            <w:vAlign w:val="bottom"/>
          </w:tcPr>
          <w:p>
            <w:pPr>
              <w:spacing w:after="0"/>
              <w:rPr>
                <w:sz w:val="23"/>
                <w:szCs w:val="23"/>
                <w:color w:val="auto"/>
              </w:rPr>
            </w:pPr>
          </w:p>
        </w:tc>
        <w:tc>
          <w:tcPr>
            <w:tcW w:w="340" w:type="dxa"/>
            <w:vAlign w:val="bottom"/>
          </w:tcPr>
          <w:p>
            <w:pPr>
              <w:jc w:val="right"/>
              <w:ind w:right="168"/>
              <w:spacing w:after="0"/>
              <w:rPr>
                <w:sz w:val="20"/>
                <w:szCs w:val="20"/>
                <w:color w:val="auto"/>
              </w:rPr>
            </w:pPr>
            <w:r>
              <w:rPr>
                <w:rFonts w:ascii="Arial" w:cs="Arial" w:eastAsia="Arial" w:hAnsi="Arial"/>
                <w:sz w:val="14"/>
                <w:szCs w:val="14"/>
                <w:b w:val="1"/>
                <w:bCs w:val="1"/>
                <w:color w:val="auto"/>
              </w:rPr>
              <w:t>$</w:t>
            </w:r>
          </w:p>
        </w:tc>
        <w:tc>
          <w:tcPr>
            <w:tcW w:w="1340" w:type="dxa"/>
            <w:vAlign w:val="bottom"/>
          </w:tcPr>
          <w:p>
            <w:pPr>
              <w:jc w:val="right"/>
              <w:spacing w:after="0"/>
              <w:rPr>
                <w:sz w:val="20"/>
                <w:szCs w:val="20"/>
                <w:color w:val="auto"/>
              </w:rPr>
            </w:pPr>
            <w:r>
              <w:rPr>
                <w:rFonts w:ascii="Arial" w:cs="Arial" w:eastAsia="Arial" w:hAnsi="Arial"/>
                <w:sz w:val="14"/>
                <w:szCs w:val="14"/>
                <w:b w:val="1"/>
                <w:bCs w:val="1"/>
                <w:color w:val="auto"/>
              </w:rPr>
              <w:t>(0.04)</w:t>
            </w:r>
          </w:p>
        </w:tc>
        <w:tc>
          <w:tcPr>
            <w:tcW w:w="120" w:type="dxa"/>
            <w:vAlign w:val="bottom"/>
          </w:tcPr>
          <w:p>
            <w:pPr>
              <w:spacing w:after="0"/>
              <w:rPr>
                <w:sz w:val="23"/>
                <w:szCs w:val="23"/>
                <w:color w:val="auto"/>
              </w:rPr>
            </w:pPr>
          </w:p>
        </w:tc>
        <w:tc>
          <w:tcPr>
            <w:tcW w:w="380" w:type="dxa"/>
            <w:vAlign w:val="bottom"/>
          </w:tcPr>
          <w:p>
            <w:pPr>
              <w:jc w:val="right"/>
              <w:ind w:right="208"/>
              <w:spacing w:after="0"/>
              <w:rPr>
                <w:sz w:val="20"/>
                <w:szCs w:val="20"/>
                <w:color w:val="auto"/>
              </w:rPr>
            </w:pPr>
            <w:r>
              <w:rPr>
                <w:rFonts w:ascii="Arial" w:cs="Arial" w:eastAsia="Arial" w:hAnsi="Arial"/>
                <w:sz w:val="14"/>
                <w:szCs w:val="14"/>
                <w:color w:val="auto"/>
              </w:rPr>
              <w:t>$</w:t>
            </w:r>
          </w:p>
        </w:tc>
        <w:tc>
          <w:tcPr>
            <w:tcW w:w="1300" w:type="dxa"/>
            <w:vAlign w:val="bottom"/>
          </w:tcPr>
          <w:p>
            <w:pPr>
              <w:jc w:val="right"/>
              <w:spacing w:after="0"/>
              <w:rPr>
                <w:sz w:val="20"/>
                <w:szCs w:val="20"/>
                <w:color w:val="auto"/>
              </w:rPr>
            </w:pPr>
            <w:r>
              <w:rPr>
                <w:rFonts w:ascii="Arial" w:cs="Arial" w:eastAsia="Arial" w:hAnsi="Arial"/>
                <w:sz w:val="14"/>
                <w:szCs w:val="14"/>
                <w:color w:val="auto"/>
              </w:rPr>
              <w:t>(0.24)</w:t>
            </w:r>
          </w:p>
        </w:tc>
        <w:tc>
          <w:tcPr>
            <w:tcW w:w="0" w:type="dxa"/>
            <w:vAlign w:val="bottom"/>
          </w:tcPr>
          <w:p>
            <w:pPr>
              <w:spacing w:after="0"/>
              <w:rPr>
                <w:sz w:val="1"/>
                <w:szCs w:val="1"/>
                <w:color w:val="auto"/>
              </w:rPr>
            </w:pPr>
          </w:p>
        </w:tc>
      </w:tr>
      <w:tr>
        <w:trPr>
          <w:trHeight w:val="177"/>
        </w:trPr>
        <w:tc>
          <w:tcPr>
            <w:tcW w:w="344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3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3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3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3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69"/>
        </w:trPr>
        <w:tc>
          <w:tcPr>
            <w:tcW w:w="3440" w:type="dxa"/>
            <w:vAlign w:val="bottom"/>
          </w:tcPr>
          <w:p>
            <w:pPr>
              <w:ind w:left="40"/>
              <w:spacing w:after="0"/>
              <w:rPr>
                <w:sz w:val="20"/>
                <w:szCs w:val="20"/>
                <w:color w:val="auto"/>
              </w:rPr>
            </w:pPr>
            <w:r>
              <w:rPr>
                <w:rFonts w:ascii="Arial" w:cs="Arial" w:eastAsia="Arial" w:hAnsi="Arial"/>
                <w:sz w:val="14"/>
                <w:szCs w:val="14"/>
                <w:b w:val="1"/>
                <w:bCs w:val="1"/>
                <w:color w:val="auto"/>
              </w:rPr>
              <w:t>Weighted Average Shares Outstanding:</w:t>
            </w:r>
          </w:p>
        </w:tc>
        <w:tc>
          <w:tcPr>
            <w:tcW w:w="6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3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3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3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3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17"/>
        </w:trPr>
        <w:tc>
          <w:tcPr>
            <w:tcW w:w="3440" w:type="dxa"/>
            <w:vAlign w:val="bottom"/>
            <w:shd w:val="clear" w:color="auto" w:fill="CCEEFF"/>
          </w:tcPr>
          <w:p>
            <w:pPr>
              <w:ind w:left="500"/>
              <w:spacing w:after="0"/>
              <w:rPr>
                <w:sz w:val="20"/>
                <w:szCs w:val="20"/>
                <w:color w:val="auto"/>
              </w:rPr>
            </w:pPr>
            <w:r>
              <w:rPr>
                <w:rFonts w:ascii="Arial" w:cs="Arial" w:eastAsia="Arial" w:hAnsi="Arial"/>
                <w:sz w:val="14"/>
                <w:szCs w:val="14"/>
                <w:b w:val="1"/>
                <w:bCs w:val="1"/>
                <w:color w:val="auto"/>
              </w:rPr>
              <w:t>Basic</w:t>
            </w: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38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75,770,529</w:t>
            </w: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3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75,746,200</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34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75,765,144</w:t>
            </w: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3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75,734,587</w:t>
            </w:r>
          </w:p>
        </w:tc>
        <w:tc>
          <w:tcPr>
            <w:tcW w:w="0" w:type="dxa"/>
            <w:vAlign w:val="bottom"/>
          </w:tcPr>
          <w:p>
            <w:pPr>
              <w:spacing w:after="0"/>
              <w:rPr>
                <w:sz w:val="1"/>
                <w:szCs w:val="1"/>
                <w:color w:val="auto"/>
              </w:rPr>
            </w:pPr>
          </w:p>
        </w:tc>
      </w:tr>
      <w:tr>
        <w:trPr>
          <w:trHeight w:val="268"/>
        </w:trPr>
        <w:tc>
          <w:tcPr>
            <w:tcW w:w="3440" w:type="dxa"/>
            <w:vAlign w:val="bottom"/>
          </w:tcPr>
          <w:p>
            <w:pPr>
              <w:ind w:left="500"/>
              <w:spacing w:after="0"/>
              <w:rPr>
                <w:sz w:val="20"/>
                <w:szCs w:val="20"/>
                <w:color w:val="auto"/>
              </w:rPr>
            </w:pPr>
            <w:r>
              <w:rPr>
                <w:rFonts w:ascii="Arial" w:cs="Arial" w:eastAsia="Arial" w:hAnsi="Arial"/>
                <w:sz w:val="14"/>
                <w:szCs w:val="14"/>
                <w:b w:val="1"/>
                <w:bCs w:val="1"/>
                <w:color w:val="auto"/>
              </w:rPr>
              <w:t>Diluted</w:t>
            </w:r>
          </w:p>
        </w:tc>
        <w:tc>
          <w:tcPr>
            <w:tcW w:w="6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380" w:type="dxa"/>
            <w:vAlign w:val="bottom"/>
          </w:tcPr>
          <w:p>
            <w:pPr>
              <w:jc w:val="right"/>
              <w:ind w:right="48"/>
              <w:spacing w:after="0"/>
              <w:rPr>
                <w:sz w:val="20"/>
                <w:szCs w:val="20"/>
                <w:color w:val="auto"/>
              </w:rPr>
            </w:pPr>
            <w:r>
              <w:rPr>
                <w:rFonts w:ascii="Arial" w:cs="Arial" w:eastAsia="Arial" w:hAnsi="Arial"/>
                <w:sz w:val="14"/>
                <w:szCs w:val="14"/>
                <w:b w:val="1"/>
                <w:bCs w:val="1"/>
                <w:color w:val="auto"/>
              </w:rPr>
              <w:t>75,770,665</w:t>
            </w:r>
          </w:p>
        </w:tc>
        <w:tc>
          <w:tcPr>
            <w:tcW w:w="12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320" w:type="dxa"/>
            <w:vAlign w:val="bottom"/>
          </w:tcPr>
          <w:p>
            <w:pPr>
              <w:jc w:val="right"/>
              <w:ind w:right="48"/>
              <w:spacing w:after="0"/>
              <w:rPr>
                <w:sz w:val="20"/>
                <w:szCs w:val="20"/>
                <w:color w:val="auto"/>
              </w:rPr>
            </w:pPr>
            <w:r>
              <w:rPr>
                <w:rFonts w:ascii="Arial" w:cs="Arial" w:eastAsia="Arial" w:hAnsi="Arial"/>
                <w:sz w:val="14"/>
                <w:szCs w:val="14"/>
                <w:color w:val="auto"/>
              </w:rPr>
              <w:t>75,746,200</w:t>
            </w: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340" w:type="dxa"/>
            <w:vAlign w:val="bottom"/>
          </w:tcPr>
          <w:p>
            <w:pPr>
              <w:jc w:val="right"/>
              <w:ind w:right="28"/>
              <w:spacing w:after="0"/>
              <w:rPr>
                <w:sz w:val="20"/>
                <w:szCs w:val="20"/>
                <w:color w:val="auto"/>
              </w:rPr>
            </w:pPr>
            <w:r>
              <w:rPr>
                <w:rFonts w:ascii="Arial" w:cs="Arial" w:eastAsia="Arial" w:hAnsi="Arial"/>
                <w:sz w:val="14"/>
                <w:szCs w:val="14"/>
                <w:b w:val="1"/>
                <w:bCs w:val="1"/>
                <w:color w:val="auto"/>
              </w:rPr>
              <w:t>75,765,144</w:t>
            </w:r>
          </w:p>
        </w:tc>
        <w:tc>
          <w:tcPr>
            <w:tcW w:w="1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300" w:type="dxa"/>
            <w:vAlign w:val="bottom"/>
          </w:tcPr>
          <w:p>
            <w:pPr>
              <w:jc w:val="right"/>
              <w:ind w:right="28"/>
              <w:spacing w:after="0"/>
              <w:rPr>
                <w:sz w:val="20"/>
                <w:szCs w:val="20"/>
                <w:color w:val="auto"/>
              </w:rPr>
            </w:pPr>
            <w:r>
              <w:rPr>
                <w:rFonts w:ascii="Arial" w:cs="Arial" w:eastAsia="Arial" w:hAnsi="Arial"/>
                <w:sz w:val="14"/>
                <w:szCs w:val="14"/>
                <w:color w:val="auto"/>
              </w:rPr>
              <w:t>75,734,587</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Arial" w:cs="Arial" w:eastAsia="Arial" w:hAnsi="Arial"/>
          <w:sz w:val="16"/>
          <w:szCs w:val="16"/>
          <w:color w:val="00497F"/>
        </w:rPr>
        <w:t>See accompanying notes to consolidated financial statements.</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w:t>
      </w:r>
    </w:p>
    <w:p>
      <w:pPr>
        <w:sectPr>
          <w:pgSz w:w="11900" w:h="16838" w:orient="portrait"/>
          <w:cols w:equalWidth="0" w:num="1">
            <w:col w:w="11420"/>
          </w:cols>
          <w:pgMar w:left="240" w:top="576" w:right="239" w:bottom="1440" w:gutter="0" w:footer="0" w:header="0"/>
        </w:sectPr>
      </w:pPr>
    </w:p>
    <w:bookmarkStart w:id="6" w:name="page7"/>
    <w:bookmarkEnd w:id="6"/>
    <w:p>
      <w:pPr>
        <w:ind w:right="2940"/>
        <w:spacing w:after="0" w:line="426" w:lineRule="auto"/>
        <w:rPr>
          <w:sz w:val="20"/>
          <w:szCs w:val="20"/>
          <w:color w:val="auto"/>
        </w:rPr>
      </w:pPr>
      <w:r>
        <w:rPr>
          <w:rFonts w:ascii="Arial" w:cs="Arial" w:eastAsia="Arial" w:hAnsi="Arial"/>
          <w:sz w:val="21"/>
          <w:szCs w:val="21"/>
          <w:b w:val="1"/>
          <w:bCs w:val="1"/>
          <w:color w:val="00497F"/>
        </w:rPr>
        <w:t xml:space="preserve">FORTRESS TRANSPORTATION AND INFRASTRUCTURE INVESTORS LLC CONSOLIDATED STATEMENTS OF COMPREHENSIVE INCOME (LOSS) </w:t>
      </w:r>
      <w:r>
        <w:rPr>
          <w:rFonts w:ascii="Arial" w:cs="Arial" w:eastAsia="Arial" w:hAnsi="Arial"/>
          <w:sz w:val="21"/>
          <w:szCs w:val="21"/>
          <w:b w:val="1"/>
          <w:bCs w:val="1"/>
          <w:i w:val="1"/>
          <w:iCs w:val="1"/>
          <w:color w:val="00497F"/>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-78740</wp:posOffset>
            </wp:positionV>
            <wp:extent cx="72720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4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180" w:type="dxa"/>
            <w:vAlign w:val="bottom"/>
            <w:gridSpan w:val="5"/>
          </w:tcPr>
          <w:p>
            <w:pPr>
              <w:ind w:left="180"/>
              <w:spacing w:after="0"/>
              <w:rPr>
                <w:sz w:val="20"/>
                <w:szCs w:val="20"/>
                <w:color w:val="auto"/>
              </w:rPr>
            </w:pPr>
            <w:r>
              <w:rPr>
                <w:rFonts w:ascii="Arial" w:cs="Arial" w:eastAsia="Arial" w:hAnsi="Arial"/>
                <w:sz w:val="14"/>
                <w:szCs w:val="14"/>
                <w:b w:val="1"/>
                <w:bCs w:val="1"/>
                <w:color w:val="auto"/>
              </w:rPr>
              <w:t>Three Months Ended September 30,</w:t>
            </w:r>
          </w:p>
        </w:tc>
        <w:tc>
          <w:tcPr>
            <w:tcW w:w="340" w:type="dxa"/>
            <w:vAlign w:val="bottom"/>
          </w:tcPr>
          <w:p>
            <w:pPr>
              <w:spacing w:after="0"/>
              <w:rPr>
                <w:sz w:val="17"/>
                <w:szCs w:val="17"/>
                <w:color w:val="auto"/>
              </w:rPr>
            </w:pPr>
          </w:p>
        </w:tc>
        <w:tc>
          <w:tcPr>
            <w:tcW w:w="3140" w:type="dxa"/>
            <w:vAlign w:val="bottom"/>
            <w:gridSpan w:val="4"/>
          </w:tcPr>
          <w:p>
            <w:pPr>
              <w:jc w:val="right"/>
              <w:ind w:right="468"/>
              <w:spacing w:after="0"/>
              <w:rPr>
                <w:sz w:val="20"/>
                <w:szCs w:val="20"/>
                <w:color w:val="auto"/>
              </w:rPr>
            </w:pPr>
            <w:r>
              <w:rPr>
                <w:rFonts w:ascii="Arial" w:cs="Arial" w:eastAsia="Arial" w:hAnsi="Arial"/>
                <w:sz w:val="14"/>
                <w:szCs w:val="14"/>
                <w:b w:val="1"/>
                <w:bCs w:val="1"/>
                <w:color w:val="auto"/>
              </w:rPr>
              <w:t>Nine Months Ended September 30,</w:t>
            </w:r>
          </w:p>
        </w:tc>
      </w:tr>
      <w:tr>
        <w:trPr>
          <w:trHeight w:val="264"/>
        </w:trPr>
        <w:tc>
          <w:tcPr>
            <w:tcW w:w="4460" w:type="dxa"/>
            <w:vAlign w:val="bottom"/>
            <w:tcBorders>
              <w:bottom w:val="single" w:sz="8" w:color="CCEEFF"/>
            </w:tcBorders>
          </w:tcPr>
          <w:p>
            <w:pPr>
              <w:ind w:left="40"/>
              <w:spacing w:after="0"/>
              <w:rPr>
                <w:sz w:val="20"/>
                <w:szCs w:val="20"/>
                <w:color w:val="auto"/>
              </w:rPr>
            </w:pPr>
            <w:r>
              <w:rPr>
                <w:rFonts w:ascii="Arial" w:cs="Arial" w:eastAsia="Arial" w:hAnsi="Arial"/>
                <w:sz w:val="14"/>
                <w:szCs w:val="14"/>
                <w:i w:val="1"/>
                <w:iCs w:val="1"/>
                <w:color w:val="auto"/>
              </w:rPr>
              <w:t>(Dollar amounts in thousands)</w:t>
            </w:r>
          </w:p>
        </w:tc>
        <w:tc>
          <w:tcPr>
            <w:tcW w:w="300" w:type="dxa"/>
            <w:vAlign w:val="bottom"/>
            <w:tcBorders>
              <w:top w:val="single" w:sz="8" w:color="auto"/>
              <w:bottom w:val="single" w:sz="8" w:color="auto"/>
            </w:tcBorders>
          </w:tcPr>
          <w:p>
            <w:pPr>
              <w:spacing w:after="0"/>
              <w:rPr>
                <w:sz w:val="22"/>
                <w:szCs w:val="22"/>
                <w:color w:val="auto"/>
              </w:rPr>
            </w:pPr>
          </w:p>
        </w:tc>
        <w:tc>
          <w:tcPr>
            <w:tcW w:w="1320" w:type="dxa"/>
            <w:vAlign w:val="bottom"/>
            <w:tcBorders>
              <w:top w:val="single" w:sz="8" w:color="auto"/>
              <w:bottom w:val="single" w:sz="8" w:color="auto"/>
            </w:tcBorders>
          </w:tcPr>
          <w:p>
            <w:pPr>
              <w:jc w:val="right"/>
              <w:ind w:right="568"/>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top w:val="single" w:sz="8" w:color="auto"/>
              <w:bottom w:val="single" w:sz="8" w:color="CCEEFF"/>
            </w:tcBorders>
          </w:tcPr>
          <w:p>
            <w:pPr>
              <w:spacing w:after="0"/>
              <w:rPr>
                <w:sz w:val="22"/>
                <w:szCs w:val="22"/>
                <w:color w:val="auto"/>
              </w:rPr>
            </w:pPr>
          </w:p>
        </w:tc>
        <w:tc>
          <w:tcPr>
            <w:tcW w:w="380" w:type="dxa"/>
            <w:vAlign w:val="bottom"/>
            <w:tcBorders>
              <w:top w:val="single" w:sz="8" w:color="auto"/>
              <w:bottom w:val="single" w:sz="8" w:color="auto"/>
            </w:tcBorders>
          </w:tcPr>
          <w:p>
            <w:pPr>
              <w:spacing w:after="0"/>
              <w:rPr>
                <w:sz w:val="22"/>
                <w:szCs w:val="22"/>
                <w:color w:val="auto"/>
              </w:rPr>
            </w:pPr>
          </w:p>
        </w:tc>
        <w:tc>
          <w:tcPr>
            <w:tcW w:w="1240" w:type="dxa"/>
            <w:vAlign w:val="bottom"/>
            <w:tcBorders>
              <w:top w:val="single" w:sz="8" w:color="auto"/>
              <w:bottom w:val="single" w:sz="8" w:color="auto"/>
            </w:tcBorders>
          </w:tcPr>
          <w:p>
            <w:pPr>
              <w:jc w:val="right"/>
              <w:ind w:right="568"/>
              <w:spacing w:after="0"/>
              <w:rPr>
                <w:sz w:val="20"/>
                <w:szCs w:val="20"/>
                <w:color w:val="auto"/>
              </w:rPr>
            </w:pPr>
            <w:r>
              <w:rPr>
                <w:rFonts w:ascii="Arial" w:cs="Arial" w:eastAsia="Arial" w:hAnsi="Arial"/>
                <w:sz w:val="14"/>
                <w:szCs w:val="14"/>
                <w:b w:val="1"/>
                <w:bCs w:val="1"/>
                <w:color w:val="auto"/>
              </w:rPr>
              <w:t>2016</w:t>
            </w:r>
          </w:p>
        </w:tc>
        <w:tc>
          <w:tcPr>
            <w:tcW w:w="120" w:type="dxa"/>
            <w:vAlign w:val="bottom"/>
            <w:tcBorders>
              <w:bottom w:val="single" w:sz="8" w:color="CCEEFF"/>
            </w:tcBorders>
          </w:tcPr>
          <w:p>
            <w:pPr>
              <w:spacing w:after="0"/>
              <w:rPr>
                <w:sz w:val="22"/>
                <w:szCs w:val="22"/>
                <w:color w:val="auto"/>
              </w:rPr>
            </w:pPr>
          </w:p>
        </w:tc>
        <w:tc>
          <w:tcPr>
            <w:tcW w:w="340" w:type="dxa"/>
            <w:vAlign w:val="bottom"/>
            <w:tcBorders>
              <w:top w:val="single" w:sz="8" w:color="auto"/>
              <w:bottom w:val="single" w:sz="8" w:color="auto"/>
            </w:tcBorders>
          </w:tcPr>
          <w:p>
            <w:pPr>
              <w:spacing w:after="0"/>
              <w:rPr>
                <w:sz w:val="22"/>
                <w:szCs w:val="22"/>
                <w:color w:val="auto"/>
              </w:rPr>
            </w:pPr>
          </w:p>
        </w:tc>
        <w:tc>
          <w:tcPr>
            <w:tcW w:w="1340" w:type="dxa"/>
            <w:vAlign w:val="bottom"/>
            <w:tcBorders>
              <w:top w:val="single" w:sz="8" w:color="auto"/>
              <w:bottom w:val="single" w:sz="8" w:color="auto"/>
            </w:tcBorders>
          </w:tcPr>
          <w:p>
            <w:pPr>
              <w:jc w:val="right"/>
              <w:ind w:right="608"/>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top w:val="single" w:sz="8" w:color="auto"/>
              <w:bottom w:val="single" w:sz="8" w:color="CCEEFF"/>
            </w:tcBorders>
          </w:tcPr>
          <w:p>
            <w:pPr>
              <w:spacing w:after="0"/>
              <w:rPr>
                <w:sz w:val="22"/>
                <w:szCs w:val="22"/>
                <w:color w:val="auto"/>
              </w:rPr>
            </w:pPr>
          </w:p>
        </w:tc>
        <w:tc>
          <w:tcPr>
            <w:tcW w:w="380" w:type="dxa"/>
            <w:vAlign w:val="bottom"/>
            <w:tcBorders>
              <w:top w:val="single" w:sz="8" w:color="auto"/>
              <w:bottom w:val="single" w:sz="8" w:color="auto"/>
            </w:tcBorders>
          </w:tcPr>
          <w:p>
            <w:pPr>
              <w:spacing w:after="0"/>
              <w:rPr>
                <w:sz w:val="22"/>
                <w:szCs w:val="22"/>
                <w:color w:val="auto"/>
              </w:rPr>
            </w:pPr>
          </w:p>
        </w:tc>
        <w:tc>
          <w:tcPr>
            <w:tcW w:w="1300" w:type="dxa"/>
            <w:vAlign w:val="bottom"/>
            <w:tcBorders>
              <w:top w:val="single" w:sz="8" w:color="auto"/>
              <w:bottom w:val="single" w:sz="8" w:color="auto"/>
            </w:tcBorders>
          </w:tcPr>
          <w:p>
            <w:pPr>
              <w:jc w:val="right"/>
              <w:ind w:right="608"/>
              <w:spacing w:after="0"/>
              <w:rPr>
                <w:sz w:val="20"/>
                <w:szCs w:val="20"/>
                <w:color w:val="auto"/>
              </w:rPr>
            </w:pPr>
            <w:r>
              <w:rPr>
                <w:rFonts w:ascii="Arial" w:cs="Arial" w:eastAsia="Arial" w:hAnsi="Arial"/>
                <w:sz w:val="14"/>
                <w:szCs w:val="14"/>
                <w:b w:val="1"/>
                <w:bCs w:val="1"/>
                <w:color w:val="auto"/>
              </w:rPr>
              <w:t>2016</w:t>
            </w:r>
          </w:p>
        </w:tc>
      </w:tr>
      <w:tr>
        <w:trPr>
          <w:trHeight w:val="251"/>
        </w:trPr>
        <w:tc>
          <w:tcPr>
            <w:tcW w:w="4460" w:type="dxa"/>
            <w:vAlign w:val="bottom"/>
            <w:shd w:val="clear" w:color="auto" w:fill="CCEEFF"/>
          </w:tcPr>
          <w:p>
            <w:pPr>
              <w:ind w:left="40"/>
              <w:spacing w:after="0"/>
              <w:rPr>
                <w:sz w:val="20"/>
                <w:szCs w:val="20"/>
                <w:color w:val="auto"/>
              </w:rPr>
            </w:pPr>
            <w:r>
              <w:rPr>
                <w:rFonts w:ascii="Arial" w:cs="Arial" w:eastAsia="Arial" w:hAnsi="Arial"/>
                <w:sz w:val="14"/>
                <w:szCs w:val="14"/>
                <w:color w:val="auto"/>
              </w:rPr>
              <w:t>Net loss</w:t>
            </w:r>
          </w:p>
        </w:tc>
        <w:tc>
          <w:tcPr>
            <w:tcW w:w="300" w:type="dxa"/>
            <w:vAlign w:val="bottom"/>
            <w:shd w:val="clear" w:color="auto" w:fill="CCEEFF"/>
          </w:tcPr>
          <w:p>
            <w:pPr>
              <w:jc w:val="right"/>
              <w:ind w:right="108"/>
              <w:spacing w:after="0"/>
              <w:rPr>
                <w:sz w:val="20"/>
                <w:szCs w:val="20"/>
                <w:color w:val="auto"/>
              </w:rPr>
            </w:pPr>
            <w:r>
              <w:rPr>
                <w:rFonts w:ascii="Arial" w:cs="Arial" w:eastAsia="Arial" w:hAnsi="Arial"/>
                <w:sz w:val="14"/>
                <w:szCs w:val="14"/>
                <w:b w:val="1"/>
                <w:bCs w:val="1"/>
                <w:color w:val="auto"/>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(1,671)</w:t>
            </w:r>
          </w:p>
        </w:tc>
        <w:tc>
          <w:tcPr>
            <w:tcW w:w="120" w:type="dxa"/>
            <w:vAlign w:val="bottom"/>
            <w:shd w:val="clear" w:color="auto" w:fill="CCEEFF"/>
          </w:tcPr>
          <w:p>
            <w:pPr>
              <w:spacing w:after="0"/>
              <w:rPr>
                <w:sz w:val="21"/>
                <w:szCs w:val="21"/>
                <w:color w:val="auto"/>
              </w:rPr>
            </w:pPr>
          </w:p>
        </w:tc>
        <w:tc>
          <w:tcPr>
            <w:tcW w:w="380" w:type="dxa"/>
            <w:vAlign w:val="bottom"/>
            <w:shd w:val="clear" w:color="auto" w:fill="CCEEFF"/>
          </w:tcPr>
          <w:p>
            <w:pPr>
              <w:jc w:val="right"/>
              <w:ind w:right="188"/>
              <w:spacing w:after="0"/>
              <w:rPr>
                <w:sz w:val="20"/>
                <w:szCs w:val="20"/>
                <w:color w:val="auto"/>
              </w:rPr>
            </w:pPr>
            <w:r>
              <w:rPr>
                <w:rFonts w:ascii="Arial" w:cs="Arial" w:eastAsia="Arial" w:hAnsi="Arial"/>
                <w:sz w:val="14"/>
                <w:szCs w:val="14"/>
                <w:color w:val="auto"/>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(5,646)</w:t>
            </w:r>
          </w:p>
        </w:tc>
        <w:tc>
          <w:tcPr>
            <w:tcW w:w="120" w:type="dxa"/>
            <w:vAlign w:val="bottom"/>
            <w:shd w:val="clear" w:color="auto" w:fill="CCEEFF"/>
          </w:tcPr>
          <w:p>
            <w:pPr>
              <w:spacing w:after="0"/>
              <w:rPr>
                <w:sz w:val="21"/>
                <w:szCs w:val="21"/>
                <w:color w:val="auto"/>
              </w:rPr>
            </w:pPr>
          </w:p>
        </w:tc>
        <w:tc>
          <w:tcPr>
            <w:tcW w:w="340" w:type="dxa"/>
            <w:vAlign w:val="bottom"/>
            <w:shd w:val="clear" w:color="auto" w:fill="CCEEFF"/>
          </w:tcPr>
          <w:p>
            <w:pPr>
              <w:jc w:val="right"/>
              <w:ind w:right="168"/>
              <w:spacing w:after="0"/>
              <w:rPr>
                <w:sz w:val="20"/>
                <w:szCs w:val="20"/>
                <w:color w:val="auto"/>
              </w:rPr>
            </w:pPr>
            <w:r>
              <w:rPr>
                <w:rFonts w:ascii="Arial" w:cs="Arial" w:eastAsia="Arial" w:hAnsi="Arial"/>
                <w:sz w:val="14"/>
                <w:szCs w:val="14"/>
                <w:b w:val="1"/>
                <w:bCs w:val="1"/>
                <w:color w:val="auto"/>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(16,692)</w:t>
            </w:r>
          </w:p>
        </w:tc>
        <w:tc>
          <w:tcPr>
            <w:tcW w:w="120" w:type="dxa"/>
            <w:vAlign w:val="bottom"/>
            <w:shd w:val="clear" w:color="auto" w:fill="CCEEFF"/>
          </w:tcPr>
          <w:p>
            <w:pPr>
              <w:spacing w:after="0"/>
              <w:rPr>
                <w:sz w:val="21"/>
                <w:szCs w:val="21"/>
                <w:color w:val="auto"/>
              </w:rPr>
            </w:pPr>
          </w:p>
        </w:tc>
        <w:tc>
          <w:tcPr>
            <w:tcW w:w="380" w:type="dxa"/>
            <w:vAlign w:val="bottom"/>
            <w:shd w:val="clear" w:color="auto" w:fill="CCEEFF"/>
          </w:tcPr>
          <w:p>
            <w:pPr>
              <w:jc w:val="right"/>
              <w:ind w:right="208"/>
              <w:spacing w:after="0"/>
              <w:rPr>
                <w:sz w:val="20"/>
                <w:szCs w:val="20"/>
                <w:color w:val="auto"/>
              </w:rPr>
            </w:pPr>
            <w:r>
              <w:rPr>
                <w:rFonts w:ascii="Arial" w:cs="Arial" w:eastAsia="Arial" w:hAnsi="Arial"/>
                <w:sz w:val="14"/>
                <w:szCs w:val="14"/>
                <w:color w:val="auto"/>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(34,779)</w:t>
            </w:r>
          </w:p>
        </w:tc>
      </w:tr>
      <w:tr>
        <w:trPr>
          <w:trHeight w:val="266"/>
        </w:trPr>
        <w:tc>
          <w:tcPr>
            <w:tcW w:w="4460" w:type="dxa"/>
            <w:vAlign w:val="bottom"/>
          </w:tcPr>
          <w:p>
            <w:pPr>
              <w:ind w:left="40"/>
              <w:spacing w:after="0"/>
              <w:rPr>
                <w:sz w:val="20"/>
                <w:szCs w:val="20"/>
                <w:color w:val="auto"/>
              </w:rPr>
            </w:pPr>
            <w:r>
              <w:rPr>
                <w:rFonts w:ascii="Arial" w:cs="Arial" w:eastAsia="Arial" w:hAnsi="Arial"/>
                <w:sz w:val="14"/>
                <w:szCs w:val="14"/>
                <w:color w:val="auto"/>
              </w:rPr>
              <w:t>Other comprehensive income (loss):</w:t>
            </w:r>
          </w:p>
        </w:tc>
        <w:tc>
          <w:tcPr>
            <w:tcW w:w="300" w:type="dxa"/>
            <w:vAlign w:val="bottom"/>
          </w:tcPr>
          <w:p>
            <w:pPr>
              <w:spacing w:after="0"/>
              <w:rPr>
                <w:sz w:val="23"/>
                <w:szCs w:val="23"/>
                <w:color w:val="auto"/>
              </w:rPr>
            </w:pPr>
          </w:p>
        </w:tc>
        <w:tc>
          <w:tcPr>
            <w:tcW w:w="13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3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300" w:type="dxa"/>
            <w:vAlign w:val="bottom"/>
          </w:tcPr>
          <w:p>
            <w:pPr>
              <w:spacing w:after="0"/>
              <w:rPr>
                <w:sz w:val="23"/>
                <w:szCs w:val="23"/>
                <w:color w:val="auto"/>
              </w:rPr>
            </w:pPr>
          </w:p>
        </w:tc>
      </w:tr>
      <w:tr>
        <w:trPr>
          <w:trHeight w:val="274"/>
        </w:trPr>
        <w:tc>
          <w:tcPr>
            <w:tcW w:w="4460" w:type="dxa"/>
            <w:vAlign w:val="bottom"/>
            <w:shd w:val="clear" w:color="auto" w:fill="CCEEFF"/>
          </w:tcPr>
          <w:p>
            <w:pPr>
              <w:ind w:left="500"/>
              <w:spacing w:after="0"/>
              <w:rPr>
                <w:sz w:val="20"/>
                <w:szCs w:val="20"/>
                <w:color w:val="auto"/>
              </w:rPr>
            </w:pPr>
            <w:r>
              <w:rPr>
                <w:rFonts w:ascii="Arial" w:cs="Arial" w:eastAsia="Arial" w:hAnsi="Arial"/>
                <w:sz w:val="14"/>
                <w:szCs w:val="14"/>
                <w:color w:val="auto"/>
              </w:rPr>
              <w:t>Change in fair value of cash flow hedge</w:t>
            </w:r>
          </w:p>
        </w:tc>
        <w:tc>
          <w:tcPr>
            <w:tcW w:w="300" w:type="dxa"/>
            <w:vAlign w:val="bottom"/>
            <w:shd w:val="clear" w:color="auto" w:fill="CCEEFF"/>
          </w:tcPr>
          <w:p>
            <w:pPr>
              <w:spacing w:after="0"/>
              <w:rPr>
                <w:sz w:val="23"/>
                <w:szCs w:val="23"/>
                <w:color w:val="auto"/>
              </w:rPr>
            </w:pPr>
          </w:p>
        </w:tc>
        <w:tc>
          <w:tcPr>
            <w:tcW w:w="14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b w:val="1"/>
                <w:bCs w:val="1"/>
                <w:color w:val="auto"/>
              </w:rPr>
              <w:t>—</w:t>
            </w:r>
          </w:p>
        </w:tc>
        <w:tc>
          <w:tcPr>
            <w:tcW w:w="380" w:type="dxa"/>
            <w:vAlign w:val="bottom"/>
            <w:shd w:val="clear" w:color="auto" w:fill="CCEEFF"/>
          </w:tcPr>
          <w:p>
            <w:pPr>
              <w:spacing w:after="0"/>
              <w:rPr>
                <w:sz w:val="23"/>
                <w:szCs w:val="23"/>
                <w:color w:val="auto"/>
              </w:rPr>
            </w:pPr>
          </w:p>
        </w:tc>
        <w:tc>
          <w:tcPr>
            <w:tcW w:w="136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340" w:type="dxa"/>
            <w:vAlign w:val="bottom"/>
            <w:shd w:val="clear" w:color="auto" w:fill="CCEEFF"/>
          </w:tcPr>
          <w:p>
            <w:pPr>
              <w:spacing w:after="0"/>
              <w:rPr>
                <w:sz w:val="23"/>
                <w:szCs w:val="23"/>
                <w:color w:val="auto"/>
              </w:rPr>
            </w:pPr>
          </w:p>
        </w:tc>
        <w:tc>
          <w:tcPr>
            <w:tcW w:w="14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b w:val="1"/>
                <w:bCs w:val="1"/>
                <w:color w:val="auto"/>
              </w:rPr>
              <w:t>—</w:t>
            </w:r>
          </w:p>
        </w:tc>
        <w:tc>
          <w:tcPr>
            <w:tcW w:w="380" w:type="dxa"/>
            <w:vAlign w:val="bottom"/>
            <w:shd w:val="clear" w:color="auto" w:fill="CCEEFF"/>
          </w:tcPr>
          <w:p>
            <w:pPr>
              <w:spacing w:after="0"/>
              <w:rPr>
                <w:sz w:val="23"/>
                <w:szCs w:val="23"/>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(97)</w:t>
            </w:r>
          </w:p>
        </w:tc>
      </w:tr>
      <w:tr>
        <w:trPr>
          <w:trHeight w:val="269"/>
        </w:trPr>
        <w:tc>
          <w:tcPr>
            <w:tcW w:w="4460" w:type="dxa"/>
            <w:vAlign w:val="bottom"/>
          </w:tcPr>
          <w:p>
            <w:pPr>
              <w:ind w:left="500"/>
              <w:spacing w:after="0"/>
              <w:rPr>
                <w:sz w:val="20"/>
                <w:szCs w:val="20"/>
                <w:color w:val="auto"/>
              </w:rPr>
            </w:pPr>
            <w:r>
              <w:rPr>
                <w:rFonts w:ascii="Arial" w:cs="Arial" w:eastAsia="Arial" w:hAnsi="Arial"/>
                <w:sz w:val="14"/>
                <w:szCs w:val="14"/>
                <w:color w:val="auto"/>
              </w:rPr>
              <w:t>Change in fair value of available-for-sale securities</w:t>
            </w:r>
          </w:p>
        </w:tc>
        <w:tc>
          <w:tcPr>
            <w:tcW w:w="300" w:type="dxa"/>
            <w:vAlign w:val="bottom"/>
          </w:tcPr>
          <w:p>
            <w:pPr>
              <w:spacing w:after="0"/>
              <w:rPr>
                <w:sz w:val="23"/>
                <w:szCs w:val="23"/>
                <w:color w:val="auto"/>
              </w:rPr>
            </w:pPr>
          </w:p>
        </w:tc>
        <w:tc>
          <w:tcPr>
            <w:tcW w:w="1320" w:type="dxa"/>
            <w:vAlign w:val="bottom"/>
          </w:tcPr>
          <w:p>
            <w:pPr>
              <w:jc w:val="right"/>
              <w:ind w:right="48"/>
              <w:spacing w:after="0"/>
              <w:rPr>
                <w:sz w:val="20"/>
                <w:szCs w:val="20"/>
                <w:color w:val="auto"/>
              </w:rPr>
            </w:pPr>
            <w:r>
              <w:rPr>
                <w:rFonts w:ascii="Arial" w:cs="Arial" w:eastAsia="Arial" w:hAnsi="Arial"/>
                <w:sz w:val="14"/>
                <w:szCs w:val="14"/>
                <w:b w:val="1"/>
                <w:bCs w:val="1"/>
                <w:color w:val="auto"/>
              </w:rPr>
              <w:t>5,784</w:t>
            </w:r>
          </w:p>
        </w:tc>
        <w:tc>
          <w:tcPr>
            <w:tcW w:w="1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3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23"/>
                <w:szCs w:val="23"/>
                <w:color w:val="auto"/>
              </w:rPr>
            </w:pPr>
          </w:p>
        </w:tc>
        <w:tc>
          <w:tcPr>
            <w:tcW w:w="1340" w:type="dxa"/>
            <w:vAlign w:val="bottom"/>
          </w:tcPr>
          <w:p>
            <w:pPr>
              <w:jc w:val="right"/>
              <w:ind w:right="28"/>
              <w:spacing w:after="0"/>
              <w:rPr>
                <w:sz w:val="20"/>
                <w:szCs w:val="20"/>
                <w:color w:val="auto"/>
              </w:rPr>
            </w:pPr>
            <w:r>
              <w:rPr>
                <w:rFonts w:ascii="Arial" w:cs="Arial" w:eastAsia="Arial" w:hAnsi="Arial"/>
                <w:sz w:val="14"/>
                <w:szCs w:val="14"/>
                <w:b w:val="1"/>
                <w:bCs w:val="1"/>
                <w:color w:val="auto"/>
              </w:rPr>
              <w:t>4,508</w:t>
            </w:r>
          </w:p>
        </w:tc>
        <w:tc>
          <w:tcPr>
            <w:tcW w:w="1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300" w:type="dxa"/>
            <w:vAlign w:val="bottom"/>
          </w:tcPr>
          <w:p>
            <w:pPr>
              <w:jc w:val="right"/>
              <w:ind w:right="28"/>
              <w:spacing w:after="0"/>
              <w:rPr>
                <w:sz w:val="20"/>
                <w:szCs w:val="20"/>
                <w:color w:val="auto"/>
              </w:rPr>
            </w:pPr>
            <w:r>
              <w:rPr>
                <w:rFonts w:ascii="Arial" w:cs="Arial" w:eastAsia="Arial" w:hAnsi="Arial"/>
                <w:sz w:val="14"/>
                <w:szCs w:val="14"/>
                <w:color w:val="auto"/>
              </w:rPr>
              <w:t>—</w:t>
            </w:r>
          </w:p>
        </w:tc>
      </w:tr>
      <w:tr>
        <w:trPr>
          <w:trHeight w:val="251"/>
        </w:trPr>
        <w:tc>
          <w:tcPr>
            <w:tcW w:w="446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4"/>
                <w:szCs w:val="14"/>
                <w:b w:val="1"/>
                <w:bCs w:val="1"/>
                <w:color w:val="auto"/>
              </w:rPr>
              <w:t>Comprehensive income (loss)</w:t>
            </w:r>
          </w:p>
        </w:tc>
        <w:tc>
          <w:tcPr>
            <w:tcW w:w="300" w:type="dxa"/>
            <w:vAlign w:val="bottom"/>
            <w:tcBorders>
              <w:top w:val="single" w:sz="8" w:color="auto"/>
            </w:tcBorders>
            <w:shd w:val="clear" w:color="auto" w:fill="CCEEFF"/>
          </w:tcPr>
          <w:p>
            <w:pPr>
              <w:spacing w:after="0"/>
              <w:rPr>
                <w:sz w:val="21"/>
                <w:szCs w:val="21"/>
                <w:color w:val="auto"/>
              </w:rPr>
            </w:pPr>
          </w:p>
        </w:tc>
        <w:tc>
          <w:tcPr>
            <w:tcW w:w="1320" w:type="dxa"/>
            <w:vAlign w:val="bottom"/>
            <w:tcBorders>
              <w:top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4,113</w:t>
            </w:r>
          </w:p>
        </w:tc>
        <w:tc>
          <w:tcPr>
            <w:tcW w:w="120" w:type="dxa"/>
            <w:vAlign w:val="bottom"/>
            <w:tcBorders>
              <w:top w:val="single" w:sz="8" w:color="CCEEFF"/>
            </w:tcBorders>
            <w:shd w:val="clear" w:color="auto" w:fill="CCEEFF"/>
          </w:tcPr>
          <w:p>
            <w:pPr>
              <w:spacing w:after="0"/>
              <w:rPr>
                <w:sz w:val="21"/>
                <w:szCs w:val="21"/>
                <w:color w:val="auto"/>
              </w:rPr>
            </w:pPr>
          </w:p>
        </w:tc>
        <w:tc>
          <w:tcPr>
            <w:tcW w:w="380" w:type="dxa"/>
            <w:vAlign w:val="bottom"/>
            <w:tcBorders>
              <w:top w:val="single" w:sz="8" w:color="auto"/>
            </w:tcBorders>
            <w:shd w:val="clear" w:color="auto" w:fill="CCEEFF"/>
          </w:tcPr>
          <w:p>
            <w:pPr>
              <w:spacing w:after="0"/>
              <w:rPr>
                <w:sz w:val="21"/>
                <w:szCs w:val="21"/>
                <w:color w:val="auto"/>
              </w:rPr>
            </w:pP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(5,646)</w:t>
            </w:r>
          </w:p>
        </w:tc>
        <w:tc>
          <w:tcPr>
            <w:tcW w:w="120" w:type="dxa"/>
            <w:vAlign w:val="bottom"/>
            <w:tcBorders>
              <w:top w:val="single" w:sz="8" w:color="CCEEFF"/>
            </w:tcBorders>
            <w:shd w:val="clear" w:color="auto" w:fill="CCEEFF"/>
          </w:tcPr>
          <w:p>
            <w:pPr>
              <w:spacing w:after="0"/>
              <w:rPr>
                <w:sz w:val="21"/>
                <w:szCs w:val="21"/>
                <w:color w:val="auto"/>
              </w:rPr>
            </w:pPr>
          </w:p>
        </w:tc>
        <w:tc>
          <w:tcPr>
            <w:tcW w:w="340" w:type="dxa"/>
            <w:vAlign w:val="bottom"/>
            <w:tcBorders>
              <w:top w:val="single" w:sz="8" w:color="auto"/>
            </w:tcBorders>
            <w:shd w:val="clear" w:color="auto" w:fill="CCEEFF"/>
          </w:tcPr>
          <w:p>
            <w:pPr>
              <w:spacing w:after="0"/>
              <w:rPr>
                <w:sz w:val="21"/>
                <w:szCs w:val="21"/>
                <w:color w:val="auto"/>
              </w:rPr>
            </w:pPr>
          </w:p>
        </w:tc>
        <w:tc>
          <w:tcPr>
            <w:tcW w:w="1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(12,184)</w:t>
            </w:r>
          </w:p>
        </w:tc>
        <w:tc>
          <w:tcPr>
            <w:tcW w:w="120" w:type="dxa"/>
            <w:vAlign w:val="bottom"/>
            <w:tcBorders>
              <w:top w:val="single" w:sz="8" w:color="CCEEFF"/>
            </w:tcBorders>
            <w:shd w:val="clear" w:color="auto" w:fill="CCEEFF"/>
          </w:tcPr>
          <w:p>
            <w:pPr>
              <w:spacing w:after="0"/>
              <w:rPr>
                <w:sz w:val="21"/>
                <w:szCs w:val="21"/>
                <w:color w:val="auto"/>
              </w:rPr>
            </w:pPr>
          </w:p>
        </w:tc>
        <w:tc>
          <w:tcPr>
            <w:tcW w:w="380" w:type="dxa"/>
            <w:vAlign w:val="bottom"/>
            <w:tcBorders>
              <w:top w:val="single" w:sz="8" w:color="auto"/>
            </w:tcBorders>
            <w:shd w:val="clear" w:color="auto" w:fill="CCEEFF"/>
          </w:tcPr>
          <w:p>
            <w:pPr>
              <w:spacing w:after="0"/>
              <w:rPr>
                <w:sz w:val="21"/>
                <w:szCs w:val="21"/>
                <w:color w:val="auto"/>
              </w:rPr>
            </w:pPr>
          </w:p>
        </w:tc>
        <w:tc>
          <w:tcPr>
            <w:tcW w:w="1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(34,876)</w:t>
            </w:r>
          </w:p>
        </w:tc>
      </w:tr>
      <w:tr>
        <w:trPr>
          <w:trHeight w:val="269"/>
        </w:trPr>
        <w:tc>
          <w:tcPr>
            <w:tcW w:w="4460" w:type="dxa"/>
            <w:vAlign w:val="bottom"/>
          </w:tcPr>
          <w:p>
            <w:pPr>
              <w:ind w:left="500"/>
              <w:spacing w:after="0"/>
              <w:rPr>
                <w:sz w:val="20"/>
                <w:szCs w:val="20"/>
                <w:color w:val="auto"/>
              </w:rPr>
            </w:pPr>
            <w:r>
              <w:rPr>
                <w:rFonts w:ascii="Arial" w:cs="Arial" w:eastAsia="Arial" w:hAnsi="Arial"/>
                <w:sz w:val="14"/>
                <w:szCs w:val="14"/>
                <w:color w:val="auto"/>
              </w:rPr>
              <w:t>Comprehensive loss attributable to non-controlling interest</w:t>
            </w:r>
          </w:p>
        </w:tc>
        <w:tc>
          <w:tcPr>
            <w:tcW w:w="300" w:type="dxa"/>
            <w:vAlign w:val="bottom"/>
            <w:tcBorders>
              <w:bottom w:val="single" w:sz="8" w:color="auto"/>
            </w:tcBorders>
          </w:tcPr>
          <w:p>
            <w:pPr>
              <w:spacing w:after="0"/>
              <w:rPr>
                <w:sz w:val="23"/>
                <w:szCs w:val="23"/>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(4,669)</w:t>
            </w:r>
          </w:p>
        </w:tc>
        <w:tc>
          <w:tcPr>
            <w:tcW w:w="120" w:type="dxa"/>
            <w:vAlign w:val="bottom"/>
          </w:tcPr>
          <w:p>
            <w:pPr>
              <w:spacing w:after="0"/>
              <w:rPr>
                <w:sz w:val="23"/>
                <w:szCs w:val="23"/>
                <w:color w:val="auto"/>
              </w:rPr>
            </w:pPr>
          </w:p>
        </w:tc>
        <w:tc>
          <w:tcPr>
            <w:tcW w:w="380" w:type="dxa"/>
            <w:vAlign w:val="bottom"/>
            <w:tcBorders>
              <w:bottom w:val="single" w:sz="8" w:color="auto"/>
            </w:tcBorders>
          </w:tcPr>
          <w:p>
            <w:pPr>
              <w:spacing w:after="0"/>
              <w:rPr>
                <w:sz w:val="23"/>
                <w:szCs w:val="23"/>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(4,370)</w:t>
            </w:r>
          </w:p>
        </w:tc>
        <w:tc>
          <w:tcPr>
            <w:tcW w:w="120" w:type="dxa"/>
            <w:vAlign w:val="bottom"/>
          </w:tcPr>
          <w:p>
            <w:pPr>
              <w:spacing w:after="0"/>
              <w:rPr>
                <w:sz w:val="23"/>
                <w:szCs w:val="23"/>
                <w:color w:val="auto"/>
              </w:rPr>
            </w:pPr>
          </w:p>
        </w:tc>
        <w:tc>
          <w:tcPr>
            <w:tcW w:w="340" w:type="dxa"/>
            <w:vAlign w:val="bottom"/>
            <w:tcBorders>
              <w:bottom w:val="single" w:sz="8" w:color="auto"/>
            </w:tcBorders>
          </w:tcPr>
          <w:p>
            <w:pPr>
              <w:spacing w:after="0"/>
              <w:rPr>
                <w:sz w:val="23"/>
                <w:szCs w:val="23"/>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(13,816)</w:t>
            </w:r>
          </w:p>
        </w:tc>
        <w:tc>
          <w:tcPr>
            <w:tcW w:w="120" w:type="dxa"/>
            <w:vAlign w:val="bottom"/>
          </w:tcPr>
          <w:p>
            <w:pPr>
              <w:spacing w:after="0"/>
              <w:rPr>
                <w:sz w:val="23"/>
                <w:szCs w:val="23"/>
                <w:color w:val="auto"/>
              </w:rPr>
            </w:pPr>
          </w:p>
        </w:tc>
        <w:tc>
          <w:tcPr>
            <w:tcW w:w="380" w:type="dxa"/>
            <w:vAlign w:val="bottom"/>
            <w:tcBorders>
              <w:bottom w:val="single" w:sz="8" w:color="auto"/>
            </w:tcBorders>
          </w:tcPr>
          <w:p>
            <w:pPr>
              <w:spacing w:after="0"/>
              <w:rPr>
                <w:sz w:val="23"/>
                <w:szCs w:val="23"/>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(16,528)</w:t>
            </w:r>
          </w:p>
        </w:tc>
      </w:tr>
      <w:tr>
        <w:trPr>
          <w:trHeight w:val="238"/>
        </w:trPr>
        <w:tc>
          <w:tcPr>
            <w:tcW w:w="4460" w:type="dxa"/>
            <w:vAlign w:val="bottom"/>
          </w:tcPr>
          <w:p>
            <w:pPr>
              <w:ind w:left="40"/>
              <w:spacing w:after="0"/>
              <w:rPr>
                <w:sz w:val="20"/>
                <w:szCs w:val="20"/>
                <w:color w:val="auto"/>
              </w:rPr>
            </w:pPr>
            <w:r>
              <w:rPr>
                <w:rFonts w:ascii="Arial" w:cs="Arial" w:eastAsia="Arial" w:hAnsi="Arial"/>
                <w:sz w:val="14"/>
                <w:szCs w:val="14"/>
                <w:b w:val="1"/>
                <w:bCs w:val="1"/>
                <w:color w:val="auto"/>
              </w:rPr>
              <w:t>Comprehensive income (loss) attributable to shareholders</w:t>
            </w:r>
          </w:p>
        </w:tc>
        <w:tc>
          <w:tcPr>
            <w:tcW w:w="30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b w:val="1"/>
                <w:bCs w:val="1"/>
                <w:color w:val="auto"/>
              </w:rPr>
              <w:t>$</w:t>
            </w:r>
          </w:p>
        </w:tc>
        <w:tc>
          <w:tcPr>
            <w:tcW w:w="13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8,782</w:t>
            </w:r>
          </w:p>
        </w:tc>
        <w:tc>
          <w:tcPr>
            <w:tcW w:w="120" w:type="dxa"/>
            <w:vAlign w:val="bottom"/>
          </w:tcPr>
          <w:p>
            <w:pPr>
              <w:spacing w:after="0"/>
              <w:rPr>
                <w:sz w:val="20"/>
                <w:szCs w:val="20"/>
                <w:color w:val="auto"/>
              </w:rPr>
            </w:pPr>
          </w:p>
        </w:tc>
        <w:tc>
          <w:tcPr>
            <w:tcW w:w="38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color w:val="auto"/>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(1,276)</w:t>
            </w:r>
          </w:p>
        </w:tc>
        <w:tc>
          <w:tcPr>
            <w:tcW w:w="120" w:type="dxa"/>
            <w:vAlign w:val="bottom"/>
          </w:tcPr>
          <w:p>
            <w:pPr>
              <w:spacing w:after="0"/>
              <w:rPr>
                <w:sz w:val="20"/>
                <w:szCs w:val="20"/>
                <w:color w:val="auto"/>
              </w:rPr>
            </w:pPr>
          </w:p>
        </w:tc>
        <w:tc>
          <w:tcPr>
            <w:tcW w:w="34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b w:val="1"/>
                <w:bCs w:val="1"/>
                <w:color w:val="auto"/>
              </w:rPr>
              <w:t>$</w:t>
            </w:r>
          </w:p>
        </w:tc>
        <w:tc>
          <w:tcPr>
            <w:tcW w:w="13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1,632</w:t>
            </w:r>
          </w:p>
        </w:tc>
        <w:tc>
          <w:tcPr>
            <w:tcW w:w="120" w:type="dxa"/>
            <w:vAlign w:val="bottom"/>
          </w:tcPr>
          <w:p>
            <w:pPr>
              <w:spacing w:after="0"/>
              <w:rPr>
                <w:sz w:val="20"/>
                <w:szCs w:val="20"/>
                <w:color w:val="auto"/>
              </w:rPr>
            </w:pPr>
          </w:p>
        </w:tc>
        <w:tc>
          <w:tcPr>
            <w:tcW w:w="38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color w:val="auto"/>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(18,348)</w:t>
            </w:r>
          </w:p>
        </w:tc>
      </w:tr>
      <w:tr>
        <w:trPr>
          <w:trHeight w:val="20"/>
        </w:trPr>
        <w:tc>
          <w:tcPr>
            <w:tcW w:w="44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Arial" w:cs="Arial" w:eastAsia="Arial" w:hAnsi="Arial"/>
          <w:sz w:val="16"/>
          <w:szCs w:val="16"/>
          <w:color w:val="00497F"/>
        </w:rPr>
        <w:t>See accompanying notes to consolidated financial statements.</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w:t>
      </w:r>
    </w:p>
    <w:p>
      <w:pPr>
        <w:sectPr>
          <w:pgSz w:w="11900" w:h="16838" w:orient="portrait"/>
          <w:cols w:equalWidth="0" w:num="1">
            <w:col w:w="11420"/>
          </w:cols>
          <w:pgMar w:left="240" w:top="576" w:right="239" w:bottom="1440" w:gutter="0" w:footer="0" w:header="0"/>
        </w:sectPr>
      </w:pPr>
    </w:p>
    <w:bookmarkStart w:id="7" w:name="page8"/>
    <w:bookmarkEnd w:id="7"/>
    <w:p>
      <w:pPr>
        <w:ind w:right="3820"/>
        <w:spacing w:after="0" w:line="426" w:lineRule="auto"/>
        <w:rPr>
          <w:sz w:val="20"/>
          <w:szCs w:val="20"/>
          <w:color w:val="auto"/>
        </w:rPr>
      </w:pPr>
      <w:r>
        <w:rPr>
          <w:rFonts w:ascii="Arial" w:cs="Arial" w:eastAsia="Arial" w:hAnsi="Arial"/>
          <w:sz w:val="21"/>
          <w:szCs w:val="21"/>
          <w:b w:val="1"/>
          <w:bCs w:val="1"/>
          <w:color w:val="00497F"/>
        </w:rPr>
        <w:t xml:space="preserve">FORTRESS TRANSPORTATION AND INFRASTRUCTURE INVESTORS LLC CONSOLIDATED STATEMENT OF CHANGES IN EQUITY </w:t>
      </w:r>
      <w:r>
        <w:rPr>
          <w:rFonts w:ascii="Arial" w:cs="Arial" w:eastAsia="Arial" w:hAnsi="Arial"/>
          <w:sz w:val="21"/>
          <w:szCs w:val="21"/>
          <w:b w:val="1"/>
          <w:bCs w:val="1"/>
          <w:i w:val="1"/>
          <w:iCs w:val="1"/>
          <w:color w:val="00497F"/>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-78740</wp:posOffset>
            </wp:positionV>
            <wp:extent cx="72720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Non-Controlling</w:t>
            </w:r>
          </w:p>
        </w:tc>
        <w:tc>
          <w:tcPr>
            <w:tcW w:w="160" w:type="dxa"/>
            <w:vAlign w:val="bottom"/>
          </w:tcPr>
          <w:p>
            <w:pPr>
              <w:spacing w:after="0"/>
              <w:rPr>
                <w:sz w:val="14"/>
                <w:szCs w:val="14"/>
                <w:color w:val="auto"/>
              </w:rPr>
            </w:pPr>
          </w:p>
        </w:tc>
        <w:tc>
          <w:tcPr>
            <w:tcW w:w="1080" w:type="dxa"/>
            <w:vAlign w:val="bottom"/>
          </w:tcPr>
          <w:p>
            <w:pPr>
              <w:spacing w:after="0"/>
              <w:rPr>
                <w:sz w:val="14"/>
                <w:szCs w:val="14"/>
                <w:color w:val="auto"/>
              </w:rPr>
            </w:pPr>
          </w:p>
        </w:tc>
      </w:tr>
      <w:tr>
        <w:trPr>
          <w:trHeight w:val="162"/>
        </w:trPr>
        <w:tc>
          <w:tcPr>
            <w:tcW w:w="2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80" w:type="dxa"/>
            <w:vAlign w:val="bottom"/>
            <w:gridSpan w:val="3"/>
          </w:tcPr>
          <w:p>
            <w:pPr>
              <w:jc w:val="center"/>
              <w:ind w:right="80"/>
              <w:spacing w:after="0"/>
              <w:rPr>
                <w:sz w:val="20"/>
                <w:szCs w:val="20"/>
                <w:color w:val="auto"/>
              </w:rPr>
            </w:pPr>
            <w:r>
              <w:rPr>
                <w:rFonts w:ascii="Arial" w:cs="Arial" w:eastAsia="Arial" w:hAnsi="Arial"/>
                <w:sz w:val="14"/>
                <w:szCs w:val="14"/>
                <w:b w:val="1"/>
                <w:bCs w:val="1"/>
                <w:color w:val="auto"/>
              </w:rPr>
              <w:t>Accumulated Other</w:t>
            </w:r>
          </w:p>
        </w:tc>
        <w:tc>
          <w:tcPr>
            <w:tcW w:w="156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rPr>
              <w:t>Interest in Equity of</w:t>
            </w:r>
          </w:p>
        </w:tc>
        <w:tc>
          <w:tcPr>
            <w:tcW w:w="160" w:type="dxa"/>
            <w:vAlign w:val="bottom"/>
          </w:tcPr>
          <w:p>
            <w:pPr>
              <w:spacing w:after="0"/>
              <w:rPr>
                <w:sz w:val="14"/>
                <w:szCs w:val="14"/>
                <w:color w:val="auto"/>
              </w:rPr>
            </w:pPr>
          </w:p>
        </w:tc>
        <w:tc>
          <w:tcPr>
            <w:tcW w:w="1080" w:type="dxa"/>
            <w:vAlign w:val="bottom"/>
          </w:tcPr>
          <w:p>
            <w:pPr>
              <w:spacing w:after="0"/>
              <w:rPr>
                <w:sz w:val="14"/>
                <w:szCs w:val="14"/>
                <w:color w:val="auto"/>
              </w:rPr>
            </w:pPr>
          </w:p>
        </w:tc>
      </w:tr>
      <w:tr>
        <w:trPr>
          <w:trHeight w:val="162"/>
        </w:trPr>
        <w:tc>
          <w:tcPr>
            <w:tcW w:w="2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2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rPr>
              <w:t>Additional Paid In</w:t>
            </w:r>
          </w:p>
        </w:tc>
        <w:tc>
          <w:tcPr>
            <w:tcW w:w="180" w:type="dxa"/>
            <w:vAlign w:val="bottom"/>
          </w:tcPr>
          <w:p>
            <w:pPr>
              <w:spacing w:after="0"/>
              <w:rPr>
                <w:sz w:val="14"/>
                <w:szCs w:val="14"/>
                <w:color w:val="auto"/>
              </w:rPr>
            </w:pPr>
          </w:p>
        </w:tc>
        <w:tc>
          <w:tcPr>
            <w:tcW w:w="13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Accumulated</w:t>
            </w:r>
          </w:p>
        </w:tc>
        <w:tc>
          <w:tcPr>
            <w:tcW w:w="160" w:type="dxa"/>
            <w:vAlign w:val="bottom"/>
          </w:tcPr>
          <w:p>
            <w:pPr>
              <w:spacing w:after="0"/>
              <w:rPr>
                <w:sz w:val="14"/>
                <w:szCs w:val="14"/>
                <w:color w:val="auto"/>
              </w:rPr>
            </w:pPr>
          </w:p>
        </w:tc>
        <w:tc>
          <w:tcPr>
            <w:tcW w:w="14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Comprehensive</w:t>
            </w:r>
          </w:p>
        </w:tc>
        <w:tc>
          <w:tcPr>
            <w:tcW w:w="140" w:type="dxa"/>
            <w:vAlign w:val="bottom"/>
          </w:tcPr>
          <w:p>
            <w:pPr>
              <w:spacing w:after="0"/>
              <w:rPr>
                <w:sz w:val="14"/>
                <w:szCs w:val="14"/>
                <w:color w:val="auto"/>
              </w:rPr>
            </w:pPr>
          </w:p>
        </w:tc>
        <w:tc>
          <w:tcPr>
            <w:tcW w:w="14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Consolidated</w:t>
            </w:r>
          </w:p>
        </w:tc>
        <w:tc>
          <w:tcPr>
            <w:tcW w:w="160" w:type="dxa"/>
            <w:vAlign w:val="bottom"/>
          </w:tcPr>
          <w:p>
            <w:pPr>
              <w:spacing w:after="0"/>
              <w:rPr>
                <w:sz w:val="14"/>
                <w:szCs w:val="14"/>
                <w:color w:val="auto"/>
              </w:rPr>
            </w:pPr>
          </w:p>
        </w:tc>
        <w:tc>
          <w:tcPr>
            <w:tcW w:w="1080" w:type="dxa"/>
            <w:vAlign w:val="bottom"/>
          </w:tcPr>
          <w:p>
            <w:pPr>
              <w:spacing w:after="0"/>
              <w:rPr>
                <w:sz w:val="14"/>
                <w:szCs w:val="14"/>
                <w:color w:val="auto"/>
              </w:rPr>
            </w:pPr>
          </w:p>
        </w:tc>
      </w:tr>
      <w:tr>
        <w:trPr>
          <w:trHeight w:val="203"/>
        </w:trPr>
        <w:tc>
          <w:tcPr>
            <w:tcW w:w="2640" w:type="dxa"/>
            <w:vAlign w:val="bottom"/>
          </w:tcPr>
          <w:p>
            <w:pPr>
              <w:ind w:left="40"/>
              <w:spacing w:after="0"/>
              <w:rPr>
                <w:sz w:val="20"/>
                <w:szCs w:val="20"/>
                <w:color w:val="auto"/>
              </w:rPr>
            </w:pPr>
            <w:r>
              <w:rPr>
                <w:rFonts w:ascii="Arial" w:cs="Arial" w:eastAsia="Arial" w:hAnsi="Arial"/>
                <w:sz w:val="14"/>
                <w:szCs w:val="14"/>
                <w:i w:val="1"/>
                <w:iCs w:val="1"/>
                <w:color w:val="auto"/>
              </w:rPr>
              <w:t>(Dollar amounts in thousands)</w:t>
            </w:r>
          </w:p>
        </w:tc>
        <w:tc>
          <w:tcPr>
            <w:tcW w:w="120" w:type="dxa"/>
            <w:vAlign w:val="bottom"/>
          </w:tcPr>
          <w:p>
            <w:pPr>
              <w:spacing w:after="0"/>
              <w:rPr>
                <w:sz w:val="17"/>
                <w:szCs w:val="17"/>
                <w:color w:val="auto"/>
              </w:rPr>
            </w:pPr>
          </w:p>
        </w:tc>
        <w:tc>
          <w:tcPr>
            <w:tcW w:w="1280" w:type="dxa"/>
            <w:vAlign w:val="bottom"/>
            <w:gridSpan w:val="2"/>
          </w:tcPr>
          <w:p>
            <w:pPr>
              <w:spacing w:after="0"/>
              <w:rPr>
                <w:sz w:val="20"/>
                <w:szCs w:val="20"/>
                <w:color w:val="auto"/>
              </w:rPr>
            </w:pPr>
            <w:r>
              <w:rPr>
                <w:rFonts w:ascii="Arial" w:cs="Arial" w:eastAsia="Arial" w:hAnsi="Arial"/>
                <w:sz w:val="14"/>
                <w:szCs w:val="14"/>
                <w:b w:val="1"/>
                <w:bCs w:val="1"/>
                <w:color w:val="auto"/>
              </w:rPr>
              <w:t>Common Stock</w:t>
            </w:r>
          </w:p>
        </w:tc>
        <w:tc>
          <w:tcPr>
            <w:tcW w:w="280" w:type="dxa"/>
            <w:vAlign w:val="bottom"/>
          </w:tcPr>
          <w:p>
            <w:pPr>
              <w:spacing w:after="0"/>
              <w:rPr>
                <w:sz w:val="17"/>
                <w:szCs w:val="17"/>
                <w:color w:val="auto"/>
              </w:rPr>
            </w:pPr>
          </w:p>
        </w:tc>
        <w:tc>
          <w:tcPr>
            <w:tcW w:w="124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rPr>
              <w:t>Capital</w:t>
            </w:r>
          </w:p>
        </w:tc>
        <w:tc>
          <w:tcPr>
            <w:tcW w:w="180" w:type="dxa"/>
            <w:vAlign w:val="bottom"/>
          </w:tcPr>
          <w:p>
            <w:pPr>
              <w:spacing w:after="0"/>
              <w:rPr>
                <w:sz w:val="17"/>
                <w:szCs w:val="17"/>
                <w:color w:val="auto"/>
              </w:rPr>
            </w:pPr>
          </w:p>
        </w:tc>
        <w:tc>
          <w:tcPr>
            <w:tcW w:w="13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rPr>
              <w:t>Deficit</w:t>
            </w:r>
          </w:p>
        </w:tc>
        <w:tc>
          <w:tcPr>
            <w:tcW w:w="160" w:type="dxa"/>
            <w:vAlign w:val="bottom"/>
          </w:tcPr>
          <w:p>
            <w:pPr>
              <w:spacing w:after="0"/>
              <w:rPr>
                <w:sz w:val="17"/>
                <w:szCs w:val="17"/>
                <w:color w:val="auto"/>
              </w:rPr>
            </w:pPr>
          </w:p>
        </w:tc>
        <w:tc>
          <w:tcPr>
            <w:tcW w:w="14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Income</w:t>
            </w:r>
          </w:p>
        </w:tc>
        <w:tc>
          <w:tcPr>
            <w:tcW w:w="140" w:type="dxa"/>
            <w:vAlign w:val="bottom"/>
          </w:tcPr>
          <w:p>
            <w:pPr>
              <w:spacing w:after="0"/>
              <w:rPr>
                <w:sz w:val="17"/>
                <w:szCs w:val="17"/>
                <w:color w:val="auto"/>
              </w:rPr>
            </w:pPr>
          </w:p>
        </w:tc>
        <w:tc>
          <w:tcPr>
            <w:tcW w:w="14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Subsidiaries</w:t>
            </w:r>
          </w:p>
        </w:tc>
        <w:tc>
          <w:tcPr>
            <w:tcW w:w="160" w:type="dxa"/>
            <w:vAlign w:val="bottom"/>
          </w:tcPr>
          <w:p>
            <w:pPr>
              <w:spacing w:after="0"/>
              <w:rPr>
                <w:sz w:val="17"/>
                <w:szCs w:val="17"/>
                <w:color w:val="auto"/>
              </w:rPr>
            </w:pPr>
          </w:p>
        </w:tc>
        <w:tc>
          <w:tcPr>
            <w:tcW w:w="1080" w:type="dxa"/>
            <w:vAlign w:val="bottom"/>
          </w:tcPr>
          <w:p>
            <w:pPr>
              <w:jc w:val="right"/>
              <w:ind w:right="148"/>
              <w:spacing w:after="0"/>
              <w:rPr>
                <w:sz w:val="20"/>
                <w:szCs w:val="20"/>
                <w:color w:val="auto"/>
              </w:rPr>
            </w:pPr>
            <w:r>
              <w:rPr>
                <w:rFonts w:ascii="Arial" w:cs="Arial" w:eastAsia="Arial" w:hAnsi="Arial"/>
                <w:sz w:val="14"/>
                <w:szCs w:val="14"/>
                <w:b w:val="1"/>
                <w:bCs w:val="1"/>
                <w:color w:val="auto"/>
              </w:rPr>
              <w:t>Total Equity</w:t>
            </w:r>
          </w:p>
        </w:tc>
      </w:tr>
      <w:tr>
        <w:trPr>
          <w:trHeight w:val="251"/>
        </w:trPr>
        <w:tc>
          <w:tcPr>
            <w:tcW w:w="264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4"/>
                <w:szCs w:val="14"/>
                <w:b w:val="1"/>
                <w:bCs w:val="1"/>
                <w:color w:val="auto"/>
              </w:rPr>
              <w:t>Equity - December 31, 2016</w:t>
            </w: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60" w:type="dxa"/>
            <w:vAlign w:val="bottom"/>
            <w:tcBorders>
              <w:top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758</w:t>
            </w:r>
          </w:p>
        </w:tc>
        <w:tc>
          <w:tcPr>
            <w:tcW w:w="120" w:type="dxa"/>
            <w:vAlign w:val="bottom"/>
            <w:tcBorders>
              <w:top w:val="single" w:sz="8" w:color="CCEEFF"/>
            </w:tcBorders>
            <w:shd w:val="clear" w:color="auto" w:fill="CCEEFF"/>
          </w:tcPr>
          <w:p>
            <w:pPr>
              <w:spacing w:after="0"/>
              <w:rPr>
                <w:sz w:val="21"/>
                <w:szCs w:val="21"/>
                <w:color w:val="auto"/>
              </w:rPr>
            </w:pPr>
          </w:p>
        </w:tc>
        <w:tc>
          <w:tcPr>
            <w:tcW w:w="280" w:type="dxa"/>
            <w:vAlign w:val="bottom"/>
            <w:tcBorders>
              <w:top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1120" w:type="dxa"/>
            <w:vAlign w:val="bottom"/>
            <w:tcBorders>
              <w:top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1,084,757</w:t>
            </w:r>
          </w:p>
        </w:tc>
        <w:tc>
          <w:tcPr>
            <w:tcW w:w="120" w:type="dxa"/>
            <w:vAlign w:val="bottom"/>
            <w:tcBorders>
              <w:top w:val="single" w:sz="8" w:color="CCEEFF"/>
            </w:tcBorders>
            <w:shd w:val="clear" w:color="auto" w:fill="CCEEFF"/>
          </w:tcPr>
          <w:p>
            <w:pPr>
              <w:spacing w:after="0"/>
              <w:rPr>
                <w:sz w:val="21"/>
                <w:szCs w:val="21"/>
                <w:color w:val="auto"/>
              </w:rPr>
            </w:pPr>
          </w:p>
        </w:tc>
        <w:tc>
          <w:tcPr>
            <w:tcW w:w="18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(38,833)</w:t>
            </w:r>
          </w:p>
        </w:tc>
        <w:tc>
          <w:tcPr>
            <w:tcW w:w="100" w:type="dxa"/>
            <w:vAlign w:val="bottom"/>
            <w:tcBorders>
              <w:top w:val="single" w:sz="8" w:color="CCEEFF"/>
            </w:tcBorders>
            <w:shd w:val="clear" w:color="auto" w:fill="CCEEFF"/>
          </w:tcPr>
          <w:p>
            <w:pPr>
              <w:spacing w:after="0"/>
              <w:rPr>
                <w:sz w:val="21"/>
                <w:szCs w:val="21"/>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300" w:type="dxa"/>
            <w:vAlign w:val="bottom"/>
            <w:tcBorders>
              <w:top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7,130</w:t>
            </w:r>
          </w:p>
        </w:tc>
        <w:tc>
          <w:tcPr>
            <w:tcW w:w="120" w:type="dxa"/>
            <w:vAlign w:val="bottom"/>
            <w:tcBorders>
              <w:top w:val="single" w:sz="8" w:color="CCEEFF"/>
            </w:tcBorders>
            <w:shd w:val="clear" w:color="auto" w:fill="CCEEFF"/>
          </w:tcPr>
          <w:p>
            <w:pPr>
              <w:spacing w:after="0"/>
              <w:rPr>
                <w:sz w:val="21"/>
                <w:szCs w:val="21"/>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300" w:type="dxa"/>
            <w:vAlign w:val="bottom"/>
            <w:tcBorders>
              <w:top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111,868</w:t>
            </w:r>
          </w:p>
        </w:tc>
        <w:tc>
          <w:tcPr>
            <w:tcW w:w="120" w:type="dxa"/>
            <w:vAlign w:val="bottom"/>
            <w:tcBorders>
              <w:top w:val="single" w:sz="8" w:color="CCEEFF"/>
            </w:tcBorders>
            <w:shd w:val="clear" w:color="auto" w:fill="CCEEFF"/>
          </w:tcPr>
          <w:p>
            <w:pPr>
              <w:spacing w:after="0"/>
              <w:rPr>
                <w:sz w:val="21"/>
                <w:szCs w:val="21"/>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80" w:type="dxa"/>
            <w:vAlign w:val="bottom"/>
            <w:tcBorders>
              <w:top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1,165,680</w:t>
            </w:r>
          </w:p>
        </w:tc>
      </w:tr>
      <w:tr>
        <w:trPr>
          <w:trHeight w:val="266"/>
        </w:trPr>
        <w:tc>
          <w:tcPr>
            <w:tcW w:w="2640" w:type="dxa"/>
            <w:vAlign w:val="bottom"/>
          </w:tcPr>
          <w:p>
            <w:pPr>
              <w:ind w:left="40"/>
              <w:spacing w:after="0"/>
              <w:rPr>
                <w:sz w:val="20"/>
                <w:szCs w:val="20"/>
                <w:color w:val="auto"/>
              </w:rPr>
            </w:pPr>
            <w:r>
              <w:rPr>
                <w:rFonts w:ascii="Arial" w:cs="Arial" w:eastAsia="Arial" w:hAnsi="Arial"/>
                <w:sz w:val="14"/>
                <w:szCs w:val="14"/>
                <w:color w:val="auto"/>
              </w:rPr>
              <w:t>Comprehensive loss:</w:t>
            </w:r>
          </w:p>
        </w:tc>
        <w:tc>
          <w:tcPr>
            <w:tcW w:w="12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3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3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80" w:type="dxa"/>
            <w:vAlign w:val="bottom"/>
          </w:tcPr>
          <w:p>
            <w:pPr>
              <w:spacing w:after="0"/>
              <w:rPr>
                <w:sz w:val="23"/>
                <w:szCs w:val="23"/>
                <w:color w:val="auto"/>
              </w:rPr>
            </w:pPr>
          </w:p>
        </w:tc>
      </w:tr>
      <w:tr>
        <w:trPr>
          <w:trHeight w:val="274"/>
        </w:trPr>
        <w:tc>
          <w:tcPr>
            <w:tcW w:w="26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Net loss for the period</w:t>
            </w:r>
          </w:p>
        </w:tc>
        <w:tc>
          <w:tcPr>
            <w:tcW w:w="120" w:type="dxa"/>
            <w:vAlign w:val="bottom"/>
            <w:shd w:val="clear" w:color="auto" w:fill="CCEEFF"/>
          </w:tcPr>
          <w:p>
            <w:pPr>
              <w:spacing w:after="0"/>
              <w:rPr>
                <w:sz w:val="23"/>
                <w:szCs w:val="23"/>
                <w:color w:val="auto"/>
              </w:rPr>
            </w:pPr>
          </w:p>
        </w:tc>
        <w:tc>
          <w:tcPr>
            <w:tcW w:w="11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1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(2,876)</w:t>
            </w: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3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(13,816)</w:t>
            </w: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(16,692)</w:t>
            </w:r>
          </w:p>
        </w:tc>
      </w:tr>
      <w:tr>
        <w:trPr>
          <w:trHeight w:val="269"/>
        </w:trPr>
        <w:tc>
          <w:tcPr>
            <w:tcW w:w="2640" w:type="dxa"/>
            <w:vAlign w:val="bottom"/>
          </w:tcPr>
          <w:p>
            <w:pPr>
              <w:ind w:left="180"/>
              <w:spacing w:after="0"/>
              <w:rPr>
                <w:sz w:val="20"/>
                <w:szCs w:val="20"/>
                <w:color w:val="auto"/>
              </w:rPr>
            </w:pPr>
            <w:r>
              <w:rPr>
                <w:rFonts w:ascii="Arial" w:cs="Arial" w:eastAsia="Arial" w:hAnsi="Arial"/>
                <w:sz w:val="14"/>
                <w:szCs w:val="14"/>
                <w:color w:val="auto"/>
              </w:rPr>
              <w:t>Other comprehensive loss</w:t>
            </w:r>
          </w:p>
        </w:tc>
        <w:tc>
          <w:tcPr>
            <w:tcW w:w="12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23"/>
                <w:szCs w:val="23"/>
                <w:color w:val="auto"/>
              </w:rPr>
            </w:pPr>
          </w:p>
        </w:tc>
        <w:tc>
          <w:tcPr>
            <w:tcW w:w="1300" w:type="dxa"/>
            <w:vAlign w:val="bottom"/>
          </w:tcPr>
          <w:p>
            <w:pPr>
              <w:jc w:val="right"/>
              <w:ind w:right="28"/>
              <w:spacing w:after="0"/>
              <w:rPr>
                <w:sz w:val="20"/>
                <w:szCs w:val="20"/>
                <w:color w:val="auto"/>
              </w:rPr>
            </w:pPr>
            <w:r>
              <w:rPr>
                <w:rFonts w:ascii="Arial" w:cs="Arial" w:eastAsia="Arial" w:hAnsi="Arial"/>
                <w:sz w:val="14"/>
                <w:szCs w:val="14"/>
                <w:b w:val="1"/>
                <w:bCs w:val="1"/>
                <w:color w:val="auto"/>
              </w:rPr>
              <w:t>4,508</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42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b w:val="1"/>
                <w:bCs w:val="1"/>
                <w:color w:val="auto"/>
              </w:rPr>
              <w:t>4,508</w:t>
            </w:r>
          </w:p>
        </w:tc>
      </w:tr>
      <w:tr>
        <w:trPr>
          <w:trHeight w:val="251"/>
        </w:trPr>
        <w:tc>
          <w:tcPr>
            <w:tcW w:w="2640" w:type="dxa"/>
            <w:vAlign w:val="bottom"/>
            <w:tcBorders>
              <w:top w:val="single" w:sz="8" w:color="CCEEFF"/>
            </w:tcBorders>
            <w:shd w:val="clear" w:color="auto" w:fill="CCEEFF"/>
          </w:tcPr>
          <w:p>
            <w:pPr>
              <w:ind w:left="380"/>
              <w:spacing w:after="0"/>
              <w:rPr>
                <w:sz w:val="20"/>
                <w:szCs w:val="20"/>
                <w:color w:val="auto"/>
              </w:rPr>
            </w:pPr>
            <w:r>
              <w:rPr>
                <w:rFonts w:ascii="Arial" w:cs="Arial" w:eastAsia="Arial" w:hAnsi="Arial"/>
                <w:sz w:val="14"/>
                <w:szCs w:val="14"/>
                <w:color w:val="auto"/>
              </w:rPr>
              <w:t>Total comprehensive loss</w:t>
            </w:r>
          </w:p>
        </w:tc>
        <w:tc>
          <w:tcPr>
            <w:tcW w:w="120" w:type="dxa"/>
            <w:vAlign w:val="bottom"/>
            <w:tcBorders>
              <w:top w:val="single" w:sz="8" w:color="auto"/>
            </w:tcBorders>
            <w:shd w:val="clear" w:color="auto" w:fill="CCEEFF"/>
          </w:tcPr>
          <w:p>
            <w:pPr>
              <w:spacing w:after="0"/>
              <w:rPr>
                <w:sz w:val="21"/>
                <w:szCs w:val="21"/>
                <w:color w:val="auto"/>
              </w:rPr>
            </w:pPr>
          </w:p>
        </w:tc>
        <w:tc>
          <w:tcPr>
            <w:tcW w:w="1160" w:type="dxa"/>
            <w:vAlign w:val="bottom"/>
            <w:tcBorders>
              <w:top w:val="single" w:sz="8" w:color="auto"/>
            </w:tcBorders>
            <w:shd w:val="clear" w:color="auto" w:fill="CCEEFF"/>
          </w:tcPr>
          <w:p>
            <w:pPr>
              <w:spacing w:after="0"/>
              <w:rPr>
                <w:sz w:val="21"/>
                <w:szCs w:val="21"/>
                <w:color w:val="auto"/>
              </w:rPr>
            </w:pPr>
          </w:p>
        </w:tc>
        <w:tc>
          <w:tcPr>
            <w:tcW w:w="120" w:type="dxa"/>
            <w:vAlign w:val="bottom"/>
            <w:tcBorders>
              <w:top w:val="single" w:sz="8" w:color="CCEEFF"/>
            </w:tcBorders>
            <w:shd w:val="clear" w:color="auto" w:fill="CCEEFF"/>
          </w:tcPr>
          <w:p>
            <w:pPr>
              <w:spacing w:after="0"/>
              <w:rPr>
                <w:sz w:val="21"/>
                <w:szCs w:val="21"/>
                <w:color w:val="auto"/>
              </w:rPr>
            </w:pPr>
          </w:p>
        </w:tc>
        <w:tc>
          <w:tcPr>
            <w:tcW w:w="280" w:type="dxa"/>
            <w:vAlign w:val="bottom"/>
            <w:tcBorders>
              <w:top w:val="single" w:sz="8" w:color="auto"/>
            </w:tcBorders>
            <w:shd w:val="clear" w:color="auto" w:fill="CCEEFF"/>
          </w:tcPr>
          <w:p>
            <w:pPr>
              <w:spacing w:after="0"/>
              <w:rPr>
                <w:sz w:val="21"/>
                <w:szCs w:val="21"/>
                <w:color w:val="auto"/>
              </w:rPr>
            </w:pPr>
          </w:p>
        </w:tc>
        <w:tc>
          <w:tcPr>
            <w:tcW w:w="1120" w:type="dxa"/>
            <w:vAlign w:val="bottom"/>
            <w:tcBorders>
              <w:top w:val="single" w:sz="8" w:color="auto"/>
            </w:tcBorders>
            <w:shd w:val="clear" w:color="auto" w:fill="CCEEFF"/>
          </w:tcPr>
          <w:p>
            <w:pPr>
              <w:spacing w:after="0"/>
              <w:rPr>
                <w:sz w:val="21"/>
                <w:szCs w:val="21"/>
                <w:color w:val="auto"/>
              </w:rPr>
            </w:pPr>
          </w:p>
        </w:tc>
        <w:tc>
          <w:tcPr>
            <w:tcW w:w="120" w:type="dxa"/>
            <w:vAlign w:val="bottom"/>
            <w:tcBorders>
              <w:top w:val="single" w:sz="8" w:color="CCEEFF"/>
            </w:tcBorders>
            <w:shd w:val="clear" w:color="auto" w:fill="CCEEFF"/>
          </w:tcPr>
          <w:p>
            <w:pPr>
              <w:spacing w:after="0"/>
              <w:rPr>
                <w:sz w:val="21"/>
                <w:szCs w:val="21"/>
                <w:color w:val="auto"/>
              </w:rPr>
            </w:pPr>
          </w:p>
        </w:tc>
        <w:tc>
          <w:tcPr>
            <w:tcW w:w="180" w:type="dxa"/>
            <w:vAlign w:val="bottom"/>
            <w:tcBorders>
              <w:top w:val="single" w:sz="8" w:color="auto"/>
            </w:tcBorders>
            <w:shd w:val="clear" w:color="auto" w:fill="CCEEFF"/>
          </w:tcPr>
          <w:p>
            <w:pPr>
              <w:spacing w:after="0"/>
              <w:rPr>
                <w:sz w:val="21"/>
                <w:szCs w:val="21"/>
                <w:color w:val="auto"/>
              </w:rPr>
            </w:pP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(2,876)</w:t>
            </w:r>
          </w:p>
        </w:tc>
        <w:tc>
          <w:tcPr>
            <w:tcW w:w="100" w:type="dxa"/>
            <w:vAlign w:val="bottom"/>
            <w:tcBorders>
              <w:top w:val="single" w:sz="8" w:color="CCEEFF"/>
            </w:tcBorders>
            <w:shd w:val="clear" w:color="auto" w:fill="CCEEFF"/>
          </w:tcPr>
          <w:p>
            <w:pPr>
              <w:spacing w:after="0"/>
              <w:rPr>
                <w:sz w:val="21"/>
                <w:szCs w:val="21"/>
                <w:color w:val="auto"/>
              </w:rPr>
            </w:pPr>
          </w:p>
        </w:tc>
        <w:tc>
          <w:tcPr>
            <w:tcW w:w="160" w:type="dxa"/>
            <w:vAlign w:val="bottom"/>
            <w:tcBorders>
              <w:top w:val="single" w:sz="8" w:color="auto"/>
            </w:tcBorders>
            <w:shd w:val="clear" w:color="auto" w:fill="CCEEFF"/>
          </w:tcPr>
          <w:p>
            <w:pPr>
              <w:spacing w:after="0"/>
              <w:rPr>
                <w:sz w:val="21"/>
                <w:szCs w:val="21"/>
                <w:color w:val="auto"/>
              </w:rPr>
            </w:pPr>
          </w:p>
        </w:tc>
        <w:tc>
          <w:tcPr>
            <w:tcW w:w="1300" w:type="dxa"/>
            <w:vAlign w:val="bottom"/>
            <w:tcBorders>
              <w:top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4,508</w:t>
            </w:r>
          </w:p>
        </w:tc>
        <w:tc>
          <w:tcPr>
            <w:tcW w:w="120" w:type="dxa"/>
            <w:vAlign w:val="bottom"/>
            <w:tcBorders>
              <w:top w:val="single" w:sz="8" w:color="CCEEFF"/>
            </w:tcBorders>
            <w:shd w:val="clear" w:color="auto" w:fill="CCEEFF"/>
          </w:tcPr>
          <w:p>
            <w:pPr>
              <w:spacing w:after="0"/>
              <w:rPr>
                <w:sz w:val="21"/>
                <w:szCs w:val="21"/>
                <w:color w:val="auto"/>
              </w:rPr>
            </w:pPr>
          </w:p>
        </w:tc>
        <w:tc>
          <w:tcPr>
            <w:tcW w:w="140" w:type="dxa"/>
            <w:vAlign w:val="bottom"/>
            <w:tcBorders>
              <w:top w:val="single" w:sz="8" w:color="auto"/>
            </w:tcBorders>
            <w:shd w:val="clear" w:color="auto" w:fill="CCEEFF"/>
          </w:tcPr>
          <w:p>
            <w:pPr>
              <w:spacing w:after="0"/>
              <w:rPr>
                <w:sz w:val="21"/>
                <w:szCs w:val="21"/>
                <w:color w:val="auto"/>
              </w:rPr>
            </w:pPr>
          </w:p>
        </w:tc>
        <w:tc>
          <w:tcPr>
            <w:tcW w:w="1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(13,816)</w:t>
            </w:r>
          </w:p>
        </w:tc>
        <w:tc>
          <w:tcPr>
            <w:tcW w:w="120" w:type="dxa"/>
            <w:vAlign w:val="bottom"/>
            <w:tcBorders>
              <w:top w:val="single" w:sz="8" w:color="CCEEFF"/>
            </w:tcBorders>
            <w:shd w:val="clear" w:color="auto" w:fill="CCEEFF"/>
          </w:tcPr>
          <w:p>
            <w:pPr>
              <w:spacing w:after="0"/>
              <w:rPr>
                <w:sz w:val="21"/>
                <w:szCs w:val="21"/>
                <w:color w:val="auto"/>
              </w:rPr>
            </w:pPr>
          </w:p>
        </w:tc>
        <w:tc>
          <w:tcPr>
            <w:tcW w:w="160" w:type="dxa"/>
            <w:vAlign w:val="bottom"/>
            <w:tcBorders>
              <w:top w:val="single" w:sz="8" w:color="auto"/>
            </w:tcBorders>
            <w:shd w:val="clear" w:color="auto" w:fill="CCEEFF"/>
          </w:tcPr>
          <w:p>
            <w:pPr>
              <w:spacing w:after="0"/>
              <w:rPr>
                <w:sz w:val="21"/>
                <w:szCs w:val="21"/>
                <w:color w:val="auto"/>
              </w:rPr>
            </w:pP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(12,184)</w:t>
            </w:r>
          </w:p>
        </w:tc>
      </w:tr>
      <w:tr>
        <w:trPr>
          <w:trHeight w:val="269"/>
        </w:trPr>
        <w:tc>
          <w:tcPr>
            <w:tcW w:w="2640" w:type="dxa"/>
            <w:vAlign w:val="bottom"/>
          </w:tcPr>
          <w:p>
            <w:pPr>
              <w:ind w:left="40"/>
              <w:spacing w:after="0"/>
              <w:rPr>
                <w:sz w:val="20"/>
                <w:szCs w:val="20"/>
                <w:color w:val="auto"/>
              </w:rPr>
            </w:pPr>
            <w:r>
              <w:rPr>
                <w:rFonts w:ascii="Arial" w:cs="Arial" w:eastAsia="Arial" w:hAnsi="Arial"/>
                <w:sz w:val="14"/>
                <w:szCs w:val="14"/>
                <w:color w:val="auto"/>
              </w:rPr>
              <w:t>Capital contributions</w:t>
            </w:r>
          </w:p>
        </w:tc>
        <w:tc>
          <w:tcPr>
            <w:tcW w:w="12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3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300" w:type="dxa"/>
            <w:vAlign w:val="bottom"/>
          </w:tcPr>
          <w:p>
            <w:pPr>
              <w:jc w:val="right"/>
              <w:ind w:right="28"/>
              <w:spacing w:after="0"/>
              <w:rPr>
                <w:sz w:val="20"/>
                <w:szCs w:val="20"/>
                <w:color w:val="auto"/>
              </w:rPr>
            </w:pPr>
            <w:r>
              <w:rPr>
                <w:rFonts w:ascii="Arial" w:cs="Arial" w:eastAsia="Arial" w:hAnsi="Arial"/>
                <w:sz w:val="14"/>
                <w:szCs w:val="14"/>
                <w:b w:val="1"/>
                <w:bCs w:val="1"/>
                <w:color w:val="auto"/>
              </w:rPr>
              <w:t>1,261</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b w:val="1"/>
                <w:bCs w:val="1"/>
                <w:color w:val="auto"/>
              </w:rPr>
              <w:t>1,261</w:t>
            </w:r>
          </w:p>
        </w:tc>
      </w:tr>
      <w:tr>
        <w:trPr>
          <w:trHeight w:val="271"/>
        </w:trPr>
        <w:tc>
          <w:tcPr>
            <w:tcW w:w="2640" w:type="dxa"/>
            <w:vAlign w:val="bottom"/>
            <w:shd w:val="clear" w:color="auto" w:fill="CCEEFF"/>
          </w:tcPr>
          <w:p>
            <w:pPr>
              <w:ind w:left="40"/>
              <w:spacing w:after="0"/>
              <w:rPr>
                <w:sz w:val="20"/>
                <w:szCs w:val="20"/>
                <w:color w:val="auto"/>
              </w:rPr>
            </w:pPr>
            <w:r>
              <w:rPr>
                <w:rFonts w:ascii="Arial" w:cs="Arial" w:eastAsia="Arial" w:hAnsi="Arial"/>
                <w:sz w:val="14"/>
                <w:szCs w:val="14"/>
                <w:color w:val="auto"/>
              </w:rPr>
              <w:t>Transfer of non-controlling interest</w:t>
            </w:r>
          </w:p>
        </w:tc>
        <w:tc>
          <w:tcPr>
            <w:tcW w:w="120" w:type="dxa"/>
            <w:vAlign w:val="bottom"/>
            <w:shd w:val="clear" w:color="auto" w:fill="CCEEFF"/>
          </w:tcPr>
          <w:p>
            <w:pPr>
              <w:spacing w:after="0"/>
              <w:rPr>
                <w:sz w:val="23"/>
                <w:szCs w:val="23"/>
                <w:color w:val="auto"/>
              </w:rPr>
            </w:pPr>
          </w:p>
        </w:tc>
        <w:tc>
          <w:tcPr>
            <w:tcW w:w="11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1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2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3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(2,798)</w:t>
            </w: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(2,798)</w:t>
            </w:r>
          </w:p>
        </w:tc>
      </w:tr>
      <w:tr>
        <w:trPr>
          <w:trHeight w:val="269"/>
        </w:trPr>
        <w:tc>
          <w:tcPr>
            <w:tcW w:w="2640" w:type="dxa"/>
            <w:vAlign w:val="bottom"/>
          </w:tcPr>
          <w:p>
            <w:pPr>
              <w:ind w:left="40"/>
              <w:spacing w:after="0"/>
              <w:rPr>
                <w:sz w:val="20"/>
                <w:szCs w:val="20"/>
                <w:color w:val="auto"/>
              </w:rPr>
            </w:pPr>
            <w:r>
              <w:rPr>
                <w:rFonts w:ascii="Arial" w:cs="Arial" w:eastAsia="Arial" w:hAnsi="Arial"/>
                <w:sz w:val="14"/>
                <w:szCs w:val="14"/>
                <w:color w:val="auto"/>
              </w:rPr>
              <w:t>Dividends declared</w:t>
            </w:r>
          </w:p>
        </w:tc>
        <w:tc>
          <w:tcPr>
            <w:tcW w:w="12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120" w:type="dxa"/>
            <w:vAlign w:val="bottom"/>
          </w:tcPr>
          <w:p>
            <w:pPr>
              <w:jc w:val="right"/>
              <w:ind w:right="8"/>
              <w:spacing w:after="0"/>
              <w:rPr>
                <w:sz w:val="20"/>
                <w:szCs w:val="20"/>
                <w:color w:val="auto"/>
              </w:rPr>
            </w:pPr>
            <w:r>
              <w:rPr>
                <w:rFonts w:ascii="Arial" w:cs="Arial" w:eastAsia="Arial" w:hAnsi="Arial"/>
                <w:sz w:val="14"/>
                <w:szCs w:val="14"/>
                <w:b w:val="1"/>
                <w:bCs w:val="1"/>
                <w:color w:val="auto"/>
              </w:rPr>
              <w:t>(75,041)</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3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42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4"/>
                <w:szCs w:val="14"/>
                <w:b w:val="1"/>
                <w:bCs w:val="1"/>
                <w:color w:val="auto"/>
              </w:rPr>
              <w:t>(75,041)</w:t>
            </w:r>
          </w:p>
        </w:tc>
      </w:tr>
      <w:tr>
        <w:trPr>
          <w:trHeight w:val="271"/>
        </w:trPr>
        <w:tc>
          <w:tcPr>
            <w:tcW w:w="2640" w:type="dxa"/>
            <w:vAlign w:val="bottom"/>
            <w:shd w:val="clear" w:color="auto" w:fill="CCEEFF"/>
          </w:tcPr>
          <w:p>
            <w:pPr>
              <w:ind w:left="40"/>
              <w:spacing w:after="0"/>
              <w:rPr>
                <w:sz w:val="20"/>
                <w:szCs w:val="20"/>
                <w:color w:val="auto"/>
              </w:rPr>
            </w:pPr>
            <w:r>
              <w:rPr>
                <w:rFonts w:ascii="Arial" w:cs="Arial" w:eastAsia="Arial" w:hAnsi="Arial"/>
                <w:sz w:val="14"/>
                <w:szCs w:val="14"/>
                <w:color w:val="auto"/>
              </w:rPr>
              <w:t>Issuance of common shares</w:t>
            </w:r>
          </w:p>
        </w:tc>
        <w:tc>
          <w:tcPr>
            <w:tcW w:w="120" w:type="dxa"/>
            <w:vAlign w:val="bottom"/>
            <w:shd w:val="clear" w:color="auto" w:fill="CCEEFF"/>
          </w:tcPr>
          <w:p>
            <w:pPr>
              <w:spacing w:after="0"/>
              <w:rPr>
                <w:sz w:val="23"/>
                <w:szCs w:val="23"/>
                <w:color w:val="auto"/>
              </w:rPr>
            </w:pPr>
          </w:p>
        </w:tc>
        <w:tc>
          <w:tcPr>
            <w:tcW w:w="11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112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310</w:t>
            </w: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2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3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4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b w:val="1"/>
                <w:bCs w:val="1"/>
                <w:color w:val="auto"/>
              </w:rPr>
              <w:t>—</w:t>
            </w:r>
          </w:p>
        </w:tc>
        <w:tc>
          <w:tcPr>
            <w:tcW w:w="160" w:type="dxa"/>
            <w:vAlign w:val="bottom"/>
            <w:shd w:val="clear" w:color="auto" w:fill="CCEEFF"/>
          </w:tcPr>
          <w:p>
            <w:pPr>
              <w:spacing w:after="0"/>
              <w:rPr>
                <w:sz w:val="23"/>
                <w:szCs w:val="23"/>
                <w:color w:val="auto"/>
              </w:rPr>
            </w:pPr>
          </w:p>
        </w:tc>
        <w:tc>
          <w:tcPr>
            <w:tcW w:w="108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310</w:t>
            </w:r>
          </w:p>
        </w:tc>
      </w:tr>
      <w:tr>
        <w:trPr>
          <w:trHeight w:val="269"/>
        </w:trPr>
        <w:tc>
          <w:tcPr>
            <w:tcW w:w="2640" w:type="dxa"/>
            <w:vAlign w:val="bottom"/>
          </w:tcPr>
          <w:p>
            <w:pPr>
              <w:ind w:left="40"/>
              <w:spacing w:after="0"/>
              <w:rPr>
                <w:sz w:val="20"/>
                <w:szCs w:val="20"/>
                <w:color w:val="auto"/>
              </w:rPr>
            </w:pPr>
            <w:r>
              <w:rPr>
                <w:rFonts w:ascii="Arial" w:cs="Arial" w:eastAsia="Arial" w:hAnsi="Arial"/>
                <w:sz w:val="14"/>
                <w:szCs w:val="14"/>
                <w:color w:val="auto"/>
              </w:rPr>
              <w:t>Equity-based compensation</w:t>
            </w:r>
          </w:p>
        </w:tc>
        <w:tc>
          <w:tcPr>
            <w:tcW w:w="12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24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rPr>
              <w:t>—</w:t>
            </w:r>
          </w:p>
        </w:tc>
        <w:tc>
          <w:tcPr>
            <w:tcW w:w="18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3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300" w:type="dxa"/>
            <w:vAlign w:val="bottom"/>
          </w:tcPr>
          <w:p>
            <w:pPr>
              <w:jc w:val="right"/>
              <w:ind w:right="28"/>
              <w:spacing w:after="0"/>
              <w:rPr>
                <w:sz w:val="20"/>
                <w:szCs w:val="20"/>
                <w:color w:val="auto"/>
              </w:rPr>
            </w:pPr>
            <w:r>
              <w:rPr>
                <w:rFonts w:ascii="Arial" w:cs="Arial" w:eastAsia="Arial" w:hAnsi="Arial"/>
                <w:sz w:val="14"/>
                <w:szCs w:val="14"/>
                <w:b w:val="1"/>
                <w:bCs w:val="1"/>
                <w:color w:val="auto"/>
              </w:rPr>
              <w:t>695</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b w:val="1"/>
                <w:bCs w:val="1"/>
                <w:color w:val="auto"/>
              </w:rPr>
              <w:t>695</w:t>
            </w:r>
          </w:p>
        </w:tc>
      </w:tr>
      <w:tr>
        <w:trPr>
          <w:trHeight w:val="238"/>
        </w:trPr>
        <w:tc>
          <w:tcPr>
            <w:tcW w:w="26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4"/>
                <w:szCs w:val="14"/>
                <w:b w:val="1"/>
                <w:bCs w:val="1"/>
                <w:color w:val="auto"/>
              </w:rPr>
              <w:t>Equity - September 30, 2017</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16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758</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280" w:type="dxa"/>
            <w:vAlign w:val="bottom"/>
            <w:tcBorders>
              <w:top w:val="single" w:sz="8" w:color="auto"/>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b w:val="1"/>
                <w:bCs w:val="1"/>
                <w:color w:val="auto"/>
              </w:rPr>
              <w:t>$</w:t>
            </w:r>
          </w:p>
        </w:tc>
        <w:tc>
          <w:tcPr>
            <w:tcW w:w="112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1,010,026</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(41,709)</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30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11,638</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30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97,210</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08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1,077,923</w:t>
            </w:r>
          </w:p>
        </w:tc>
      </w:tr>
      <w:tr>
        <w:trPr>
          <w:trHeight w:val="20"/>
        </w:trPr>
        <w:tc>
          <w:tcPr>
            <w:tcW w:w="26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Arial" w:cs="Arial" w:eastAsia="Arial" w:hAnsi="Arial"/>
          <w:sz w:val="16"/>
          <w:szCs w:val="16"/>
          <w:color w:val="00497F"/>
        </w:rPr>
        <w:t>See accompanying notes to consolidated financial statements.</w:t>
      </w: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w:t>
      </w:r>
    </w:p>
    <w:p>
      <w:pPr>
        <w:sectPr>
          <w:pgSz w:w="11900" w:h="16838" w:orient="portrait"/>
          <w:cols w:equalWidth="0" w:num="1">
            <w:col w:w="11420"/>
          </w:cols>
          <w:pgMar w:left="240" w:top="576" w:right="239" w:bottom="1440" w:gutter="0" w:footer="0" w:header="0"/>
        </w:sectPr>
      </w:pPr>
    </w:p>
    <w:bookmarkStart w:id="8" w:name="page9"/>
    <w:bookmarkEnd w:id="8"/>
    <w:p>
      <w:pPr>
        <w:ind w:right="3820"/>
        <w:spacing w:after="0" w:line="395" w:lineRule="auto"/>
        <w:rPr>
          <w:sz w:val="20"/>
          <w:szCs w:val="20"/>
          <w:color w:val="auto"/>
        </w:rPr>
      </w:pPr>
      <w:r>
        <w:rPr>
          <w:rFonts w:ascii="Arial" w:cs="Arial" w:eastAsia="Arial" w:hAnsi="Arial"/>
          <w:sz w:val="22"/>
          <w:szCs w:val="22"/>
          <w:b w:val="1"/>
          <w:bCs w:val="1"/>
          <w:color w:val="00497F"/>
        </w:rPr>
        <w:t xml:space="preserve">FORTRESS TRANSPORTATION AND INFRASTRUCTURE INVESTORS LLC CONSOLIDATED STATEMENTS OF CASH FLOWS </w:t>
      </w:r>
      <w:r>
        <w:rPr>
          <w:rFonts w:ascii="Arial" w:cs="Arial" w:eastAsia="Arial" w:hAnsi="Arial"/>
          <w:sz w:val="22"/>
          <w:szCs w:val="22"/>
          <w:b w:val="1"/>
          <w:bCs w:val="1"/>
          <w:i w:val="1"/>
          <w:iCs w:val="1"/>
          <w:color w:val="00497F"/>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2720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790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3180" w:type="dxa"/>
            <w:vAlign w:val="bottom"/>
            <w:tcBorders>
              <w:bottom w:val="single" w:sz="8" w:color="auto"/>
            </w:tcBorders>
            <w:gridSpan w:val="4"/>
          </w:tcPr>
          <w:p>
            <w:pPr>
              <w:jc w:val="right"/>
              <w:ind w:right="488"/>
              <w:spacing w:after="0"/>
              <w:rPr>
                <w:sz w:val="20"/>
                <w:szCs w:val="20"/>
                <w:color w:val="auto"/>
              </w:rPr>
            </w:pPr>
            <w:r>
              <w:rPr>
                <w:rFonts w:ascii="Arial" w:cs="Arial" w:eastAsia="Arial" w:hAnsi="Arial"/>
                <w:sz w:val="14"/>
                <w:szCs w:val="14"/>
                <w:b w:val="1"/>
                <w:bCs w:val="1"/>
                <w:color w:val="auto"/>
              </w:rPr>
              <w:t>Nine Months Ended September 30,</w:t>
            </w:r>
          </w:p>
        </w:tc>
      </w:tr>
      <w:tr>
        <w:trPr>
          <w:trHeight w:val="264"/>
        </w:trPr>
        <w:tc>
          <w:tcPr>
            <w:tcW w:w="7900" w:type="dxa"/>
            <w:vAlign w:val="bottom"/>
            <w:tcBorders>
              <w:bottom w:val="single" w:sz="8" w:color="CCEEFF"/>
            </w:tcBorders>
          </w:tcPr>
          <w:p>
            <w:pPr>
              <w:ind w:left="40"/>
              <w:spacing w:after="0"/>
              <w:rPr>
                <w:sz w:val="20"/>
                <w:szCs w:val="20"/>
                <w:color w:val="auto"/>
              </w:rPr>
            </w:pPr>
            <w:r>
              <w:rPr>
                <w:rFonts w:ascii="Arial" w:cs="Arial" w:eastAsia="Arial" w:hAnsi="Arial"/>
                <w:sz w:val="14"/>
                <w:szCs w:val="14"/>
                <w:i w:val="1"/>
                <w:iCs w:val="1"/>
                <w:color w:val="auto"/>
              </w:rPr>
              <w:t>(Dollar amounts in thousands)</w:t>
            </w:r>
          </w:p>
        </w:tc>
        <w:tc>
          <w:tcPr>
            <w:tcW w:w="340" w:type="dxa"/>
            <w:vAlign w:val="bottom"/>
            <w:tcBorders>
              <w:bottom w:val="single" w:sz="8" w:color="auto"/>
            </w:tcBorders>
          </w:tcPr>
          <w:p>
            <w:pPr>
              <w:spacing w:after="0"/>
              <w:rPr>
                <w:sz w:val="22"/>
                <w:szCs w:val="22"/>
                <w:color w:val="auto"/>
              </w:rPr>
            </w:pPr>
          </w:p>
        </w:tc>
        <w:tc>
          <w:tcPr>
            <w:tcW w:w="1380" w:type="dxa"/>
            <w:vAlign w:val="bottom"/>
            <w:tcBorders>
              <w:bottom w:val="single" w:sz="8" w:color="auto"/>
            </w:tcBorders>
          </w:tcPr>
          <w:p>
            <w:pPr>
              <w:jc w:val="right"/>
              <w:ind w:right="628"/>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ind w:right="608"/>
              <w:spacing w:after="0"/>
              <w:rPr>
                <w:sz w:val="20"/>
                <w:szCs w:val="20"/>
                <w:color w:val="auto"/>
              </w:rPr>
            </w:pPr>
            <w:r>
              <w:rPr>
                <w:rFonts w:ascii="Arial" w:cs="Arial" w:eastAsia="Arial" w:hAnsi="Arial"/>
                <w:sz w:val="14"/>
                <w:szCs w:val="14"/>
                <w:b w:val="1"/>
                <w:bCs w:val="1"/>
                <w:color w:val="auto"/>
              </w:rPr>
              <w:t>2016</w:t>
            </w:r>
          </w:p>
        </w:tc>
      </w:tr>
      <w:tr>
        <w:trPr>
          <w:trHeight w:val="265"/>
        </w:trPr>
        <w:tc>
          <w:tcPr>
            <w:tcW w:w="7900" w:type="dxa"/>
            <w:vAlign w:val="bottom"/>
            <w:shd w:val="clear" w:color="auto" w:fill="CCEEFF"/>
          </w:tcPr>
          <w:p>
            <w:pPr>
              <w:ind w:left="80"/>
              <w:spacing w:after="0"/>
              <w:rPr>
                <w:sz w:val="20"/>
                <w:szCs w:val="20"/>
                <w:color w:val="auto"/>
              </w:rPr>
            </w:pPr>
            <w:r>
              <w:rPr>
                <w:rFonts w:ascii="Arial" w:cs="Arial" w:eastAsia="Arial" w:hAnsi="Arial"/>
                <w:sz w:val="14"/>
                <w:szCs w:val="14"/>
                <w:b w:val="1"/>
                <w:bCs w:val="1"/>
                <w:color w:val="auto"/>
              </w:rPr>
              <w:t>Cash flows from operating activities:</w:t>
            </w:r>
          </w:p>
        </w:tc>
        <w:tc>
          <w:tcPr>
            <w:tcW w:w="340" w:type="dxa"/>
            <w:vAlign w:val="bottom"/>
            <w:shd w:val="clear" w:color="auto" w:fill="CCEEFF"/>
          </w:tcPr>
          <w:p>
            <w:pPr>
              <w:spacing w:after="0"/>
              <w:rPr>
                <w:sz w:val="23"/>
                <w:szCs w:val="23"/>
                <w:color w:val="auto"/>
              </w:rPr>
            </w:pPr>
          </w:p>
        </w:tc>
        <w:tc>
          <w:tcPr>
            <w:tcW w:w="13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1300" w:type="dxa"/>
            <w:vAlign w:val="bottom"/>
            <w:shd w:val="clear" w:color="auto" w:fill="CCEEFF"/>
          </w:tcPr>
          <w:p>
            <w:pPr>
              <w:spacing w:after="0"/>
              <w:rPr>
                <w:sz w:val="23"/>
                <w:szCs w:val="23"/>
                <w:color w:val="auto"/>
              </w:rPr>
            </w:pPr>
          </w:p>
        </w:tc>
      </w:tr>
      <w:tr>
        <w:trPr>
          <w:trHeight w:val="269"/>
        </w:trPr>
        <w:tc>
          <w:tcPr>
            <w:tcW w:w="7900" w:type="dxa"/>
            <w:vAlign w:val="bottom"/>
          </w:tcPr>
          <w:p>
            <w:pPr>
              <w:ind w:left="80"/>
              <w:spacing w:after="0"/>
              <w:rPr>
                <w:sz w:val="20"/>
                <w:szCs w:val="20"/>
                <w:color w:val="auto"/>
              </w:rPr>
            </w:pPr>
            <w:r>
              <w:rPr>
                <w:rFonts w:ascii="Arial" w:cs="Arial" w:eastAsia="Arial" w:hAnsi="Arial"/>
                <w:sz w:val="14"/>
                <w:szCs w:val="14"/>
                <w:color w:val="auto"/>
              </w:rPr>
              <w:t>Net loss</w:t>
            </w:r>
          </w:p>
        </w:tc>
        <w:tc>
          <w:tcPr>
            <w:tcW w:w="340" w:type="dxa"/>
            <w:vAlign w:val="bottom"/>
          </w:tcPr>
          <w:p>
            <w:pPr>
              <w:jc w:val="right"/>
              <w:ind w:right="168"/>
              <w:spacing w:after="0"/>
              <w:rPr>
                <w:sz w:val="20"/>
                <w:szCs w:val="20"/>
                <w:color w:val="auto"/>
              </w:rPr>
            </w:pPr>
            <w:r>
              <w:rPr>
                <w:rFonts w:ascii="Arial" w:cs="Arial" w:eastAsia="Arial" w:hAnsi="Arial"/>
                <w:sz w:val="14"/>
                <w:szCs w:val="14"/>
                <w:b w:val="1"/>
                <w:bCs w:val="1"/>
                <w:color w:val="auto"/>
              </w:rPr>
              <w:t>$</w:t>
            </w:r>
          </w:p>
        </w:tc>
        <w:tc>
          <w:tcPr>
            <w:tcW w:w="1380" w:type="dxa"/>
            <w:vAlign w:val="bottom"/>
          </w:tcPr>
          <w:p>
            <w:pPr>
              <w:jc w:val="right"/>
              <w:spacing w:after="0"/>
              <w:rPr>
                <w:sz w:val="20"/>
                <w:szCs w:val="20"/>
                <w:color w:val="auto"/>
              </w:rPr>
            </w:pPr>
            <w:r>
              <w:rPr>
                <w:rFonts w:ascii="Arial" w:cs="Arial" w:eastAsia="Arial" w:hAnsi="Arial"/>
                <w:sz w:val="14"/>
                <w:szCs w:val="14"/>
                <w:b w:val="1"/>
                <w:bCs w:val="1"/>
                <w:color w:val="auto"/>
              </w:rPr>
              <w:t>(16,692)</w:t>
            </w:r>
          </w:p>
        </w:tc>
        <w:tc>
          <w:tcPr>
            <w:tcW w:w="120" w:type="dxa"/>
            <w:vAlign w:val="bottom"/>
          </w:tcPr>
          <w:p>
            <w:pPr>
              <w:spacing w:after="0"/>
              <w:rPr>
                <w:sz w:val="23"/>
                <w:szCs w:val="23"/>
                <w:color w:val="auto"/>
              </w:rPr>
            </w:pPr>
          </w:p>
        </w:tc>
        <w:tc>
          <w:tcPr>
            <w:tcW w:w="380" w:type="dxa"/>
            <w:vAlign w:val="bottom"/>
          </w:tcPr>
          <w:p>
            <w:pPr>
              <w:jc w:val="right"/>
              <w:ind w:right="208"/>
              <w:spacing w:after="0"/>
              <w:rPr>
                <w:sz w:val="20"/>
                <w:szCs w:val="20"/>
                <w:color w:val="auto"/>
              </w:rPr>
            </w:pPr>
            <w:r>
              <w:rPr>
                <w:rFonts w:ascii="Arial" w:cs="Arial" w:eastAsia="Arial" w:hAnsi="Arial"/>
                <w:sz w:val="14"/>
                <w:szCs w:val="14"/>
                <w:color w:val="auto"/>
              </w:rPr>
              <w:t>$</w:t>
            </w:r>
          </w:p>
        </w:tc>
        <w:tc>
          <w:tcPr>
            <w:tcW w:w="1300" w:type="dxa"/>
            <w:vAlign w:val="bottom"/>
          </w:tcPr>
          <w:p>
            <w:pPr>
              <w:jc w:val="right"/>
              <w:spacing w:after="0"/>
              <w:rPr>
                <w:sz w:val="20"/>
                <w:szCs w:val="20"/>
                <w:color w:val="auto"/>
              </w:rPr>
            </w:pPr>
            <w:r>
              <w:rPr>
                <w:rFonts w:ascii="Arial" w:cs="Arial" w:eastAsia="Arial" w:hAnsi="Arial"/>
                <w:sz w:val="14"/>
                <w:szCs w:val="14"/>
                <w:color w:val="auto"/>
              </w:rPr>
              <w:t>(34,779)</w:t>
            </w:r>
          </w:p>
        </w:tc>
      </w:tr>
      <w:tr>
        <w:trPr>
          <w:trHeight w:val="271"/>
        </w:trPr>
        <w:tc>
          <w:tcPr>
            <w:tcW w:w="7900" w:type="dxa"/>
            <w:vAlign w:val="bottom"/>
            <w:shd w:val="clear" w:color="auto" w:fill="CCEEFF"/>
          </w:tcPr>
          <w:p>
            <w:pPr>
              <w:ind w:left="60"/>
              <w:spacing w:after="0"/>
              <w:rPr>
                <w:sz w:val="20"/>
                <w:szCs w:val="20"/>
                <w:color w:val="auto"/>
              </w:rPr>
            </w:pPr>
            <w:r>
              <w:rPr>
                <w:rFonts w:ascii="Arial" w:cs="Arial" w:eastAsia="Arial" w:hAnsi="Arial"/>
                <w:sz w:val="14"/>
                <w:szCs w:val="14"/>
                <w:color w:val="auto"/>
              </w:rPr>
              <w:t>Adjustments to reconcile net loss to net cash provided by operating activities:</w:t>
            </w:r>
          </w:p>
        </w:tc>
        <w:tc>
          <w:tcPr>
            <w:tcW w:w="340" w:type="dxa"/>
            <w:vAlign w:val="bottom"/>
            <w:shd w:val="clear" w:color="auto" w:fill="CCEEFF"/>
          </w:tcPr>
          <w:p>
            <w:pPr>
              <w:spacing w:after="0"/>
              <w:rPr>
                <w:sz w:val="23"/>
                <w:szCs w:val="23"/>
                <w:color w:val="auto"/>
              </w:rPr>
            </w:pPr>
          </w:p>
        </w:tc>
        <w:tc>
          <w:tcPr>
            <w:tcW w:w="13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1300" w:type="dxa"/>
            <w:vAlign w:val="bottom"/>
            <w:shd w:val="clear" w:color="auto" w:fill="CCEEFF"/>
          </w:tcPr>
          <w:p>
            <w:pPr>
              <w:spacing w:after="0"/>
              <w:rPr>
                <w:sz w:val="23"/>
                <w:szCs w:val="23"/>
                <w:color w:val="auto"/>
              </w:rPr>
            </w:pPr>
          </w:p>
        </w:tc>
      </w:tr>
      <w:tr>
        <w:trPr>
          <w:trHeight w:val="269"/>
        </w:trPr>
        <w:tc>
          <w:tcPr>
            <w:tcW w:w="7900" w:type="dxa"/>
            <w:vAlign w:val="bottom"/>
          </w:tcPr>
          <w:p>
            <w:pPr>
              <w:ind w:left="600"/>
              <w:spacing w:after="0"/>
              <w:rPr>
                <w:sz w:val="20"/>
                <w:szCs w:val="20"/>
                <w:color w:val="auto"/>
              </w:rPr>
            </w:pPr>
            <w:r>
              <w:rPr>
                <w:rFonts w:ascii="Arial" w:cs="Arial" w:eastAsia="Arial" w:hAnsi="Arial"/>
                <w:sz w:val="14"/>
                <w:szCs w:val="14"/>
                <w:color w:val="auto"/>
              </w:rPr>
              <w:t>Equity losses of unconsolidated entities</w:t>
            </w:r>
          </w:p>
        </w:tc>
        <w:tc>
          <w:tcPr>
            <w:tcW w:w="340" w:type="dxa"/>
            <w:vAlign w:val="bottom"/>
          </w:tcPr>
          <w:p>
            <w:pPr>
              <w:spacing w:after="0"/>
              <w:rPr>
                <w:sz w:val="23"/>
                <w:szCs w:val="23"/>
                <w:color w:val="auto"/>
              </w:rPr>
            </w:pPr>
          </w:p>
        </w:tc>
        <w:tc>
          <w:tcPr>
            <w:tcW w:w="1380" w:type="dxa"/>
            <w:vAlign w:val="bottom"/>
          </w:tcPr>
          <w:p>
            <w:pPr>
              <w:jc w:val="right"/>
              <w:ind w:right="48"/>
              <w:spacing w:after="0"/>
              <w:rPr>
                <w:sz w:val="20"/>
                <w:szCs w:val="20"/>
                <w:color w:val="auto"/>
              </w:rPr>
            </w:pPr>
            <w:r>
              <w:rPr>
                <w:rFonts w:ascii="Arial" w:cs="Arial" w:eastAsia="Arial" w:hAnsi="Arial"/>
                <w:sz w:val="14"/>
                <w:szCs w:val="14"/>
                <w:b w:val="1"/>
                <w:bCs w:val="1"/>
                <w:color w:val="auto"/>
              </w:rPr>
              <w:t>1,461</w:t>
            </w:r>
          </w:p>
        </w:tc>
        <w:tc>
          <w:tcPr>
            <w:tcW w:w="1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300" w:type="dxa"/>
            <w:vAlign w:val="bottom"/>
          </w:tcPr>
          <w:p>
            <w:pPr>
              <w:jc w:val="right"/>
              <w:ind w:right="28"/>
              <w:spacing w:after="0"/>
              <w:rPr>
                <w:sz w:val="20"/>
                <w:szCs w:val="20"/>
                <w:color w:val="auto"/>
              </w:rPr>
            </w:pPr>
            <w:r>
              <w:rPr>
                <w:rFonts w:ascii="Arial" w:cs="Arial" w:eastAsia="Arial" w:hAnsi="Arial"/>
                <w:sz w:val="14"/>
                <w:szCs w:val="14"/>
                <w:color w:val="auto"/>
              </w:rPr>
              <w:t>1,335</w:t>
            </w:r>
          </w:p>
        </w:tc>
      </w:tr>
      <w:tr>
        <w:trPr>
          <w:trHeight w:val="271"/>
        </w:trPr>
        <w:tc>
          <w:tcPr>
            <w:tcW w:w="7900" w:type="dxa"/>
            <w:vAlign w:val="bottom"/>
            <w:shd w:val="clear" w:color="auto" w:fill="CCEEFF"/>
          </w:tcPr>
          <w:p>
            <w:pPr>
              <w:ind w:left="600"/>
              <w:spacing w:after="0"/>
              <w:rPr>
                <w:sz w:val="20"/>
                <w:szCs w:val="20"/>
                <w:color w:val="auto"/>
              </w:rPr>
            </w:pPr>
            <w:r>
              <w:rPr>
                <w:rFonts w:ascii="Arial" w:cs="Arial" w:eastAsia="Arial" w:hAnsi="Arial"/>
                <w:sz w:val="14"/>
                <w:szCs w:val="14"/>
                <w:color w:val="auto"/>
              </w:rPr>
              <w:t>Gain on sale of equipment and finance leases, net</w:t>
            </w:r>
          </w:p>
        </w:tc>
        <w:tc>
          <w:tcPr>
            <w:tcW w:w="340" w:type="dxa"/>
            <w:vAlign w:val="bottom"/>
            <w:shd w:val="clear" w:color="auto" w:fill="CCEEFF"/>
          </w:tcPr>
          <w:p>
            <w:pPr>
              <w:spacing w:after="0"/>
              <w:rPr>
                <w:sz w:val="23"/>
                <w:szCs w:val="23"/>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(6,726)</w:t>
            </w:r>
          </w:p>
        </w:tc>
        <w:tc>
          <w:tcPr>
            <w:tcW w:w="12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(3,307)</w:t>
            </w:r>
          </w:p>
        </w:tc>
      </w:tr>
      <w:tr>
        <w:trPr>
          <w:trHeight w:val="269"/>
        </w:trPr>
        <w:tc>
          <w:tcPr>
            <w:tcW w:w="7900" w:type="dxa"/>
            <w:vAlign w:val="bottom"/>
          </w:tcPr>
          <w:p>
            <w:pPr>
              <w:ind w:left="600"/>
              <w:spacing w:after="0"/>
              <w:rPr>
                <w:sz w:val="20"/>
                <w:szCs w:val="20"/>
                <w:color w:val="auto"/>
              </w:rPr>
            </w:pPr>
            <w:r>
              <w:rPr>
                <w:rFonts w:ascii="Arial" w:cs="Arial" w:eastAsia="Arial" w:hAnsi="Arial"/>
                <w:sz w:val="14"/>
                <w:szCs w:val="14"/>
                <w:color w:val="auto"/>
              </w:rPr>
              <w:t>Security deposits and maintenance claims included in earnings</w:t>
            </w:r>
          </w:p>
        </w:tc>
        <w:tc>
          <w:tcPr>
            <w:tcW w:w="340" w:type="dxa"/>
            <w:vAlign w:val="bottom"/>
          </w:tcPr>
          <w:p>
            <w:pPr>
              <w:spacing w:after="0"/>
              <w:rPr>
                <w:sz w:val="23"/>
                <w:szCs w:val="23"/>
                <w:color w:val="auto"/>
              </w:rPr>
            </w:pPr>
          </w:p>
        </w:tc>
        <w:tc>
          <w:tcPr>
            <w:tcW w:w="1380" w:type="dxa"/>
            <w:vAlign w:val="bottom"/>
          </w:tcPr>
          <w:p>
            <w:pPr>
              <w:jc w:val="right"/>
              <w:spacing w:after="0"/>
              <w:rPr>
                <w:sz w:val="20"/>
                <w:szCs w:val="20"/>
                <w:color w:val="auto"/>
              </w:rPr>
            </w:pPr>
            <w:r>
              <w:rPr>
                <w:rFonts w:ascii="Arial" w:cs="Arial" w:eastAsia="Arial" w:hAnsi="Arial"/>
                <w:sz w:val="14"/>
                <w:szCs w:val="14"/>
                <w:b w:val="1"/>
                <w:bCs w:val="1"/>
                <w:color w:val="auto"/>
              </w:rPr>
              <w:t>(60)</w:t>
            </w:r>
          </w:p>
        </w:tc>
        <w:tc>
          <w:tcPr>
            <w:tcW w:w="1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(300)</w:t>
            </w:r>
          </w:p>
        </w:tc>
      </w:tr>
      <w:tr>
        <w:trPr>
          <w:trHeight w:val="271"/>
        </w:trPr>
        <w:tc>
          <w:tcPr>
            <w:tcW w:w="7900" w:type="dxa"/>
            <w:vAlign w:val="bottom"/>
            <w:shd w:val="clear" w:color="auto" w:fill="CCEEFF"/>
          </w:tcPr>
          <w:p>
            <w:pPr>
              <w:ind w:left="600"/>
              <w:spacing w:after="0"/>
              <w:rPr>
                <w:sz w:val="20"/>
                <w:szCs w:val="20"/>
                <w:color w:val="auto"/>
              </w:rPr>
            </w:pPr>
            <w:r>
              <w:rPr>
                <w:rFonts w:ascii="Arial" w:cs="Arial" w:eastAsia="Arial" w:hAnsi="Arial"/>
                <w:sz w:val="14"/>
                <w:szCs w:val="14"/>
                <w:color w:val="auto"/>
              </w:rPr>
              <w:t>Loss on extinguishment of debt</w:t>
            </w:r>
          </w:p>
        </w:tc>
        <w:tc>
          <w:tcPr>
            <w:tcW w:w="340" w:type="dxa"/>
            <w:vAlign w:val="bottom"/>
            <w:shd w:val="clear" w:color="auto" w:fill="CCEEFF"/>
          </w:tcPr>
          <w:p>
            <w:pPr>
              <w:spacing w:after="0"/>
              <w:rPr>
                <w:sz w:val="23"/>
                <w:szCs w:val="23"/>
                <w:color w:val="auto"/>
              </w:rPr>
            </w:pPr>
          </w:p>
        </w:tc>
        <w:tc>
          <w:tcPr>
            <w:tcW w:w="138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2,456</w:t>
            </w:r>
          </w:p>
        </w:tc>
        <w:tc>
          <w:tcPr>
            <w:tcW w:w="12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13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1,579</w:t>
            </w:r>
          </w:p>
        </w:tc>
      </w:tr>
      <w:tr>
        <w:trPr>
          <w:trHeight w:val="269"/>
        </w:trPr>
        <w:tc>
          <w:tcPr>
            <w:tcW w:w="7900" w:type="dxa"/>
            <w:vAlign w:val="bottom"/>
          </w:tcPr>
          <w:p>
            <w:pPr>
              <w:ind w:left="600"/>
              <w:spacing w:after="0"/>
              <w:rPr>
                <w:sz w:val="20"/>
                <w:szCs w:val="20"/>
                <w:color w:val="auto"/>
              </w:rPr>
            </w:pPr>
            <w:r>
              <w:rPr>
                <w:rFonts w:ascii="Arial" w:cs="Arial" w:eastAsia="Arial" w:hAnsi="Arial"/>
                <w:sz w:val="14"/>
                <w:szCs w:val="14"/>
                <w:color w:val="auto"/>
              </w:rPr>
              <w:t>Equity-based compensation</w:t>
            </w:r>
          </w:p>
        </w:tc>
        <w:tc>
          <w:tcPr>
            <w:tcW w:w="340" w:type="dxa"/>
            <w:vAlign w:val="bottom"/>
          </w:tcPr>
          <w:p>
            <w:pPr>
              <w:spacing w:after="0"/>
              <w:rPr>
                <w:sz w:val="23"/>
                <w:szCs w:val="23"/>
                <w:color w:val="auto"/>
              </w:rPr>
            </w:pPr>
          </w:p>
        </w:tc>
        <w:tc>
          <w:tcPr>
            <w:tcW w:w="1380" w:type="dxa"/>
            <w:vAlign w:val="bottom"/>
          </w:tcPr>
          <w:p>
            <w:pPr>
              <w:jc w:val="right"/>
              <w:ind w:right="48"/>
              <w:spacing w:after="0"/>
              <w:rPr>
                <w:sz w:val="20"/>
                <w:szCs w:val="20"/>
                <w:color w:val="auto"/>
              </w:rPr>
            </w:pPr>
            <w:r>
              <w:rPr>
                <w:rFonts w:ascii="Arial" w:cs="Arial" w:eastAsia="Arial" w:hAnsi="Arial"/>
                <w:sz w:val="14"/>
                <w:szCs w:val="14"/>
                <w:b w:val="1"/>
                <w:bCs w:val="1"/>
                <w:color w:val="auto"/>
              </w:rPr>
              <w:t>695</w:t>
            </w:r>
          </w:p>
        </w:tc>
        <w:tc>
          <w:tcPr>
            <w:tcW w:w="1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(3,818)</w:t>
            </w:r>
          </w:p>
        </w:tc>
      </w:tr>
      <w:tr>
        <w:trPr>
          <w:trHeight w:val="271"/>
        </w:trPr>
        <w:tc>
          <w:tcPr>
            <w:tcW w:w="7900" w:type="dxa"/>
            <w:vAlign w:val="bottom"/>
            <w:shd w:val="clear" w:color="auto" w:fill="CCEEFF"/>
          </w:tcPr>
          <w:p>
            <w:pPr>
              <w:ind w:left="600"/>
              <w:spacing w:after="0"/>
              <w:rPr>
                <w:sz w:val="20"/>
                <w:szCs w:val="20"/>
                <w:color w:val="auto"/>
              </w:rPr>
            </w:pPr>
            <w:r>
              <w:rPr>
                <w:rFonts w:ascii="Arial" w:cs="Arial" w:eastAsia="Arial" w:hAnsi="Arial"/>
                <w:sz w:val="14"/>
                <w:szCs w:val="14"/>
                <w:color w:val="auto"/>
              </w:rPr>
              <w:t>Depreciation and amortization</w:t>
            </w:r>
          </w:p>
        </w:tc>
        <w:tc>
          <w:tcPr>
            <w:tcW w:w="340" w:type="dxa"/>
            <w:vAlign w:val="bottom"/>
            <w:shd w:val="clear" w:color="auto" w:fill="CCEEFF"/>
          </w:tcPr>
          <w:p>
            <w:pPr>
              <w:spacing w:after="0"/>
              <w:rPr>
                <w:sz w:val="23"/>
                <w:szCs w:val="23"/>
                <w:color w:val="auto"/>
              </w:rPr>
            </w:pPr>
          </w:p>
        </w:tc>
        <w:tc>
          <w:tcPr>
            <w:tcW w:w="138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62,382</w:t>
            </w:r>
          </w:p>
        </w:tc>
        <w:tc>
          <w:tcPr>
            <w:tcW w:w="12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13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43,294</w:t>
            </w:r>
          </w:p>
        </w:tc>
      </w:tr>
      <w:tr>
        <w:trPr>
          <w:trHeight w:val="269"/>
        </w:trPr>
        <w:tc>
          <w:tcPr>
            <w:tcW w:w="7900" w:type="dxa"/>
            <w:vAlign w:val="bottom"/>
          </w:tcPr>
          <w:p>
            <w:pPr>
              <w:ind w:left="600"/>
              <w:spacing w:after="0"/>
              <w:rPr>
                <w:sz w:val="20"/>
                <w:szCs w:val="20"/>
                <w:color w:val="auto"/>
              </w:rPr>
            </w:pPr>
            <w:r>
              <w:rPr>
                <w:rFonts w:ascii="Arial" w:cs="Arial" w:eastAsia="Arial" w:hAnsi="Arial"/>
                <w:sz w:val="14"/>
                <w:szCs w:val="14"/>
                <w:color w:val="auto"/>
              </w:rPr>
              <w:t>Gain on settlement of liabilities</w:t>
            </w:r>
          </w:p>
        </w:tc>
        <w:tc>
          <w:tcPr>
            <w:tcW w:w="340" w:type="dxa"/>
            <w:vAlign w:val="bottom"/>
          </w:tcPr>
          <w:p>
            <w:pPr>
              <w:spacing w:after="0"/>
              <w:rPr>
                <w:sz w:val="23"/>
                <w:szCs w:val="23"/>
                <w:color w:val="auto"/>
              </w:rPr>
            </w:pPr>
          </w:p>
        </w:tc>
        <w:tc>
          <w:tcPr>
            <w:tcW w:w="1380" w:type="dxa"/>
            <w:vAlign w:val="bottom"/>
          </w:tcPr>
          <w:p>
            <w:pPr>
              <w:jc w:val="right"/>
              <w:spacing w:after="0"/>
              <w:rPr>
                <w:sz w:val="20"/>
                <w:szCs w:val="20"/>
                <w:color w:val="auto"/>
              </w:rPr>
            </w:pPr>
            <w:r>
              <w:rPr>
                <w:rFonts w:ascii="Arial" w:cs="Arial" w:eastAsia="Arial" w:hAnsi="Arial"/>
                <w:sz w:val="14"/>
                <w:szCs w:val="14"/>
                <w:b w:val="1"/>
                <w:bCs w:val="1"/>
                <w:color w:val="auto"/>
              </w:rPr>
              <w:t>(1,093)</w:t>
            </w:r>
          </w:p>
        </w:tc>
        <w:tc>
          <w:tcPr>
            <w:tcW w:w="1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300" w:type="dxa"/>
            <w:vAlign w:val="bottom"/>
          </w:tcPr>
          <w:p>
            <w:pPr>
              <w:jc w:val="right"/>
              <w:ind w:right="28"/>
              <w:spacing w:after="0"/>
              <w:rPr>
                <w:sz w:val="20"/>
                <w:szCs w:val="20"/>
                <w:color w:val="auto"/>
              </w:rPr>
            </w:pPr>
            <w:r>
              <w:rPr>
                <w:rFonts w:ascii="Arial" w:cs="Arial" w:eastAsia="Arial" w:hAnsi="Arial"/>
                <w:sz w:val="14"/>
                <w:szCs w:val="14"/>
                <w:color w:val="auto"/>
              </w:rPr>
              <w:t>—</w:t>
            </w:r>
          </w:p>
        </w:tc>
      </w:tr>
      <w:tr>
        <w:trPr>
          <w:trHeight w:val="271"/>
        </w:trPr>
        <w:tc>
          <w:tcPr>
            <w:tcW w:w="7900" w:type="dxa"/>
            <w:vAlign w:val="bottom"/>
            <w:shd w:val="clear" w:color="auto" w:fill="CCEEFF"/>
          </w:tcPr>
          <w:p>
            <w:pPr>
              <w:ind w:left="600"/>
              <w:spacing w:after="0"/>
              <w:rPr>
                <w:sz w:val="20"/>
                <w:szCs w:val="20"/>
                <w:color w:val="auto"/>
              </w:rPr>
            </w:pPr>
            <w:r>
              <w:rPr>
                <w:rFonts w:ascii="Arial" w:cs="Arial" w:eastAsia="Arial" w:hAnsi="Arial"/>
                <w:sz w:val="14"/>
                <w:szCs w:val="14"/>
                <w:color w:val="auto"/>
              </w:rPr>
              <w:t>Asset impairment</w:t>
            </w:r>
          </w:p>
        </w:tc>
        <w:tc>
          <w:tcPr>
            <w:tcW w:w="340" w:type="dxa"/>
            <w:vAlign w:val="bottom"/>
            <w:shd w:val="clear" w:color="auto" w:fill="CCEEFF"/>
          </w:tcPr>
          <w:p>
            <w:pPr>
              <w:spacing w:after="0"/>
              <w:rPr>
                <w:sz w:val="23"/>
                <w:szCs w:val="23"/>
                <w:color w:val="auto"/>
              </w:rPr>
            </w:pPr>
          </w:p>
        </w:tc>
        <w:tc>
          <w:tcPr>
            <w:tcW w:w="150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b w:val="1"/>
                <w:bCs w:val="1"/>
                <w:color w:val="auto"/>
              </w:rPr>
              <w:t>—</w:t>
            </w:r>
          </w:p>
        </w:tc>
        <w:tc>
          <w:tcPr>
            <w:tcW w:w="380" w:type="dxa"/>
            <w:vAlign w:val="bottom"/>
            <w:shd w:val="clear" w:color="auto" w:fill="CCEEFF"/>
          </w:tcPr>
          <w:p>
            <w:pPr>
              <w:spacing w:after="0"/>
              <w:rPr>
                <w:sz w:val="23"/>
                <w:szCs w:val="23"/>
                <w:color w:val="auto"/>
              </w:rPr>
            </w:pPr>
          </w:p>
        </w:tc>
        <w:tc>
          <w:tcPr>
            <w:tcW w:w="13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7,450</w:t>
            </w:r>
          </w:p>
        </w:tc>
      </w:tr>
      <w:tr>
        <w:trPr>
          <w:trHeight w:val="269"/>
        </w:trPr>
        <w:tc>
          <w:tcPr>
            <w:tcW w:w="7900" w:type="dxa"/>
            <w:vAlign w:val="bottom"/>
          </w:tcPr>
          <w:p>
            <w:pPr>
              <w:ind w:left="600"/>
              <w:spacing w:after="0"/>
              <w:rPr>
                <w:sz w:val="20"/>
                <w:szCs w:val="20"/>
                <w:color w:val="auto"/>
              </w:rPr>
            </w:pPr>
            <w:r>
              <w:rPr>
                <w:rFonts w:ascii="Arial" w:cs="Arial" w:eastAsia="Arial" w:hAnsi="Arial"/>
                <w:sz w:val="14"/>
                <w:szCs w:val="14"/>
                <w:color w:val="auto"/>
              </w:rPr>
              <w:t>Change in current and deferred income taxes</w:t>
            </w:r>
          </w:p>
        </w:tc>
        <w:tc>
          <w:tcPr>
            <w:tcW w:w="340" w:type="dxa"/>
            <w:vAlign w:val="bottom"/>
          </w:tcPr>
          <w:p>
            <w:pPr>
              <w:spacing w:after="0"/>
              <w:rPr>
                <w:sz w:val="23"/>
                <w:szCs w:val="23"/>
                <w:color w:val="auto"/>
              </w:rPr>
            </w:pPr>
          </w:p>
        </w:tc>
        <w:tc>
          <w:tcPr>
            <w:tcW w:w="1380" w:type="dxa"/>
            <w:vAlign w:val="bottom"/>
          </w:tcPr>
          <w:p>
            <w:pPr>
              <w:jc w:val="right"/>
              <w:ind w:right="48"/>
              <w:spacing w:after="0"/>
              <w:rPr>
                <w:sz w:val="20"/>
                <w:szCs w:val="20"/>
                <w:color w:val="auto"/>
              </w:rPr>
            </w:pPr>
            <w:r>
              <w:rPr>
                <w:rFonts w:ascii="Arial" w:cs="Arial" w:eastAsia="Arial" w:hAnsi="Arial"/>
                <w:sz w:val="14"/>
                <w:szCs w:val="14"/>
                <w:b w:val="1"/>
                <w:bCs w:val="1"/>
                <w:color w:val="auto"/>
              </w:rPr>
              <w:t>551</w:t>
            </w:r>
          </w:p>
        </w:tc>
        <w:tc>
          <w:tcPr>
            <w:tcW w:w="1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(399)</w:t>
            </w:r>
          </w:p>
        </w:tc>
      </w:tr>
      <w:tr>
        <w:trPr>
          <w:trHeight w:val="271"/>
        </w:trPr>
        <w:tc>
          <w:tcPr>
            <w:tcW w:w="7900" w:type="dxa"/>
            <w:vAlign w:val="bottom"/>
            <w:shd w:val="clear" w:color="auto" w:fill="CCEEFF"/>
          </w:tcPr>
          <w:p>
            <w:pPr>
              <w:ind w:left="600"/>
              <w:spacing w:after="0"/>
              <w:rPr>
                <w:sz w:val="20"/>
                <w:szCs w:val="20"/>
                <w:color w:val="auto"/>
              </w:rPr>
            </w:pPr>
            <w:r>
              <w:rPr>
                <w:rFonts w:ascii="Arial" w:cs="Arial" w:eastAsia="Arial" w:hAnsi="Arial"/>
                <w:sz w:val="14"/>
                <w:szCs w:val="14"/>
                <w:color w:val="auto"/>
              </w:rPr>
              <w:t>Change in fair value of non-hedge derivative</w:t>
            </w:r>
          </w:p>
        </w:tc>
        <w:tc>
          <w:tcPr>
            <w:tcW w:w="340" w:type="dxa"/>
            <w:vAlign w:val="bottom"/>
            <w:shd w:val="clear" w:color="auto" w:fill="CCEEFF"/>
          </w:tcPr>
          <w:p>
            <w:pPr>
              <w:spacing w:after="0"/>
              <w:rPr>
                <w:sz w:val="23"/>
                <w:szCs w:val="23"/>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(1,036)</w:t>
            </w:r>
          </w:p>
        </w:tc>
        <w:tc>
          <w:tcPr>
            <w:tcW w:w="12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13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w:t>
            </w:r>
          </w:p>
        </w:tc>
      </w:tr>
      <w:tr>
        <w:trPr>
          <w:trHeight w:val="269"/>
        </w:trPr>
        <w:tc>
          <w:tcPr>
            <w:tcW w:w="7900" w:type="dxa"/>
            <w:vAlign w:val="bottom"/>
          </w:tcPr>
          <w:p>
            <w:pPr>
              <w:ind w:left="600"/>
              <w:spacing w:after="0"/>
              <w:rPr>
                <w:sz w:val="20"/>
                <w:szCs w:val="20"/>
                <w:color w:val="auto"/>
              </w:rPr>
            </w:pPr>
            <w:r>
              <w:rPr>
                <w:rFonts w:ascii="Arial" w:cs="Arial" w:eastAsia="Arial" w:hAnsi="Arial"/>
                <w:sz w:val="14"/>
                <w:szCs w:val="14"/>
                <w:color w:val="auto"/>
              </w:rPr>
              <w:t>Amortization of lease intangibles and incentives</w:t>
            </w:r>
          </w:p>
        </w:tc>
        <w:tc>
          <w:tcPr>
            <w:tcW w:w="340" w:type="dxa"/>
            <w:vAlign w:val="bottom"/>
          </w:tcPr>
          <w:p>
            <w:pPr>
              <w:spacing w:after="0"/>
              <w:rPr>
                <w:sz w:val="23"/>
                <w:szCs w:val="23"/>
                <w:color w:val="auto"/>
              </w:rPr>
            </w:pPr>
          </w:p>
        </w:tc>
        <w:tc>
          <w:tcPr>
            <w:tcW w:w="1380" w:type="dxa"/>
            <w:vAlign w:val="bottom"/>
          </w:tcPr>
          <w:p>
            <w:pPr>
              <w:jc w:val="right"/>
              <w:ind w:right="48"/>
              <w:spacing w:after="0"/>
              <w:rPr>
                <w:sz w:val="20"/>
                <w:szCs w:val="20"/>
                <w:color w:val="auto"/>
              </w:rPr>
            </w:pPr>
            <w:r>
              <w:rPr>
                <w:rFonts w:ascii="Arial" w:cs="Arial" w:eastAsia="Arial" w:hAnsi="Arial"/>
                <w:sz w:val="14"/>
                <w:szCs w:val="14"/>
                <w:b w:val="1"/>
                <w:bCs w:val="1"/>
                <w:color w:val="auto"/>
              </w:rPr>
              <w:t>5,193</w:t>
            </w:r>
          </w:p>
        </w:tc>
        <w:tc>
          <w:tcPr>
            <w:tcW w:w="1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300" w:type="dxa"/>
            <w:vAlign w:val="bottom"/>
          </w:tcPr>
          <w:p>
            <w:pPr>
              <w:jc w:val="right"/>
              <w:ind w:right="28"/>
              <w:spacing w:after="0"/>
              <w:rPr>
                <w:sz w:val="20"/>
                <w:szCs w:val="20"/>
                <w:color w:val="auto"/>
              </w:rPr>
            </w:pPr>
            <w:r>
              <w:rPr>
                <w:rFonts w:ascii="Arial" w:cs="Arial" w:eastAsia="Arial" w:hAnsi="Arial"/>
                <w:sz w:val="14"/>
                <w:szCs w:val="14"/>
                <w:color w:val="auto"/>
              </w:rPr>
              <w:t>4,783</w:t>
            </w:r>
          </w:p>
        </w:tc>
      </w:tr>
      <w:tr>
        <w:trPr>
          <w:trHeight w:val="271"/>
        </w:trPr>
        <w:tc>
          <w:tcPr>
            <w:tcW w:w="7900" w:type="dxa"/>
            <w:vAlign w:val="bottom"/>
            <w:shd w:val="clear" w:color="auto" w:fill="CCEEFF"/>
          </w:tcPr>
          <w:p>
            <w:pPr>
              <w:ind w:left="600"/>
              <w:spacing w:after="0"/>
              <w:rPr>
                <w:sz w:val="20"/>
                <w:szCs w:val="20"/>
                <w:color w:val="auto"/>
              </w:rPr>
            </w:pPr>
            <w:r>
              <w:rPr>
                <w:rFonts w:ascii="Arial" w:cs="Arial" w:eastAsia="Arial" w:hAnsi="Arial"/>
                <w:sz w:val="14"/>
                <w:szCs w:val="14"/>
                <w:color w:val="auto"/>
              </w:rPr>
              <w:t>Amortization of deferred financing costs</w:t>
            </w:r>
          </w:p>
        </w:tc>
        <w:tc>
          <w:tcPr>
            <w:tcW w:w="340" w:type="dxa"/>
            <w:vAlign w:val="bottom"/>
            <w:shd w:val="clear" w:color="auto" w:fill="CCEEFF"/>
          </w:tcPr>
          <w:p>
            <w:pPr>
              <w:spacing w:after="0"/>
              <w:rPr>
                <w:sz w:val="23"/>
                <w:szCs w:val="23"/>
                <w:color w:val="auto"/>
              </w:rPr>
            </w:pPr>
          </w:p>
        </w:tc>
        <w:tc>
          <w:tcPr>
            <w:tcW w:w="138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3,120</w:t>
            </w:r>
          </w:p>
        </w:tc>
        <w:tc>
          <w:tcPr>
            <w:tcW w:w="12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13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1,927</w:t>
            </w:r>
          </w:p>
        </w:tc>
      </w:tr>
      <w:tr>
        <w:trPr>
          <w:trHeight w:val="269"/>
        </w:trPr>
        <w:tc>
          <w:tcPr>
            <w:tcW w:w="7900" w:type="dxa"/>
            <w:vAlign w:val="bottom"/>
          </w:tcPr>
          <w:p>
            <w:pPr>
              <w:ind w:left="600"/>
              <w:spacing w:after="0"/>
              <w:rPr>
                <w:sz w:val="20"/>
                <w:szCs w:val="20"/>
                <w:color w:val="auto"/>
              </w:rPr>
            </w:pPr>
            <w:r>
              <w:rPr>
                <w:rFonts w:ascii="Arial" w:cs="Arial" w:eastAsia="Arial" w:hAnsi="Arial"/>
                <w:sz w:val="14"/>
                <w:szCs w:val="14"/>
                <w:color w:val="auto"/>
              </w:rPr>
              <w:t>Operating distributions from unconsolidated entities</w:t>
            </w:r>
          </w:p>
        </w:tc>
        <w:tc>
          <w:tcPr>
            <w:tcW w:w="340" w:type="dxa"/>
            <w:vAlign w:val="bottom"/>
          </w:tcPr>
          <w:p>
            <w:pPr>
              <w:spacing w:after="0"/>
              <w:rPr>
                <w:sz w:val="23"/>
                <w:szCs w:val="23"/>
                <w:color w:val="auto"/>
              </w:rPr>
            </w:pPr>
          </w:p>
        </w:tc>
        <w:tc>
          <w:tcPr>
            <w:tcW w:w="150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rPr>
              <w:t>—</w:t>
            </w:r>
          </w:p>
        </w:tc>
        <w:tc>
          <w:tcPr>
            <w:tcW w:w="380" w:type="dxa"/>
            <w:vAlign w:val="bottom"/>
          </w:tcPr>
          <w:p>
            <w:pPr>
              <w:spacing w:after="0"/>
              <w:rPr>
                <w:sz w:val="23"/>
                <w:szCs w:val="23"/>
                <w:color w:val="auto"/>
              </w:rPr>
            </w:pPr>
          </w:p>
        </w:tc>
        <w:tc>
          <w:tcPr>
            <w:tcW w:w="1300" w:type="dxa"/>
            <w:vAlign w:val="bottom"/>
          </w:tcPr>
          <w:p>
            <w:pPr>
              <w:jc w:val="right"/>
              <w:ind w:right="28"/>
              <w:spacing w:after="0"/>
              <w:rPr>
                <w:sz w:val="20"/>
                <w:szCs w:val="20"/>
                <w:color w:val="auto"/>
              </w:rPr>
            </w:pPr>
            <w:r>
              <w:rPr>
                <w:rFonts w:ascii="Arial" w:cs="Arial" w:eastAsia="Arial" w:hAnsi="Arial"/>
                <w:sz w:val="14"/>
                <w:szCs w:val="14"/>
                <w:color w:val="auto"/>
              </w:rPr>
              <w:t>30</w:t>
            </w:r>
          </w:p>
        </w:tc>
      </w:tr>
      <w:tr>
        <w:trPr>
          <w:trHeight w:val="271"/>
        </w:trPr>
        <w:tc>
          <w:tcPr>
            <w:tcW w:w="7900" w:type="dxa"/>
            <w:vAlign w:val="bottom"/>
            <w:shd w:val="clear" w:color="auto" w:fill="CCEEFF"/>
          </w:tcPr>
          <w:p>
            <w:pPr>
              <w:ind w:left="600"/>
              <w:spacing w:after="0"/>
              <w:rPr>
                <w:sz w:val="20"/>
                <w:szCs w:val="20"/>
                <w:color w:val="auto"/>
              </w:rPr>
            </w:pPr>
            <w:r>
              <w:rPr>
                <w:rFonts w:ascii="Arial" w:cs="Arial" w:eastAsia="Arial" w:hAnsi="Arial"/>
                <w:sz w:val="14"/>
                <w:szCs w:val="14"/>
                <w:color w:val="auto"/>
              </w:rPr>
              <w:t>Bad debt expense</w:t>
            </w:r>
          </w:p>
        </w:tc>
        <w:tc>
          <w:tcPr>
            <w:tcW w:w="340" w:type="dxa"/>
            <w:vAlign w:val="bottom"/>
            <w:shd w:val="clear" w:color="auto" w:fill="CCEEFF"/>
          </w:tcPr>
          <w:p>
            <w:pPr>
              <w:spacing w:after="0"/>
              <w:rPr>
                <w:sz w:val="23"/>
                <w:szCs w:val="23"/>
                <w:color w:val="auto"/>
              </w:rPr>
            </w:pPr>
          </w:p>
        </w:tc>
        <w:tc>
          <w:tcPr>
            <w:tcW w:w="138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63</w:t>
            </w:r>
          </w:p>
        </w:tc>
        <w:tc>
          <w:tcPr>
            <w:tcW w:w="12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13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134</w:t>
            </w:r>
          </w:p>
        </w:tc>
      </w:tr>
      <w:tr>
        <w:trPr>
          <w:trHeight w:val="269"/>
        </w:trPr>
        <w:tc>
          <w:tcPr>
            <w:tcW w:w="7900" w:type="dxa"/>
            <w:vAlign w:val="bottom"/>
          </w:tcPr>
          <w:p>
            <w:pPr>
              <w:ind w:left="600"/>
              <w:spacing w:after="0"/>
              <w:rPr>
                <w:sz w:val="20"/>
                <w:szCs w:val="20"/>
                <w:color w:val="auto"/>
              </w:rPr>
            </w:pPr>
            <w:r>
              <w:rPr>
                <w:rFonts w:ascii="Arial" w:cs="Arial" w:eastAsia="Arial" w:hAnsi="Arial"/>
                <w:sz w:val="14"/>
                <w:szCs w:val="14"/>
                <w:color w:val="auto"/>
              </w:rPr>
              <w:t>Other</w:t>
            </w:r>
          </w:p>
        </w:tc>
        <w:tc>
          <w:tcPr>
            <w:tcW w:w="340" w:type="dxa"/>
            <w:vAlign w:val="bottom"/>
          </w:tcPr>
          <w:p>
            <w:pPr>
              <w:spacing w:after="0"/>
              <w:rPr>
                <w:sz w:val="23"/>
                <w:szCs w:val="23"/>
                <w:color w:val="auto"/>
              </w:rPr>
            </w:pPr>
          </w:p>
        </w:tc>
        <w:tc>
          <w:tcPr>
            <w:tcW w:w="1380" w:type="dxa"/>
            <w:vAlign w:val="bottom"/>
          </w:tcPr>
          <w:p>
            <w:pPr>
              <w:jc w:val="right"/>
              <w:ind w:right="48"/>
              <w:spacing w:after="0"/>
              <w:rPr>
                <w:sz w:val="20"/>
                <w:szCs w:val="20"/>
                <w:color w:val="auto"/>
              </w:rPr>
            </w:pPr>
            <w:r>
              <w:rPr>
                <w:rFonts w:ascii="Arial" w:cs="Arial" w:eastAsia="Arial" w:hAnsi="Arial"/>
                <w:sz w:val="14"/>
                <w:szCs w:val="14"/>
                <w:b w:val="1"/>
                <w:bCs w:val="1"/>
                <w:color w:val="auto"/>
              </w:rPr>
              <w:t>566</w:t>
            </w:r>
          </w:p>
        </w:tc>
        <w:tc>
          <w:tcPr>
            <w:tcW w:w="1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300" w:type="dxa"/>
            <w:vAlign w:val="bottom"/>
          </w:tcPr>
          <w:p>
            <w:pPr>
              <w:jc w:val="right"/>
              <w:ind w:right="28"/>
              <w:spacing w:after="0"/>
              <w:rPr>
                <w:sz w:val="20"/>
                <w:szCs w:val="20"/>
                <w:color w:val="auto"/>
              </w:rPr>
            </w:pPr>
            <w:r>
              <w:rPr>
                <w:rFonts w:ascii="Arial" w:cs="Arial" w:eastAsia="Arial" w:hAnsi="Arial"/>
                <w:sz w:val="14"/>
                <w:szCs w:val="14"/>
                <w:color w:val="auto"/>
              </w:rPr>
              <w:t>100</w:t>
            </w:r>
          </w:p>
        </w:tc>
      </w:tr>
      <w:tr>
        <w:trPr>
          <w:trHeight w:val="271"/>
        </w:trPr>
        <w:tc>
          <w:tcPr>
            <w:tcW w:w="7900" w:type="dxa"/>
            <w:vAlign w:val="bottom"/>
            <w:shd w:val="clear" w:color="auto" w:fill="CCEEFF"/>
          </w:tcPr>
          <w:p>
            <w:pPr>
              <w:ind w:left="600"/>
              <w:spacing w:after="0"/>
              <w:rPr>
                <w:sz w:val="20"/>
                <w:szCs w:val="20"/>
                <w:color w:val="auto"/>
              </w:rPr>
            </w:pPr>
            <w:r>
              <w:rPr>
                <w:rFonts w:ascii="Arial" w:cs="Arial" w:eastAsia="Arial" w:hAnsi="Arial"/>
                <w:sz w:val="14"/>
                <w:szCs w:val="14"/>
                <w:color w:val="auto"/>
              </w:rPr>
              <w:t>Change in:</w:t>
            </w:r>
          </w:p>
        </w:tc>
        <w:tc>
          <w:tcPr>
            <w:tcW w:w="340" w:type="dxa"/>
            <w:vAlign w:val="bottom"/>
            <w:shd w:val="clear" w:color="auto" w:fill="CCEEFF"/>
          </w:tcPr>
          <w:p>
            <w:pPr>
              <w:spacing w:after="0"/>
              <w:rPr>
                <w:sz w:val="23"/>
                <w:szCs w:val="23"/>
                <w:color w:val="auto"/>
              </w:rPr>
            </w:pPr>
          </w:p>
        </w:tc>
        <w:tc>
          <w:tcPr>
            <w:tcW w:w="13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1300" w:type="dxa"/>
            <w:vAlign w:val="bottom"/>
            <w:shd w:val="clear" w:color="auto" w:fill="CCEEFF"/>
          </w:tcPr>
          <w:p>
            <w:pPr>
              <w:spacing w:after="0"/>
              <w:rPr>
                <w:sz w:val="23"/>
                <w:szCs w:val="23"/>
                <w:color w:val="auto"/>
              </w:rPr>
            </w:pPr>
          </w:p>
        </w:tc>
      </w:tr>
      <w:tr>
        <w:trPr>
          <w:trHeight w:val="269"/>
        </w:trPr>
        <w:tc>
          <w:tcPr>
            <w:tcW w:w="7900" w:type="dxa"/>
            <w:vAlign w:val="bottom"/>
          </w:tcPr>
          <w:p>
            <w:pPr>
              <w:ind w:left="1280"/>
              <w:spacing w:after="0"/>
              <w:rPr>
                <w:sz w:val="20"/>
                <w:szCs w:val="20"/>
                <w:color w:val="auto"/>
              </w:rPr>
            </w:pPr>
            <w:r>
              <w:rPr>
                <w:rFonts w:ascii="Arial" w:cs="Arial" w:eastAsia="Arial" w:hAnsi="Arial"/>
                <w:sz w:val="14"/>
                <w:szCs w:val="14"/>
                <w:color w:val="auto"/>
              </w:rPr>
              <w:t>Accounts receivable</w:t>
            </w:r>
          </w:p>
        </w:tc>
        <w:tc>
          <w:tcPr>
            <w:tcW w:w="340" w:type="dxa"/>
            <w:vAlign w:val="bottom"/>
          </w:tcPr>
          <w:p>
            <w:pPr>
              <w:spacing w:after="0"/>
              <w:rPr>
                <w:sz w:val="23"/>
                <w:szCs w:val="23"/>
                <w:color w:val="auto"/>
              </w:rPr>
            </w:pPr>
          </w:p>
        </w:tc>
        <w:tc>
          <w:tcPr>
            <w:tcW w:w="1380" w:type="dxa"/>
            <w:vAlign w:val="bottom"/>
          </w:tcPr>
          <w:p>
            <w:pPr>
              <w:jc w:val="right"/>
              <w:spacing w:after="0"/>
              <w:rPr>
                <w:sz w:val="20"/>
                <w:szCs w:val="20"/>
                <w:color w:val="auto"/>
              </w:rPr>
            </w:pPr>
            <w:r>
              <w:rPr>
                <w:rFonts w:ascii="Arial" w:cs="Arial" w:eastAsia="Arial" w:hAnsi="Arial"/>
                <w:sz w:val="14"/>
                <w:szCs w:val="14"/>
                <w:b w:val="1"/>
                <w:bCs w:val="1"/>
                <w:color w:val="auto"/>
              </w:rPr>
              <w:t>(7,984)</w:t>
            </w:r>
          </w:p>
        </w:tc>
        <w:tc>
          <w:tcPr>
            <w:tcW w:w="1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(6,263)</w:t>
            </w:r>
          </w:p>
        </w:tc>
      </w:tr>
      <w:tr>
        <w:trPr>
          <w:trHeight w:val="271"/>
        </w:trPr>
        <w:tc>
          <w:tcPr>
            <w:tcW w:w="7900" w:type="dxa"/>
            <w:vAlign w:val="bottom"/>
            <w:shd w:val="clear" w:color="auto" w:fill="CCEEFF"/>
          </w:tcPr>
          <w:p>
            <w:pPr>
              <w:ind w:left="1300"/>
              <w:spacing w:after="0"/>
              <w:rPr>
                <w:sz w:val="20"/>
                <w:szCs w:val="20"/>
                <w:color w:val="auto"/>
              </w:rPr>
            </w:pPr>
            <w:r>
              <w:rPr>
                <w:rFonts w:ascii="Arial" w:cs="Arial" w:eastAsia="Arial" w:hAnsi="Arial"/>
                <w:sz w:val="14"/>
                <w:szCs w:val="14"/>
                <w:color w:val="auto"/>
              </w:rPr>
              <w:t>Other assets</w:t>
            </w:r>
          </w:p>
        </w:tc>
        <w:tc>
          <w:tcPr>
            <w:tcW w:w="340" w:type="dxa"/>
            <w:vAlign w:val="bottom"/>
            <w:shd w:val="clear" w:color="auto" w:fill="CCEEFF"/>
          </w:tcPr>
          <w:p>
            <w:pPr>
              <w:spacing w:after="0"/>
              <w:rPr>
                <w:sz w:val="23"/>
                <w:szCs w:val="23"/>
                <w:color w:val="auto"/>
              </w:rPr>
            </w:pPr>
          </w:p>
        </w:tc>
        <w:tc>
          <w:tcPr>
            <w:tcW w:w="138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10,595</w:t>
            </w:r>
          </w:p>
        </w:tc>
        <w:tc>
          <w:tcPr>
            <w:tcW w:w="12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(4,070)</w:t>
            </w:r>
          </w:p>
        </w:tc>
      </w:tr>
      <w:tr>
        <w:trPr>
          <w:trHeight w:val="269"/>
        </w:trPr>
        <w:tc>
          <w:tcPr>
            <w:tcW w:w="7900" w:type="dxa"/>
            <w:vAlign w:val="bottom"/>
          </w:tcPr>
          <w:p>
            <w:pPr>
              <w:ind w:left="1280"/>
              <w:spacing w:after="0"/>
              <w:rPr>
                <w:sz w:val="20"/>
                <w:szCs w:val="20"/>
                <w:color w:val="auto"/>
              </w:rPr>
            </w:pPr>
            <w:r>
              <w:rPr>
                <w:rFonts w:ascii="Arial" w:cs="Arial" w:eastAsia="Arial" w:hAnsi="Arial"/>
                <w:sz w:val="14"/>
                <w:szCs w:val="14"/>
                <w:color w:val="auto"/>
              </w:rPr>
              <w:t>Accounts payable and accrued liabilities</w:t>
            </w:r>
          </w:p>
        </w:tc>
        <w:tc>
          <w:tcPr>
            <w:tcW w:w="340" w:type="dxa"/>
            <w:vAlign w:val="bottom"/>
          </w:tcPr>
          <w:p>
            <w:pPr>
              <w:spacing w:after="0"/>
              <w:rPr>
                <w:sz w:val="23"/>
                <w:szCs w:val="23"/>
                <w:color w:val="auto"/>
              </w:rPr>
            </w:pPr>
          </w:p>
        </w:tc>
        <w:tc>
          <w:tcPr>
            <w:tcW w:w="1380" w:type="dxa"/>
            <w:vAlign w:val="bottom"/>
          </w:tcPr>
          <w:p>
            <w:pPr>
              <w:jc w:val="right"/>
              <w:ind w:right="48"/>
              <w:spacing w:after="0"/>
              <w:rPr>
                <w:sz w:val="20"/>
                <w:szCs w:val="20"/>
                <w:color w:val="auto"/>
              </w:rPr>
            </w:pPr>
            <w:r>
              <w:rPr>
                <w:rFonts w:ascii="Arial" w:cs="Arial" w:eastAsia="Arial" w:hAnsi="Arial"/>
                <w:sz w:val="14"/>
                <w:szCs w:val="14"/>
                <w:b w:val="1"/>
                <w:bCs w:val="1"/>
                <w:color w:val="auto"/>
              </w:rPr>
              <w:t>862</w:t>
            </w:r>
          </w:p>
        </w:tc>
        <w:tc>
          <w:tcPr>
            <w:tcW w:w="1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300" w:type="dxa"/>
            <w:vAlign w:val="bottom"/>
          </w:tcPr>
          <w:p>
            <w:pPr>
              <w:jc w:val="right"/>
              <w:ind w:right="28"/>
              <w:spacing w:after="0"/>
              <w:rPr>
                <w:sz w:val="20"/>
                <w:szCs w:val="20"/>
                <w:color w:val="auto"/>
              </w:rPr>
            </w:pPr>
            <w:r>
              <w:rPr>
                <w:rFonts w:ascii="Arial" w:cs="Arial" w:eastAsia="Arial" w:hAnsi="Arial"/>
                <w:sz w:val="14"/>
                <w:szCs w:val="14"/>
                <w:color w:val="auto"/>
              </w:rPr>
              <w:t>2,396</w:t>
            </w:r>
          </w:p>
        </w:tc>
      </w:tr>
      <w:tr>
        <w:trPr>
          <w:trHeight w:val="271"/>
        </w:trPr>
        <w:tc>
          <w:tcPr>
            <w:tcW w:w="7900" w:type="dxa"/>
            <w:vAlign w:val="bottom"/>
            <w:shd w:val="clear" w:color="auto" w:fill="CCEEFF"/>
          </w:tcPr>
          <w:p>
            <w:pPr>
              <w:ind w:left="1300"/>
              <w:spacing w:after="0"/>
              <w:rPr>
                <w:sz w:val="20"/>
                <w:szCs w:val="20"/>
                <w:color w:val="auto"/>
              </w:rPr>
            </w:pPr>
            <w:r>
              <w:rPr>
                <w:rFonts w:ascii="Arial" w:cs="Arial" w:eastAsia="Arial" w:hAnsi="Arial"/>
                <w:sz w:val="14"/>
                <w:szCs w:val="14"/>
                <w:color w:val="auto"/>
              </w:rPr>
              <w:t>Management fees payable to affiliate</w:t>
            </w:r>
          </w:p>
        </w:tc>
        <w:tc>
          <w:tcPr>
            <w:tcW w:w="340" w:type="dxa"/>
            <w:vAlign w:val="bottom"/>
            <w:shd w:val="clear" w:color="auto" w:fill="CCEEFF"/>
          </w:tcPr>
          <w:p>
            <w:pPr>
              <w:spacing w:after="0"/>
              <w:rPr>
                <w:sz w:val="23"/>
                <w:szCs w:val="23"/>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(554)</w:t>
            </w:r>
          </w:p>
        </w:tc>
        <w:tc>
          <w:tcPr>
            <w:tcW w:w="12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13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w:t>
            </w:r>
          </w:p>
        </w:tc>
      </w:tr>
      <w:tr>
        <w:trPr>
          <w:trHeight w:val="269"/>
        </w:trPr>
        <w:tc>
          <w:tcPr>
            <w:tcW w:w="7900" w:type="dxa"/>
            <w:vAlign w:val="bottom"/>
            <w:tcBorders>
              <w:bottom w:val="single" w:sz="8" w:color="CCEEFF"/>
            </w:tcBorders>
          </w:tcPr>
          <w:p>
            <w:pPr>
              <w:ind w:left="1300"/>
              <w:spacing w:after="0"/>
              <w:rPr>
                <w:sz w:val="20"/>
                <w:szCs w:val="20"/>
                <w:color w:val="auto"/>
              </w:rPr>
            </w:pPr>
            <w:r>
              <w:rPr>
                <w:rFonts w:ascii="Arial" w:cs="Arial" w:eastAsia="Arial" w:hAnsi="Arial"/>
                <w:sz w:val="14"/>
                <w:szCs w:val="14"/>
                <w:color w:val="auto"/>
              </w:rPr>
              <w:t>Other liabilities</w:t>
            </w:r>
          </w:p>
        </w:tc>
        <w:tc>
          <w:tcPr>
            <w:tcW w:w="340" w:type="dxa"/>
            <w:vAlign w:val="bottom"/>
            <w:tcBorders>
              <w:bottom w:val="single" w:sz="8" w:color="auto"/>
            </w:tcBorders>
          </w:tcPr>
          <w:p>
            <w:pPr>
              <w:spacing w:after="0"/>
              <w:rPr>
                <w:sz w:val="23"/>
                <w:szCs w:val="23"/>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(1,356)</w:t>
            </w:r>
          </w:p>
        </w:tc>
        <w:tc>
          <w:tcPr>
            <w:tcW w:w="120" w:type="dxa"/>
            <w:vAlign w:val="bottom"/>
            <w:tcBorders>
              <w:bottom w:val="single" w:sz="8" w:color="CCEEFF"/>
            </w:tcBorders>
          </w:tcPr>
          <w:p>
            <w:pPr>
              <w:spacing w:after="0"/>
              <w:rPr>
                <w:sz w:val="23"/>
                <w:szCs w:val="23"/>
                <w:color w:val="auto"/>
              </w:rPr>
            </w:pPr>
          </w:p>
        </w:tc>
        <w:tc>
          <w:tcPr>
            <w:tcW w:w="380" w:type="dxa"/>
            <w:vAlign w:val="bottom"/>
            <w:tcBorders>
              <w:bottom w:val="single" w:sz="8" w:color="auto"/>
            </w:tcBorders>
          </w:tcPr>
          <w:p>
            <w:pPr>
              <w:spacing w:after="0"/>
              <w:rPr>
                <w:sz w:val="23"/>
                <w:szCs w:val="23"/>
                <w:color w:val="auto"/>
              </w:rPr>
            </w:pPr>
          </w:p>
        </w:tc>
        <w:tc>
          <w:tcPr>
            <w:tcW w:w="13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5,566</w:t>
            </w:r>
          </w:p>
        </w:tc>
      </w:tr>
      <w:tr>
        <w:trPr>
          <w:trHeight w:val="250"/>
        </w:trPr>
        <w:tc>
          <w:tcPr>
            <w:tcW w:w="7900" w:type="dxa"/>
            <w:vAlign w:val="bottom"/>
            <w:shd w:val="clear" w:color="auto" w:fill="CCEEFF"/>
          </w:tcPr>
          <w:p>
            <w:pPr>
              <w:ind w:left="80"/>
              <w:spacing w:after="0"/>
              <w:rPr>
                <w:sz w:val="20"/>
                <w:szCs w:val="20"/>
                <w:color w:val="auto"/>
              </w:rPr>
            </w:pPr>
            <w:r>
              <w:rPr>
                <w:rFonts w:ascii="Arial" w:cs="Arial" w:eastAsia="Arial" w:hAnsi="Arial"/>
                <w:sz w:val="14"/>
                <w:szCs w:val="14"/>
                <w:b w:val="1"/>
                <w:bCs w:val="1"/>
                <w:color w:val="auto"/>
              </w:rPr>
              <w:t>Net cash provided by operating activities</w:t>
            </w:r>
          </w:p>
        </w:tc>
        <w:tc>
          <w:tcPr>
            <w:tcW w:w="340" w:type="dxa"/>
            <w:vAlign w:val="bottom"/>
            <w:tcBorders>
              <w:bottom w:val="single" w:sz="8" w:color="auto"/>
            </w:tcBorders>
            <w:shd w:val="clear" w:color="auto" w:fill="CCEEFF"/>
          </w:tcPr>
          <w:p>
            <w:pPr>
              <w:spacing w:after="0"/>
              <w:rPr>
                <w:sz w:val="21"/>
                <w:szCs w:val="21"/>
                <w:color w:val="auto"/>
              </w:rPr>
            </w:pPr>
          </w:p>
        </w:tc>
        <w:tc>
          <w:tcPr>
            <w:tcW w:w="138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52,443</w:t>
            </w:r>
          </w:p>
        </w:tc>
        <w:tc>
          <w:tcPr>
            <w:tcW w:w="120" w:type="dxa"/>
            <w:vAlign w:val="bottom"/>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spacing w:after="0"/>
              <w:rPr>
                <w:sz w:val="21"/>
                <w:szCs w:val="21"/>
                <w:color w:val="auto"/>
              </w:rPr>
            </w:pPr>
          </w:p>
        </w:tc>
        <w:tc>
          <w:tcPr>
            <w:tcW w:w="13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15,662</w:t>
            </w:r>
          </w:p>
        </w:tc>
      </w:tr>
      <w:tr>
        <w:trPr>
          <w:trHeight w:val="157"/>
        </w:trPr>
        <w:tc>
          <w:tcPr>
            <w:tcW w:w="79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300" w:type="dxa"/>
            <w:vAlign w:val="bottom"/>
          </w:tcPr>
          <w:p>
            <w:pPr>
              <w:spacing w:after="0"/>
              <w:rPr>
                <w:sz w:val="13"/>
                <w:szCs w:val="13"/>
                <w:color w:val="auto"/>
              </w:rPr>
            </w:pPr>
          </w:p>
        </w:tc>
      </w:tr>
      <w:tr>
        <w:trPr>
          <w:trHeight w:val="270"/>
        </w:trPr>
        <w:tc>
          <w:tcPr>
            <w:tcW w:w="7900" w:type="dxa"/>
            <w:vAlign w:val="bottom"/>
            <w:shd w:val="clear" w:color="auto" w:fill="CCEEFF"/>
          </w:tcPr>
          <w:p>
            <w:pPr>
              <w:ind w:left="80"/>
              <w:spacing w:after="0"/>
              <w:rPr>
                <w:sz w:val="20"/>
                <w:szCs w:val="20"/>
                <w:color w:val="auto"/>
              </w:rPr>
            </w:pPr>
            <w:r>
              <w:rPr>
                <w:rFonts w:ascii="Arial" w:cs="Arial" w:eastAsia="Arial" w:hAnsi="Arial"/>
                <w:sz w:val="14"/>
                <w:szCs w:val="14"/>
                <w:b w:val="1"/>
                <w:bCs w:val="1"/>
                <w:color w:val="auto"/>
              </w:rPr>
              <w:t>Cash flows from investing activities:</w:t>
            </w:r>
          </w:p>
        </w:tc>
        <w:tc>
          <w:tcPr>
            <w:tcW w:w="340" w:type="dxa"/>
            <w:vAlign w:val="bottom"/>
            <w:shd w:val="clear" w:color="auto" w:fill="CCEEFF"/>
          </w:tcPr>
          <w:p>
            <w:pPr>
              <w:spacing w:after="0"/>
              <w:rPr>
                <w:sz w:val="23"/>
                <w:szCs w:val="23"/>
                <w:color w:val="auto"/>
              </w:rPr>
            </w:pPr>
          </w:p>
        </w:tc>
        <w:tc>
          <w:tcPr>
            <w:tcW w:w="13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1300" w:type="dxa"/>
            <w:vAlign w:val="bottom"/>
            <w:shd w:val="clear" w:color="auto" w:fill="CCEEFF"/>
          </w:tcPr>
          <w:p>
            <w:pPr>
              <w:spacing w:after="0"/>
              <w:rPr>
                <w:sz w:val="23"/>
                <w:szCs w:val="23"/>
                <w:color w:val="auto"/>
              </w:rPr>
            </w:pPr>
          </w:p>
        </w:tc>
      </w:tr>
      <w:tr>
        <w:trPr>
          <w:trHeight w:val="269"/>
        </w:trPr>
        <w:tc>
          <w:tcPr>
            <w:tcW w:w="7900" w:type="dxa"/>
            <w:vAlign w:val="bottom"/>
          </w:tcPr>
          <w:p>
            <w:pPr>
              <w:ind w:left="600"/>
              <w:spacing w:after="0"/>
              <w:rPr>
                <w:sz w:val="20"/>
                <w:szCs w:val="20"/>
                <w:color w:val="auto"/>
              </w:rPr>
            </w:pPr>
            <w:r>
              <w:rPr>
                <w:rFonts w:ascii="Arial" w:cs="Arial" w:eastAsia="Arial" w:hAnsi="Arial"/>
                <w:sz w:val="14"/>
                <w:szCs w:val="14"/>
                <w:color w:val="auto"/>
              </w:rPr>
              <w:t>Change in restricted cash</w:t>
            </w:r>
          </w:p>
        </w:tc>
        <w:tc>
          <w:tcPr>
            <w:tcW w:w="340" w:type="dxa"/>
            <w:vAlign w:val="bottom"/>
          </w:tcPr>
          <w:p>
            <w:pPr>
              <w:spacing w:after="0"/>
              <w:rPr>
                <w:sz w:val="23"/>
                <w:szCs w:val="23"/>
                <w:color w:val="auto"/>
              </w:rPr>
            </w:pPr>
          </w:p>
        </w:tc>
        <w:tc>
          <w:tcPr>
            <w:tcW w:w="1380" w:type="dxa"/>
            <w:vAlign w:val="bottom"/>
          </w:tcPr>
          <w:p>
            <w:pPr>
              <w:jc w:val="right"/>
              <w:ind w:right="48"/>
              <w:spacing w:after="0"/>
              <w:rPr>
                <w:sz w:val="20"/>
                <w:szCs w:val="20"/>
                <w:color w:val="auto"/>
              </w:rPr>
            </w:pPr>
            <w:r>
              <w:rPr>
                <w:rFonts w:ascii="Arial" w:cs="Arial" w:eastAsia="Arial" w:hAnsi="Arial"/>
                <w:sz w:val="14"/>
                <w:szCs w:val="14"/>
                <w:b w:val="1"/>
                <w:bCs w:val="1"/>
                <w:color w:val="auto"/>
              </w:rPr>
              <w:t>28,983</w:t>
            </w:r>
          </w:p>
        </w:tc>
        <w:tc>
          <w:tcPr>
            <w:tcW w:w="1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(799)</w:t>
            </w:r>
          </w:p>
        </w:tc>
      </w:tr>
      <w:tr>
        <w:trPr>
          <w:trHeight w:val="271"/>
        </w:trPr>
        <w:tc>
          <w:tcPr>
            <w:tcW w:w="7900" w:type="dxa"/>
            <w:vAlign w:val="bottom"/>
            <w:shd w:val="clear" w:color="auto" w:fill="CCEEFF"/>
          </w:tcPr>
          <w:p>
            <w:pPr>
              <w:ind w:left="600"/>
              <w:spacing w:after="0"/>
              <w:rPr>
                <w:sz w:val="20"/>
                <w:szCs w:val="20"/>
                <w:color w:val="auto"/>
              </w:rPr>
            </w:pPr>
            <w:r>
              <w:rPr>
                <w:rFonts w:ascii="Arial" w:cs="Arial" w:eastAsia="Arial" w:hAnsi="Arial"/>
                <w:sz w:val="14"/>
                <w:szCs w:val="14"/>
                <w:color w:val="auto"/>
              </w:rPr>
              <w:t>Investment in notes receivable</w:t>
            </w:r>
          </w:p>
        </w:tc>
        <w:tc>
          <w:tcPr>
            <w:tcW w:w="340" w:type="dxa"/>
            <w:vAlign w:val="bottom"/>
            <w:shd w:val="clear" w:color="auto" w:fill="CCEEFF"/>
          </w:tcPr>
          <w:p>
            <w:pPr>
              <w:spacing w:after="0"/>
              <w:rPr>
                <w:sz w:val="23"/>
                <w:szCs w:val="23"/>
                <w:color w:val="auto"/>
              </w:rPr>
            </w:pPr>
          </w:p>
        </w:tc>
        <w:tc>
          <w:tcPr>
            <w:tcW w:w="150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b w:val="1"/>
                <w:bCs w:val="1"/>
                <w:color w:val="auto"/>
              </w:rPr>
              <w:t>—</w:t>
            </w:r>
          </w:p>
        </w:tc>
        <w:tc>
          <w:tcPr>
            <w:tcW w:w="380" w:type="dxa"/>
            <w:vAlign w:val="bottom"/>
            <w:shd w:val="clear" w:color="auto" w:fill="CCEEFF"/>
          </w:tcPr>
          <w:p>
            <w:pPr>
              <w:spacing w:after="0"/>
              <w:rPr>
                <w:sz w:val="23"/>
                <w:szCs w:val="23"/>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(3,066)</w:t>
            </w:r>
          </w:p>
        </w:tc>
      </w:tr>
      <w:tr>
        <w:trPr>
          <w:trHeight w:val="269"/>
        </w:trPr>
        <w:tc>
          <w:tcPr>
            <w:tcW w:w="7900" w:type="dxa"/>
            <w:vAlign w:val="bottom"/>
          </w:tcPr>
          <w:p>
            <w:pPr>
              <w:ind w:left="600"/>
              <w:spacing w:after="0"/>
              <w:rPr>
                <w:sz w:val="20"/>
                <w:szCs w:val="20"/>
                <w:color w:val="auto"/>
              </w:rPr>
            </w:pPr>
            <w:r>
              <w:rPr>
                <w:rFonts w:ascii="Arial" w:cs="Arial" w:eastAsia="Arial" w:hAnsi="Arial"/>
                <w:sz w:val="14"/>
                <w:szCs w:val="14"/>
                <w:color w:val="auto"/>
              </w:rPr>
              <w:t>Investment in unconsolidated entities and available for sale securities</w:t>
            </w:r>
          </w:p>
        </w:tc>
        <w:tc>
          <w:tcPr>
            <w:tcW w:w="340" w:type="dxa"/>
            <w:vAlign w:val="bottom"/>
          </w:tcPr>
          <w:p>
            <w:pPr>
              <w:spacing w:after="0"/>
              <w:rPr>
                <w:sz w:val="23"/>
                <w:szCs w:val="23"/>
                <w:color w:val="auto"/>
              </w:rPr>
            </w:pPr>
          </w:p>
        </w:tc>
        <w:tc>
          <w:tcPr>
            <w:tcW w:w="1380" w:type="dxa"/>
            <w:vAlign w:val="bottom"/>
          </w:tcPr>
          <w:p>
            <w:pPr>
              <w:jc w:val="right"/>
              <w:spacing w:after="0"/>
              <w:rPr>
                <w:sz w:val="20"/>
                <w:szCs w:val="20"/>
                <w:color w:val="auto"/>
              </w:rPr>
            </w:pPr>
            <w:r>
              <w:rPr>
                <w:rFonts w:ascii="Arial" w:cs="Arial" w:eastAsia="Arial" w:hAnsi="Arial"/>
                <w:sz w:val="14"/>
                <w:szCs w:val="14"/>
                <w:b w:val="1"/>
                <w:bCs w:val="1"/>
                <w:color w:val="auto"/>
              </w:rPr>
              <w:t>(24,903)</w:t>
            </w:r>
          </w:p>
        </w:tc>
        <w:tc>
          <w:tcPr>
            <w:tcW w:w="1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(1,754)</w:t>
            </w:r>
          </w:p>
        </w:tc>
      </w:tr>
      <w:tr>
        <w:trPr>
          <w:trHeight w:val="271"/>
        </w:trPr>
        <w:tc>
          <w:tcPr>
            <w:tcW w:w="7900" w:type="dxa"/>
            <w:vAlign w:val="bottom"/>
            <w:shd w:val="clear" w:color="auto" w:fill="CCEEFF"/>
          </w:tcPr>
          <w:p>
            <w:pPr>
              <w:ind w:left="600"/>
              <w:spacing w:after="0"/>
              <w:rPr>
                <w:sz w:val="20"/>
                <w:szCs w:val="20"/>
                <w:color w:val="auto"/>
              </w:rPr>
            </w:pPr>
            <w:r>
              <w:rPr>
                <w:rFonts w:ascii="Arial" w:cs="Arial" w:eastAsia="Arial" w:hAnsi="Arial"/>
                <w:sz w:val="14"/>
                <w:szCs w:val="14"/>
                <w:color w:val="auto"/>
              </w:rPr>
              <w:t>Principal collections on finance leases</w:t>
            </w:r>
          </w:p>
        </w:tc>
        <w:tc>
          <w:tcPr>
            <w:tcW w:w="340" w:type="dxa"/>
            <w:vAlign w:val="bottom"/>
            <w:shd w:val="clear" w:color="auto" w:fill="CCEEFF"/>
          </w:tcPr>
          <w:p>
            <w:pPr>
              <w:spacing w:after="0"/>
              <w:rPr>
                <w:sz w:val="23"/>
                <w:szCs w:val="23"/>
                <w:color w:val="auto"/>
              </w:rPr>
            </w:pPr>
          </w:p>
        </w:tc>
        <w:tc>
          <w:tcPr>
            <w:tcW w:w="138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347</w:t>
            </w:r>
          </w:p>
        </w:tc>
        <w:tc>
          <w:tcPr>
            <w:tcW w:w="12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13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2,406</w:t>
            </w:r>
          </w:p>
        </w:tc>
      </w:tr>
      <w:tr>
        <w:trPr>
          <w:trHeight w:val="269"/>
        </w:trPr>
        <w:tc>
          <w:tcPr>
            <w:tcW w:w="7900" w:type="dxa"/>
            <w:vAlign w:val="bottom"/>
          </w:tcPr>
          <w:p>
            <w:pPr>
              <w:ind w:left="600"/>
              <w:spacing w:after="0"/>
              <w:rPr>
                <w:sz w:val="20"/>
                <w:szCs w:val="20"/>
                <w:color w:val="auto"/>
              </w:rPr>
            </w:pPr>
            <w:r>
              <w:rPr>
                <w:rFonts w:ascii="Arial" w:cs="Arial" w:eastAsia="Arial" w:hAnsi="Arial"/>
                <w:sz w:val="14"/>
                <w:szCs w:val="14"/>
                <w:color w:val="auto"/>
              </w:rPr>
              <w:t>Acquisition of leasing equipment</w:t>
            </w:r>
          </w:p>
        </w:tc>
        <w:tc>
          <w:tcPr>
            <w:tcW w:w="340" w:type="dxa"/>
            <w:vAlign w:val="bottom"/>
          </w:tcPr>
          <w:p>
            <w:pPr>
              <w:spacing w:after="0"/>
              <w:rPr>
                <w:sz w:val="23"/>
                <w:szCs w:val="23"/>
                <w:color w:val="auto"/>
              </w:rPr>
            </w:pPr>
          </w:p>
        </w:tc>
        <w:tc>
          <w:tcPr>
            <w:tcW w:w="1380" w:type="dxa"/>
            <w:vAlign w:val="bottom"/>
          </w:tcPr>
          <w:p>
            <w:pPr>
              <w:jc w:val="right"/>
              <w:spacing w:after="0"/>
              <w:rPr>
                <w:sz w:val="20"/>
                <w:szCs w:val="20"/>
                <w:color w:val="auto"/>
              </w:rPr>
            </w:pPr>
            <w:r>
              <w:rPr>
                <w:rFonts w:ascii="Arial" w:cs="Arial" w:eastAsia="Arial" w:hAnsi="Arial"/>
                <w:sz w:val="14"/>
                <w:szCs w:val="14"/>
                <w:b w:val="1"/>
                <w:bCs w:val="1"/>
                <w:color w:val="auto"/>
              </w:rPr>
              <w:t>(267,451)</w:t>
            </w:r>
          </w:p>
        </w:tc>
        <w:tc>
          <w:tcPr>
            <w:tcW w:w="1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(114,012)</w:t>
            </w:r>
          </w:p>
        </w:tc>
      </w:tr>
      <w:tr>
        <w:trPr>
          <w:trHeight w:val="271"/>
        </w:trPr>
        <w:tc>
          <w:tcPr>
            <w:tcW w:w="7900" w:type="dxa"/>
            <w:vAlign w:val="bottom"/>
            <w:shd w:val="clear" w:color="auto" w:fill="CCEEFF"/>
          </w:tcPr>
          <w:p>
            <w:pPr>
              <w:ind w:left="600"/>
              <w:spacing w:after="0"/>
              <w:rPr>
                <w:sz w:val="20"/>
                <w:szCs w:val="20"/>
                <w:color w:val="auto"/>
              </w:rPr>
            </w:pPr>
            <w:r>
              <w:rPr>
                <w:rFonts w:ascii="Arial" w:cs="Arial" w:eastAsia="Arial" w:hAnsi="Arial"/>
                <w:sz w:val="14"/>
                <w:szCs w:val="14"/>
                <w:color w:val="auto"/>
              </w:rPr>
              <w:t>Acquisition of property plant and equipment</w:t>
            </w:r>
          </w:p>
        </w:tc>
        <w:tc>
          <w:tcPr>
            <w:tcW w:w="340" w:type="dxa"/>
            <w:vAlign w:val="bottom"/>
            <w:shd w:val="clear" w:color="auto" w:fill="CCEEFF"/>
          </w:tcPr>
          <w:p>
            <w:pPr>
              <w:spacing w:after="0"/>
              <w:rPr>
                <w:sz w:val="23"/>
                <w:szCs w:val="23"/>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(86,455)</w:t>
            </w:r>
          </w:p>
        </w:tc>
        <w:tc>
          <w:tcPr>
            <w:tcW w:w="12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(47,454)</w:t>
            </w:r>
          </w:p>
        </w:tc>
      </w:tr>
      <w:tr>
        <w:trPr>
          <w:trHeight w:val="269"/>
        </w:trPr>
        <w:tc>
          <w:tcPr>
            <w:tcW w:w="7900" w:type="dxa"/>
            <w:vAlign w:val="bottom"/>
          </w:tcPr>
          <w:p>
            <w:pPr>
              <w:ind w:left="600"/>
              <w:spacing w:after="0"/>
              <w:rPr>
                <w:sz w:val="20"/>
                <w:szCs w:val="20"/>
                <w:color w:val="auto"/>
              </w:rPr>
            </w:pPr>
            <w:r>
              <w:rPr>
                <w:rFonts w:ascii="Arial" w:cs="Arial" w:eastAsia="Arial" w:hAnsi="Arial"/>
                <w:sz w:val="14"/>
                <w:szCs w:val="14"/>
                <w:color w:val="auto"/>
              </w:rPr>
              <w:t>Acquisition of lease intangibles</w:t>
            </w:r>
          </w:p>
        </w:tc>
        <w:tc>
          <w:tcPr>
            <w:tcW w:w="340" w:type="dxa"/>
            <w:vAlign w:val="bottom"/>
          </w:tcPr>
          <w:p>
            <w:pPr>
              <w:spacing w:after="0"/>
              <w:rPr>
                <w:sz w:val="23"/>
                <w:szCs w:val="23"/>
                <w:color w:val="auto"/>
              </w:rPr>
            </w:pPr>
          </w:p>
        </w:tc>
        <w:tc>
          <w:tcPr>
            <w:tcW w:w="1380" w:type="dxa"/>
            <w:vAlign w:val="bottom"/>
          </w:tcPr>
          <w:p>
            <w:pPr>
              <w:jc w:val="right"/>
              <w:spacing w:after="0"/>
              <w:rPr>
                <w:sz w:val="20"/>
                <w:szCs w:val="20"/>
                <w:color w:val="auto"/>
              </w:rPr>
            </w:pPr>
            <w:r>
              <w:rPr>
                <w:rFonts w:ascii="Arial" w:cs="Arial" w:eastAsia="Arial" w:hAnsi="Arial"/>
                <w:sz w:val="14"/>
                <w:szCs w:val="14"/>
                <w:b w:val="1"/>
                <w:bCs w:val="1"/>
                <w:color w:val="auto"/>
              </w:rPr>
              <w:t>(1,583)</w:t>
            </w:r>
          </w:p>
        </w:tc>
        <w:tc>
          <w:tcPr>
            <w:tcW w:w="1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(812)</w:t>
            </w:r>
          </w:p>
        </w:tc>
      </w:tr>
      <w:tr>
        <w:trPr>
          <w:trHeight w:val="271"/>
        </w:trPr>
        <w:tc>
          <w:tcPr>
            <w:tcW w:w="7900" w:type="dxa"/>
            <w:vAlign w:val="bottom"/>
            <w:shd w:val="clear" w:color="auto" w:fill="CCEEFF"/>
          </w:tcPr>
          <w:p>
            <w:pPr>
              <w:ind w:left="600"/>
              <w:spacing w:after="0"/>
              <w:rPr>
                <w:sz w:val="20"/>
                <w:szCs w:val="20"/>
                <w:color w:val="auto"/>
              </w:rPr>
            </w:pPr>
            <w:r>
              <w:rPr>
                <w:rFonts w:ascii="Arial" w:cs="Arial" w:eastAsia="Arial" w:hAnsi="Arial"/>
                <w:sz w:val="14"/>
                <w:szCs w:val="14"/>
                <w:color w:val="auto"/>
              </w:rPr>
              <w:t>Purchase deposit for aircraft and aircraft engines</w:t>
            </w:r>
          </w:p>
        </w:tc>
        <w:tc>
          <w:tcPr>
            <w:tcW w:w="340" w:type="dxa"/>
            <w:vAlign w:val="bottom"/>
            <w:shd w:val="clear" w:color="auto" w:fill="CCEEFF"/>
          </w:tcPr>
          <w:p>
            <w:pPr>
              <w:spacing w:after="0"/>
              <w:rPr>
                <w:sz w:val="23"/>
                <w:szCs w:val="23"/>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(11,785)</w:t>
            </w:r>
          </w:p>
        </w:tc>
        <w:tc>
          <w:tcPr>
            <w:tcW w:w="12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(10,225)</w:t>
            </w:r>
          </w:p>
        </w:tc>
      </w:tr>
      <w:tr>
        <w:trPr>
          <w:trHeight w:val="269"/>
        </w:trPr>
        <w:tc>
          <w:tcPr>
            <w:tcW w:w="7900" w:type="dxa"/>
            <w:vAlign w:val="bottom"/>
          </w:tcPr>
          <w:p>
            <w:pPr>
              <w:ind w:left="600"/>
              <w:spacing w:after="0"/>
              <w:rPr>
                <w:sz w:val="20"/>
                <w:szCs w:val="20"/>
                <w:color w:val="auto"/>
              </w:rPr>
            </w:pPr>
            <w:r>
              <w:rPr>
                <w:rFonts w:ascii="Arial" w:cs="Arial" w:eastAsia="Arial" w:hAnsi="Arial"/>
                <w:sz w:val="14"/>
                <w:szCs w:val="14"/>
                <w:color w:val="auto"/>
              </w:rPr>
              <w:t>Proceeds from sale of finance leases</w:t>
            </w:r>
          </w:p>
        </w:tc>
        <w:tc>
          <w:tcPr>
            <w:tcW w:w="340" w:type="dxa"/>
            <w:vAlign w:val="bottom"/>
          </w:tcPr>
          <w:p>
            <w:pPr>
              <w:spacing w:after="0"/>
              <w:rPr>
                <w:sz w:val="23"/>
                <w:szCs w:val="23"/>
                <w:color w:val="auto"/>
              </w:rPr>
            </w:pPr>
          </w:p>
        </w:tc>
        <w:tc>
          <w:tcPr>
            <w:tcW w:w="150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rPr>
              <w:t>—</w:t>
            </w:r>
          </w:p>
        </w:tc>
        <w:tc>
          <w:tcPr>
            <w:tcW w:w="380" w:type="dxa"/>
            <w:vAlign w:val="bottom"/>
          </w:tcPr>
          <w:p>
            <w:pPr>
              <w:spacing w:after="0"/>
              <w:rPr>
                <w:sz w:val="23"/>
                <w:szCs w:val="23"/>
                <w:color w:val="auto"/>
              </w:rPr>
            </w:pPr>
          </w:p>
        </w:tc>
        <w:tc>
          <w:tcPr>
            <w:tcW w:w="1300" w:type="dxa"/>
            <w:vAlign w:val="bottom"/>
          </w:tcPr>
          <w:p>
            <w:pPr>
              <w:jc w:val="right"/>
              <w:ind w:right="28"/>
              <w:spacing w:after="0"/>
              <w:rPr>
                <w:sz w:val="20"/>
                <w:szCs w:val="20"/>
                <w:color w:val="auto"/>
              </w:rPr>
            </w:pPr>
            <w:r>
              <w:rPr>
                <w:rFonts w:ascii="Arial" w:cs="Arial" w:eastAsia="Arial" w:hAnsi="Arial"/>
                <w:sz w:val="14"/>
                <w:szCs w:val="14"/>
                <w:color w:val="auto"/>
              </w:rPr>
              <w:t>71,000</w:t>
            </w:r>
          </w:p>
        </w:tc>
      </w:tr>
      <w:tr>
        <w:trPr>
          <w:trHeight w:val="271"/>
        </w:trPr>
        <w:tc>
          <w:tcPr>
            <w:tcW w:w="7900" w:type="dxa"/>
            <w:vAlign w:val="bottom"/>
            <w:shd w:val="clear" w:color="auto" w:fill="CCEEFF"/>
          </w:tcPr>
          <w:p>
            <w:pPr>
              <w:ind w:left="600"/>
              <w:spacing w:after="0"/>
              <w:rPr>
                <w:sz w:val="20"/>
                <w:szCs w:val="20"/>
                <w:color w:val="auto"/>
              </w:rPr>
            </w:pPr>
            <w:r>
              <w:rPr>
                <w:rFonts w:ascii="Arial" w:cs="Arial" w:eastAsia="Arial" w:hAnsi="Arial"/>
                <w:sz w:val="14"/>
                <w:szCs w:val="14"/>
                <w:color w:val="auto"/>
              </w:rPr>
              <w:t>Proceeds from sale of leasing equipment</w:t>
            </w:r>
          </w:p>
        </w:tc>
        <w:tc>
          <w:tcPr>
            <w:tcW w:w="340" w:type="dxa"/>
            <w:vAlign w:val="bottom"/>
            <w:shd w:val="clear" w:color="auto" w:fill="CCEEFF"/>
          </w:tcPr>
          <w:p>
            <w:pPr>
              <w:spacing w:after="0"/>
              <w:rPr>
                <w:sz w:val="23"/>
                <w:szCs w:val="23"/>
                <w:color w:val="auto"/>
              </w:rPr>
            </w:pPr>
          </w:p>
        </w:tc>
        <w:tc>
          <w:tcPr>
            <w:tcW w:w="138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87,093</w:t>
            </w:r>
          </w:p>
        </w:tc>
        <w:tc>
          <w:tcPr>
            <w:tcW w:w="12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13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15,905</w:t>
            </w:r>
          </w:p>
        </w:tc>
      </w:tr>
      <w:tr>
        <w:trPr>
          <w:trHeight w:val="269"/>
        </w:trPr>
        <w:tc>
          <w:tcPr>
            <w:tcW w:w="7900" w:type="dxa"/>
            <w:vAlign w:val="bottom"/>
          </w:tcPr>
          <w:p>
            <w:pPr>
              <w:ind w:left="600"/>
              <w:spacing w:after="0"/>
              <w:rPr>
                <w:sz w:val="20"/>
                <w:szCs w:val="20"/>
                <w:color w:val="auto"/>
              </w:rPr>
            </w:pPr>
            <w:r>
              <w:rPr>
                <w:rFonts w:ascii="Arial" w:cs="Arial" w:eastAsia="Arial" w:hAnsi="Arial"/>
                <w:sz w:val="14"/>
                <w:szCs w:val="14"/>
                <w:color w:val="auto"/>
              </w:rPr>
              <w:t>Proceeds from sale of property, plant and equipment</w:t>
            </w:r>
          </w:p>
        </w:tc>
        <w:tc>
          <w:tcPr>
            <w:tcW w:w="340" w:type="dxa"/>
            <w:vAlign w:val="bottom"/>
          </w:tcPr>
          <w:p>
            <w:pPr>
              <w:spacing w:after="0"/>
              <w:rPr>
                <w:sz w:val="23"/>
                <w:szCs w:val="23"/>
                <w:color w:val="auto"/>
              </w:rPr>
            </w:pPr>
          </w:p>
        </w:tc>
        <w:tc>
          <w:tcPr>
            <w:tcW w:w="1380" w:type="dxa"/>
            <w:vAlign w:val="bottom"/>
          </w:tcPr>
          <w:p>
            <w:pPr>
              <w:jc w:val="right"/>
              <w:ind w:right="48"/>
              <w:spacing w:after="0"/>
              <w:rPr>
                <w:sz w:val="20"/>
                <w:szCs w:val="20"/>
                <w:color w:val="auto"/>
              </w:rPr>
            </w:pPr>
            <w:r>
              <w:rPr>
                <w:rFonts w:ascii="Arial" w:cs="Arial" w:eastAsia="Arial" w:hAnsi="Arial"/>
                <w:sz w:val="14"/>
                <w:szCs w:val="14"/>
                <w:b w:val="1"/>
                <w:bCs w:val="1"/>
                <w:color w:val="auto"/>
              </w:rPr>
              <w:t>51</w:t>
            </w:r>
          </w:p>
        </w:tc>
        <w:tc>
          <w:tcPr>
            <w:tcW w:w="1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300" w:type="dxa"/>
            <w:vAlign w:val="bottom"/>
          </w:tcPr>
          <w:p>
            <w:pPr>
              <w:jc w:val="right"/>
              <w:ind w:right="28"/>
              <w:spacing w:after="0"/>
              <w:rPr>
                <w:sz w:val="20"/>
                <w:szCs w:val="20"/>
                <w:color w:val="auto"/>
              </w:rPr>
            </w:pPr>
            <w:r>
              <w:rPr>
                <w:rFonts w:ascii="Arial" w:cs="Arial" w:eastAsia="Arial" w:hAnsi="Arial"/>
                <w:sz w:val="14"/>
                <w:szCs w:val="14"/>
                <w:color w:val="auto"/>
              </w:rPr>
              <w:t>125</w:t>
            </w:r>
          </w:p>
        </w:tc>
      </w:tr>
      <w:tr>
        <w:trPr>
          <w:trHeight w:val="271"/>
        </w:trPr>
        <w:tc>
          <w:tcPr>
            <w:tcW w:w="7900" w:type="dxa"/>
            <w:vAlign w:val="bottom"/>
            <w:shd w:val="clear" w:color="auto" w:fill="CCEEFF"/>
          </w:tcPr>
          <w:p>
            <w:pPr>
              <w:ind w:left="600"/>
              <w:spacing w:after="0"/>
              <w:rPr>
                <w:sz w:val="20"/>
                <w:szCs w:val="20"/>
                <w:color w:val="auto"/>
              </w:rPr>
            </w:pPr>
            <w:r>
              <w:rPr>
                <w:rFonts w:ascii="Arial" w:cs="Arial" w:eastAsia="Arial" w:hAnsi="Arial"/>
                <w:sz w:val="14"/>
                <w:szCs w:val="14"/>
                <w:color w:val="auto"/>
              </w:rPr>
              <w:t>Proceeds from deposit on sale of leasing equipment</w:t>
            </w:r>
          </w:p>
        </w:tc>
        <w:tc>
          <w:tcPr>
            <w:tcW w:w="340" w:type="dxa"/>
            <w:vAlign w:val="bottom"/>
            <w:shd w:val="clear" w:color="auto" w:fill="CCEEFF"/>
          </w:tcPr>
          <w:p>
            <w:pPr>
              <w:spacing w:after="0"/>
              <w:rPr>
                <w:sz w:val="23"/>
                <w:szCs w:val="23"/>
                <w:color w:val="auto"/>
              </w:rPr>
            </w:pPr>
          </w:p>
        </w:tc>
        <w:tc>
          <w:tcPr>
            <w:tcW w:w="150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b w:val="1"/>
                <w:bCs w:val="1"/>
                <w:color w:val="auto"/>
              </w:rPr>
              <w:t>—</w:t>
            </w:r>
          </w:p>
        </w:tc>
        <w:tc>
          <w:tcPr>
            <w:tcW w:w="380" w:type="dxa"/>
            <w:vAlign w:val="bottom"/>
            <w:shd w:val="clear" w:color="auto" w:fill="CCEEFF"/>
          </w:tcPr>
          <w:p>
            <w:pPr>
              <w:spacing w:after="0"/>
              <w:rPr>
                <w:sz w:val="23"/>
                <w:szCs w:val="23"/>
                <w:color w:val="auto"/>
              </w:rPr>
            </w:pPr>
          </w:p>
        </w:tc>
        <w:tc>
          <w:tcPr>
            <w:tcW w:w="13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250</w:t>
            </w:r>
          </w:p>
        </w:tc>
      </w:tr>
      <w:tr>
        <w:trPr>
          <w:trHeight w:val="269"/>
        </w:trPr>
        <w:tc>
          <w:tcPr>
            <w:tcW w:w="7900" w:type="dxa"/>
            <w:vAlign w:val="bottom"/>
          </w:tcPr>
          <w:p>
            <w:pPr>
              <w:ind w:left="600"/>
              <w:spacing w:after="0"/>
              <w:rPr>
                <w:sz w:val="20"/>
                <w:szCs w:val="20"/>
                <w:color w:val="auto"/>
              </w:rPr>
            </w:pPr>
            <w:r>
              <w:rPr>
                <w:rFonts w:ascii="Arial" w:cs="Arial" w:eastAsia="Arial" w:hAnsi="Arial"/>
                <w:sz w:val="14"/>
                <w:szCs w:val="14"/>
                <w:color w:val="auto"/>
              </w:rPr>
              <w:t>Return of capital distributions from unconsolidated entities</w:t>
            </w:r>
          </w:p>
        </w:tc>
        <w:tc>
          <w:tcPr>
            <w:tcW w:w="340" w:type="dxa"/>
            <w:vAlign w:val="bottom"/>
          </w:tcPr>
          <w:p>
            <w:pPr>
              <w:spacing w:after="0"/>
              <w:rPr>
                <w:sz w:val="23"/>
                <w:szCs w:val="23"/>
                <w:color w:val="auto"/>
              </w:rPr>
            </w:pPr>
          </w:p>
        </w:tc>
        <w:tc>
          <w:tcPr>
            <w:tcW w:w="150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rPr>
              <w:t>—</w:t>
            </w:r>
          </w:p>
        </w:tc>
        <w:tc>
          <w:tcPr>
            <w:tcW w:w="380" w:type="dxa"/>
            <w:vAlign w:val="bottom"/>
          </w:tcPr>
          <w:p>
            <w:pPr>
              <w:spacing w:after="0"/>
              <w:rPr>
                <w:sz w:val="23"/>
                <w:szCs w:val="23"/>
                <w:color w:val="auto"/>
              </w:rPr>
            </w:pPr>
          </w:p>
        </w:tc>
        <w:tc>
          <w:tcPr>
            <w:tcW w:w="1300" w:type="dxa"/>
            <w:vAlign w:val="bottom"/>
          </w:tcPr>
          <w:p>
            <w:pPr>
              <w:jc w:val="right"/>
              <w:ind w:right="28"/>
              <w:spacing w:after="0"/>
              <w:rPr>
                <w:sz w:val="20"/>
                <w:szCs w:val="20"/>
                <w:color w:val="auto"/>
              </w:rPr>
            </w:pPr>
            <w:r>
              <w:rPr>
                <w:rFonts w:ascii="Arial" w:cs="Arial" w:eastAsia="Arial" w:hAnsi="Arial"/>
                <w:sz w:val="14"/>
                <w:szCs w:val="14"/>
                <w:color w:val="auto"/>
              </w:rPr>
              <w:t>432</w:t>
            </w:r>
          </w:p>
        </w:tc>
      </w:tr>
      <w:tr>
        <w:trPr>
          <w:trHeight w:val="250"/>
        </w:trPr>
        <w:tc>
          <w:tcPr>
            <w:tcW w:w="7900" w:type="dxa"/>
            <w:vAlign w:val="bottom"/>
            <w:tcBorders>
              <w:top w:val="single" w:sz="8" w:color="CCEEFF"/>
            </w:tcBorders>
            <w:shd w:val="clear" w:color="auto" w:fill="CCEEFF"/>
          </w:tcPr>
          <w:p>
            <w:pPr>
              <w:ind w:left="80"/>
              <w:spacing w:after="0"/>
              <w:rPr>
                <w:sz w:val="20"/>
                <w:szCs w:val="20"/>
                <w:color w:val="auto"/>
              </w:rPr>
            </w:pPr>
            <w:r>
              <w:rPr>
                <w:rFonts w:ascii="Arial" w:cs="Arial" w:eastAsia="Arial" w:hAnsi="Arial"/>
                <w:sz w:val="14"/>
                <w:szCs w:val="14"/>
                <w:b w:val="1"/>
                <w:bCs w:val="1"/>
                <w:color w:val="auto"/>
              </w:rPr>
              <w:t>Net cash used in investing activities</w:t>
            </w:r>
          </w:p>
        </w:tc>
        <w:tc>
          <w:tcPr>
            <w:tcW w:w="340" w:type="dxa"/>
            <w:vAlign w:val="bottom"/>
            <w:tcBorders>
              <w:top w:val="single" w:sz="8" w:color="auto"/>
              <w:bottom w:val="single" w:sz="8" w:color="auto"/>
            </w:tcBorders>
            <w:shd w:val="clear" w:color="auto" w:fill="CCEEFF"/>
          </w:tcPr>
          <w:p>
            <w:pPr>
              <w:jc w:val="right"/>
              <w:ind w:right="168"/>
              <w:spacing w:after="0"/>
              <w:rPr>
                <w:sz w:val="20"/>
                <w:szCs w:val="20"/>
                <w:color w:val="auto"/>
              </w:rPr>
            </w:pPr>
            <w:r>
              <w:rPr>
                <w:rFonts w:ascii="Arial" w:cs="Arial" w:eastAsia="Arial" w:hAnsi="Arial"/>
                <w:sz w:val="14"/>
                <w:szCs w:val="14"/>
                <w:b w:val="1"/>
                <w:bCs w:val="1"/>
                <w:color w:val="auto"/>
              </w:rPr>
              <w:t>$</w:t>
            </w:r>
          </w:p>
        </w:tc>
        <w:tc>
          <w:tcPr>
            <w:tcW w:w="1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(275,703)</w:t>
            </w:r>
          </w:p>
        </w:tc>
        <w:tc>
          <w:tcPr>
            <w:tcW w:w="120" w:type="dxa"/>
            <w:vAlign w:val="bottom"/>
            <w:tcBorders>
              <w:top w:val="single" w:sz="8" w:color="CCEEFF"/>
            </w:tcBorders>
            <w:shd w:val="clear" w:color="auto" w:fill="CCEEFF"/>
          </w:tcPr>
          <w:p>
            <w:pPr>
              <w:spacing w:after="0"/>
              <w:rPr>
                <w:sz w:val="21"/>
                <w:szCs w:val="21"/>
                <w:color w:val="auto"/>
              </w:rPr>
            </w:pPr>
          </w:p>
        </w:tc>
        <w:tc>
          <w:tcPr>
            <w:tcW w:w="380" w:type="dxa"/>
            <w:vAlign w:val="bottom"/>
            <w:tcBorders>
              <w:top w:val="single" w:sz="8" w:color="auto"/>
              <w:bottom w:val="single" w:sz="8" w:color="auto"/>
            </w:tcBorders>
            <w:shd w:val="clear" w:color="auto" w:fill="CCEEFF"/>
          </w:tcPr>
          <w:p>
            <w:pPr>
              <w:jc w:val="right"/>
              <w:ind w:right="208"/>
              <w:spacing w:after="0"/>
              <w:rPr>
                <w:sz w:val="20"/>
                <w:szCs w:val="20"/>
                <w:color w:val="auto"/>
              </w:rPr>
            </w:pPr>
            <w:r>
              <w:rPr>
                <w:rFonts w:ascii="Arial" w:cs="Arial" w:eastAsia="Arial" w:hAnsi="Arial"/>
                <w:sz w:val="14"/>
                <w:szCs w:val="14"/>
                <w:color w:val="auto"/>
              </w:rPr>
              <w:t>$</w:t>
            </w: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(88,004)</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4"/>
          <w:szCs w:val="14"/>
          <w:color w:val="00497F"/>
        </w:rPr>
        <w:t>See accompanying notes to consolidated financial statements.</w:t>
      </w:r>
    </w:p>
    <w:p>
      <w:pPr>
        <w:sectPr>
          <w:pgSz w:w="11900" w:h="16838" w:orient="portrait"/>
          <w:cols w:equalWidth="0" w:num="1">
            <w:col w:w="11420"/>
          </w:cols>
          <w:pgMar w:left="240" w:top="576" w:right="239" w:bottom="1085" w:gutter="0" w:footer="0" w:header="0"/>
        </w:sectPr>
      </w:pP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9</w:t>
      </w:r>
    </w:p>
    <w:p>
      <w:pPr>
        <w:sectPr>
          <w:pgSz w:w="11900" w:h="16838" w:orient="portrait"/>
          <w:cols w:equalWidth="0" w:num="1">
            <w:col w:w="11420"/>
          </w:cols>
          <w:pgMar w:left="240" w:top="576" w:right="239" w:bottom="1085" w:gutter="0" w:footer="0" w:header="0"/>
          <w:type w:val="continuous"/>
        </w:sectPr>
      </w:pPr>
    </w:p>
    <w:bookmarkStart w:id="9" w:name="page10"/>
    <w:bookmarkEnd w:id="9"/>
    <w:p>
      <w:pPr>
        <w:ind w:right="3820"/>
        <w:spacing w:after="0" w:line="395" w:lineRule="auto"/>
        <w:rPr>
          <w:sz w:val="20"/>
          <w:szCs w:val="20"/>
          <w:color w:val="auto"/>
        </w:rPr>
      </w:pPr>
      <w:r>
        <w:rPr>
          <w:rFonts w:ascii="Arial" w:cs="Arial" w:eastAsia="Arial" w:hAnsi="Arial"/>
          <w:sz w:val="22"/>
          <w:szCs w:val="22"/>
          <w:b w:val="1"/>
          <w:bCs w:val="1"/>
          <w:color w:val="00497F"/>
        </w:rPr>
        <w:t xml:space="preserve">FORTRESS TRANSPORTATION AND INFRASTRUCTURE INVESTORS LLC CONSOLIDATED STATEMENTS OF CASH FLOWS </w:t>
      </w:r>
      <w:r>
        <w:rPr>
          <w:rFonts w:ascii="Arial" w:cs="Arial" w:eastAsia="Arial" w:hAnsi="Arial"/>
          <w:sz w:val="22"/>
          <w:szCs w:val="22"/>
          <w:b w:val="1"/>
          <w:bCs w:val="1"/>
          <w:i w:val="1"/>
          <w:iCs w:val="1"/>
          <w:color w:val="00497F"/>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5080</wp:posOffset>
            </wp:positionV>
            <wp:extent cx="72720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344"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790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3180" w:type="dxa"/>
            <w:vAlign w:val="bottom"/>
            <w:tcBorders>
              <w:bottom w:val="single" w:sz="8" w:color="auto"/>
            </w:tcBorders>
            <w:gridSpan w:val="4"/>
          </w:tcPr>
          <w:p>
            <w:pPr>
              <w:jc w:val="right"/>
              <w:ind w:right="487"/>
              <w:spacing w:after="0"/>
              <w:rPr>
                <w:sz w:val="20"/>
                <w:szCs w:val="20"/>
                <w:color w:val="auto"/>
              </w:rPr>
            </w:pPr>
            <w:r>
              <w:rPr>
                <w:rFonts w:ascii="Arial" w:cs="Arial" w:eastAsia="Arial" w:hAnsi="Arial"/>
                <w:sz w:val="14"/>
                <w:szCs w:val="14"/>
                <w:b w:val="1"/>
                <w:bCs w:val="1"/>
                <w:color w:val="auto"/>
              </w:rPr>
              <w:t>Nine Months Ended September 30,</w:t>
            </w:r>
          </w:p>
        </w:tc>
      </w:tr>
      <w:tr>
        <w:trPr>
          <w:trHeight w:val="264"/>
        </w:trPr>
        <w:tc>
          <w:tcPr>
            <w:tcW w:w="7900" w:type="dxa"/>
            <w:vAlign w:val="bottom"/>
            <w:tcBorders>
              <w:bottom w:val="single" w:sz="8" w:color="CCEEFF"/>
            </w:tcBorders>
          </w:tcPr>
          <w:p>
            <w:pPr>
              <w:ind w:left="40"/>
              <w:spacing w:after="0"/>
              <w:rPr>
                <w:sz w:val="20"/>
                <w:szCs w:val="20"/>
                <w:color w:val="auto"/>
              </w:rPr>
            </w:pPr>
            <w:r>
              <w:rPr>
                <w:rFonts w:ascii="Arial" w:cs="Arial" w:eastAsia="Arial" w:hAnsi="Arial"/>
                <w:sz w:val="14"/>
                <w:szCs w:val="14"/>
                <w:i w:val="1"/>
                <w:iCs w:val="1"/>
                <w:color w:val="auto"/>
              </w:rPr>
              <w:t>(Dollar amounts in thousands)</w:t>
            </w:r>
          </w:p>
        </w:tc>
        <w:tc>
          <w:tcPr>
            <w:tcW w:w="340" w:type="dxa"/>
            <w:vAlign w:val="bottom"/>
            <w:tcBorders>
              <w:bottom w:val="single" w:sz="8" w:color="auto"/>
            </w:tcBorders>
          </w:tcPr>
          <w:p>
            <w:pPr>
              <w:spacing w:after="0"/>
              <w:rPr>
                <w:sz w:val="22"/>
                <w:szCs w:val="22"/>
                <w:color w:val="auto"/>
              </w:rPr>
            </w:pPr>
          </w:p>
        </w:tc>
        <w:tc>
          <w:tcPr>
            <w:tcW w:w="1380" w:type="dxa"/>
            <w:vAlign w:val="bottom"/>
            <w:tcBorders>
              <w:bottom w:val="single" w:sz="8" w:color="auto"/>
            </w:tcBorders>
          </w:tcPr>
          <w:p>
            <w:pPr>
              <w:jc w:val="right"/>
              <w:ind w:right="628"/>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ind w:right="607"/>
              <w:spacing w:after="0"/>
              <w:rPr>
                <w:sz w:val="20"/>
                <w:szCs w:val="20"/>
                <w:color w:val="auto"/>
              </w:rPr>
            </w:pPr>
            <w:r>
              <w:rPr>
                <w:rFonts w:ascii="Arial" w:cs="Arial" w:eastAsia="Arial" w:hAnsi="Arial"/>
                <w:sz w:val="14"/>
                <w:szCs w:val="14"/>
                <w:b w:val="1"/>
                <w:bCs w:val="1"/>
                <w:color w:val="auto"/>
              </w:rPr>
              <w:t>2016</w:t>
            </w:r>
          </w:p>
        </w:tc>
      </w:tr>
      <w:tr>
        <w:trPr>
          <w:trHeight w:val="265"/>
        </w:trPr>
        <w:tc>
          <w:tcPr>
            <w:tcW w:w="7900" w:type="dxa"/>
            <w:vAlign w:val="bottom"/>
            <w:shd w:val="clear" w:color="auto" w:fill="CCEEFF"/>
          </w:tcPr>
          <w:p>
            <w:pPr>
              <w:ind w:left="80"/>
              <w:spacing w:after="0"/>
              <w:rPr>
                <w:sz w:val="20"/>
                <w:szCs w:val="20"/>
                <w:color w:val="auto"/>
              </w:rPr>
            </w:pPr>
            <w:r>
              <w:rPr>
                <w:rFonts w:ascii="Arial" w:cs="Arial" w:eastAsia="Arial" w:hAnsi="Arial"/>
                <w:sz w:val="14"/>
                <w:szCs w:val="14"/>
                <w:b w:val="1"/>
                <w:bCs w:val="1"/>
                <w:color w:val="auto"/>
              </w:rPr>
              <w:t>Cash flows from financing activities:</w:t>
            </w:r>
          </w:p>
        </w:tc>
        <w:tc>
          <w:tcPr>
            <w:tcW w:w="340" w:type="dxa"/>
            <w:vAlign w:val="bottom"/>
            <w:shd w:val="clear" w:color="auto" w:fill="CCEEFF"/>
          </w:tcPr>
          <w:p>
            <w:pPr>
              <w:spacing w:after="0"/>
              <w:rPr>
                <w:sz w:val="23"/>
                <w:szCs w:val="23"/>
                <w:color w:val="auto"/>
              </w:rPr>
            </w:pPr>
          </w:p>
        </w:tc>
        <w:tc>
          <w:tcPr>
            <w:tcW w:w="13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1300" w:type="dxa"/>
            <w:vAlign w:val="bottom"/>
            <w:shd w:val="clear" w:color="auto" w:fill="CCEEFF"/>
          </w:tcPr>
          <w:p>
            <w:pPr>
              <w:spacing w:after="0"/>
              <w:rPr>
                <w:sz w:val="23"/>
                <w:szCs w:val="23"/>
                <w:color w:val="auto"/>
              </w:rPr>
            </w:pPr>
          </w:p>
        </w:tc>
      </w:tr>
      <w:tr>
        <w:trPr>
          <w:trHeight w:val="269"/>
        </w:trPr>
        <w:tc>
          <w:tcPr>
            <w:tcW w:w="7900" w:type="dxa"/>
            <w:vAlign w:val="bottom"/>
          </w:tcPr>
          <w:p>
            <w:pPr>
              <w:ind w:left="600"/>
              <w:spacing w:after="0"/>
              <w:rPr>
                <w:sz w:val="20"/>
                <w:szCs w:val="20"/>
                <w:color w:val="auto"/>
              </w:rPr>
            </w:pPr>
            <w:r>
              <w:rPr>
                <w:rFonts w:ascii="Arial" w:cs="Arial" w:eastAsia="Arial" w:hAnsi="Arial"/>
                <w:sz w:val="14"/>
                <w:szCs w:val="14"/>
                <w:color w:val="auto"/>
              </w:rPr>
              <w:t>Proceeds from debt</w:t>
            </w:r>
          </w:p>
        </w:tc>
        <w:tc>
          <w:tcPr>
            <w:tcW w:w="340" w:type="dxa"/>
            <w:vAlign w:val="bottom"/>
          </w:tcPr>
          <w:p>
            <w:pPr>
              <w:jc w:val="right"/>
              <w:ind w:right="168"/>
              <w:spacing w:after="0"/>
              <w:rPr>
                <w:sz w:val="20"/>
                <w:szCs w:val="20"/>
                <w:color w:val="auto"/>
              </w:rPr>
            </w:pPr>
            <w:r>
              <w:rPr>
                <w:rFonts w:ascii="Arial" w:cs="Arial" w:eastAsia="Arial" w:hAnsi="Arial"/>
                <w:sz w:val="14"/>
                <w:szCs w:val="14"/>
                <w:b w:val="1"/>
                <w:bCs w:val="1"/>
                <w:color w:val="auto"/>
              </w:rPr>
              <w:t>$</w:t>
            </w:r>
          </w:p>
        </w:tc>
        <w:tc>
          <w:tcPr>
            <w:tcW w:w="1380" w:type="dxa"/>
            <w:vAlign w:val="bottom"/>
          </w:tcPr>
          <w:p>
            <w:pPr>
              <w:jc w:val="right"/>
              <w:ind w:right="48"/>
              <w:spacing w:after="0"/>
              <w:rPr>
                <w:sz w:val="20"/>
                <w:szCs w:val="20"/>
                <w:color w:val="auto"/>
              </w:rPr>
            </w:pPr>
            <w:r>
              <w:rPr>
                <w:rFonts w:ascii="Arial" w:cs="Arial" w:eastAsia="Arial" w:hAnsi="Arial"/>
                <w:sz w:val="14"/>
                <w:szCs w:val="14"/>
                <w:b w:val="1"/>
                <w:bCs w:val="1"/>
                <w:color w:val="auto"/>
              </w:rPr>
              <w:t>417,191</w:t>
            </w:r>
          </w:p>
        </w:tc>
        <w:tc>
          <w:tcPr>
            <w:tcW w:w="120" w:type="dxa"/>
            <w:vAlign w:val="bottom"/>
          </w:tcPr>
          <w:p>
            <w:pPr>
              <w:spacing w:after="0"/>
              <w:rPr>
                <w:sz w:val="23"/>
                <w:szCs w:val="23"/>
                <w:color w:val="auto"/>
              </w:rPr>
            </w:pPr>
          </w:p>
        </w:tc>
        <w:tc>
          <w:tcPr>
            <w:tcW w:w="380" w:type="dxa"/>
            <w:vAlign w:val="bottom"/>
          </w:tcPr>
          <w:p>
            <w:pPr>
              <w:jc w:val="right"/>
              <w:ind w:right="208"/>
              <w:spacing w:after="0"/>
              <w:rPr>
                <w:sz w:val="20"/>
                <w:szCs w:val="20"/>
                <w:color w:val="auto"/>
              </w:rPr>
            </w:pPr>
            <w:r>
              <w:rPr>
                <w:rFonts w:ascii="Arial" w:cs="Arial" w:eastAsia="Arial" w:hAnsi="Arial"/>
                <w:sz w:val="14"/>
                <w:szCs w:val="14"/>
                <w:color w:val="auto"/>
              </w:rPr>
              <w:t>$</w:t>
            </w:r>
          </w:p>
        </w:tc>
        <w:tc>
          <w:tcPr>
            <w:tcW w:w="1300" w:type="dxa"/>
            <w:vAlign w:val="bottom"/>
          </w:tcPr>
          <w:p>
            <w:pPr>
              <w:jc w:val="right"/>
              <w:ind w:right="27"/>
              <w:spacing w:after="0"/>
              <w:rPr>
                <w:sz w:val="20"/>
                <w:szCs w:val="20"/>
                <w:color w:val="auto"/>
              </w:rPr>
            </w:pPr>
            <w:r>
              <w:rPr>
                <w:rFonts w:ascii="Arial" w:cs="Arial" w:eastAsia="Arial" w:hAnsi="Arial"/>
                <w:sz w:val="14"/>
                <w:szCs w:val="14"/>
                <w:color w:val="auto"/>
              </w:rPr>
              <w:t>110,658</w:t>
            </w:r>
          </w:p>
        </w:tc>
      </w:tr>
      <w:tr>
        <w:trPr>
          <w:trHeight w:val="271"/>
        </w:trPr>
        <w:tc>
          <w:tcPr>
            <w:tcW w:w="7900" w:type="dxa"/>
            <w:vAlign w:val="bottom"/>
            <w:shd w:val="clear" w:color="auto" w:fill="CCEEFF"/>
          </w:tcPr>
          <w:p>
            <w:pPr>
              <w:ind w:left="600"/>
              <w:spacing w:after="0"/>
              <w:rPr>
                <w:sz w:val="20"/>
                <w:szCs w:val="20"/>
                <w:color w:val="auto"/>
              </w:rPr>
            </w:pPr>
            <w:r>
              <w:rPr>
                <w:rFonts w:ascii="Arial" w:cs="Arial" w:eastAsia="Arial" w:hAnsi="Arial"/>
                <w:sz w:val="14"/>
                <w:szCs w:val="14"/>
                <w:color w:val="auto"/>
              </w:rPr>
              <w:t>Repayment of debt</w:t>
            </w:r>
          </w:p>
        </w:tc>
        <w:tc>
          <w:tcPr>
            <w:tcW w:w="340" w:type="dxa"/>
            <w:vAlign w:val="bottom"/>
            <w:shd w:val="clear" w:color="auto" w:fill="CCEEFF"/>
          </w:tcPr>
          <w:p>
            <w:pPr>
              <w:spacing w:after="0"/>
              <w:rPr>
                <w:sz w:val="23"/>
                <w:szCs w:val="23"/>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(22,623)</w:t>
            </w:r>
          </w:p>
        </w:tc>
        <w:tc>
          <w:tcPr>
            <w:tcW w:w="12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(157,603)</w:t>
            </w:r>
          </w:p>
        </w:tc>
      </w:tr>
      <w:tr>
        <w:trPr>
          <w:trHeight w:val="269"/>
        </w:trPr>
        <w:tc>
          <w:tcPr>
            <w:tcW w:w="7900" w:type="dxa"/>
            <w:vAlign w:val="bottom"/>
          </w:tcPr>
          <w:p>
            <w:pPr>
              <w:ind w:left="600"/>
              <w:spacing w:after="0"/>
              <w:rPr>
                <w:sz w:val="20"/>
                <w:szCs w:val="20"/>
                <w:color w:val="auto"/>
              </w:rPr>
            </w:pPr>
            <w:r>
              <w:rPr>
                <w:rFonts w:ascii="Arial" w:cs="Arial" w:eastAsia="Arial" w:hAnsi="Arial"/>
                <w:sz w:val="14"/>
                <w:szCs w:val="14"/>
                <w:color w:val="auto"/>
              </w:rPr>
              <w:t>Payment of other liabilities to non-controlling interest holder</w:t>
            </w:r>
          </w:p>
        </w:tc>
        <w:tc>
          <w:tcPr>
            <w:tcW w:w="340" w:type="dxa"/>
            <w:vAlign w:val="bottom"/>
          </w:tcPr>
          <w:p>
            <w:pPr>
              <w:spacing w:after="0"/>
              <w:rPr>
                <w:sz w:val="23"/>
                <w:szCs w:val="23"/>
                <w:color w:val="auto"/>
              </w:rPr>
            </w:pPr>
          </w:p>
        </w:tc>
        <w:tc>
          <w:tcPr>
            <w:tcW w:w="150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rPr>
              <w:t>—</w:t>
            </w:r>
          </w:p>
        </w:tc>
        <w:tc>
          <w:tcPr>
            <w:tcW w:w="380" w:type="dxa"/>
            <w:vAlign w:val="bottom"/>
          </w:tcPr>
          <w:p>
            <w:pPr>
              <w:spacing w:after="0"/>
              <w:rPr>
                <w:sz w:val="23"/>
                <w:szCs w:val="23"/>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(1,000)</w:t>
            </w:r>
          </w:p>
        </w:tc>
      </w:tr>
      <w:tr>
        <w:trPr>
          <w:trHeight w:val="271"/>
        </w:trPr>
        <w:tc>
          <w:tcPr>
            <w:tcW w:w="7900" w:type="dxa"/>
            <w:vAlign w:val="bottom"/>
            <w:shd w:val="clear" w:color="auto" w:fill="CCEEFF"/>
          </w:tcPr>
          <w:p>
            <w:pPr>
              <w:ind w:left="600"/>
              <w:spacing w:after="0"/>
              <w:rPr>
                <w:sz w:val="20"/>
                <w:szCs w:val="20"/>
                <w:color w:val="auto"/>
              </w:rPr>
            </w:pPr>
            <w:r>
              <w:rPr>
                <w:rFonts w:ascii="Arial" w:cs="Arial" w:eastAsia="Arial" w:hAnsi="Arial"/>
                <w:sz w:val="14"/>
                <w:szCs w:val="14"/>
                <w:color w:val="auto"/>
              </w:rPr>
              <w:t>Payment of deferred financing costs</w:t>
            </w:r>
          </w:p>
        </w:tc>
        <w:tc>
          <w:tcPr>
            <w:tcW w:w="340" w:type="dxa"/>
            <w:vAlign w:val="bottom"/>
            <w:shd w:val="clear" w:color="auto" w:fill="CCEEFF"/>
          </w:tcPr>
          <w:p>
            <w:pPr>
              <w:spacing w:after="0"/>
              <w:rPr>
                <w:sz w:val="23"/>
                <w:szCs w:val="23"/>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(3,232)</w:t>
            </w:r>
          </w:p>
        </w:tc>
        <w:tc>
          <w:tcPr>
            <w:tcW w:w="12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(3,935)</w:t>
            </w:r>
          </w:p>
        </w:tc>
      </w:tr>
      <w:tr>
        <w:trPr>
          <w:trHeight w:val="269"/>
        </w:trPr>
        <w:tc>
          <w:tcPr>
            <w:tcW w:w="7900" w:type="dxa"/>
            <w:vAlign w:val="bottom"/>
          </w:tcPr>
          <w:p>
            <w:pPr>
              <w:ind w:left="600"/>
              <w:spacing w:after="0"/>
              <w:rPr>
                <w:sz w:val="20"/>
                <w:szCs w:val="20"/>
                <w:color w:val="auto"/>
              </w:rPr>
            </w:pPr>
            <w:r>
              <w:rPr>
                <w:rFonts w:ascii="Arial" w:cs="Arial" w:eastAsia="Arial" w:hAnsi="Arial"/>
                <w:sz w:val="14"/>
                <w:szCs w:val="14"/>
                <w:color w:val="auto"/>
              </w:rPr>
              <w:t>Receipt of security deposits</w:t>
            </w:r>
          </w:p>
        </w:tc>
        <w:tc>
          <w:tcPr>
            <w:tcW w:w="340" w:type="dxa"/>
            <w:vAlign w:val="bottom"/>
          </w:tcPr>
          <w:p>
            <w:pPr>
              <w:spacing w:after="0"/>
              <w:rPr>
                <w:sz w:val="23"/>
                <w:szCs w:val="23"/>
                <w:color w:val="auto"/>
              </w:rPr>
            </w:pPr>
          </w:p>
        </w:tc>
        <w:tc>
          <w:tcPr>
            <w:tcW w:w="1380" w:type="dxa"/>
            <w:vAlign w:val="bottom"/>
          </w:tcPr>
          <w:p>
            <w:pPr>
              <w:jc w:val="right"/>
              <w:ind w:right="48"/>
              <w:spacing w:after="0"/>
              <w:rPr>
                <w:sz w:val="20"/>
                <w:szCs w:val="20"/>
                <w:color w:val="auto"/>
              </w:rPr>
            </w:pPr>
            <w:r>
              <w:rPr>
                <w:rFonts w:ascii="Arial" w:cs="Arial" w:eastAsia="Arial" w:hAnsi="Arial"/>
                <w:sz w:val="14"/>
                <w:szCs w:val="14"/>
                <w:b w:val="1"/>
                <w:bCs w:val="1"/>
                <w:color w:val="auto"/>
              </w:rPr>
              <w:t>5,826</w:t>
            </w:r>
          </w:p>
        </w:tc>
        <w:tc>
          <w:tcPr>
            <w:tcW w:w="1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300" w:type="dxa"/>
            <w:vAlign w:val="bottom"/>
          </w:tcPr>
          <w:p>
            <w:pPr>
              <w:jc w:val="right"/>
              <w:ind w:right="27"/>
              <w:spacing w:after="0"/>
              <w:rPr>
                <w:sz w:val="20"/>
                <w:szCs w:val="20"/>
                <w:color w:val="auto"/>
              </w:rPr>
            </w:pPr>
            <w:r>
              <w:rPr>
                <w:rFonts w:ascii="Arial" w:cs="Arial" w:eastAsia="Arial" w:hAnsi="Arial"/>
                <w:sz w:val="14"/>
                <w:szCs w:val="14"/>
                <w:color w:val="auto"/>
              </w:rPr>
              <w:t>3,340</w:t>
            </w:r>
          </w:p>
        </w:tc>
      </w:tr>
      <w:tr>
        <w:trPr>
          <w:trHeight w:val="271"/>
        </w:trPr>
        <w:tc>
          <w:tcPr>
            <w:tcW w:w="7900" w:type="dxa"/>
            <w:vAlign w:val="bottom"/>
            <w:shd w:val="clear" w:color="auto" w:fill="CCEEFF"/>
          </w:tcPr>
          <w:p>
            <w:pPr>
              <w:ind w:left="600"/>
              <w:spacing w:after="0"/>
              <w:rPr>
                <w:sz w:val="20"/>
                <w:szCs w:val="20"/>
                <w:color w:val="auto"/>
              </w:rPr>
            </w:pPr>
            <w:r>
              <w:rPr>
                <w:rFonts w:ascii="Arial" w:cs="Arial" w:eastAsia="Arial" w:hAnsi="Arial"/>
                <w:sz w:val="14"/>
                <w:szCs w:val="14"/>
                <w:color w:val="auto"/>
              </w:rPr>
              <w:t>Return of security deposits</w:t>
            </w:r>
          </w:p>
        </w:tc>
        <w:tc>
          <w:tcPr>
            <w:tcW w:w="340" w:type="dxa"/>
            <w:vAlign w:val="bottom"/>
            <w:shd w:val="clear" w:color="auto" w:fill="CCEEFF"/>
          </w:tcPr>
          <w:p>
            <w:pPr>
              <w:spacing w:after="0"/>
              <w:rPr>
                <w:sz w:val="23"/>
                <w:szCs w:val="23"/>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(3,232)</w:t>
            </w:r>
          </w:p>
        </w:tc>
        <w:tc>
          <w:tcPr>
            <w:tcW w:w="12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(316)</w:t>
            </w:r>
          </w:p>
        </w:tc>
      </w:tr>
      <w:tr>
        <w:trPr>
          <w:trHeight w:val="269"/>
        </w:trPr>
        <w:tc>
          <w:tcPr>
            <w:tcW w:w="7900" w:type="dxa"/>
            <w:vAlign w:val="bottom"/>
          </w:tcPr>
          <w:p>
            <w:pPr>
              <w:ind w:left="600"/>
              <w:spacing w:after="0"/>
              <w:rPr>
                <w:sz w:val="20"/>
                <w:szCs w:val="20"/>
                <w:color w:val="auto"/>
              </w:rPr>
            </w:pPr>
            <w:r>
              <w:rPr>
                <w:rFonts w:ascii="Arial" w:cs="Arial" w:eastAsia="Arial" w:hAnsi="Arial"/>
                <w:sz w:val="14"/>
                <w:szCs w:val="14"/>
                <w:color w:val="auto"/>
              </w:rPr>
              <w:t>Receipt of maintenance deposits</w:t>
            </w:r>
          </w:p>
        </w:tc>
        <w:tc>
          <w:tcPr>
            <w:tcW w:w="340" w:type="dxa"/>
            <w:vAlign w:val="bottom"/>
          </w:tcPr>
          <w:p>
            <w:pPr>
              <w:spacing w:after="0"/>
              <w:rPr>
                <w:sz w:val="23"/>
                <w:szCs w:val="23"/>
                <w:color w:val="auto"/>
              </w:rPr>
            </w:pPr>
          </w:p>
        </w:tc>
        <w:tc>
          <w:tcPr>
            <w:tcW w:w="1380" w:type="dxa"/>
            <w:vAlign w:val="bottom"/>
          </w:tcPr>
          <w:p>
            <w:pPr>
              <w:jc w:val="right"/>
              <w:ind w:right="48"/>
              <w:spacing w:after="0"/>
              <w:rPr>
                <w:sz w:val="20"/>
                <w:szCs w:val="20"/>
                <w:color w:val="auto"/>
              </w:rPr>
            </w:pPr>
            <w:r>
              <w:rPr>
                <w:rFonts w:ascii="Arial" w:cs="Arial" w:eastAsia="Arial" w:hAnsi="Arial"/>
                <w:sz w:val="14"/>
                <w:szCs w:val="14"/>
                <w:b w:val="1"/>
                <w:bCs w:val="1"/>
                <w:color w:val="auto"/>
              </w:rPr>
              <w:t>18,784</w:t>
            </w:r>
          </w:p>
        </w:tc>
        <w:tc>
          <w:tcPr>
            <w:tcW w:w="1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300" w:type="dxa"/>
            <w:vAlign w:val="bottom"/>
          </w:tcPr>
          <w:p>
            <w:pPr>
              <w:jc w:val="right"/>
              <w:ind w:right="27"/>
              <w:spacing w:after="0"/>
              <w:rPr>
                <w:sz w:val="20"/>
                <w:szCs w:val="20"/>
                <w:color w:val="auto"/>
              </w:rPr>
            </w:pPr>
            <w:r>
              <w:rPr>
                <w:rFonts w:ascii="Arial" w:cs="Arial" w:eastAsia="Arial" w:hAnsi="Arial"/>
                <w:sz w:val="14"/>
                <w:szCs w:val="14"/>
                <w:color w:val="auto"/>
              </w:rPr>
              <w:t>10,806</w:t>
            </w:r>
          </w:p>
        </w:tc>
      </w:tr>
      <w:tr>
        <w:trPr>
          <w:trHeight w:val="271"/>
        </w:trPr>
        <w:tc>
          <w:tcPr>
            <w:tcW w:w="7900" w:type="dxa"/>
            <w:vAlign w:val="bottom"/>
            <w:shd w:val="clear" w:color="auto" w:fill="CCEEFF"/>
          </w:tcPr>
          <w:p>
            <w:pPr>
              <w:ind w:left="600"/>
              <w:spacing w:after="0"/>
              <w:rPr>
                <w:sz w:val="20"/>
                <w:szCs w:val="20"/>
                <w:color w:val="auto"/>
              </w:rPr>
            </w:pPr>
            <w:r>
              <w:rPr>
                <w:rFonts w:ascii="Arial" w:cs="Arial" w:eastAsia="Arial" w:hAnsi="Arial"/>
                <w:sz w:val="14"/>
                <w:szCs w:val="14"/>
                <w:color w:val="auto"/>
              </w:rPr>
              <w:t>Release of maintenance deposits</w:t>
            </w:r>
          </w:p>
        </w:tc>
        <w:tc>
          <w:tcPr>
            <w:tcW w:w="340" w:type="dxa"/>
            <w:vAlign w:val="bottom"/>
            <w:shd w:val="clear" w:color="auto" w:fill="CCEEFF"/>
          </w:tcPr>
          <w:p>
            <w:pPr>
              <w:spacing w:after="0"/>
              <w:rPr>
                <w:sz w:val="23"/>
                <w:szCs w:val="23"/>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(6,111)</w:t>
            </w:r>
          </w:p>
        </w:tc>
        <w:tc>
          <w:tcPr>
            <w:tcW w:w="12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(5,653)</w:t>
            </w:r>
          </w:p>
        </w:tc>
      </w:tr>
      <w:tr>
        <w:trPr>
          <w:trHeight w:val="269"/>
        </w:trPr>
        <w:tc>
          <w:tcPr>
            <w:tcW w:w="7900" w:type="dxa"/>
            <w:vAlign w:val="bottom"/>
          </w:tcPr>
          <w:p>
            <w:pPr>
              <w:ind w:left="600"/>
              <w:spacing w:after="0"/>
              <w:rPr>
                <w:sz w:val="20"/>
                <w:szCs w:val="20"/>
                <w:color w:val="auto"/>
              </w:rPr>
            </w:pPr>
            <w:r>
              <w:rPr>
                <w:rFonts w:ascii="Arial" w:cs="Arial" w:eastAsia="Arial" w:hAnsi="Arial"/>
                <w:sz w:val="14"/>
                <w:szCs w:val="14"/>
                <w:color w:val="auto"/>
              </w:rPr>
              <w:t>Capital contributions from non-controlling interests</w:t>
            </w:r>
          </w:p>
        </w:tc>
        <w:tc>
          <w:tcPr>
            <w:tcW w:w="340" w:type="dxa"/>
            <w:vAlign w:val="bottom"/>
          </w:tcPr>
          <w:p>
            <w:pPr>
              <w:spacing w:after="0"/>
              <w:rPr>
                <w:sz w:val="23"/>
                <w:szCs w:val="23"/>
                <w:color w:val="auto"/>
              </w:rPr>
            </w:pPr>
          </w:p>
        </w:tc>
        <w:tc>
          <w:tcPr>
            <w:tcW w:w="150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rPr>
              <w:t>—</w:t>
            </w:r>
          </w:p>
        </w:tc>
        <w:tc>
          <w:tcPr>
            <w:tcW w:w="380" w:type="dxa"/>
            <w:vAlign w:val="bottom"/>
          </w:tcPr>
          <w:p>
            <w:pPr>
              <w:spacing w:after="0"/>
              <w:rPr>
                <w:sz w:val="23"/>
                <w:szCs w:val="23"/>
                <w:color w:val="auto"/>
              </w:rPr>
            </w:pPr>
          </w:p>
        </w:tc>
        <w:tc>
          <w:tcPr>
            <w:tcW w:w="1300" w:type="dxa"/>
            <w:vAlign w:val="bottom"/>
          </w:tcPr>
          <w:p>
            <w:pPr>
              <w:jc w:val="right"/>
              <w:ind w:right="27"/>
              <w:spacing w:after="0"/>
              <w:rPr>
                <w:sz w:val="20"/>
                <w:szCs w:val="20"/>
                <w:color w:val="auto"/>
              </w:rPr>
            </w:pPr>
            <w:r>
              <w:rPr>
                <w:rFonts w:ascii="Arial" w:cs="Arial" w:eastAsia="Arial" w:hAnsi="Arial"/>
                <w:sz w:val="14"/>
                <w:szCs w:val="14"/>
                <w:color w:val="auto"/>
              </w:rPr>
              <w:t>7,433</w:t>
            </w:r>
          </w:p>
        </w:tc>
      </w:tr>
      <w:tr>
        <w:trPr>
          <w:trHeight w:val="271"/>
        </w:trPr>
        <w:tc>
          <w:tcPr>
            <w:tcW w:w="7900" w:type="dxa"/>
            <w:vAlign w:val="bottom"/>
            <w:shd w:val="clear" w:color="auto" w:fill="CCEEFF"/>
          </w:tcPr>
          <w:p>
            <w:pPr>
              <w:ind w:left="600"/>
              <w:spacing w:after="0"/>
              <w:rPr>
                <w:sz w:val="20"/>
                <w:szCs w:val="20"/>
                <w:color w:val="auto"/>
              </w:rPr>
            </w:pPr>
            <w:r>
              <w:rPr>
                <w:rFonts w:ascii="Arial" w:cs="Arial" w:eastAsia="Arial" w:hAnsi="Arial"/>
                <w:sz w:val="14"/>
                <w:szCs w:val="14"/>
                <w:color w:val="auto"/>
              </w:rPr>
              <w:t>Settlement of equity-based compensation</w:t>
            </w:r>
          </w:p>
        </w:tc>
        <w:tc>
          <w:tcPr>
            <w:tcW w:w="340" w:type="dxa"/>
            <w:vAlign w:val="bottom"/>
            <w:shd w:val="clear" w:color="auto" w:fill="CCEEFF"/>
          </w:tcPr>
          <w:p>
            <w:pPr>
              <w:spacing w:after="0"/>
              <w:rPr>
                <w:sz w:val="23"/>
                <w:szCs w:val="23"/>
                <w:color w:val="auto"/>
              </w:rPr>
            </w:pPr>
          </w:p>
        </w:tc>
        <w:tc>
          <w:tcPr>
            <w:tcW w:w="150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b w:val="1"/>
                <w:bCs w:val="1"/>
                <w:color w:val="auto"/>
              </w:rPr>
              <w:t>—</w:t>
            </w:r>
          </w:p>
        </w:tc>
        <w:tc>
          <w:tcPr>
            <w:tcW w:w="380" w:type="dxa"/>
            <w:vAlign w:val="bottom"/>
            <w:shd w:val="clear" w:color="auto" w:fill="CCEEFF"/>
          </w:tcPr>
          <w:p>
            <w:pPr>
              <w:spacing w:after="0"/>
              <w:rPr>
                <w:sz w:val="23"/>
                <w:szCs w:val="23"/>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(200)</w:t>
            </w:r>
          </w:p>
        </w:tc>
      </w:tr>
      <w:tr>
        <w:trPr>
          <w:trHeight w:val="269"/>
        </w:trPr>
        <w:tc>
          <w:tcPr>
            <w:tcW w:w="7900" w:type="dxa"/>
            <w:vAlign w:val="bottom"/>
            <w:tcBorders>
              <w:bottom w:val="single" w:sz="8" w:color="CCEEFF"/>
            </w:tcBorders>
          </w:tcPr>
          <w:p>
            <w:pPr>
              <w:ind w:left="600"/>
              <w:spacing w:after="0"/>
              <w:rPr>
                <w:sz w:val="20"/>
                <w:szCs w:val="20"/>
                <w:color w:val="auto"/>
              </w:rPr>
            </w:pPr>
            <w:r>
              <w:rPr>
                <w:rFonts w:ascii="Arial" w:cs="Arial" w:eastAsia="Arial" w:hAnsi="Arial"/>
                <w:sz w:val="14"/>
                <w:szCs w:val="14"/>
                <w:color w:val="auto"/>
              </w:rPr>
              <w:t>Cash dividends</w:t>
            </w:r>
          </w:p>
        </w:tc>
        <w:tc>
          <w:tcPr>
            <w:tcW w:w="340" w:type="dxa"/>
            <w:vAlign w:val="bottom"/>
            <w:tcBorders>
              <w:bottom w:val="single" w:sz="8" w:color="auto"/>
            </w:tcBorders>
          </w:tcPr>
          <w:p>
            <w:pPr>
              <w:spacing w:after="0"/>
              <w:rPr>
                <w:sz w:val="23"/>
                <w:szCs w:val="23"/>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(75,041)</w:t>
            </w:r>
          </w:p>
        </w:tc>
        <w:tc>
          <w:tcPr>
            <w:tcW w:w="120" w:type="dxa"/>
            <w:vAlign w:val="bottom"/>
            <w:tcBorders>
              <w:bottom w:val="single" w:sz="8" w:color="CCEEFF"/>
            </w:tcBorders>
          </w:tcPr>
          <w:p>
            <w:pPr>
              <w:spacing w:after="0"/>
              <w:rPr>
                <w:sz w:val="23"/>
                <w:szCs w:val="23"/>
                <w:color w:val="auto"/>
              </w:rPr>
            </w:pPr>
          </w:p>
        </w:tc>
        <w:tc>
          <w:tcPr>
            <w:tcW w:w="380" w:type="dxa"/>
            <w:vAlign w:val="bottom"/>
            <w:tcBorders>
              <w:bottom w:val="single" w:sz="8" w:color="auto"/>
            </w:tcBorders>
          </w:tcPr>
          <w:p>
            <w:pPr>
              <w:spacing w:after="0"/>
              <w:rPr>
                <w:sz w:val="23"/>
                <w:szCs w:val="23"/>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(75,017)</w:t>
            </w:r>
          </w:p>
        </w:tc>
      </w:tr>
      <w:tr>
        <w:trPr>
          <w:trHeight w:val="250"/>
        </w:trPr>
        <w:tc>
          <w:tcPr>
            <w:tcW w:w="7900" w:type="dxa"/>
            <w:vAlign w:val="bottom"/>
            <w:shd w:val="clear" w:color="auto" w:fill="CCEEFF"/>
          </w:tcPr>
          <w:p>
            <w:pPr>
              <w:ind w:left="80"/>
              <w:spacing w:after="0"/>
              <w:rPr>
                <w:sz w:val="20"/>
                <w:szCs w:val="20"/>
                <w:color w:val="auto"/>
              </w:rPr>
            </w:pPr>
            <w:r>
              <w:rPr>
                <w:rFonts w:ascii="Arial" w:cs="Arial" w:eastAsia="Arial" w:hAnsi="Arial"/>
                <w:sz w:val="14"/>
                <w:szCs w:val="14"/>
                <w:b w:val="1"/>
                <w:bCs w:val="1"/>
                <w:color w:val="auto"/>
              </w:rPr>
              <w:t>Net cash provided by (used in) financing activities</w:t>
            </w:r>
          </w:p>
        </w:tc>
        <w:tc>
          <w:tcPr>
            <w:tcW w:w="340" w:type="dxa"/>
            <w:vAlign w:val="bottom"/>
            <w:tcBorders>
              <w:bottom w:val="single" w:sz="8" w:color="auto"/>
            </w:tcBorders>
            <w:shd w:val="clear" w:color="auto" w:fill="CCEEFF"/>
          </w:tcPr>
          <w:p>
            <w:pPr>
              <w:jc w:val="right"/>
              <w:ind w:right="168"/>
              <w:spacing w:after="0"/>
              <w:rPr>
                <w:sz w:val="20"/>
                <w:szCs w:val="20"/>
                <w:color w:val="auto"/>
              </w:rPr>
            </w:pPr>
            <w:r>
              <w:rPr>
                <w:rFonts w:ascii="Arial" w:cs="Arial" w:eastAsia="Arial" w:hAnsi="Arial"/>
                <w:sz w:val="14"/>
                <w:szCs w:val="14"/>
                <w:b w:val="1"/>
                <w:bCs w:val="1"/>
                <w:color w:val="auto"/>
              </w:rPr>
              <w:t>$</w:t>
            </w:r>
          </w:p>
        </w:tc>
        <w:tc>
          <w:tcPr>
            <w:tcW w:w="138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331,562</w:t>
            </w:r>
          </w:p>
        </w:tc>
        <w:tc>
          <w:tcPr>
            <w:tcW w:w="120" w:type="dxa"/>
            <w:vAlign w:val="bottom"/>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208"/>
              <w:spacing w:after="0"/>
              <w:rPr>
                <w:sz w:val="20"/>
                <w:szCs w:val="20"/>
                <w:color w:val="auto"/>
              </w:rPr>
            </w:pPr>
            <w:r>
              <w:rPr>
                <w:rFonts w:ascii="Arial" w:cs="Arial" w:eastAsia="Arial" w:hAnsi="Arial"/>
                <w:sz w:val="14"/>
                <w:szCs w:val="14"/>
                <w:color w:val="auto"/>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(111,487)</w:t>
            </w:r>
          </w:p>
        </w:tc>
      </w:tr>
      <w:tr>
        <w:trPr>
          <w:trHeight w:val="278"/>
        </w:trPr>
        <w:tc>
          <w:tcPr>
            <w:tcW w:w="79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270"/>
        </w:trPr>
        <w:tc>
          <w:tcPr>
            <w:tcW w:w="7900" w:type="dxa"/>
            <w:vAlign w:val="bottom"/>
            <w:shd w:val="clear" w:color="auto" w:fill="CCEEFF"/>
          </w:tcPr>
          <w:p>
            <w:pPr>
              <w:ind w:left="80"/>
              <w:spacing w:after="0"/>
              <w:rPr>
                <w:sz w:val="20"/>
                <w:szCs w:val="20"/>
                <w:color w:val="auto"/>
              </w:rPr>
            </w:pPr>
            <w:r>
              <w:rPr>
                <w:rFonts w:ascii="Arial" w:cs="Arial" w:eastAsia="Arial" w:hAnsi="Arial"/>
                <w:sz w:val="14"/>
                <w:szCs w:val="14"/>
                <w:b w:val="1"/>
                <w:bCs w:val="1"/>
                <w:color w:val="auto"/>
              </w:rPr>
              <w:t>Net increase (decrease) in cash and cash equivalents</w:t>
            </w:r>
          </w:p>
        </w:tc>
        <w:tc>
          <w:tcPr>
            <w:tcW w:w="340" w:type="dxa"/>
            <w:vAlign w:val="bottom"/>
            <w:shd w:val="clear" w:color="auto" w:fill="CCEEFF"/>
          </w:tcPr>
          <w:p>
            <w:pPr>
              <w:spacing w:after="0"/>
              <w:rPr>
                <w:sz w:val="23"/>
                <w:szCs w:val="23"/>
                <w:color w:val="auto"/>
              </w:rPr>
            </w:pPr>
          </w:p>
        </w:tc>
        <w:tc>
          <w:tcPr>
            <w:tcW w:w="138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108,302</w:t>
            </w:r>
          </w:p>
        </w:tc>
        <w:tc>
          <w:tcPr>
            <w:tcW w:w="12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(183,829)</w:t>
            </w:r>
          </w:p>
        </w:tc>
      </w:tr>
      <w:tr>
        <w:trPr>
          <w:trHeight w:val="269"/>
        </w:trPr>
        <w:tc>
          <w:tcPr>
            <w:tcW w:w="7900" w:type="dxa"/>
            <w:vAlign w:val="bottom"/>
            <w:tcBorders>
              <w:bottom w:val="single" w:sz="8" w:color="CCEEFF"/>
            </w:tcBorders>
          </w:tcPr>
          <w:p>
            <w:pPr>
              <w:ind w:left="80"/>
              <w:spacing w:after="0"/>
              <w:rPr>
                <w:sz w:val="20"/>
                <w:szCs w:val="20"/>
                <w:color w:val="auto"/>
              </w:rPr>
            </w:pPr>
            <w:r>
              <w:rPr>
                <w:rFonts w:ascii="Arial" w:cs="Arial" w:eastAsia="Arial" w:hAnsi="Arial"/>
                <w:sz w:val="14"/>
                <w:szCs w:val="14"/>
                <w:color w:val="auto"/>
              </w:rPr>
              <w:t>Cash and cash equivalents, beginning of period</w:t>
            </w:r>
          </w:p>
        </w:tc>
        <w:tc>
          <w:tcPr>
            <w:tcW w:w="340" w:type="dxa"/>
            <w:vAlign w:val="bottom"/>
            <w:tcBorders>
              <w:bottom w:val="single" w:sz="8" w:color="auto"/>
            </w:tcBorders>
          </w:tcPr>
          <w:p>
            <w:pPr>
              <w:spacing w:after="0"/>
              <w:rPr>
                <w:sz w:val="23"/>
                <w:szCs w:val="23"/>
                <w:color w:val="auto"/>
              </w:rPr>
            </w:pPr>
          </w:p>
        </w:tc>
        <w:tc>
          <w:tcPr>
            <w:tcW w:w="13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68,055</w:t>
            </w:r>
          </w:p>
        </w:tc>
        <w:tc>
          <w:tcPr>
            <w:tcW w:w="120" w:type="dxa"/>
            <w:vAlign w:val="bottom"/>
            <w:tcBorders>
              <w:bottom w:val="single" w:sz="8" w:color="CCEEFF"/>
            </w:tcBorders>
          </w:tcPr>
          <w:p>
            <w:pPr>
              <w:spacing w:after="0"/>
              <w:rPr>
                <w:sz w:val="23"/>
                <w:szCs w:val="23"/>
                <w:color w:val="auto"/>
              </w:rPr>
            </w:pPr>
          </w:p>
        </w:tc>
        <w:tc>
          <w:tcPr>
            <w:tcW w:w="380" w:type="dxa"/>
            <w:vAlign w:val="bottom"/>
            <w:tcBorders>
              <w:bottom w:val="single" w:sz="8" w:color="auto"/>
            </w:tcBorders>
          </w:tcPr>
          <w:p>
            <w:pPr>
              <w:spacing w:after="0"/>
              <w:rPr>
                <w:sz w:val="23"/>
                <w:szCs w:val="23"/>
                <w:color w:val="auto"/>
              </w:rPr>
            </w:pPr>
          </w:p>
        </w:tc>
        <w:tc>
          <w:tcPr>
            <w:tcW w:w="1300" w:type="dxa"/>
            <w:vAlign w:val="bottom"/>
            <w:tcBorders>
              <w:bottom w:val="single" w:sz="8" w:color="auto"/>
            </w:tcBorders>
          </w:tcPr>
          <w:p>
            <w:pPr>
              <w:jc w:val="right"/>
              <w:ind w:right="27"/>
              <w:spacing w:after="0"/>
              <w:rPr>
                <w:sz w:val="20"/>
                <w:szCs w:val="20"/>
                <w:color w:val="auto"/>
              </w:rPr>
            </w:pPr>
            <w:r>
              <w:rPr>
                <w:rFonts w:ascii="Arial" w:cs="Arial" w:eastAsia="Arial" w:hAnsi="Arial"/>
                <w:sz w:val="14"/>
                <w:szCs w:val="14"/>
                <w:color w:val="auto"/>
              </w:rPr>
              <w:t>381,703</w:t>
            </w:r>
          </w:p>
        </w:tc>
      </w:tr>
      <w:tr>
        <w:trPr>
          <w:trHeight w:val="238"/>
        </w:trPr>
        <w:tc>
          <w:tcPr>
            <w:tcW w:w="790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4"/>
                <w:szCs w:val="14"/>
                <w:b w:val="1"/>
                <w:bCs w:val="1"/>
                <w:color w:val="auto"/>
              </w:rPr>
              <w:t>Cash and cash equivalents, end of period</w:t>
            </w:r>
          </w:p>
        </w:tc>
        <w:tc>
          <w:tcPr>
            <w:tcW w:w="340" w:type="dxa"/>
            <w:vAlign w:val="bottom"/>
            <w:tcBorders>
              <w:bottom w:val="single" w:sz="8" w:color="auto"/>
            </w:tcBorders>
            <w:shd w:val="clear" w:color="auto" w:fill="CCEEFF"/>
          </w:tcPr>
          <w:p>
            <w:pPr>
              <w:jc w:val="right"/>
              <w:ind w:right="168"/>
              <w:spacing w:after="0"/>
              <w:rPr>
                <w:sz w:val="20"/>
                <w:szCs w:val="20"/>
                <w:color w:val="auto"/>
              </w:rPr>
            </w:pPr>
            <w:r>
              <w:rPr>
                <w:rFonts w:ascii="Arial" w:cs="Arial" w:eastAsia="Arial" w:hAnsi="Arial"/>
                <w:sz w:val="14"/>
                <w:szCs w:val="14"/>
                <w:b w:val="1"/>
                <w:bCs w:val="1"/>
                <w:color w:val="auto"/>
              </w:rPr>
              <w:t>$</w:t>
            </w:r>
          </w:p>
        </w:tc>
        <w:tc>
          <w:tcPr>
            <w:tcW w:w="138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176,357</w:t>
            </w:r>
          </w:p>
        </w:tc>
        <w:tc>
          <w:tcPr>
            <w:tcW w:w="12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jc w:val="right"/>
              <w:ind w:right="208"/>
              <w:spacing w:after="0"/>
              <w:rPr>
                <w:sz w:val="20"/>
                <w:szCs w:val="20"/>
                <w:color w:val="auto"/>
              </w:rPr>
            </w:pPr>
            <w:r>
              <w:rPr>
                <w:rFonts w:ascii="Arial" w:cs="Arial" w:eastAsia="Arial" w:hAnsi="Arial"/>
                <w:sz w:val="14"/>
                <w:szCs w:val="14"/>
                <w:color w:val="auto"/>
              </w:rPr>
              <w:t>$</w:t>
            </w:r>
          </w:p>
        </w:tc>
        <w:tc>
          <w:tcPr>
            <w:tcW w:w="1300" w:type="dxa"/>
            <w:vAlign w:val="bottom"/>
            <w:tcBorders>
              <w:bottom w:val="single" w:sz="8" w:color="auto"/>
            </w:tcBorders>
            <w:shd w:val="clear" w:color="auto" w:fill="CCEEFF"/>
          </w:tcPr>
          <w:p>
            <w:pPr>
              <w:jc w:val="right"/>
              <w:ind w:right="27"/>
              <w:spacing w:after="0"/>
              <w:rPr>
                <w:sz w:val="20"/>
                <w:szCs w:val="20"/>
                <w:color w:val="auto"/>
              </w:rPr>
            </w:pPr>
            <w:r>
              <w:rPr>
                <w:rFonts w:ascii="Arial" w:cs="Arial" w:eastAsia="Arial" w:hAnsi="Arial"/>
                <w:sz w:val="14"/>
                <w:szCs w:val="14"/>
                <w:color w:val="auto"/>
              </w:rPr>
              <w:t>197,874</w:t>
            </w:r>
          </w:p>
        </w:tc>
      </w:tr>
      <w:tr>
        <w:trPr>
          <w:trHeight w:val="20"/>
        </w:trPr>
        <w:tc>
          <w:tcPr>
            <w:tcW w:w="79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r>
        <w:trPr>
          <w:trHeight w:val="264"/>
        </w:trPr>
        <w:tc>
          <w:tcPr>
            <w:tcW w:w="79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3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300" w:type="dxa"/>
            <w:vAlign w:val="bottom"/>
          </w:tcPr>
          <w:p>
            <w:pPr>
              <w:spacing w:after="0"/>
              <w:rPr>
                <w:sz w:val="22"/>
                <w:szCs w:val="22"/>
                <w:color w:val="auto"/>
              </w:rPr>
            </w:pPr>
          </w:p>
        </w:tc>
      </w:tr>
      <w:tr>
        <w:trPr>
          <w:trHeight w:val="270"/>
        </w:trPr>
        <w:tc>
          <w:tcPr>
            <w:tcW w:w="7900" w:type="dxa"/>
            <w:vAlign w:val="bottom"/>
            <w:shd w:val="clear" w:color="auto" w:fill="CCEEFF"/>
          </w:tcPr>
          <w:p>
            <w:pPr>
              <w:ind w:left="80"/>
              <w:spacing w:after="0"/>
              <w:rPr>
                <w:sz w:val="20"/>
                <w:szCs w:val="20"/>
                <w:color w:val="auto"/>
              </w:rPr>
            </w:pPr>
            <w:r>
              <w:rPr>
                <w:rFonts w:ascii="Arial" w:cs="Arial" w:eastAsia="Arial" w:hAnsi="Arial"/>
                <w:sz w:val="14"/>
                <w:szCs w:val="14"/>
                <w:b w:val="1"/>
                <w:bCs w:val="1"/>
                <w:color w:val="auto"/>
              </w:rPr>
              <w:t>Supplemental disclosure of non-cash investing and financing activities:</w:t>
            </w:r>
          </w:p>
        </w:tc>
        <w:tc>
          <w:tcPr>
            <w:tcW w:w="340" w:type="dxa"/>
            <w:vAlign w:val="bottom"/>
            <w:shd w:val="clear" w:color="auto" w:fill="CCEEFF"/>
          </w:tcPr>
          <w:p>
            <w:pPr>
              <w:spacing w:after="0"/>
              <w:rPr>
                <w:sz w:val="23"/>
                <w:szCs w:val="23"/>
                <w:color w:val="auto"/>
              </w:rPr>
            </w:pPr>
          </w:p>
        </w:tc>
        <w:tc>
          <w:tcPr>
            <w:tcW w:w="13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1300" w:type="dxa"/>
            <w:vAlign w:val="bottom"/>
            <w:shd w:val="clear" w:color="auto" w:fill="CCEEFF"/>
          </w:tcPr>
          <w:p>
            <w:pPr>
              <w:spacing w:after="0"/>
              <w:rPr>
                <w:sz w:val="23"/>
                <w:szCs w:val="23"/>
                <w:color w:val="auto"/>
              </w:rPr>
            </w:pPr>
          </w:p>
        </w:tc>
      </w:tr>
      <w:tr>
        <w:trPr>
          <w:trHeight w:val="269"/>
        </w:trPr>
        <w:tc>
          <w:tcPr>
            <w:tcW w:w="7900" w:type="dxa"/>
            <w:vAlign w:val="bottom"/>
          </w:tcPr>
          <w:p>
            <w:pPr>
              <w:ind w:left="600"/>
              <w:spacing w:after="0"/>
              <w:rPr>
                <w:sz w:val="20"/>
                <w:szCs w:val="20"/>
                <w:color w:val="auto"/>
              </w:rPr>
            </w:pPr>
            <w:r>
              <w:rPr>
                <w:rFonts w:ascii="Arial" w:cs="Arial" w:eastAsia="Arial" w:hAnsi="Arial"/>
                <w:sz w:val="14"/>
                <w:szCs w:val="14"/>
                <w:color w:val="auto"/>
              </w:rPr>
              <w:t>Restricted cash proceeds from borrowings of debt</w:t>
            </w:r>
          </w:p>
        </w:tc>
        <w:tc>
          <w:tcPr>
            <w:tcW w:w="340" w:type="dxa"/>
            <w:vAlign w:val="bottom"/>
          </w:tcPr>
          <w:p>
            <w:pPr>
              <w:jc w:val="right"/>
              <w:ind w:right="168"/>
              <w:spacing w:after="0"/>
              <w:rPr>
                <w:sz w:val="20"/>
                <w:szCs w:val="20"/>
                <w:color w:val="auto"/>
              </w:rPr>
            </w:pPr>
            <w:r>
              <w:rPr>
                <w:rFonts w:ascii="Arial" w:cs="Arial" w:eastAsia="Arial" w:hAnsi="Arial"/>
                <w:sz w:val="14"/>
                <w:szCs w:val="14"/>
                <w:b w:val="1"/>
                <w:bCs w:val="1"/>
                <w:color w:val="auto"/>
              </w:rPr>
              <w:t>$</w:t>
            </w:r>
          </w:p>
        </w:tc>
        <w:tc>
          <w:tcPr>
            <w:tcW w:w="150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rPr>
              <w:t>—</w:t>
            </w:r>
          </w:p>
        </w:tc>
        <w:tc>
          <w:tcPr>
            <w:tcW w:w="380" w:type="dxa"/>
            <w:vAlign w:val="bottom"/>
          </w:tcPr>
          <w:p>
            <w:pPr>
              <w:jc w:val="right"/>
              <w:ind w:right="208"/>
              <w:spacing w:after="0"/>
              <w:rPr>
                <w:sz w:val="20"/>
                <w:szCs w:val="20"/>
                <w:color w:val="auto"/>
              </w:rPr>
            </w:pPr>
            <w:r>
              <w:rPr>
                <w:rFonts w:ascii="Arial" w:cs="Arial" w:eastAsia="Arial" w:hAnsi="Arial"/>
                <w:sz w:val="14"/>
                <w:szCs w:val="14"/>
                <w:color w:val="auto"/>
              </w:rPr>
              <w:t>$</w:t>
            </w:r>
          </w:p>
        </w:tc>
        <w:tc>
          <w:tcPr>
            <w:tcW w:w="1300" w:type="dxa"/>
            <w:vAlign w:val="bottom"/>
          </w:tcPr>
          <w:p>
            <w:pPr>
              <w:jc w:val="right"/>
              <w:ind w:right="27"/>
              <w:spacing w:after="0"/>
              <w:rPr>
                <w:sz w:val="20"/>
                <w:szCs w:val="20"/>
                <w:color w:val="auto"/>
              </w:rPr>
            </w:pPr>
            <w:r>
              <w:rPr>
                <w:rFonts w:ascii="Arial" w:cs="Arial" w:eastAsia="Arial" w:hAnsi="Arial"/>
                <w:sz w:val="14"/>
                <w:szCs w:val="14"/>
                <w:color w:val="auto"/>
              </w:rPr>
              <w:t>44,342</w:t>
            </w:r>
          </w:p>
        </w:tc>
      </w:tr>
      <w:tr>
        <w:trPr>
          <w:trHeight w:val="271"/>
        </w:trPr>
        <w:tc>
          <w:tcPr>
            <w:tcW w:w="7900" w:type="dxa"/>
            <w:vAlign w:val="bottom"/>
            <w:shd w:val="clear" w:color="auto" w:fill="CCEEFF"/>
          </w:tcPr>
          <w:p>
            <w:pPr>
              <w:ind w:left="600"/>
              <w:spacing w:after="0"/>
              <w:rPr>
                <w:sz w:val="20"/>
                <w:szCs w:val="20"/>
                <w:color w:val="auto"/>
              </w:rPr>
            </w:pPr>
            <w:r>
              <w:rPr>
                <w:rFonts w:ascii="Arial" w:cs="Arial" w:eastAsia="Arial" w:hAnsi="Arial"/>
                <w:sz w:val="14"/>
                <w:szCs w:val="14"/>
                <w:color w:val="auto"/>
              </w:rPr>
              <w:t>Proceeds from borrowings of debt</w:t>
            </w:r>
          </w:p>
        </w:tc>
        <w:tc>
          <w:tcPr>
            <w:tcW w:w="340" w:type="dxa"/>
            <w:vAlign w:val="bottom"/>
            <w:shd w:val="clear" w:color="auto" w:fill="CCEEFF"/>
          </w:tcPr>
          <w:p>
            <w:pPr>
              <w:spacing w:after="0"/>
              <w:rPr>
                <w:sz w:val="23"/>
                <w:szCs w:val="23"/>
                <w:color w:val="auto"/>
              </w:rPr>
            </w:pPr>
          </w:p>
        </w:tc>
        <w:tc>
          <w:tcPr>
            <w:tcW w:w="138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108,089</w:t>
            </w:r>
          </w:p>
        </w:tc>
        <w:tc>
          <w:tcPr>
            <w:tcW w:w="12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1300" w:type="dxa"/>
            <w:vAlign w:val="bottom"/>
            <w:shd w:val="clear" w:color="auto" w:fill="CCEEFF"/>
          </w:tcPr>
          <w:p>
            <w:pPr>
              <w:jc w:val="right"/>
              <w:ind w:right="27"/>
              <w:spacing w:after="0"/>
              <w:rPr>
                <w:sz w:val="20"/>
                <w:szCs w:val="20"/>
                <w:color w:val="auto"/>
              </w:rPr>
            </w:pPr>
            <w:r>
              <w:rPr>
                <w:rFonts w:ascii="Times New Roman" w:cs="Times New Roman" w:eastAsia="Times New Roman" w:hAnsi="Times New Roman"/>
                <w:sz w:val="16"/>
                <w:szCs w:val="16"/>
                <w:color w:val="auto"/>
              </w:rPr>
              <w:t>—</w:t>
            </w:r>
          </w:p>
        </w:tc>
      </w:tr>
      <w:tr>
        <w:trPr>
          <w:trHeight w:val="269"/>
        </w:trPr>
        <w:tc>
          <w:tcPr>
            <w:tcW w:w="7900" w:type="dxa"/>
            <w:vAlign w:val="bottom"/>
          </w:tcPr>
          <w:p>
            <w:pPr>
              <w:ind w:left="600"/>
              <w:spacing w:after="0"/>
              <w:rPr>
                <w:sz w:val="20"/>
                <w:szCs w:val="20"/>
                <w:color w:val="auto"/>
              </w:rPr>
            </w:pPr>
            <w:r>
              <w:rPr>
                <w:rFonts w:ascii="Arial" w:cs="Arial" w:eastAsia="Arial" w:hAnsi="Arial"/>
                <w:sz w:val="14"/>
                <w:szCs w:val="14"/>
                <w:color w:val="auto"/>
              </w:rPr>
              <w:t>Repayment and settlement of debt</w:t>
            </w:r>
          </w:p>
        </w:tc>
        <w:tc>
          <w:tcPr>
            <w:tcW w:w="340" w:type="dxa"/>
            <w:vAlign w:val="bottom"/>
          </w:tcPr>
          <w:p>
            <w:pPr>
              <w:spacing w:after="0"/>
              <w:rPr>
                <w:sz w:val="23"/>
                <w:szCs w:val="23"/>
                <w:color w:val="auto"/>
              </w:rPr>
            </w:pPr>
          </w:p>
        </w:tc>
        <w:tc>
          <w:tcPr>
            <w:tcW w:w="1380" w:type="dxa"/>
            <w:vAlign w:val="bottom"/>
          </w:tcPr>
          <w:p>
            <w:pPr>
              <w:jc w:val="right"/>
              <w:spacing w:after="0"/>
              <w:rPr>
                <w:sz w:val="20"/>
                <w:szCs w:val="20"/>
                <w:color w:val="auto"/>
              </w:rPr>
            </w:pPr>
            <w:r>
              <w:rPr>
                <w:rFonts w:ascii="Arial" w:cs="Arial" w:eastAsia="Arial" w:hAnsi="Arial"/>
                <w:sz w:val="14"/>
                <w:szCs w:val="14"/>
                <w:b w:val="1"/>
                <w:bCs w:val="1"/>
                <w:color w:val="auto"/>
              </w:rPr>
              <w:t>(102,352)</w:t>
            </w:r>
          </w:p>
        </w:tc>
        <w:tc>
          <w:tcPr>
            <w:tcW w:w="1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300" w:type="dxa"/>
            <w:vAlign w:val="bottom"/>
          </w:tcPr>
          <w:p>
            <w:pPr>
              <w:jc w:val="right"/>
              <w:ind w:right="27"/>
              <w:spacing w:after="0"/>
              <w:rPr>
                <w:sz w:val="20"/>
                <w:szCs w:val="20"/>
                <w:color w:val="auto"/>
              </w:rPr>
            </w:pPr>
            <w:r>
              <w:rPr>
                <w:rFonts w:ascii="Times New Roman" w:cs="Times New Roman" w:eastAsia="Times New Roman" w:hAnsi="Times New Roman"/>
                <w:sz w:val="16"/>
                <w:szCs w:val="16"/>
                <w:color w:val="auto"/>
              </w:rPr>
              <w:t>—</w:t>
            </w:r>
          </w:p>
        </w:tc>
      </w:tr>
      <w:tr>
        <w:trPr>
          <w:trHeight w:val="271"/>
        </w:trPr>
        <w:tc>
          <w:tcPr>
            <w:tcW w:w="7900" w:type="dxa"/>
            <w:vAlign w:val="bottom"/>
            <w:shd w:val="clear" w:color="auto" w:fill="CCEEFF"/>
          </w:tcPr>
          <w:p>
            <w:pPr>
              <w:ind w:left="600"/>
              <w:spacing w:after="0"/>
              <w:rPr>
                <w:sz w:val="20"/>
                <w:szCs w:val="20"/>
                <w:color w:val="auto"/>
              </w:rPr>
            </w:pPr>
            <w:r>
              <w:rPr>
                <w:rFonts w:ascii="Arial" w:cs="Arial" w:eastAsia="Arial" w:hAnsi="Arial"/>
                <w:sz w:val="14"/>
                <w:szCs w:val="14"/>
                <w:color w:val="auto"/>
              </w:rPr>
              <w:t>Acquisition of leasing equipment</w:t>
            </w:r>
          </w:p>
        </w:tc>
        <w:tc>
          <w:tcPr>
            <w:tcW w:w="340" w:type="dxa"/>
            <w:vAlign w:val="bottom"/>
            <w:shd w:val="clear" w:color="auto" w:fill="CCEEFF"/>
          </w:tcPr>
          <w:p>
            <w:pPr>
              <w:spacing w:after="0"/>
              <w:rPr>
                <w:sz w:val="23"/>
                <w:szCs w:val="23"/>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(28,335)</w:t>
            </w:r>
          </w:p>
        </w:tc>
        <w:tc>
          <w:tcPr>
            <w:tcW w:w="12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(3,451)</w:t>
            </w:r>
          </w:p>
        </w:tc>
      </w:tr>
      <w:tr>
        <w:trPr>
          <w:trHeight w:val="269"/>
        </w:trPr>
        <w:tc>
          <w:tcPr>
            <w:tcW w:w="7900" w:type="dxa"/>
            <w:vAlign w:val="bottom"/>
          </w:tcPr>
          <w:p>
            <w:pPr>
              <w:ind w:left="600"/>
              <w:spacing w:after="0"/>
              <w:rPr>
                <w:sz w:val="20"/>
                <w:szCs w:val="20"/>
                <w:color w:val="auto"/>
              </w:rPr>
            </w:pPr>
            <w:r>
              <w:rPr>
                <w:rFonts w:ascii="Arial" w:cs="Arial" w:eastAsia="Arial" w:hAnsi="Arial"/>
                <w:sz w:val="14"/>
                <w:szCs w:val="14"/>
                <w:color w:val="auto"/>
              </w:rPr>
              <w:t>Acquisition of property, plant and equipment</w:t>
            </w:r>
          </w:p>
        </w:tc>
        <w:tc>
          <w:tcPr>
            <w:tcW w:w="340" w:type="dxa"/>
            <w:vAlign w:val="bottom"/>
          </w:tcPr>
          <w:p>
            <w:pPr>
              <w:spacing w:after="0"/>
              <w:rPr>
                <w:sz w:val="23"/>
                <w:szCs w:val="23"/>
                <w:color w:val="auto"/>
              </w:rPr>
            </w:pPr>
          </w:p>
        </w:tc>
        <w:tc>
          <w:tcPr>
            <w:tcW w:w="1380" w:type="dxa"/>
            <w:vAlign w:val="bottom"/>
          </w:tcPr>
          <w:p>
            <w:pPr>
              <w:jc w:val="right"/>
              <w:spacing w:after="0"/>
              <w:rPr>
                <w:sz w:val="20"/>
                <w:szCs w:val="20"/>
                <w:color w:val="auto"/>
              </w:rPr>
            </w:pPr>
            <w:r>
              <w:rPr>
                <w:rFonts w:ascii="Arial" w:cs="Arial" w:eastAsia="Arial" w:hAnsi="Arial"/>
                <w:sz w:val="14"/>
                <w:szCs w:val="14"/>
                <w:b w:val="1"/>
                <w:bCs w:val="1"/>
                <w:color w:val="auto"/>
              </w:rPr>
              <w:t>(36,770)</w:t>
            </w:r>
          </w:p>
        </w:tc>
        <w:tc>
          <w:tcPr>
            <w:tcW w:w="1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(11,519)</w:t>
            </w:r>
          </w:p>
        </w:tc>
      </w:tr>
      <w:tr>
        <w:trPr>
          <w:trHeight w:val="271"/>
        </w:trPr>
        <w:tc>
          <w:tcPr>
            <w:tcW w:w="7900" w:type="dxa"/>
            <w:vAlign w:val="bottom"/>
            <w:shd w:val="clear" w:color="auto" w:fill="CCEEFF"/>
          </w:tcPr>
          <w:p>
            <w:pPr>
              <w:ind w:left="600"/>
              <w:spacing w:after="0"/>
              <w:rPr>
                <w:sz w:val="20"/>
                <w:szCs w:val="20"/>
                <w:color w:val="auto"/>
              </w:rPr>
            </w:pPr>
            <w:r>
              <w:rPr>
                <w:rFonts w:ascii="Arial" w:cs="Arial" w:eastAsia="Arial" w:hAnsi="Arial"/>
                <w:sz w:val="14"/>
                <w:szCs w:val="14"/>
                <w:color w:val="auto"/>
              </w:rPr>
              <w:t>Settled and assumed security deposits</w:t>
            </w:r>
          </w:p>
        </w:tc>
        <w:tc>
          <w:tcPr>
            <w:tcW w:w="340" w:type="dxa"/>
            <w:vAlign w:val="bottom"/>
            <w:shd w:val="clear" w:color="auto" w:fill="CCEEFF"/>
          </w:tcPr>
          <w:p>
            <w:pPr>
              <w:spacing w:after="0"/>
              <w:rPr>
                <w:sz w:val="23"/>
                <w:szCs w:val="23"/>
                <w:color w:val="auto"/>
              </w:rPr>
            </w:pPr>
          </w:p>
        </w:tc>
        <w:tc>
          <w:tcPr>
            <w:tcW w:w="138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2,272</w:t>
            </w:r>
          </w:p>
        </w:tc>
        <w:tc>
          <w:tcPr>
            <w:tcW w:w="12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(272)</w:t>
            </w:r>
          </w:p>
        </w:tc>
      </w:tr>
      <w:tr>
        <w:trPr>
          <w:trHeight w:val="269"/>
        </w:trPr>
        <w:tc>
          <w:tcPr>
            <w:tcW w:w="7900" w:type="dxa"/>
            <w:vAlign w:val="bottom"/>
          </w:tcPr>
          <w:p>
            <w:pPr>
              <w:ind w:left="600"/>
              <w:spacing w:after="0"/>
              <w:rPr>
                <w:sz w:val="20"/>
                <w:szCs w:val="20"/>
                <w:color w:val="auto"/>
              </w:rPr>
            </w:pPr>
            <w:r>
              <w:rPr>
                <w:rFonts w:ascii="Arial" w:cs="Arial" w:eastAsia="Arial" w:hAnsi="Arial"/>
                <w:sz w:val="14"/>
                <w:szCs w:val="14"/>
                <w:color w:val="auto"/>
              </w:rPr>
              <w:t>Billed, assumed and settled maintenance deposits</w:t>
            </w:r>
          </w:p>
        </w:tc>
        <w:tc>
          <w:tcPr>
            <w:tcW w:w="340" w:type="dxa"/>
            <w:vAlign w:val="bottom"/>
          </w:tcPr>
          <w:p>
            <w:pPr>
              <w:spacing w:after="0"/>
              <w:rPr>
                <w:sz w:val="23"/>
                <w:szCs w:val="23"/>
                <w:color w:val="auto"/>
              </w:rPr>
            </w:pPr>
          </w:p>
        </w:tc>
        <w:tc>
          <w:tcPr>
            <w:tcW w:w="1380" w:type="dxa"/>
            <w:vAlign w:val="bottom"/>
          </w:tcPr>
          <w:p>
            <w:pPr>
              <w:jc w:val="right"/>
              <w:ind w:right="48"/>
              <w:spacing w:after="0"/>
              <w:rPr>
                <w:sz w:val="20"/>
                <w:szCs w:val="20"/>
                <w:color w:val="auto"/>
              </w:rPr>
            </w:pPr>
            <w:r>
              <w:rPr>
                <w:rFonts w:ascii="Arial" w:cs="Arial" w:eastAsia="Arial" w:hAnsi="Arial"/>
                <w:sz w:val="14"/>
                <w:szCs w:val="14"/>
                <w:b w:val="1"/>
                <w:bCs w:val="1"/>
                <w:color w:val="auto"/>
              </w:rPr>
              <w:t>23,226</w:t>
            </w:r>
          </w:p>
        </w:tc>
        <w:tc>
          <w:tcPr>
            <w:tcW w:w="1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300" w:type="dxa"/>
            <w:vAlign w:val="bottom"/>
          </w:tcPr>
          <w:p>
            <w:pPr>
              <w:jc w:val="right"/>
              <w:ind w:right="27"/>
              <w:spacing w:after="0"/>
              <w:rPr>
                <w:sz w:val="20"/>
                <w:szCs w:val="20"/>
                <w:color w:val="auto"/>
              </w:rPr>
            </w:pPr>
            <w:r>
              <w:rPr>
                <w:rFonts w:ascii="Arial" w:cs="Arial" w:eastAsia="Arial" w:hAnsi="Arial"/>
                <w:sz w:val="14"/>
                <w:szCs w:val="14"/>
                <w:color w:val="auto"/>
              </w:rPr>
              <w:t>3,923</w:t>
            </w:r>
          </w:p>
        </w:tc>
      </w:tr>
      <w:tr>
        <w:trPr>
          <w:trHeight w:val="271"/>
        </w:trPr>
        <w:tc>
          <w:tcPr>
            <w:tcW w:w="7900" w:type="dxa"/>
            <w:vAlign w:val="bottom"/>
            <w:shd w:val="clear" w:color="auto" w:fill="CCEEFF"/>
          </w:tcPr>
          <w:p>
            <w:pPr>
              <w:ind w:left="600"/>
              <w:spacing w:after="0"/>
              <w:rPr>
                <w:sz w:val="20"/>
                <w:szCs w:val="20"/>
                <w:color w:val="auto"/>
              </w:rPr>
            </w:pPr>
            <w:r>
              <w:rPr>
                <w:rFonts w:ascii="Arial" w:cs="Arial" w:eastAsia="Arial" w:hAnsi="Arial"/>
                <w:sz w:val="14"/>
                <w:szCs w:val="14"/>
                <w:color w:val="auto"/>
              </w:rPr>
              <w:t>Deferred financing costs</w:t>
            </w:r>
          </w:p>
        </w:tc>
        <w:tc>
          <w:tcPr>
            <w:tcW w:w="340" w:type="dxa"/>
            <w:vAlign w:val="bottom"/>
            <w:shd w:val="clear" w:color="auto" w:fill="CCEEFF"/>
          </w:tcPr>
          <w:p>
            <w:pPr>
              <w:spacing w:after="0"/>
              <w:rPr>
                <w:sz w:val="23"/>
                <w:szCs w:val="23"/>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(7,867)</w:t>
            </w:r>
          </w:p>
        </w:tc>
        <w:tc>
          <w:tcPr>
            <w:tcW w:w="12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(2,884)</w:t>
            </w:r>
          </w:p>
        </w:tc>
      </w:tr>
      <w:tr>
        <w:trPr>
          <w:trHeight w:val="269"/>
        </w:trPr>
        <w:tc>
          <w:tcPr>
            <w:tcW w:w="7900" w:type="dxa"/>
            <w:vAlign w:val="bottom"/>
          </w:tcPr>
          <w:p>
            <w:pPr>
              <w:ind w:left="600"/>
              <w:spacing w:after="0"/>
              <w:rPr>
                <w:sz w:val="20"/>
                <w:szCs w:val="20"/>
                <w:color w:val="auto"/>
              </w:rPr>
            </w:pPr>
            <w:r>
              <w:rPr>
                <w:rFonts w:ascii="Arial" w:cs="Arial" w:eastAsia="Arial" w:hAnsi="Arial"/>
                <w:sz w:val="14"/>
                <w:szCs w:val="14"/>
                <w:color w:val="auto"/>
              </w:rPr>
              <w:t>Non-cash contribution from non-controlling interest</w:t>
            </w:r>
          </w:p>
        </w:tc>
        <w:tc>
          <w:tcPr>
            <w:tcW w:w="340" w:type="dxa"/>
            <w:vAlign w:val="bottom"/>
          </w:tcPr>
          <w:p>
            <w:pPr>
              <w:spacing w:after="0"/>
              <w:rPr>
                <w:sz w:val="23"/>
                <w:szCs w:val="23"/>
                <w:color w:val="auto"/>
              </w:rPr>
            </w:pPr>
          </w:p>
        </w:tc>
        <w:tc>
          <w:tcPr>
            <w:tcW w:w="1380" w:type="dxa"/>
            <w:vAlign w:val="bottom"/>
          </w:tcPr>
          <w:p>
            <w:pPr>
              <w:jc w:val="right"/>
              <w:ind w:right="48"/>
              <w:spacing w:after="0"/>
              <w:rPr>
                <w:sz w:val="20"/>
                <w:szCs w:val="20"/>
                <w:color w:val="auto"/>
              </w:rPr>
            </w:pPr>
            <w:r>
              <w:rPr>
                <w:rFonts w:ascii="Arial" w:cs="Arial" w:eastAsia="Arial" w:hAnsi="Arial"/>
                <w:sz w:val="14"/>
                <w:szCs w:val="14"/>
                <w:b w:val="1"/>
                <w:bCs w:val="1"/>
                <w:color w:val="auto"/>
              </w:rPr>
              <w:t>1,261</w:t>
            </w:r>
          </w:p>
        </w:tc>
        <w:tc>
          <w:tcPr>
            <w:tcW w:w="1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300" w:type="dxa"/>
            <w:vAlign w:val="bottom"/>
          </w:tcPr>
          <w:p>
            <w:pPr>
              <w:jc w:val="right"/>
              <w:ind w:right="27"/>
              <w:spacing w:after="0"/>
              <w:rPr>
                <w:sz w:val="20"/>
                <w:szCs w:val="20"/>
                <w:color w:val="auto"/>
              </w:rPr>
            </w:pPr>
            <w:r>
              <w:rPr>
                <w:rFonts w:ascii="Arial" w:cs="Arial" w:eastAsia="Arial" w:hAnsi="Arial"/>
                <w:sz w:val="14"/>
                <w:szCs w:val="14"/>
                <w:color w:val="auto"/>
              </w:rPr>
              <w:t>—</w:t>
            </w:r>
          </w:p>
        </w:tc>
      </w:tr>
      <w:tr>
        <w:trPr>
          <w:trHeight w:val="271"/>
        </w:trPr>
        <w:tc>
          <w:tcPr>
            <w:tcW w:w="7900" w:type="dxa"/>
            <w:vAlign w:val="bottom"/>
            <w:shd w:val="clear" w:color="auto" w:fill="CCEEFF"/>
          </w:tcPr>
          <w:p>
            <w:pPr>
              <w:ind w:left="600"/>
              <w:spacing w:after="0"/>
              <w:rPr>
                <w:sz w:val="20"/>
                <w:szCs w:val="20"/>
                <w:color w:val="auto"/>
              </w:rPr>
            </w:pPr>
            <w:r>
              <w:rPr>
                <w:rFonts w:ascii="Arial" w:cs="Arial" w:eastAsia="Arial" w:hAnsi="Arial"/>
                <w:sz w:val="14"/>
                <w:szCs w:val="14"/>
                <w:color w:val="auto"/>
              </w:rPr>
              <w:t>Transfer of non-controlling interest</w:t>
            </w:r>
          </w:p>
        </w:tc>
        <w:tc>
          <w:tcPr>
            <w:tcW w:w="340" w:type="dxa"/>
            <w:vAlign w:val="bottom"/>
            <w:shd w:val="clear" w:color="auto" w:fill="CCEEFF"/>
          </w:tcPr>
          <w:p>
            <w:pPr>
              <w:spacing w:after="0"/>
              <w:rPr>
                <w:sz w:val="23"/>
                <w:szCs w:val="23"/>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(2,798)</w:t>
            </w:r>
          </w:p>
        </w:tc>
        <w:tc>
          <w:tcPr>
            <w:tcW w:w="12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1300" w:type="dxa"/>
            <w:vAlign w:val="bottom"/>
            <w:shd w:val="clear" w:color="auto" w:fill="CCEEFF"/>
          </w:tcPr>
          <w:p>
            <w:pPr>
              <w:jc w:val="right"/>
              <w:ind w:right="27"/>
              <w:spacing w:after="0"/>
              <w:rPr>
                <w:sz w:val="20"/>
                <w:szCs w:val="20"/>
                <w:color w:val="auto"/>
              </w:rPr>
            </w:pPr>
            <w:r>
              <w:rPr>
                <w:rFonts w:ascii="Arial" w:cs="Arial" w:eastAsia="Arial" w:hAnsi="Arial"/>
                <w:sz w:val="14"/>
                <w:szCs w:val="14"/>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spacing w:after="0"/>
        <w:rPr>
          <w:sz w:val="20"/>
          <w:szCs w:val="20"/>
          <w:color w:val="auto"/>
        </w:rPr>
      </w:pPr>
      <w:r>
        <w:rPr>
          <w:rFonts w:ascii="Arial" w:cs="Arial" w:eastAsia="Arial" w:hAnsi="Arial"/>
          <w:sz w:val="16"/>
          <w:szCs w:val="16"/>
          <w:color w:val="00497F"/>
        </w:rPr>
        <w:t>See accompanying notes to consolidated financial statements.</w:t>
      </w:r>
    </w:p>
    <w:p>
      <w:pPr>
        <w:sectPr>
          <w:pgSz w:w="11900" w:h="16838" w:orient="portrait"/>
          <w:cols w:equalWidth="0" w:num="1">
            <w:col w:w="11420"/>
          </w:cols>
          <w:pgMar w:left="240" w:top="576" w:right="239" w:bottom="1440" w:gutter="0" w:footer="0" w:header="0"/>
        </w:sect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10</w:t>
      </w:r>
    </w:p>
    <w:p>
      <w:pPr>
        <w:sectPr>
          <w:pgSz w:w="11900" w:h="16838" w:orient="portrait"/>
          <w:cols w:equalWidth="0" w:num="1">
            <w:col w:w="11420"/>
          </w:cols>
          <w:pgMar w:left="240" w:top="576" w:right="239" w:bottom="1440" w:gutter="0" w:footer="0" w:header="0"/>
          <w:type w:val="continuous"/>
        </w:sectPr>
      </w:pPr>
    </w:p>
    <w:bookmarkStart w:id="10" w:name="page11"/>
    <w:bookmarkEnd w:id="10"/>
    <w:p>
      <w:pPr>
        <w:ind w:right="3820"/>
        <w:spacing w:after="0" w:line="305" w:lineRule="auto"/>
        <w:rPr>
          <w:sz w:val="20"/>
          <w:szCs w:val="20"/>
          <w:color w:val="auto"/>
        </w:rPr>
      </w:pPr>
      <w:r>
        <w:rPr>
          <w:rFonts w:ascii="Arial" w:cs="Arial" w:eastAsia="Arial" w:hAnsi="Arial"/>
          <w:sz w:val="22"/>
          <w:szCs w:val="22"/>
          <w:b w:val="1"/>
          <w:bCs w:val="1"/>
          <w:color w:val="00497F"/>
        </w:rPr>
        <w:t xml:space="preserve">FORTRESS TRANSPORTATION AND INFRASTRUCTURE INVESTORS LLC NOTES TO CONSOLIDATED FINANCIAL STATEMENTS </w:t>
      </w:r>
      <w:r>
        <w:rPr>
          <w:rFonts w:ascii="Arial" w:cs="Arial" w:eastAsia="Arial" w:hAnsi="Arial"/>
          <w:sz w:val="22"/>
          <w:szCs w:val="22"/>
          <w:b w:val="1"/>
          <w:bCs w:val="1"/>
          <w:i w:val="1"/>
          <w:iCs w:val="1"/>
          <w:color w:val="00497F"/>
        </w:rPr>
        <w:t>(unaudited)</w:t>
      </w:r>
    </w:p>
    <w:p>
      <w:pPr>
        <w:spacing w:after="0"/>
        <w:rPr>
          <w:sz w:val="20"/>
          <w:szCs w:val="20"/>
          <w:color w:val="auto"/>
        </w:rPr>
      </w:pPr>
      <w:r>
        <w:rPr>
          <w:rFonts w:ascii="Arial" w:cs="Arial" w:eastAsia="Arial" w:hAnsi="Arial"/>
          <w:sz w:val="18"/>
          <w:szCs w:val="18"/>
          <w:i w:val="1"/>
          <w:iCs w:val="1"/>
          <w:color w:val="00497F"/>
        </w:rPr>
        <w:t>(Dollar amounts in thousands, unless otherwise noted)</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340" w:hanging="332"/>
        <w:spacing w:after="0"/>
        <w:tabs>
          <w:tab w:leader="none" w:pos="340" w:val="left"/>
        </w:tabs>
        <w:numPr>
          <w:ilvl w:val="0"/>
          <w:numId w:val="5"/>
        </w:numPr>
        <w:rPr>
          <w:rFonts w:ascii="Arial" w:cs="Arial" w:eastAsia="Arial" w:hAnsi="Arial"/>
          <w:sz w:val="18"/>
          <w:szCs w:val="18"/>
          <w:b w:val="1"/>
          <w:bCs w:val="1"/>
          <w:color w:val="00497F"/>
        </w:rPr>
      </w:pPr>
      <w:r>
        <w:rPr>
          <w:rFonts w:ascii="Arial" w:cs="Arial" w:eastAsia="Arial" w:hAnsi="Arial"/>
          <w:sz w:val="22"/>
          <w:szCs w:val="22"/>
          <w:b w:val="1"/>
          <w:bCs w:val="1"/>
          <w:color w:val="00497F"/>
        </w:rPr>
        <w:t>ORGANIZATION</w:t>
      </w:r>
    </w:p>
    <w:p>
      <w:pPr>
        <w:spacing w:after="0" w:line="279" w:lineRule="exact"/>
        <w:rPr>
          <w:sz w:val="20"/>
          <w:szCs w:val="20"/>
          <w:color w:val="auto"/>
        </w:rPr>
      </w:pPr>
    </w:p>
    <w:p>
      <w:pPr>
        <w:jc w:val="both"/>
        <w:ind w:left="340"/>
        <w:spacing w:after="0" w:line="253" w:lineRule="auto"/>
        <w:rPr>
          <w:sz w:val="20"/>
          <w:szCs w:val="20"/>
          <w:color w:val="auto"/>
        </w:rPr>
      </w:pPr>
      <w:r>
        <w:rPr>
          <w:rFonts w:ascii="Arial" w:cs="Arial" w:eastAsia="Arial" w:hAnsi="Arial"/>
          <w:sz w:val="16"/>
          <w:szCs w:val="16"/>
          <w:color w:val="auto"/>
        </w:rPr>
        <w:t>Fortress Transportation and Infrastructure Investors LLC (the “Company”) is a Delaware limited liability company which, through its subsidiary, Fortress Worldwide Transportation and Infrastructure General Partnership (the “Partnership”), is engaged in the ownership and leasing of aviation equipment, offshore energy equipment and shipping containers, and also owns and operates a short line railroad in North America, Central Maine and Québec Railway (“CMQR”), a multi-modal crude oil and refined products terminal in Beaumont, Texas (“Jefferson Terminal”), a deep-water port located along the Delaware River with an underground storage cavern and multiple industrial development opportunities (“Repauno”), and a multi-modal terminal located along the Ohio River with multiple industrial development opportunities (“Hannibal”). The Company has six reportable segments, (i) Aviation Leasing, (ii) Offshore Energy, (iii) Shipping Containers, (iv) Jefferson Terminal, (v) Railroad, and (vi) Ports and Terminals, which operate in two primary businesses, Equipment Leasing and Infrastructure (Note 14).</w:t>
      </w:r>
    </w:p>
    <w:p>
      <w:pPr>
        <w:spacing w:after="0" w:line="118" w:lineRule="exact"/>
        <w:rPr>
          <w:sz w:val="20"/>
          <w:szCs w:val="20"/>
          <w:color w:val="auto"/>
        </w:rPr>
      </w:pPr>
    </w:p>
    <w:p>
      <w:pPr>
        <w:spacing w:after="0"/>
        <w:rPr>
          <w:sz w:val="20"/>
          <w:szCs w:val="20"/>
          <w:color w:val="auto"/>
        </w:rPr>
      </w:pPr>
      <w:r>
        <w:rPr>
          <w:rFonts w:ascii="Arial" w:cs="Arial" w:eastAsia="Arial" w:hAnsi="Arial"/>
          <w:sz w:val="22"/>
          <w:szCs w:val="22"/>
          <w:b w:val="1"/>
          <w:bCs w:val="1"/>
          <w:color w:val="00497F"/>
        </w:rPr>
        <w:t>2. SUMMARY OF SIGNIFICANT ACCOUNTING POLICIES</w:t>
      </w:r>
    </w:p>
    <w:p>
      <w:pPr>
        <w:spacing w:after="0" w:line="171" w:lineRule="exact"/>
        <w:rPr>
          <w:sz w:val="20"/>
          <w:szCs w:val="20"/>
          <w:color w:val="auto"/>
        </w:rPr>
      </w:pPr>
    </w:p>
    <w:p>
      <w:pPr>
        <w:jc w:val="both"/>
        <w:ind w:left="340"/>
        <w:spacing w:after="0" w:line="291" w:lineRule="auto"/>
        <w:rPr>
          <w:sz w:val="20"/>
          <w:szCs w:val="20"/>
          <w:color w:val="auto"/>
        </w:rPr>
      </w:pPr>
      <w:r>
        <w:rPr>
          <w:rFonts w:ascii="Arial" w:cs="Arial" w:eastAsia="Arial" w:hAnsi="Arial"/>
          <w:sz w:val="16"/>
          <w:szCs w:val="16"/>
          <w:b w:val="1"/>
          <w:bCs w:val="1"/>
          <w:i w:val="1"/>
          <w:iCs w:val="1"/>
          <w:color w:val="00497F"/>
        </w:rPr>
        <w:t>Basis of Accounting</w:t>
      </w:r>
      <w:r>
        <w:rPr>
          <w:rFonts w:ascii="Arial" w:cs="Arial" w:eastAsia="Arial" w:hAnsi="Arial"/>
          <w:sz w:val="16"/>
          <w:szCs w:val="16"/>
          <w:color w:val="00497F"/>
        </w:rPr>
        <w:t>—</w:t>
      </w:r>
      <w:r>
        <w:rPr>
          <w:rFonts w:ascii="Arial" w:cs="Arial" w:eastAsia="Arial" w:hAnsi="Arial"/>
          <w:sz w:val="16"/>
          <w:szCs w:val="16"/>
          <w:color w:val="000000"/>
        </w:rPr>
        <w:t>The accompanying consolidated financial statements are prepared in accordance with U.S. generally accepted accounting</w:t>
      </w:r>
      <w:r>
        <w:rPr>
          <w:rFonts w:ascii="Arial" w:cs="Arial" w:eastAsia="Arial" w:hAnsi="Arial"/>
          <w:sz w:val="16"/>
          <w:szCs w:val="16"/>
          <w:b w:val="1"/>
          <w:bCs w:val="1"/>
          <w:i w:val="1"/>
          <w:iCs w:val="1"/>
          <w:color w:val="00497F"/>
        </w:rPr>
        <w:t xml:space="preserve"> </w:t>
      </w:r>
      <w:r>
        <w:rPr>
          <w:rFonts w:ascii="Arial" w:cs="Arial" w:eastAsia="Arial" w:hAnsi="Arial"/>
          <w:sz w:val="16"/>
          <w:szCs w:val="16"/>
          <w:color w:val="000000"/>
        </w:rPr>
        <w:t>principles (“GAAP”) and include the accounts of the Company and its subsidiaries.</w:t>
      </w:r>
    </w:p>
    <w:p>
      <w:pPr>
        <w:spacing w:after="0" w:line="94" w:lineRule="exact"/>
        <w:rPr>
          <w:sz w:val="20"/>
          <w:szCs w:val="20"/>
          <w:color w:val="auto"/>
        </w:rPr>
      </w:pPr>
    </w:p>
    <w:p>
      <w:pPr>
        <w:jc w:val="both"/>
        <w:ind w:left="340"/>
        <w:spacing w:after="0" w:line="261" w:lineRule="auto"/>
        <w:rPr>
          <w:sz w:val="20"/>
          <w:szCs w:val="20"/>
          <w:color w:val="auto"/>
        </w:rPr>
      </w:pPr>
      <w:r>
        <w:rPr>
          <w:rFonts w:ascii="Arial" w:cs="Arial" w:eastAsia="Arial" w:hAnsi="Arial"/>
          <w:sz w:val="16"/>
          <w:szCs w:val="16"/>
          <w:b w:val="1"/>
          <w:bCs w:val="1"/>
          <w:i w:val="1"/>
          <w:iCs w:val="1"/>
          <w:color w:val="00497F"/>
        </w:rPr>
        <w:t>Principles of Consolidation</w:t>
      </w:r>
      <w:r>
        <w:rPr>
          <w:rFonts w:ascii="Arial" w:cs="Arial" w:eastAsia="Arial" w:hAnsi="Arial"/>
          <w:sz w:val="16"/>
          <w:szCs w:val="16"/>
          <w:color w:val="00497F"/>
        </w:rPr>
        <w:t>—</w:t>
      </w:r>
      <w:r>
        <w:rPr>
          <w:rFonts w:ascii="Arial" w:cs="Arial" w:eastAsia="Arial" w:hAnsi="Arial"/>
          <w:sz w:val="16"/>
          <w:szCs w:val="16"/>
          <w:color w:val="000000"/>
        </w:rPr>
        <w:t>The Company consolidates all entities in which it has a controlling financial interest and in which it has control over</w:t>
      </w:r>
      <w:r>
        <w:rPr>
          <w:rFonts w:ascii="Arial" w:cs="Arial" w:eastAsia="Arial" w:hAnsi="Arial"/>
          <w:sz w:val="16"/>
          <w:szCs w:val="16"/>
          <w:b w:val="1"/>
          <w:bCs w:val="1"/>
          <w:i w:val="1"/>
          <w:iCs w:val="1"/>
          <w:color w:val="00497F"/>
        </w:rPr>
        <w:t xml:space="preserve"> </w:t>
      </w:r>
      <w:r>
        <w:rPr>
          <w:rFonts w:ascii="Arial" w:cs="Arial" w:eastAsia="Arial" w:hAnsi="Arial"/>
          <w:sz w:val="16"/>
          <w:szCs w:val="16"/>
          <w:color w:val="000000"/>
        </w:rPr>
        <w:t>significant operating decisions, as well as variable interest entities (“VIEs”) in which the Company is the primary beneficiary. All significant intercompany transactions and balances have been eliminated. The ownership interest of other investors in consolidated subsidiaries is recorded as non-controlling interest.</w:t>
      </w:r>
    </w:p>
    <w:p>
      <w:pPr>
        <w:spacing w:after="0" w:line="118" w:lineRule="exact"/>
        <w:rPr>
          <w:sz w:val="20"/>
          <w:szCs w:val="20"/>
          <w:color w:val="auto"/>
        </w:rPr>
      </w:pPr>
    </w:p>
    <w:p>
      <w:pPr>
        <w:jc w:val="both"/>
        <w:ind w:left="340"/>
        <w:spacing w:after="0" w:line="269" w:lineRule="auto"/>
        <w:rPr>
          <w:sz w:val="20"/>
          <w:szCs w:val="20"/>
          <w:color w:val="auto"/>
        </w:rPr>
      </w:pPr>
      <w:r>
        <w:rPr>
          <w:rFonts w:ascii="Arial" w:cs="Arial" w:eastAsia="Arial" w:hAnsi="Arial"/>
          <w:sz w:val="16"/>
          <w:szCs w:val="16"/>
          <w:color w:val="auto"/>
        </w:rPr>
        <w:t>The Company uses the equity method of accounting for investments in entities in which the Company exercises significant influence but which do not meet the requirements for consolidation. Under the equity method, the Company records its proportionate share of the underlying net income (loss) of these entities.</w:t>
      </w:r>
    </w:p>
    <w:p>
      <w:pPr>
        <w:spacing w:after="0" w:line="111" w:lineRule="exact"/>
        <w:rPr>
          <w:sz w:val="20"/>
          <w:szCs w:val="20"/>
          <w:color w:val="auto"/>
        </w:rPr>
      </w:pPr>
    </w:p>
    <w:p>
      <w:pPr>
        <w:jc w:val="both"/>
        <w:ind w:left="340"/>
        <w:spacing w:after="0" w:line="269" w:lineRule="auto"/>
        <w:rPr>
          <w:sz w:val="20"/>
          <w:szCs w:val="20"/>
          <w:color w:val="auto"/>
        </w:rPr>
      </w:pPr>
      <w:r>
        <w:rPr>
          <w:rFonts w:ascii="Arial" w:cs="Arial" w:eastAsia="Arial" w:hAnsi="Arial"/>
          <w:sz w:val="16"/>
          <w:szCs w:val="16"/>
          <w:b w:val="1"/>
          <w:bCs w:val="1"/>
          <w:i w:val="1"/>
          <w:iCs w:val="1"/>
          <w:color w:val="00497F"/>
        </w:rPr>
        <w:t>Use of Estimates</w:t>
      </w:r>
      <w:r>
        <w:rPr>
          <w:rFonts w:ascii="Arial" w:cs="Arial" w:eastAsia="Arial" w:hAnsi="Arial"/>
          <w:sz w:val="16"/>
          <w:szCs w:val="16"/>
          <w:color w:val="00497F"/>
        </w:rPr>
        <w:t>—</w:t>
      </w:r>
      <w:r>
        <w:rPr>
          <w:rFonts w:ascii="Arial" w:cs="Arial" w:eastAsia="Arial" w:hAnsi="Arial"/>
          <w:sz w:val="16"/>
          <w:szCs w:val="16"/>
          <w:color w:val="000000"/>
        </w:rPr>
        <w:t>The preparation of financial statements in conformity with GAAP requires management to make estimates and assumptions that affect</w:t>
      </w:r>
      <w:r>
        <w:rPr>
          <w:rFonts w:ascii="Arial" w:cs="Arial" w:eastAsia="Arial" w:hAnsi="Arial"/>
          <w:sz w:val="16"/>
          <w:szCs w:val="16"/>
          <w:b w:val="1"/>
          <w:bCs w:val="1"/>
          <w:i w:val="1"/>
          <w:iCs w:val="1"/>
          <w:color w:val="00497F"/>
        </w:rPr>
        <w:t xml:space="preserve"> </w:t>
      </w:r>
      <w:r>
        <w:rPr>
          <w:rFonts w:ascii="Arial" w:cs="Arial" w:eastAsia="Arial" w:hAnsi="Arial"/>
          <w:sz w:val="16"/>
          <w:szCs w:val="16"/>
          <w:color w:val="000000"/>
        </w:rPr>
        <w:t>the reported amounts of assets and liabilities, the disclosure of contingent assets and liabilities at the date of the consolidated financial statements and the reported amounts of revenues and expenses during the reporting period. Actual results could differ from those estimates.</w:t>
      </w:r>
    </w:p>
    <w:p>
      <w:pPr>
        <w:spacing w:after="0" w:line="111" w:lineRule="exact"/>
        <w:rPr>
          <w:sz w:val="20"/>
          <w:szCs w:val="20"/>
          <w:color w:val="auto"/>
        </w:rPr>
      </w:pPr>
    </w:p>
    <w:p>
      <w:pPr>
        <w:jc w:val="both"/>
        <w:ind w:left="340"/>
        <w:spacing w:after="0" w:line="251" w:lineRule="auto"/>
        <w:rPr>
          <w:sz w:val="20"/>
          <w:szCs w:val="20"/>
          <w:color w:val="auto"/>
        </w:rPr>
      </w:pPr>
      <w:r>
        <w:rPr>
          <w:rFonts w:ascii="Arial" w:cs="Arial" w:eastAsia="Arial" w:hAnsi="Arial"/>
          <w:sz w:val="16"/>
          <w:szCs w:val="16"/>
          <w:b w:val="1"/>
          <w:bCs w:val="1"/>
          <w:i w:val="1"/>
          <w:iCs w:val="1"/>
          <w:color w:val="00497F"/>
        </w:rPr>
        <w:t xml:space="preserve">Risks and Uncertainties </w:t>
      </w:r>
      <w:r>
        <w:rPr>
          <w:rFonts w:ascii="Arial" w:cs="Arial" w:eastAsia="Arial" w:hAnsi="Arial"/>
          <w:sz w:val="16"/>
          <w:szCs w:val="16"/>
          <w:color w:val="00497F"/>
        </w:rPr>
        <w:t>—</w:t>
      </w:r>
      <w:r>
        <w:rPr>
          <w:rFonts w:ascii="Arial" w:cs="Arial" w:eastAsia="Arial" w:hAnsi="Arial"/>
          <w:sz w:val="16"/>
          <w:szCs w:val="16"/>
          <w:color w:val="000000"/>
        </w:rPr>
        <w:t>In the normal course of business, the Company encounters several significant types of economic risk including credit, market,</w:t>
      </w:r>
      <w:r>
        <w:rPr>
          <w:rFonts w:ascii="Arial" w:cs="Arial" w:eastAsia="Arial" w:hAnsi="Arial"/>
          <w:sz w:val="16"/>
          <w:szCs w:val="16"/>
          <w:b w:val="1"/>
          <w:bCs w:val="1"/>
          <w:i w:val="1"/>
          <w:iCs w:val="1"/>
          <w:color w:val="00497F"/>
        </w:rPr>
        <w:t xml:space="preserve"> </w:t>
      </w:r>
      <w:r>
        <w:rPr>
          <w:rFonts w:ascii="Arial" w:cs="Arial" w:eastAsia="Arial" w:hAnsi="Arial"/>
          <w:sz w:val="16"/>
          <w:szCs w:val="16"/>
          <w:color w:val="000000"/>
        </w:rPr>
        <w:t>and capital market risks. Credit risk is the risk of the inability or unwillingness of a lessee, customer, or derivative counterparty to make contractually required payments or to fulfill its other contractual obligations. Market risk reflects the risk of a downturn or volatility in the underlying industry segments in which the Company operates which could adversely impact the pricing of the services offered by the Company or a lessee’s or customer’s ability to make payments, increase the risk of unscheduled lease terminations and depress lease rates and the value of the Company’s leasing equipment or operating assets. Capital market risk is the risk that the Company is unable to obtain capital at reasonable rates to fund the growth of its business or to refinance existing debt facilities. The Company, through its subsidiaries, also conducts operations outside of the United States; such international operations are subject to the same risks as those associated with its United States operations as well as additional risks, including unexpected changes in regulatory requirements, heightened risk of political and economic instability, potentially adverse tax consequences and the burden of complying with foreign laws. The Company does not have significant exposure to foreign currency risk as all of its leasing arrangements, terminal services revenue and the majority of freight rail revenue are denominated in U.S. dollars.</w:t>
      </w:r>
    </w:p>
    <w:p>
      <w:pPr>
        <w:spacing w:after="0" w:line="125" w:lineRule="exact"/>
        <w:rPr>
          <w:sz w:val="20"/>
          <w:szCs w:val="20"/>
          <w:color w:val="auto"/>
        </w:rPr>
      </w:pPr>
    </w:p>
    <w:p>
      <w:pPr>
        <w:jc w:val="both"/>
        <w:ind w:left="340"/>
        <w:spacing w:after="0" w:line="255" w:lineRule="auto"/>
        <w:rPr>
          <w:sz w:val="20"/>
          <w:szCs w:val="20"/>
          <w:color w:val="auto"/>
        </w:rPr>
      </w:pPr>
      <w:r>
        <w:rPr>
          <w:rFonts w:ascii="Arial" w:cs="Arial" w:eastAsia="Arial" w:hAnsi="Arial"/>
          <w:sz w:val="16"/>
          <w:szCs w:val="16"/>
          <w:b w:val="1"/>
          <w:bCs w:val="1"/>
          <w:i w:val="1"/>
          <w:iCs w:val="1"/>
          <w:color w:val="00497F"/>
        </w:rPr>
        <w:t>Variable Interest Entities</w:t>
      </w:r>
      <w:r>
        <w:rPr>
          <w:rFonts w:ascii="Arial" w:cs="Arial" w:eastAsia="Arial" w:hAnsi="Arial"/>
          <w:sz w:val="16"/>
          <w:szCs w:val="16"/>
          <w:color w:val="00497F"/>
        </w:rPr>
        <w:t>—</w:t>
      </w:r>
      <w:r>
        <w:rPr>
          <w:rFonts w:ascii="Arial" w:cs="Arial" w:eastAsia="Arial" w:hAnsi="Arial"/>
          <w:sz w:val="16"/>
          <w:szCs w:val="16"/>
          <w:color w:val="000000"/>
        </w:rPr>
        <w:t>The assessment of whether an entity is a variable interest entity (“VIE”) and the determination of whether to consolidate a VIE</w:t>
      </w:r>
      <w:r>
        <w:rPr>
          <w:rFonts w:ascii="Arial" w:cs="Arial" w:eastAsia="Arial" w:hAnsi="Arial"/>
          <w:sz w:val="16"/>
          <w:szCs w:val="16"/>
          <w:b w:val="1"/>
          <w:bCs w:val="1"/>
          <w:i w:val="1"/>
          <w:iCs w:val="1"/>
          <w:color w:val="00497F"/>
        </w:rPr>
        <w:t xml:space="preserve"> </w:t>
      </w:r>
      <w:r>
        <w:rPr>
          <w:rFonts w:ascii="Arial" w:cs="Arial" w:eastAsia="Arial" w:hAnsi="Arial"/>
          <w:sz w:val="16"/>
          <w:szCs w:val="16"/>
          <w:color w:val="000000"/>
        </w:rPr>
        <w:t>requires judgment. VIEs are defined as entities in which equity investors do not have the characteristics of a controlling financial interest or do not have sufficient equity at risk for the entity to finance its activities without additional subordinated financial support from other parties. A VIE is required to be consolidated by its primary beneficiary, and only by its primary beneficiary, which is defined as the party who has the power to direct the activities of a VIE that most significantly impact its economic performance and who has the obligation to absorb losses or the right to receive benefits from the VIE that could potentially be significant to the VIE.</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11</w:t>
      </w:r>
    </w:p>
    <w:p>
      <w:pPr>
        <w:sectPr>
          <w:pgSz w:w="11900" w:h="16838" w:orient="portrait"/>
          <w:cols w:equalWidth="0" w:num="1">
            <w:col w:w="11420"/>
          </w:cols>
          <w:pgMar w:left="240" w:top="117" w:right="239" w:bottom="1440" w:gutter="0" w:footer="0" w:header="0"/>
        </w:sectPr>
      </w:pPr>
    </w:p>
    <w:bookmarkStart w:id="11" w:name="page12"/>
    <w:bookmarkEnd w:id="11"/>
    <w:p>
      <w:pPr>
        <w:ind w:right="3820"/>
        <w:spacing w:after="0" w:line="305" w:lineRule="auto"/>
        <w:rPr>
          <w:sz w:val="20"/>
          <w:szCs w:val="20"/>
          <w:color w:val="auto"/>
        </w:rPr>
      </w:pPr>
      <w:r>
        <w:rPr>
          <w:rFonts w:ascii="Arial" w:cs="Arial" w:eastAsia="Arial" w:hAnsi="Arial"/>
          <w:sz w:val="22"/>
          <w:szCs w:val="22"/>
          <w:b w:val="1"/>
          <w:bCs w:val="1"/>
          <w:color w:val="00497F"/>
        </w:rPr>
        <w:t xml:space="preserve">FORTRESS TRANSPORTATION AND INFRASTRUCTURE INVESTORS LLC NOTES TO CONSOLIDATED FINANCIAL STATEMENTS </w:t>
      </w:r>
      <w:r>
        <w:rPr>
          <w:rFonts w:ascii="Arial" w:cs="Arial" w:eastAsia="Arial" w:hAnsi="Arial"/>
          <w:sz w:val="22"/>
          <w:szCs w:val="22"/>
          <w:b w:val="1"/>
          <w:bCs w:val="1"/>
          <w:i w:val="1"/>
          <w:iCs w:val="1"/>
          <w:color w:val="00497F"/>
        </w:rPr>
        <w:t>(unaudited)</w:t>
      </w:r>
    </w:p>
    <w:p>
      <w:pPr>
        <w:spacing w:after="0"/>
        <w:rPr>
          <w:sz w:val="20"/>
          <w:szCs w:val="20"/>
          <w:color w:val="auto"/>
        </w:rPr>
      </w:pPr>
      <w:r>
        <w:rPr>
          <w:rFonts w:ascii="Arial" w:cs="Arial" w:eastAsia="Arial" w:hAnsi="Arial"/>
          <w:sz w:val="18"/>
          <w:szCs w:val="18"/>
          <w:i w:val="1"/>
          <w:iCs w:val="1"/>
          <w:color w:val="00497F"/>
        </w:rPr>
        <w:t>(Dollar amounts in thousands, unless otherwise noted)</w:t>
      </w:r>
    </w:p>
    <w:p>
      <w:pPr>
        <w:spacing w:after="0" w:line="399" w:lineRule="exact"/>
        <w:rPr>
          <w:sz w:val="20"/>
          <w:szCs w:val="20"/>
          <w:color w:val="auto"/>
        </w:rPr>
      </w:pPr>
    </w:p>
    <w:p>
      <w:pPr>
        <w:ind w:left="340"/>
        <w:spacing w:after="0"/>
        <w:rPr>
          <w:sz w:val="20"/>
          <w:szCs w:val="20"/>
          <w:color w:val="auto"/>
        </w:rPr>
      </w:pPr>
      <w:r>
        <w:rPr>
          <w:rFonts w:ascii="Arial" w:cs="Arial" w:eastAsia="Arial" w:hAnsi="Arial"/>
          <w:sz w:val="16"/>
          <w:szCs w:val="16"/>
          <w:i w:val="1"/>
          <w:iCs w:val="1"/>
          <w:color w:val="00497F"/>
        </w:rPr>
        <w:t>WWTAI IES MT6015 Ltd</w:t>
      </w:r>
    </w:p>
    <w:p>
      <w:pPr>
        <w:spacing w:after="0" w:line="165" w:lineRule="exact"/>
        <w:rPr>
          <w:sz w:val="20"/>
          <w:szCs w:val="20"/>
          <w:color w:val="auto"/>
        </w:rPr>
      </w:pPr>
    </w:p>
    <w:p>
      <w:pPr>
        <w:jc w:val="both"/>
        <w:ind w:left="340"/>
        <w:spacing w:after="0" w:line="254" w:lineRule="auto"/>
        <w:rPr>
          <w:sz w:val="20"/>
          <w:szCs w:val="20"/>
          <w:color w:val="auto"/>
        </w:rPr>
      </w:pPr>
      <w:r>
        <w:rPr>
          <w:rFonts w:ascii="Arial" w:cs="Arial" w:eastAsia="Arial" w:hAnsi="Arial"/>
          <w:sz w:val="16"/>
          <w:szCs w:val="16"/>
          <w:color w:val="auto"/>
        </w:rPr>
        <w:t>The Company has an interest in WWTAI IES MT6015 Ltd. (“MT6015”), an entity formed in 2014 which had entered into a contract with a shipbuilder for the construction of an offshore multi service / inspection, maintenance and repair vessel (the “Vessel”) for a price of approximately $75,000. A subsidiary of the Company and a third party each hold a 50% interest in MT6015 and have equal representation on its board of directors. In connection with the initial capitalization of MT6015, another subsidiary of the Company provided the third party partner with a $3,725 loan which was utilized by the third party partner to fund its equity contribution to MT6015. In addition, the agreement provides the Company with disproportionate voting rights, in certain situations, as defined in the agreement. Accordingly, the Company determined that MT6015 is a VIE and that it was the primary beneficiary; accordingly, MT6015 has been presented on a consolidated basis in the accompanying financial statements.</w:t>
      </w:r>
    </w:p>
    <w:p>
      <w:pPr>
        <w:spacing w:after="0" w:line="177" w:lineRule="exact"/>
        <w:rPr>
          <w:sz w:val="20"/>
          <w:szCs w:val="20"/>
          <w:color w:val="auto"/>
        </w:rPr>
      </w:pPr>
    </w:p>
    <w:p>
      <w:pPr>
        <w:jc w:val="both"/>
        <w:ind w:left="340"/>
        <w:spacing w:after="0" w:line="269" w:lineRule="auto"/>
        <w:rPr>
          <w:sz w:val="20"/>
          <w:szCs w:val="20"/>
          <w:color w:val="auto"/>
        </w:rPr>
      </w:pPr>
      <w:r>
        <w:rPr>
          <w:rFonts w:ascii="Arial" w:cs="Arial" w:eastAsia="Arial" w:hAnsi="Arial"/>
          <w:sz w:val="16"/>
          <w:szCs w:val="16"/>
          <w:color w:val="auto"/>
        </w:rPr>
        <w:t>During the second quarter of 2016, the Company determined not to proceed with the purchase of the Vessel. The shipbuilder delivered a notice of termination of the shipbuilding contract to MT6015 in July 2016. Correspondingly, in the second quarter of 2016, the Company recorded an impairment in its MT6015 investment of $7,450. The shipbuilder has no further recourse to the Company.</w:t>
      </w:r>
    </w:p>
    <w:p>
      <w:pPr>
        <w:spacing w:after="0" w:line="124" w:lineRule="exact"/>
        <w:rPr>
          <w:sz w:val="20"/>
          <w:szCs w:val="20"/>
          <w:color w:val="auto"/>
        </w:rPr>
      </w:pPr>
    </w:p>
    <w:p>
      <w:pPr>
        <w:jc w:val="both"/>
        <w:ind w:left="340"/>
        <w:spacing w:after="0" w:line="322" w:lineRule="auto"/>
        <w:rPr>
          <w:sz w:val="20"/>
          <w:szCs w:val="20"/>
          <w:color w:val="auto"/>
        </w:rPr>
      </w:pPr>
      <w:r>
        <w:rPr>
          <w:rFonts w:ascii="Arial" w:cs="Arial" w:eastAsia="Arial" w:hAnsi="Arial"/>
          <w:sz w:val="16"/>
          <w:szCs w:val="16"/>
          <w:color w:val="auto"/>
        </w:rPr>
        <w:t xml:space="preserve">During the third quarter of 2017, the Company entered into a settlement arrangement whereby the holder of the non-controlling interest settled its $3,725 </w:t>
      </w:r>
      <w:r>
        <w:rPr>
          <w:rFonts w:ascii="Arial" w:cs="Arial" w:eastAsia="Arial" w:hAnsi="Arial"/>
          <w:sz w:val="16"/>
          <w:szCs w:val="16"/>
          <w:color w:val="1F497D"/>
        </w:rPr>
        <w:t>l</w:t>
      </w:r>
      <w:r>
        <w:rPr>
          <w:rFonts w:ascii="Arial" w:cs="Arial" w:eastAsia="Arial" w:hAnsi="Arial"/>
          <w:sz w:val="16"/>
          <w:szCs w:val="16"/>
          <w:color w:val="000000"/>
        </w:rPr>
        <w:t>oan due to the Company by transferring its interest in a subsidiary of the Company, and the note payable due to the holder of the non-controlling interest</w:t>
      </w:r>
      <w:r>
        <w:rPr>
          <w:rFonts w:ascii="Arial" w:cs="Arial" w:eastAsia="Arial" w:hAnsi="Arial"/>
          <w:sz w:val="16"/>
          <w:szCs w:val="16"/>
          <w:color w:val="1F497D"/>
        </w:rPr>
        <w:t xml:space="preserve"> </w:t>
      </w:r>
      <w:r>
        <w:rPr>
          <w:rFonts w:ascii="Arial" w:cs="Arial" w:eastAsia="Arial" w:hAnsi="Arial"/>
          <w:sz w:val="16"/>
          <w:szCs w:val="16"/>
          <w:color w:val="000000"/>
        </w:rPr>
        <w:t>was extinguished. The settlement resulted in a net gain of $1,093 recorded in other income. Refer to Note 8 for further details.</w:t>
      </w:r>
    </w:p>
    <w:p>
      <w:pPr>
        <w:spacing w:after="0" w:line="99" w:lineRule="exact"/>
        <w:rPr>
          <w:sz w:val="20"/>
          <w:szCs w:val="20"/>
          <w:color w:val="auto"/>
        </w:rPr>
      </w:pPr>
    </w:p>
    <w:p>
      <w:pPr>
        <w:ind w:left="340"/>
        <w:spacing w:after="0"/>
        <w:rPr>
          <w:sz w:val="20"/>
          <w:szCs w:val="20"/>
          <w:color w:val="auto"/>
        </w:rPr>
      </w:pPr>
      <w:r>
        <w:rPr>
          <w:rFonts w:ascii="Arial" w:cs="Arial" w:eastAsia="Arial" w:hAnsi="Arial"/>
          <w:sz w:val="16"/>
          <w:szCs w:val="16"/>
          <w:i w:val="1"/>
          <w:iCs w:val="1"/>
          <w:color w:val="00497F"/>
        </w:rPr>
        <w:t>JGP Energy Partners LLC</w:t>
      </w:r>
    </w:p>
    <w:p>
      <w:pPr>
        <w:spacing w:after="0" w:line="165" w:lineRule="exact"/>
        <w:rPr>
          <w:sz w:val="20"/>
          <w:szCs w:val="20"/>
          <w:color w:val="auto"/>
        </w:rPr>
      </w:pPr>
    </w:p>
    <w:p>
      <w:pPr>
        <w:jc w:val="both"/>
        <w:ind w:left="340"/>
        <w:spacing w:after="0" w:line="254" w:lineRule="auto"/>
        <w:rPr>
          <w:sz w:val="20"/>
          <w:szCs w:val="20"/>
          <w:color w:val="auto"/>
        </w:rPr>
      </w:pPr>
      <w:r>
        <w:rPr>
          <w:rFonts w:ascii="Arial" w:cs="Arial" w:eastAsia="Arial" w:hAnsi="Arial"/>
          <w:sz w:val="16"/>
          <w:szCs w:val="16"/>
          <w:color w:val="auto"/>
        </w:rPr>
        <w:t>During the quarter ended September 30, 2016, the Company initiated activities in its 50% owned joint venture, JGP Energy Partners LLC (“JGP”). The other 50% member to the joint venture is a third party ethanol producer. The purpose of the venture is to build storage capacity with capabilities to receive and/or distribute ethanol via water, rail or truck. Each member agreed to contribute up to $27,000 (for a total of $54,000) for the development and construction of the ethanol terminal facilities. JGP is governed by a designated operating committee selected by the members in proportion to their equity interests. JGP is solely reliant on its members to finance its activities and therefore is a VIE. The Company concluded that it is not the primary beneficiary of JGP as the members share equally in the risks and rewards and decision making authority of the entity; therefore, the Company does not consolidate JGP and accounts for this investment in accordance with the equity method. Refer to Note 6 for details.</w:t>
      </w:r>
    </w:p>
    <w:p>
      <w:pPr>
        <w:spacing w:after="0" w:line="125" w:lineRule="exact"/>
        <w:rPr>
          <w:sz w:val="20"/>
          <w:szCs w:val="20"/>
          <w:color w:val="auto"/>
        </w:rPr>
      </w:pPr>
    </w:p>
    <w:p>
      <w:pPr>
        <w:ind w:left="340"/>
        <w:spacing w:after="0"/>
        <w:rPr>
          <w:sz w:val="20"/>
          <w:szCs w:val="20"/>
          <w:color w:val="auto"/>
        </w:rPr>
      </w:pPr>
      <w:r>
        <w:rPr>
          <w:rFonts w:ascii="Arial" w:cs="Arial" w:eastAsia="Arial" w:hAnsi="Arial"/>
          <w:sz w:val="16"/>
          <w:szCs w:val="16"/>
          <w:i w:val="1"/>
          <w:iCs w:val="1"/>
          <w:color w:val="00497F"/>
        </w:rPr>
        <w:t>Delaware River Partners LLC</w:t>
      </w:r>
    </w:p>
    <w:p>
      <w:pPr>
        <w:spacing w:after="0" w:line="165" w:lineRule="exact"/>
        <w:rPr>
          <w:sz w:val="20"/>
          <w:szCs w:val="20"/>
          <w:color w:val="auto"/>
        </w:rPr>
      </w:pPr>
    </w:p>
    <w:p>
      <w:pPr>
        <w:jc w:val="both"/>
        <w:ind w:left="340"/>
        <w:spacing w:after="0" w:line="252" w:lineRule="auto"/>
        <w:rPr>
          <w:sz w:val="20"/>
          <w:szCs w:val="20"/>
          <w:color w:val="auto"/>
        </w:rPr>
      </w:pPr>
      <w:r>
        <w:rPr>
          <w:rFonts w:ascii="Arial" w:cs="Arial" w:eastAsia="Arial" w:hAnsi="Arial"/>
          <w:sz w:val="16"/>
          <w:szCs w:val="16"/>
          <w:color w:val="auto"/>
        </w:rPr>
        <w:t>On July 1, 2016, the Company, through Delaware River Partners LLC (“DRP”), a consolidated subsidiary, purchased the assets of Repauno, which consisted primarily of land, a storage cavern, and riparian rights for the acquired land, site improvements and rights. Upon acquisition there were no operational processes that could be applied to these assets that would result in outputs without significant green field development. The Company currently holds a 90% economic interest and a 100% voting interest in DRP. DRP is solely reliant on the Company to finance its activities and therefore is a VIE. The Company concluded it was the primary beneficiary; and accordingly, DRP has been presented on a consolidated basis in the accompanying financial statements. The Company has the right to purchase an additional 8% economic interest from the non-controlling party after the second anniversary but prior to the fifth year anniversary of the acquisition of Repauno. At the time of the purchase, the Company concluded that 8% of the 10% interest held by the non-controlling party does not share in the risks or rewards of true equity; and, therefore $5,321 was recorded in other liabilities on the Company’s Consolidated Balance Sheet. The remaining 2% economic non-controlling interest was valued at $641 at the acquisition date.</w:t>
      </w:r>
    </w:p>
    <w:p>
      <w:pPr>
        <w:spacing w:after="0" w:line="127" w:lineRule="exact"/>
        <w:rPr>
          <w:sz w:val="20"/>
          <w:szCs w:val="20"/>
          <w:color w:val="auto"/>
        </w:rPr>
      </w:pPr>
    </w:p>
    <w:p>
      <w:pPr>
        <w:ind w:left="340"/>
        <w:spacing w:after="0"/>
        <w:rPr>
          <w:sz w:val="20"/>
          <w:szCs w:val="20"/>
          <w:color w:val="auto"/>
        </w:rPr>
      </w:pPr>
      <w:r>
        <w:rPr>
          <w:rFonts w:ascii="Arial" w:cs="Arial" w:eastAsia="Arial" w:hAnsi="Arial"/>
          <w:sz w:val="16"/>
          <w:szCs w:val="16"/>
          <w:i w:val="1"/>
          <w:iCs w:val="1"/>
          <w:color w:val="00497F"/>
        </w:rPr>
        <w:t>Ohio River Partners LLC</w:t>
      </w:r>
    </w:p>
    <w:p>
      <w:pPr>
        <w:spacing w:after="0" w:line="165" w:lineRule="exact"/>
        <w:rPr>
          <w:sz w:val="20"/>
          <w:szCs w:val="20"/>
          <w:color w:val="auto"/>
        </w:rPr>
      </w:pPr>
    </w:p>
    <w:p>
      <w:pPr>
        <w:jc w:val="both"/>
        <w:ind w:left="340"/>
        <w:spacing w:after="0" w:line="261" w:lineRule="auto"/>
        <w:rPr>
          <w:sz w:val="20"/>
          <w:szCs w:val="20"/>
          <w:color w:val="auto"/>
        </w:rPr>
      </w:pPr>
      <w:r>
        <w:rPr>
          <w:rFonts w:ascii="Arial" w:cs="Arial" w:eastAsia="Arial" w:hAnsi="Arial"/>
          <w:sz w:val="16"/>
          <w:szCs w:val="16"/>
          <w:color w:val="auto"/>
        </w:rPr>
        <w:t>On June 16, 2017, the Company, through Ohio River Partners LLC (“ORP”), a consolidated subsidiary, purchased the assets of Hannibal which consisted primarily of land, buildings, railroad track, docks, water rights, site improvements and other rights. The Company purchased 100% of the interests in these assets. ORP is solely reliant on the Company to finance its activities and therefore is a VIE. The Company concluded it was the primary beneficiary; accordingly, ORP has been presented on a consolidated basis in the accompanying financial statements.</w:t>
      </w:r>
    </w:p>
    <w:p>
      <w:pPr>
        <w:spacing w:after="0" w:line="118" w:lineRule="exact"/>
        <w:rPr>
          <w:sz w:val="20"/>
          <w:szCs w:val="20"/>
          <w:color w:val="auto"/>
        </w:rPr>
      </w:pPr>
    </w:p>
    <w:p>
      <w:pPr>
        <w:jc w:val="both"/>
        <w:ind w:left="340"/>
        <w:spacing w:after="0" w:line="291" w:lineRule="auto"/>
        <w:rPr>
          <w:sz w:val="20"/>
          <w:szCs w:val="20"/>
          <w:color w:val="auto"/>
        </w:rPr>
      </w:pPr>
      <w:r>
        <w:rPr>
          <w:rFonts w:ascii="Arial" w:cs="Arial" w:eastAsia="Arial" w:hAnsi="Arial"/>
          <w:sz w:val="16"/>
          <w:szCs w:val="16"/>
          <w:b w:val="1"/>
          <w:bCs w:val="1"/>
          <w:i w:val="1"/>
          <w:iCs w:val="1"/>
          <w:color w:val="00497F"/>
        </w:rPr>
        <w:t>Cash and Cash Equivalents</w:t>
      </w:r>
      <w:r>
        <w:rPr>
          <w:rFonts w:ascii="Arial" w:cs="Arial" w:eastAsia="Arial" w:hAnsi="Arial"/>
          <w:sz w:val="16"/>
          <w:szCs w:val="16"/>
          <w:color w:val="00497F"/>
        </w:rPr>
        <w:t>—</w:t>
      </w:r>
      <w:r>
        <w:rPr>
          <w:rFonts w:ascii="Arial" w:cs="Arial" w:eastAsia="Arial" w:hAnsi="Arial"/>
          <w:sz w:val="16"/>
          <w:szCs w:val="16"/>
          <w:color w:val="000000"/>
        </w:rPr>
        <w:t>The Company considers all highly liquid short-term investments with a maturity of 90 days or less when purchased to be</w:t>
      </w:r>
      <w:r>
        <w:rPr>
          <w:rFonts w:ascii="Arial" w:cs="Arial" w:eastAsia="Arial" w:hAnsi="Arial"/>
          <w:sz w:val="16"/>
          <w:szCs w:val="16"/>
          <w:b w:val="1"/>
          <w:bCs w:val="1"/>
          <w:i w:val="1"/>
          <w:iCs w:val="1"/>
          <w:color w:val="00497F"/>
        </w:rPr>
        <w:t xml:space="preserve"> </w:t>
      </w:r>
      <w:r>
        <w:rPr>
          <w:rFonts w:ascii="Arial" w:cs="Arial" w:eastAsia="Arial" w:hAnsi="Arial"/>
          <w:sz w:val="16"/>
          <w:szCs w:val="16"/>
          <w:color w:val="000000"/>
        </w:rPr>
        <w:t>cash equivalents.</w:t>
      </w:r>
    </w:p>
    <w:p>
      <w:pPr>
        <w:spacing w:after="0" w:line="94" w:lineRule="exact"/>
        <w:rPr>
          <w:sz w:val="20"/>
          <w:szCs w:val="20"/>
          <w:color w:val="auto"/>
        </w:rPr>
      </w:pPr>
    </w:p>
    <w:p>
      <w:pPr>
        <w:jc w:val="both"/>
        <w:ind w:left="340"/>
        <w:spacing w:after="0" w:line="269" w:lineRule="auto"/>
        <w:rPr>
          <w:sz w:val="20"/>
          <w:szCs w:val="20"/>
          <w:color w:val="auto"/>
        </w:rPr>
      </w:pPr>
      <w:r>
        <w:rPr>
          <w:rFonts w:ascii="Arial" w:cs="Arial" w:eastAsia="Arial" w:hAnsi="Arial"/>
          <w:sz w:val="16"/>
          <w:szCs w:val="16"/>
          <w:b w:val="1"/>
          <w:bCs w:val="1"/>
          <w:i w:val="1"/>
          <w:iCs w:val="1"/>
          <w:color w:val="00497F"/>
        </w:rPr>
        <w:t>Restricted Cash</w:t>
      </w:r>
      <w:r>
        <w:rPr>
          <w:rFonts w:ascii="Arial" w:cs="Arial" w:eastAsia="Arial" w:hAnsi="Arial"/>
          <w:sz w:val="16"/>
          <w:szCs w:val="16"/>
          <w:color w:val="00497F"/>
        </w:rPr>
        <w:t>—</w:t>
      </w:r>
      <w:r>
        <w:rPr>
          <w:rFonts w:ascii="Arial" w:cs="Arial" w:eastAsia="Arial" w:hAnsi="Arial"/>
          <w:sz w:val="16"/>
          <w:szCs w:val="16"/>
          <w:color w:val="000000"/>
        </w:rPr>
        <w:t>Restricted cash of $36,458 and $65,441 as of September 30, 2017 and December 31, 2016, respectively, consists of prepaid interest</w:t>
      </w:r>
      <w:r>
        <w:rPr>
          <w:rFonts w:ascii="Arial" w:cs="Arial" w:eastAsia="Arial" w:hAnsi="Arial"/>
          <w:sz w:val="16"/>
          <w:szCs w:val="16"/>
          <w:b w:val="1"/>
          <w:bCs w:val="1"/>
          <w:i w:val="1"/>
          <w:iCs w:val="1"/>
          <w:color w:val="00497F"/>
        </w:rPr>
        <w:t xml:space="preserve"> </w:t>
      </w:r>
      <w:r>
        <w:rPr>
          <w:rFonts w:ascii="Arial" w:cs="Arial" w:eastAsia="Arial" w:hAnsi="Arial"/>
          <w:sz w:val="16"/>
          <w:szCs w:val="16"/>
          <w:color w:val="000000"/>
        </w:rPr>
        <w:t>and principal pursuant to the requirements of certain of the Company’s debt agreements (Note 8), and funds set aside for qualifying construction projects at Jefferson Terminal.</w:t>
      </w:r>
    </w:p>
    <w:p>
      <w:pPr>
        <w:spacing w:after="0" w:line="19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12</w:t>
      </w:r>
    </w:p>
    <w:p>
      <w:pPr>
        <w:sectPr>
          <w:pgSz w:w="11900" w:h="16838" w:orient="portrait"/>
          <w:cols w:equalWidth="0" w:num="1">
            <w:col w:w="11420"/>
          </w:cols>
          <w:pgMar w:left="240" w:top="117" w:right="239" w:bottom="1440" w:gutter="0" w:footer="0" w:header="0"/>
        </w:sectPr>
      </w:pPr>
    </w:p>
    <w:bookmarkStart w:id="12" w:name="page13"/>
    <w:bookmarkEnd w:id="12"/>
    <w:p>
      <w:pPr>
        <w:ind w:right="3820"/>
        <w:spacing w:after="0" w:line="305" w:lineRule="auto"/>
        <w:rPr>
          <w:sz w:val="20"/>
          <w:szCs w:val="20"/>
          <w:color w:val="auto"/>
        </w:rPr>
      </w:pPr>
      <w:r>
        <w:rPr>
          <w:rFonts w:ascii="Arial" w:cs="Arial" w:eastAsia="Arial" w:hAnsi="Arial"/>
          <w:sz w:val="22"/>
          <w:szCs w:val="22"/>
          <w:b w:val="1"/>
          <w:bCs w:val="1"/>
          <w:color w:val="00497F"/>
        </w:rPr>
        <w:t xml:space="preserve">FORTRESS TRANSPORTATION AND INFRASTRUCTURE INVESTORS LLC NOTES TO CONSOLIDATED FINANCIAL STATEMENTS </w:t>
      </w:r>
      <w:r>
        <w:rPr>
          <w:rFonts w:ascii="Arial" w:cs="Arial" w:eastAsia="Arial" w:hAnsi="Arial"/>
          <w:sz w:val="22"/>
          <w:szCs w:val="22"/>
          <w:b w:val="1"/>
          <w:bCs w:val="1"/>
          <w:i w:val="1"/>
          <w:iCs w:val="1"/>
          <w:color w:val="00497F"/>
        </w:rPr>
        <w:t>(unaudited)</w:t>
      </w:r>
    </w:p>
    <w:p>
      <w:pPr>
        <w:spacing w:after="0"/>
        <w:rPr>
          <w:sz w:val="20"/>
          <w:szCs w:val="20"/>
          <w:color w:val="auto"/>
        </w:rPr>
      </w:pPr>
      <w:r>
        <w:rPr>
          <w:rFonts w:ascii="Arial" w:cs="Arial" w:eastAsia="Arial" w:hAnsi="Arial"/>
          <w:sz w:val="18"/>
          <w:szCs w:val="18"/>
          <w:i w:val="1"/>
          <w:iCs w:val="1"/>
          <w:color w:val="00497F"/>
        </w:rPr>
        <w:t>(Dollar amounts in thousands, unless otherwise noted)</w:t>
      </w:r>
    </w:p>
    <w:p>
      <w:pPr>
        <w:spacing w:after="0" w:line="397" w:lineRule="exact"/>
        <w:rPr>
          <w:sz w:val="20"/>
          <w:szCs w:val="20"/>
          <w:color w:val="auto"/>
        </w:rPr>
      </w:pPr>
    </w:p>
    <w:p>
      <w:pPr>
        <w:jc w:val="both"/>
        <w:ind w:left="340"/>
        <w:spacing w:after="0" w:line="255" w:lineRule="auto"/>
        <w:rPr>
          <w:sz w:val="20"/>
          <w:szCs w:val="20"/>
          <w:color w:val="auto"/>
        </w:rPr>
      </w:pPr>
      <w:r>
        <w:rPr>
          <w:rFonts w:ascii="Arial" w:cs="Arial" w:eastAsia="Arial" w:hAnsi="Arial"/>
          <w:sz w:val="16"/>
          <w:szCs w:val="16"/>
          <w:b w:val="1"/>
          <w:bCs w:val="1"/>
          <w:i w:val="1"/>
          <w:iCs w:val="1"/>
          <w:color w:val="00497F"/>
        </w:rPr>
        <w:t>Available-For-Sale Securities</w:t>
      </w:r>
      <w:r>
        <w:rPr>
          <w:rFonts w:ascii="Arial" w:cs="Arial" w:eastAsia="Arial" w:hAnsi="Arial"/>
          <w:sz w:val="16"/>
          <w:szCs w:val="16"/>
          <w:color w:val="00497F"/>
        </w:rPr>
        <w:t>—</w:t>
      </w:r>
      <w:r>
        <w:rPr>
          <w:rFonts w:ascii="Arial" w:cs="Arial" w:eastAsia="Arial" w:hAnsi="Arial"/>
          <w:sz w:val="16"/>
          <w:szCs w:val="16"/>
          <w:color w:val="000000"/>
        </w:rPr>
        <w:t>The Company considers listed equity securities as available-for-sale securities recorded at fair value with unrealized</w:t>
      </w:r>
      <w:r>
        <w:rPr>
          <w:rFonts w:ascii="Arial" w:cs="Arial" w:eastAsia="Arial" w:hAnsi="Arial"/>
          <w:sz w:val="16"/>
          <w:szCs w:val="16"/>
          <w:b w:val="1"/>
          <w:bCs w:val="1"/>
          <w:i w:val="1"/>
          <w:iCs w:val="1"/>
          <w:color w:val="00497F"/>
        </w:rPr>
        <w:t xml:space="preserve"> </w:t>
      </w:r>
      <w:r>
        <w:rPr>
          <w:rFonts w:ascii="Arial" w:cs="Arial" w:eastAsia="Arial" w:hAnsi="Arial"/>
          <w:sz w:val="16"/>
          <w:szCs w:val="16"/>
          <w:color w:val="000000"/>
        </w:rPr>
        <w:t>gains (losses) recorded in other comprehensive income (loss) and realized gains (losses) recorded in earnings. The Company’s basis on which the cost of the security sold or the amount reclassified out of other comprehensive income into earnings is determined using specific identification. Available-for-sale securities are included as a component of investments on the accompanying Consolidated Balance Sheets. At each balance sheet date, the Company evaluates its available for sale securities holdings with unrealized losses to determine if an other-than-temporary impairment has occurred. Refer to Note 6 and 9 for details.</w:t>
      </w:r>
    </w:p>
    <w:p>
      <w:pPr>
        <w:spacing w:after="0" w:line="124" w:lineRule="exact"/>
        <w:rPr>
          <w:sz w:val="20"/>
          <w:szCs w:val="20"/>
          <w:color w:val="auto"/>
        </w:rPr>
      </w:pPr>
    </w:p>
    <w:p>
      <w:pPr>
        <w:jc w:val="both"/>
        <w:ind w:left="340"/>
        <w:spacing w:after="0" w:line="257" w:lineRule="auto"/>
        <w:rPr>
          <w:sz w:val="20"/>
          <w:szCs w:val="20"/>
          <w:color w:val="auto"/>
        </w:rPr>
      </w:pPr>
      <w:r>
        <w:rPr>
          <w:rFonts w:ascii="Arial" w:cs="Arial" w:eastAsia="Arial" w:hAnsi="Arial"/>
          <w:sz w:val="16"/>
          <w:szCs w:val="16"/>
          <w:b w:val="1"/>
          <w:bCs w:val="1"/>
          <w:i w:val="1"/>
          <w:iCs w:val="1"/>
          <w:color w:val="00497F"/>
        </w:rPr>
        <w:t>Deferred Financing Costs</w:t>
      </w:r>
      <w:r>
        <w:rPr>
          <w:rFonts w:ascii="Arial" w:cs="Arial" w:eastAsia="Arial" w:hAnsi="Arial"/>
          <w:sz w:val="16"/>
          <w:szCs w:val="16"/>
          <w:color w:val="00497F"/>
        </w:rPr>
        <w:t>—</w:t>
      </w:r>
      <w:r>
        <w:rPr>
          <w:rFonts w:ascii="Arial" w:cs="Arial" w:eastAsia="Arial" w:hAnsi="Arial"/>
          <w:sz w:val="16"/>
          <w:szCs w:val="16"/>
          <w:color w:val="000000"/>
        </w:rPr>
        <w:t>Costs incurred in connection with obtaining long term financing are capitalized and amortized to interest expense over the</w:t>
      </w:r>
      <w:r>
        <w:rPr>
          <w:rFonts w:ascii="Arial" w:cs="Arial" w:eastAsia="Arial" w:hAnsi="Arial"/>
          <w:sz w:val="16"/>
          <w:szCs w:val="16"/>
          <w:b w:val="1"/>
          <w:bCs w:val="1"/>
          <w:i w:val="1"/>
          <w:iCs w:val="1"/>
          <w:color w:val="00497F"/>
        </w:rPr>
        <w:t xml:space="preserve"> </w:t>
      </w:r>
      <w:r>
        <w:rPr>
          <w:rFonts w:ascii="Arial" w:cs="Arial" w:eastAsia="Arial" w:hAnsi="Arial"/>
          <w:sz w:val="16"/>
          <w:szCs w:val="16"/>
          <w:color w:val="000000"/>
        </w:rPr>
        <w:t>term of the underlying loans. Unamortized deferred financing costs of $11,291 and $6,489 as of September 30, 2017 and December 31, 2016, respectively, are recorded as a component of debt in the accompanying Consolidated Balance Sheets. In connection with the revolving credit facility, the Company incurred $1,157 of deferred financing costs as of September 30, 2017 which are recorded as a component of other assets in the accompanying Consolidated Balance Sheet. Refer to Note 8 for details.</w:t>
      </w:r>
    </w:p>
    <w:p>
      <w:pPr>
        <w:spacing w:after="0" w:line="122" w:lineRule="exact"/>
        <w:rPr>
          <w:sz w:val="20"/>
          <w:szCs w:val="20"/>
          <w:color w:val="auto"/>
        </w:rPr>
      </w:pPr>
    </w:p>
    <w:p>
      <w:pPr>
        <w:jc w:val="both"/>
        <w:ind w:left="340"/>
        <w:spacing w:after="0" w:line="269" w:lineRule="auto"/>
        <w:rPr>
          <w:sz w:val="20"/>
          <w:szCs w:val="20"/>
          <w:color w:val="auto"/>
        </w:rPr>
      </w:pPr>
      <w:r>
        <w:rPr>
          <w:rFonts w:ascii="Arial" w:cs="Arial" w:eastAsia="Arial" w:hAnsi="Arial"/>
          <w:sz w:val="16"/>
          <w:szCs w:val="16"/>
          <w:color w:val="auto"/>
        </w:rPr>
        <w:t>Amortization expense was $1,056 and $3,120 for the three and nine months ended September 30, 2017, respectively, and $678 and $1,927 for the three and nine months ended September 30, 2016, respectively. Amortization expenses are included as a component of interest expense in the accompanying Consolidated Statements of Operations.</w:t>
      </w:r>
    </w:p>
    <w:p>
      <w:pPr>
        <w:spacing w:after="0" w:line="111" w:lineRule="exact"/>
        <w:rPr>
          <w:sz w:val="20"/>
          <w:szCs w:val="20"/>
          <w:color w:val="auto"/>
        </w:rPr>
      </w:pPr>
    </w:p>
    <w:p>
      <w:pPr>
        <w:jc w:val="both"/>
        <w:ind w:left="340"/>
        <w:spacing w:after="0" w:line="257" w:lineRule="auto"/>
        <w:rPr>
          <w:sz w:val="20"/>
          <w:szCs w:val="20"/>
          <w:color w:val="auto"/>
        </w:rPr>
      </w:pPr>
      <w:r>
        <w:rPr>
          <w:rFonts w:ascii="Arial" w:cs="Arial" w:eastAsia="Arial" w:hAnsi="Arial"/>
          <w:sz w:val="16"/>
          <w:szCs w:val="16"/>
          <w:b w:val="1"/>
          <w:bCs w:val="1"/>
          <w:i w:val="1"/>
          <w:iCs w:val="1"/>
          <w:color w:val="00497F"/>
        </w:rPr>
        <w:t>Concentration of Credit Risk</w:t>
      </w:r>
      <w:r>
        <w:rPr>
          <w:rFonts w:ascii="Arial" w:cs="Arial" w:eastAsia="Arial" w:hAnsi="Arial"/>
          <w:sz w:val="16"/>
          <w:szCs w:val="16"/>
          <w:color w:val="00497F"/>
        </w:rPr>
        <w:t>—</w:t>
      </w:r>
      <w:r>
        <w:rPr>
          <w:rFonts w:ascii="Arial" w:cs="Arial" w:eastAsia="Arial" w:hAnsi="Arial"/>
          <w:sz w:val="16"/>
          <w:szCs w:val="16"/>
          <w:color w:val="000000"/>
        </w:rPr>
        <w:t>The Company is subject to concentrations of credit risk with respect to amounts due from customers on its finance lease</w:t>
      </w:r>
      <w:r>
        <w:rPr>
          <w:rFonts w:ascii="Arial" w:cs="Arial" w:eastAsia="Arial" w:hAnsi="Arial"/>
          <w:sz w:val="16"/>
          <w:szCs w:val="16"/>
          <w:b w:val="1"/>
          <w:bCs w:val="1"/>
          <w:i w:val="1"/>
          <w:iCs w:val="1"/>
          <w:color w:val="00497F"/>
        </w:rPr>
        <w:t xml:space="preserve"> </w:t>
      </w:r>
      <w:r>
        <w:rPr>
          <w:rFonts w:ascii="Arial" w:cs="Arial" w:eastAsia="Arial" w:hAnsi="Arial"/>
          <w:sz w:val="16"/>
          <w:szCs w:val="16"/>
          <w:color w:val="000000"/>
        </w:rPr>
        <w:t>and operating leases. The Company attempts to limit its credit risk by performing ongoing credit evaluations. During the three and nine months ended September 30, 2017, the Company had no revenue concentration over 10% of total revenue from any one customer. During the three and nine months ended September 30, 2016, the Company earned approximately 9.5% and 10.9%, respectively, of its revenue from one customer in the Jefferson Terminal segment.</w:t>
      </w:r>
    </w:p>
    <w:p>
      <w:pPr>
        <w:spacing w:after="0" w:line="122" w:lineRule="exact"/>
        <w:rPr>
          <w:sz w:val="20"/>
          <w:szCs w:val="20"/>
          <w:color w:val="auto"/>
        </w:rPr>
      </w:pPr>
    </w:p>
    <w:p>
      <w:pPr>
        <w:jc w:val="both"/>
        <w:ind w:left="340"/>
        <w:spacing w:after="0" w:line="269" w:lineRule="auto"/>
        <w:rPr>
          <w:sz w:val="20"/>
          <w:szCs w:val="20"/>
          <w:color w:val="auto"/>
        </w:rPr>
      </w:pPr>
      <w:r>
        <w:rPr>
          <w:rFonts w:ascii="Arial" w:cs="Arial" w:eastAsia="Arial" w:hAnsi="Arial"/>
          <w:sz w:val="16"/>
          <w:szCs w:val="16"/>
          <w:color w:val="auto"/>
        </w:rPr>
        <w:t>As of September 30, 2017, accounts receivable from two customers in the Offshore Energy segment represented 17% and 22%, respectively, of total accounts receivable, net. As of December 31, 2016, accounts receivable from two customers in the Offshore Segment represented 22% and 18%, respectively, of total accounts receivable, net.</w:t>
      </w:r>
    </w:p>
    <w:p>
      <w:pPr>
        <w:spacing w:after="0" w:line="111" w:lineRule="exact"/>
        <w:rPr>
          <w:sz w:val="20"/>
          <w:szCs w:val="20"/>
          <w:color w:val="auto"/>
        </w:rPr>
      </w:pPr>
    </w:p>
    <w:p>
      <w:pPr>
        <w:jc w:val="both"/>
        <w:ind w:left="340"/>
        <w:spacing w:after="0" w:line="269" w:lineRule="auto"/>
        <w:rPr>
          <w:sz w:val="20"/>
          <w:szCs w:val="20"/>
          <w:color w:val="auto"/>
        </w:rPr>
      </w:pPr>
      <w:r>
        <w:rPr>
          <w:rFonts w:ascii="Arial" w:cs="Arial" w:eastAsia="Arial" w:hAnsi="Arial"/>
          <w:sz w:val="16"/>
          <w:szCs w:val="16"/>
          <w:color w:val="auto"/>
        </w:rPr>
        <w:t>The Company maintains cash and restricted cash balances, which generally exceed federally insured limits, and subject the Company to credit risk, in high credit quality financial institutions. The Company monitors the financial condition of these institutions and has not experienced any losses associated with these accounts.</w:t>
      </w:r>
    </w:p>
    <w:p>
      <w:pPr>
        <w:spacing w:after="0" w:line="124" w:lineRule="exact"/>
        <w:rPr>
          <w:sz w:val="20"/>
          <w:szCs w:val="20"/>
          <w:color w:val="auto"/>
        </w:rPr>
      </w:pPr>
    </w:p>
    <w:p>
      <w:pPr>
        <w:jc w:val="both"/>
        <w:ind w:left="340"/>
        <w:spacing w:after="0" w:line="296" w:lineRule="auto"/>
        <w:rPr>
          <w:sz w:val="20"/>
          <w:szCs w:val="20"/>
          <w:color w:val="auto"/>
        </w:rPr>
      </w:pPr>
      <w:r>
        <w:rPr>
          <w:rFonts w:ascii="Arial" w:cs="Arial" w:eastAsia="Arial" w:hAnsi="Arial"/>
          <w:sz w:val="16"/>
          <w:szCs w:val="16"/>
          <w:b w:val="1"/>
          <w:bCs w:val="1"/>
          <w:i w:val="1"/>
          <w:iCs w:val="1"/>
          <w:color w:val="00497F"/>
        </w:rPr>
        <w:t>Provision for Doubtful Accounts</w:t>
      </w:r>
      <w:r>
        <w:rPr>
          <w:rFonts w:ascii="Arial" w:cs="Arial" w:eastAsia="Arial" w:hAnsi="Arial"/>
          <w:sz w:val="16"/>
          <w:szCs w:val="16"/>
          <w:color w:val="00497F"/>
        </w:rPr>
        <w:t>—</w:t>
      </w:r>
      <w:r>
        <w:rPr>
          <w:rFonts w:ascii="Arial" w:cs="Arial" w:eastAsia="Arial" w:hAnsi="Arial"/>
          <w:sz w:val="16"/>
          <w:szCs w:val="16"/>
          <w:color w:val="000000"/>
        </w:rPr>
        <w:t>The Company determines the provision for doubtful accounts based on its assessment of the collectability of its</w:t>
      </w:r>
      <w:r>
        <w:rPr>
          <w:rFonts w:ascii="Arial" w:cs="Arial" w:eastAsia="Arial" w:hAnsi="Arial"/>
          <w:sz w:val="16"/>
          <w:szCs w:val="16"/>
          <w:b w:val="1"/>
          <w:bCs w:val="1"/>
          <w:i w:val="1"/>
          <w:iCs w:val="1"/>
          <w:color w:val="00497F"/>
        </w:rPr>
        <w:t xml:space="preserve"> </w:t>
      </w:r>
      <w:r>
        <w:rPr>
          <w:rFonts w:ascii="Arial" w:cs="Arial" w:eastAsia="Arial" w:hAnsi="Arial"/>
          <w:sz w:val="16"/>
          <w:szCs w:val="16"/>
          <w:color w:val="000000"/>
        </w:rPr>
        <w:t>receivables on a customer-by-customer basis. The provision for doubtful accounts at both September 30, 2017 and December 31, 2016 was $418. Bad debt expense was $0 and $63 for the three and nine months ended September 30, 2017, respectively. Bad debt expense was $79 and $134 for the three and nine months ended September 30, 2016, respectively.</w:t>
      </w:r>
    </w:p>
    <w:p>
      <w:pPr>
        <w:spacing w:after="0" w:line="105" w:lineRule="exact"/>
        <w:rPr>
          <w:sz w:val="20"/>
          <w:szCs w:val="20"/>
          <w:color w:val="auto"/>
        </w:rPr>
      </w:pPr>
    </w:p>
    <w:p>
      <w:pPr>
        <w:jc w:val="both"/>
        <w:ind w:left="340"/>
        <w:spacing w:after="0" w:line="261" w:lineRule="auto"/>
        <w:rPr>
          <w:sz w:val="20"/>
          <w:szCs w:val="20"/>
          <w:color w:val="auto"/>
        </w:rPr>
      </w:pPr>
      <w:r>
        <w:rPr>
          <w:rFonts w:ascii="Arial" w:cs="Arial" w:eastAsia="Arial" w:hAnsi="Arial"/>
          <w:sz w:val="16"/>
          <w:szCs w:val="16"/>
          <w:b w:val="1"/>
          <w:bCs w:val="1"/>
          <w:i w:val="1"/>
          <w:iCs w:val="1"/>
          <w:color w:val="00497F"/>
        </w:rPr>
        <w:t>Comprehensive Income (Loss)</w:t>
      </w:r>
      <w:r>
        <w:rPr>
          <w:rFonts w:ascii="Arial" w:cs="Arial" w:eastAsia="Arial" w:hAnsi="Arial"/>
          <w:sz w:val="16"/>
          <w:szCs w:val="16"/>
          <w:color w:val="00497F"/>
        </w:rPr>
        <w:t>—</w:t>
      </w:r>
      <w:r>
        <w:rPr>
          <w:rFonts w:ascii="Arial" w:cs="Arial" w:eastAsia="Arial" w:hAnsi="Arial"/>
          <w:sz w:val="16"/>
          <w:szCs w:val="16"/>
          <w:color w:val="000000"/>
        </w:rPr>
        <w:t>Comprehensive income (loss) is defined as the change in equity of a business enterprise during a period from</w:t>
      </w:r>
      <w:r>
        <w:rPr>
          <w:rFonts w:ascii="Arial" w:cs="Arial" w:eastAsia="Arial" w:hAnsi="Arial"/>
          <w:sz w:val="16"/>
          <w:szCs w:val="16"/>
          <w:b w:val="1"/>
          <w:bCs w:val="1"/>
          <w:i w:val="1"/>
          <w:iCs w:val="1"/>
          <w:color w:val="00497F"/>
        </w:rPr>
        <w:t xml:space="preserve"> </w:t>
      </w:r>
      <w:r>
        <w:rPr>
          <w:rFonts w:ascii="Arial" w:cs="Arial" w:eastAsia="Arial" w:hAnsi="Arial"/>
          <w:sz w:val="16"/>
          <w:szCs w:val="16"/>
          <w:color w:val="000000"/>
        </w:rPr>
        <w:t>transactions and other events and circumstances, excluding those resulting from investments by and distributions to owners. The Company’s comprehensive income (loss) represents net income (loss), as presented in the Consolidated Statements of Operations, adjusted for fair value changes related to the available-for-sale securities and derivatives accounted for as cash flow hedges.</w:t>
      </w:r>
    </w:p>
    <w:p>
      <w:pPr>
        <w:spacing w:after="0" w:line="118" w:lineRule="exact"/>
        <w:rPr>
          <w:sz w:val="20"/>
          <w:szCs w:val="20"/>
          <w:color w:val="auto"/>
        </w:rPr>
      </w:pPr>
    </w:p>
    <w:p>
      <w:pPr>
        <w:jc w:val="both"/>
        <w:ind w:left="340"/>
        <w:spacing w:after="0" w:line="261" w:lineRule="auto"/>
        <w:rPr>
          <w:sz w:val="20"/>
          <w:szCs w:val="20"/>
          <w:color w:val="auto"/>
        </w:rPr>
      </w:pPr>
      <w:r>
        <w:rPr>
          <w:rFonts w:ascii="Arial" w:cs="Arial" w:eastAsia="Arial" w:hAnsi="Arial"/>
          <w:sz w:val="16"/>
          <w:szCs w:val="16"/>
          <w:b w:val="1"/>
          <w:bCs w:val="1"/>
          <w:i w:val="1"/>
          <w:iCs w:val="1"/>
          <w:color w:val="00497F"/>
        </w:rPr>
        <w:t>Other Assets—</w:t>
      </w:r>
      <w:r>
        <w:rPr>
          <w:rFonts w:ascii="Arial" w:cs="Arial" w:eastAsia="Arial" w:hAnsi="Arial"/>
          <w:sz w:val="16"/>
          <w:szCs w:val="16"/>
          <w:color w:val="000000"/>
        </w:rPr>
        <w:t>Other assets is primarily comprised of notes receivable of $2,714 and $22,469, leasing equipment purchase deposits of $11,785 and</w:t>
      </w:r>
      <w:r>
        <w:rPr>
          <w:rFonts w:ascii="Arial" w:cs="Arial" w:eastAsia="Arial" w:hAnsi="Arial"/>
          <w:sz w:val="16"/>
          <w:szCs w:val="16"/>
          <w:b w:val="1"/>
          <w:bCs w:val="1"/>
          <w:i w:val="1"/>
          <w:iCs w:val="1"/>
          <w:color w:val="00497F"/>
        </w:rPr>
        <w:t xml:space="preserve"> </w:t>
      </w:r>
      <w:r>
        <w:rPr>
          <w:rFonts w:ascii="Arial" w:cs="Arial" w:eastAsia="Arial" w:hAnsi="Arial"/>
          <w:sz w:val="16"/>
          <w:szCs w:val="16"/>
          <w:color w:val="000000"/>
        </w:rPr>
        <w:t>$13,701, lease incentives of $18,516 and $3,556, capitalized costs for potential asset acquisitions of $781 and $2,116, prepaid expenses of $5,331 and $3,440, a short-term derivative contract asset of $1,036 and $0, and receivables of $4,690 and $21,501 as of September 30, 2017 and December 31, 2016, respectively.</w:t>
      </w:r>
    </w:p>
    <w:p>
      <w:pPr>
        <w:spacing w:after="0" w:line="118" w:lineRule="exact"/>
        <w:rPr>
          <w:sz w:val="20"/>
          <w:szCs w:val="20"/>
          <w:color w:val="auto"/>
        </w:rPr>
      </w:pPr>
    </w:p>
    <w:p>
      <w:pPr>
        <w:jc w:val="both"/>
        <w:ind w:left="340"/>
        <w:spacing w:after="0" w:line="291" w:lineRule="auto"/>
        <w:rPr>
          <w:sz w:val="20"/>
          <w:szCs w:val="20"/>
          <w:color w:val="auto"/>
        </w:rPr>
      </w:pPr>
      <w:r>
        <w:rPr>
          <w:rFonts w:ascii="Arial" w:cs="Arial" w:eastAsia="Arial" w:hAnsi="Arial"/>
          <w:sz w:val="16"/>
          <w:szCs w:val="16"/>
          <w:b w:val="1"/>
          <w:bCs w:val="1"/>
          <w:i w:val="1"/>
          <w:iCs w:val="1"/>
          <w:color w:val="00497F"/>
        </w:rPr>
        <w:t>Dividends—</w:t>
      </w:r>
      <w:r>
        <w:rPr>
          <w:rFonts w:ascii="Arial" w:cs="Arial" w:eastAsia="Arial" w:hAnsi="Arial"/>
          <w:sz w:val="16"/>
          <w:szCs w:val="16"/>
          <w:color w:val="000000"/>
        </w:rPr>
        <w:t>Dividends are recorded if and when declared by the Board of Directors. For both the three and nine months ended September 30, 2017 and</w:t>
      </w:r>
      <w:r>
        <w:rPr>
          <w:rFonts w:ascii="Arial" w:cs="Arial" w:eastAsia="Arial" w:hAnsi="Arial"/>
          <w:sz w:val="16"/>
          <w:szCs w:val="16"/>
          <w:b w:val="1"/>
          <w:bCs w:val="1"/>
          <w:i w:val="1"/>
          <w:iCs w:val="1"/>
          <w:color w:val="00497F"/>
        </w:rPr>
        <w:t xml:space="preserve"> </w:t>
      </w:r>
      <w:r>
        <w:rPr>
          <w:rFonts w:ascii="Arial" w:cs="Arial" w:eastAsia="Arial" w:hAnsi="Arial"/>
          <w:sz w:val="16"/>
          <w:szCs w:val="16"/>
          <w:color w:val="000000"/>
        </w:rPr>
        <w:t>2016, the Board of Directors declared a cash dividend of $0.33 and $0.99 per share, respectively.</w:t>
      </w:r>
    </w:p>
    <w:p>
      <w:pPr>
        <w:spacing w:after="0" w:line="94" w:lineRule="exact"/>
        <w:rPr>
          <w:sz w:val="20"/>
          <w:szCs w:val="20"/>
          <w:color w:val="auto"/>
        </w:rPr>
      </w:pPr>
    </w:p>
    <w:p>
      <w:pPr>
        <w:jc w:val="both"/>
        <w:ind w:left="340"/>
        <w:spacing w:after="0" w:line="255" w:lineRule="auto"/>
        <w:rPr>
          <w:sz w:val="20"/>
          <w:szCs w:val="20"/>
          <w:color w:val="auto"/>
        </w:rPr>
      </w:pPr>
      <w:r>
        <w:rPr>
          <w:rFonts w:ascii="Arial" w:cs="Arial" w:eastAsia="Arial" w:hAnsi="Arial"/>
          <w:sz w:val="16"/>
          <w:szCs w:val="16"/>
          <w:b w:val="1"/>
          <w:bCs w:val="1"/>
          <w:i w:val="1"/>
          <w:iCs w:val="1"/>
          <w:color w:val="00497F"/>
        </w:rPr>
        <w:t>Recent Accounting Pronouncements</w:t>
      </w:r>
      <w:r>
        <w:rPr>
          <w:rFonts w:ascii="Arial" w:cs="Arial" w:eastAsia="Arial" w:hAnsi="Arial"/>
          <w:sz w:val="16"/>
          <w:szCs w:val="16"/>
          <w:color w:val="00497F"/>
        </w:rPr>
        <w:t>—</w:t>
      </w:r>
      <w:r>
        <w:rPr>
          <w:rFonts w:ascii="Arial" w:cs="Arial" w:eastAsia="Arial" w:hAnsi="Arial"/>
          <w:sz w:val="16"/>
          <w:szCs w:val="16"/>
          <w:color w:val="000000"/>
        </w:rPr>
        <w:t>In July 2015, the Financial Accounting Standards Board (“FASB”) issued an Accounting Standards Update</w:t>
      </w:r>
      <w:r>
        <w:rPr>
          <w:rFonts w:ascii="Arial" w:cs="Arial" w:eastAsia="Arial" w:hAnsi="Arial"/>
          <w:sz w:val="16"/>
          <w:szCs w:val="16"/>
          <w:b w:val="1"/>
          <w:bCs w:val="1"/>
          <w:i w:val="1"/>
          <w:iCs w:val="1"/>
          <w:color w:val="00497F"/>
        </w:rPr>
        <w:t xml:space="preserve"> </w:t>
      </w:r>
      <w:r>
        <w:rPr>
          <w:rFonts w:ascii="Arial" w:cs="Arial" w:eastAsia="Arial" w:hAnsi="Arial"/>
          <w:sz w:val="16"/>
          <w:szCs w:val="16"/>
          <w:color w:val="000000"/>
        </w:rPr>
        <w:t xml:space="preserve">(“ASU”) 2015-11, </w:t>
      </w:r>
      <w:r>
        <w:rPr>
          <w:rFonts w:ascii="Arial" w:cs="Arial" w:eastAsia="Arial" w:hAnsi="Arial"/>
          <w:sz w:val="16"/>
          <w:szCs w:val="16"/>
          <w:i w:val="1"/>
          <w:iCs w:val="1"/>
          <w:color w:val="000000"/>
        </w:rPr>
        <w:t>Simplifying the Measurement of Inventory (Topic 330)</w:t>
      </w:r>
      <w:r>
        <w:rPr>
          <w:rFonts w:ascii="Arial" w:cs="Arial" w:eastAsia="Arial" w:hAnsi="Arial"/>
          <w:sz w:val="16"/>
          <w:szCs w:val="16"/>
          <w:color w:val="000000"/>
        </w:rPr>
        <w:t xml:space="preserve"> (“ASU 2015-11”), which simplifies the measurement of inventory by requiring certain inventory to be measured at the “lower of cost and net realizable value” and the previous parameters for “market value” will be eliminated. ASU 2015-11 defines net realizable value as the “estimated selling prices in the ordinary course of business, less reasonably predictable costs of completion, disposal, and transportation.” The standard is effective for fiscal years beginning after December 15, 2016, with earlier adoption permitted. The adoption of this standard did not have a material impact on our financial statements.</w:t>
      </w:r>
    </w:p>
    <w:p>
      <w:pPr>
        <w:spacing w:after="0" w:line="124" w:lineRule="exact"/>
        <w:rPr>
          <w:sz w:val="20"/>
          <w:szCs w:val="20"/>
          <w:color w:val="auto"/>
        </w:rPr>
      </w:pPr>
    </w:p>
    <w:p>
      <w:pPr>
        <w:jc w:val="both"/>
        <w:ind w:left="340"/>
        <w:spacing w:after="0" w:line="269" w:lineRule="auto"/>
        <w:rPr>
          <w:sz w:val="20"/>
          <w:szCs w:val="20"/>
          <w:color w:val="auto"/>
        </w:rPr>
      </w:pPr>
      <w:r>
        <w:rPr>
          <w:rFonts w:ascii="Arial" w:cs="Arial" w:eastAsia="Arial" w:hAnsi="Arial"/>
          <w:sz w:val="16"/>
          <w:szCs w:val="16"/>
          <w:color w:val="auto"/>
        </w:rPr>
        <w:t xml:space="preserve">In March 2016, the FASB issued ASU 2016-06, </w:t>
      </w:r>
      <w:r>
        <w:rPr>
          <w:rFonts w:ascii="Arial" w:cs="Arial" w:eastAsia="Arial" w:hAnsi="Arial"/>
          <w:sz w:val="16"/>
          <w:szCs w:val="16"/>
          <w:i w:val="1"/>
          <w:iCs w:val="1"/>
          <w:color w:val="auto"/>
        </w:rPr>
        <w:t>Contingent put and call options in debt instruments</w:t>
      </w:r>
      <w:r>
        <w:rPr>
          <w:rFonts w:ascii="Arial" w:cs="Arial" w:eastAsia="Arial" w:hAnsi="Arial"/>
          <w:sz w:val="16"/>
          <w:szCs w:val="16"/>
          <w:color w:val="auto"/>
        </w:rPr>
        <w:t xml:space="preserve"> (“ASU 2016-06”). ASU 2016-06 simplifies the embedded derivative analysis for debt instruments containing contingent call or put options. ASU 2016-06 is effective for fiscal years beginning after December 15, 2016, and interim periods within those fiscal years, with early adoption</w:t>
      </w:r>
    </w:p>
    <w:p>
      <w:pPr>
        <w:spacing w:after="0" w:line="30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13</w:t>
      </w:r>
    </w:p>
    <w:p>
      <w:pPr>
        <w:sectPr>
          <w:pgSz w:w="11900" w:h="16838" w:orient="portrait"/>
          <w:cols w:equalWidth="0" w:num="1">
            <w:col w:w="11420"/>
          </w:cols>
          <w:pgMar w:left="240" w:top="117" w:right="239" w:bottom="1440" w:gutter="0" w:footer="0" w:header="0"/>
        </w:sectPr>
      </w:pPr>
    </w:p>
    <w:bookmarkStart w:id="13" w:name="page14"/>
    <w:bookmarkEnd w:id="13"/>
    <w:p>
      <w:pPr>
        <w:ind w:right="3820"/>
        <w:spacing w:after="0" w:line="305" w:lineRule="auto"/>
        <w:rPr>
          <w:sz w:val="20"/>
          <w:szCs w:val="20"/>
          <w:color w:val="auto"/>
        </w:rPr>
      </w:pPr>
      <w:r>
        <w:rPr>
          <w:rFonts w:ascii="Arial" w:cs="Arial" w:eastAsia="Arial" w:hAnsi="Arial"/>
          <w:sz w:val="22"/>
          <w:szCs w:val="22"/>
          <w:b w:val="1"/>
          <w:bCs w:val="1"/>
          <w:color w:val="00497F"/>
        </w:rPr>
        <w:t xml:space="preserve">FORTRESS TRANSPORTATION AND INFRASTRUCTURE INVESTORS LLC NOTES TO CONSOLIDATED FINANCIAL STATEMENTS </w:t>
      </w:r>
      <w:r>
        <w:rPr>
          <w:rFonts w:ascii="Arial" w:cs="Arial" w:eastAsia="Arial" w:hAnsi="Arial"/>
          <w:sz w:val="22"/>
          <w:szCs w:val="22"/>
          <w:b w:val="1"/>
          <w:bCs w:val="1"/>
          <w:i w:val="1"/>
          <w:iCs w:val="1"/>
          <w:color w:val="00497F"/>
        </w:rPr>
        <w:t>(unaudited)</w:t>
      </w:r>
    </w:p>
    <w:p>
      <w:pPr>
        <w:spacing w:after="0"/>
        <w:rPr>
          <w:sz w:val="20"/>
          <w:szCs w:val="20"/>
          <w:color w:val="auto"/>
        </w:rPr>
      </w:pPr>
      <w:r>
        <w:rPr>
          <w:rFonts w:ascii="Arial" w:cs="Arial" w:eastAsia="Arial" w:hAnsi="Arial"/>
          <w:sz w:val="18"/>
          <w:szCs w:val="18"/>
          <w:i w:val="1"/>
          <w:iCs w:val="1"/>
          <w:color w:val="00497F"/>
        </w:rPr>
        <w:t>(Dollar amounts in thousands, unless otherwise noted)</w:t>
      </w:r>
    </w:p>
    <w:p>
      <w:pPr>
        <w:spacing w:after="0" w:line="397" w:lineRule="exact"/>
        <w:rPr>
          <w:sz w:val="20"/>
          <w:szCs w:val="20"/>
          <w:color w:val="auto"/>
        </w:rPr>
      </w:pPr>
    </w:p>
    <w:p>
      <w:pPr>
        <w:jc w:val="both"/>
        <w:ind w:left="340"/>
        <w:spacing w:after="0" w:line="291" w:lineRule="auto"/>
        <w:rPr>
          <w:sz w:val="20"/>
          <w:szCs w:val="20"/>
          <w:color w:val="auto"/>
        </w:rPr>
      </w:pPr>
      <w:r>
        <w:rPr>
          <w:rFonts w:ascii="Arial" w:cs="Arial" w:eastAsia="Arial" w:hAnsi="Arial"/>
          <w:sz w:val="16"/>
          <w:szCs w:val="16"/>
          <w:color w:val="auto"/>
        </w:rPr>
        <w:t>permitted. The Company adopted ASU 2016-06 as of January 1, 2017 and the adoption of this guidance did not have a material impact on the Company’s consolidated financial statements.</w:t>
      </w:r>
    </w:p>
    <w:p>
      <w:pPr>
        <w:spacing w:after="0" w:line="202" w:lineRule="exact"/>
        <w:rPr>
          <w:sz w:val="20"/>
          <w:szCs w:val="20"/>
          <w:color w:val="auto"/>
        </w:rPr>
      </w:pPr>
    </w:p>
    <w:p>
      <w:pPr>
        <w:jc w:val="both"/>
        <w:ind w:left="340"/>
        <w:spacing w:after="0" w:line="257" w:lineRule="auto"/>
        <w:rPr>
          <w:sz w:val="20"/>
          <w:szCs w:val="20"/>
          <w:color w:val="auto"/>
        </w:rPr>
      </w:pPr>
      <w:r>
        <w:rPr>
          <w:rFonts w:ascii="Arial" w:cs="Arial" w:eastAsia="Arial" w:hAnsi="Arial"/>
          <w:sz w:val="16"/>
          <w:szCs w:val="16"/>
          <w:color w:val="auto"/>
        </w:rPr>
        <w:t xml:space="preserve">In March 2016, the FASB issued ASU 2016-09, </w:t>
      </w:r>
      <w:r>
        <w:rPr>
          <w:rFonts w:ascii="Arial" w:cs="Arial" w:eastAsia="Arial" w:hAnsi="Arial"/>
          <w:sz w:val="16"/>
          <w:szCs w:val="16"/>
          <w:i w:val="1"/>
          <w:iCs w:val="1"/>
          <w:color w:val="auto"/>
        </w:rPr>
        <w:t>Improvements to Employee Share-Based Payment Accounting</w:t>
      </w:r>
      <w:r>
        <w:rPr>
          <w:rFonts w:ascii="Arial" w:cs="Arial" w:eastAsia="Arial" w:hAnsi="Arial"/>
          <w:sz w:val="16"/>
          <w:szCs w:val="16"/>
          <w:color w:val="auto"/>
        </w:rPr>
        <w:t xml:space="preserve"> (“ASU 2016-09”). ASU 2016-09 requires the income tax effects of awards to be recognized in the income statement when the awards vest or are settled, increases the amount an employer can withhold to cover income taxes on awards and still qualify for the exception to liability classification, and allow recognizing forfeitures of awards as they occur. ASU 2016-09 is effective beginning in the first quarter of 2017, with early adoption permitted. The Company adopted ASU 2016-09 as of January 1, 2017 and the adoption of this guidance did not have a material impact on the Company’s consolidated financial statements.</w:t>
      </w:r>
    </w:p>
    <w:p>
      <w:pPr>
        <w:spacing w:after="0" w:line="230" w:lineRule="exact"/>
        <w:rPr>
          <w:sz w:val="20"/>
          <w:szCs w:val="20"/>
          <w:color w:val="auto"/>
        </w:rPr>
      </w:pPr>
    </w:p>
    <w:p>
      <w:pPr>
        <w:jc w:val="both"/>
        <w:ind w:left="340"/>
        <w:spacing w:after="0" w:line="252" w:lineRule="auto"/>
        <w:rPr>
          <w:sz w:val="20"/>
          <w:szCs w:val="20"/>
          <w:color w:val="auto"/>
        </w:rPr>
      </w:pPr>
      <w:r>
        <w:rPr>
          <w:rFonts w:ascii="Arial" w:cs="Arial" w:eastAsia="Arial" w:hAnsi="Arial"/>
          <w:sz w:val="16"/>
          <w:szCs w:val="16"/>
          <w:color w:val="auto"/>
        </w:rPr>
        <w:t xml:space="preserve">In October 2016, the FASB issued ASU 2016-17, </w:t>
      </w:r>
      <w:r>
        <w:rPr>
          <w:rFonts w:ascii="Arial" w:cs="Arial" w:eastAsia="Arial" w:hAnsi="Arial"/>
          <w:sz w:val="16"/>
          <w:szCs w:val="16"/>
          <w:i w:val="1"/>
          <w:iCs w:val="1"/>
          <w:color w:val="auto"/>
        </w:rPr>
        <w:t>Consolidation (Topic 810): Interests Held through Related Parties That Are under Common Control</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(“ASU 2016-17”). ASU 2016-17 </w:t>
      </w:r>
      <w:r>
        <w:rPr>
          <w:rFonts w:ascii="Arial" w:cs="Arial" w:eastAsia="Arial" w:hAnsi="Arial"/>
          <w:sz w:val="16"/>
          <w:szCs w:val="16"/>
          <w:color w:val="auto"/>
        </w:rPr>
        <w:t>amends the consolidation guidance on how a reporting entity that is the single decision maker of a VIE should treat</w:t>
      </w:r>
      <w:r>
        <w:rPr>
          <w:rFonts w:ascii="Arial" w:cs="Arial" w:eastAsia="Arial" w:hAnsi="Arial"/>
          <w:sz w:val="16"/>
          <w:szCs w:val="16"/>
          <w:i w:val="1"/>
          <w:iCs w:val="1"/>
          <w:color w:val="auto"/>
        </w:rPr>
        <w:t xml:space="preserve"> </w:t>
      </w:r>
      <w:r>
        <w:rPr>
          <w:rFonts w:ascii="Arial" w:cs="Arial" w:eastAsia="Arial" w:hAnsi="Arial"/>
          <w:sz w:val="16"/>
          <w:szCs w:val="16"/>
          <w:color w:val="auto"/>
        </w:rPr>
        <w:t>indirect interests in the entity held through related parties that are under common control with the reporting entity when determining whether it is the primary beneficiary of that VIE. Under the amendments, a single decision maker is not required to consider indirect interests held through related parties that are under common control with the single decision maker to be the equivalent of direct interests in their entirety. Instead, a single decision maker is required to include those interests on a proportionate basis consistent with indirect interests held through other related parties. ASU 2016-17 is effective for fiscal years beginning after December 15, 2016, and interim periods within those fiscal years. Early adoption is permitted, including adoption in an interim period. The Company adopted ASU 2016-17 as of January 1, 2017 and the adoption of this guidance did not have a material impact on the Company’s consolidated financial statements.</w:t>
      </w:r>
    </w:p>
    <w:p>
      <w:pPr>
        <w:spacing w:after="0" w:line="233" w:lineRule="exact"/>
        <w:rPr>
          <w:sz w:val="20"/>
          <w:szCs w:val="20"/>
          <w:color w:val="auto"/>
        </w:rPr>
      </w:pPr>
    </w:p>
    <w:p>
      <w:pPr>
        <w:jc w:val="both"/>
        <w:ind w:left="340"/>
        <w:spacing w:after="0" w:line="257" w:lineRule="auto"/>
        <w:rPr>
          <w:sz w:val="20"/>
          <w:szCs w:val="20"/>
          <w:color w:val="auto"/>
        </w:rPr>
      </w:pPr>
      <w:r>
        <w:rPr>
          <w:rFonts w:ascii="Arial" w:cs="Arial" w:eastAsia="Arial" w:hAnsi="Arial"/>
          <w:sz w:val="16"/>
          <w:szCs w:val="16"/>
          <w:color w:val="auto"/>
        </w:rPr>
        <w:t xml:space="preserve">In January 2017, the FASB issued ASU 2017-01, </w:t>
      </w:r>
      <w:r>
        <w:rPr>
          <w:rFonts w:ascii="Arial" w:cs="Arial" w:eastAsia="Arial" w:hAnsi="Arial"/>
          <w:sz w:val="16"/>
          <w:szCs w:val="16"/>
          <w:i w:val="1"/>
          <w:iCs w:val="1"/>
          <w:color w:val="auto"/>
        </w:rPr>
        <w:t>Business Combinations (Topic 805) (“ASU 2017-01”)</w:t>
      </w:r>
      <w:r>
        <w:rPr>
          <w:rFonts w:ascii="Arial" w:cs="Arial" w:eastAsia="Arial" w:hAnsi="Arial"/>
          <w:sz w:val="16"/>
          <w:szCs w:val="16"/>
          <w:color w:val="auto"/>
        </w:rPr>
        <w:t xml:space="preserve"> . ASU 2017-01 clarifying the definition of a business with the objective of adding guidance to assist entities with evaluating whether transactions should be accounted for as acquisitions (or disposals) of businesses or assets. ASU 2017-01 is effective for fiscal years beginning after December 15, 2017, and interim periods within those fiscal years. Early adoption is permitted. The Company adopted ASU 2017-01 as of January 1, 2017 and the adoption of this guidance did not have a material impact on the Company’s consolidated financial statements.</w:t>
      </w:r>
    </w:p>
    <w:p>
      <w:pPr>
        <w:spacing w:after="0" w:line="230" w:lineRule="exact"/>
        <w:rPr>
          <w:sz w:val="20"/>
          <w:szCs w:val="20"/>
          <w:color w:val="auto"/>
        </w:rPr>
      </w:pPr>
    </w:p>
    <w:p>
      <w:pPr>
        <w:jc w:val="both"/>
        <w:ind w:left="340"/>
        <w:spacing w:after="0" w:line="249" w:lineRule="auto"/>
        <w:rPr>
          <w:sz w:val="20"/>
          <w:szCs w:val="20"/>
          <w:color w:val="auto"/>
        </w:rPr>
      </w:pPr>
      <w:r>
        <w:rPr>
          <w:rFonts w:ascii="Arial" w:cs="Arial" w:eastAsia="Arial" w:hAnsi="Arial"/>
          <w:sz w:val="16"/>
          <w:szCs w:val="16"/>
          <w:b w:val="1"/>
          <w:bCs w:val="1"/>
          <w:i w:val="1"/>
          <w:iCs w:val="1"/>
          <w:color w:val="00497F"/>
        </w:rPr>
        <w:t>Unadopted Accounting Pronouncements</w:t>
      </w:r>
      <w:r>
        <w:rPr>
          <w:rFonts w:ascii="Arial" w:cs="Arial" w:eastAsia="Arial" w:hAnsi="Arial"/>
          <w:sz w:val="16"/>
          <w:szCs w:val="16"/>
          <w:color w:val="00497F"/>
        </w:rPr>
        <w:t>—</w:t>
      </w:r>
      <w:r>
        <w:rPr>
          <w:rFonts w:ascii="Arial" w:cs="Arial" w:eastAsia="Arial" w:hAnsi="Arial"/>
          <w:sz w:val="16"/>
          <w:szCs w:val="16"/>
          <w:color w:val="000000"/>
        </w:rPr>
        <w:t>In May 2014, the FASB issued ASU 2014-09,</w:t>
      </w:r>
      <w:r>
        <w:rPr>
          <w:rFonts w:ascii="Arial" w:cs="Arial" w:eastAsia="Arial" w:hAnsi="Arial"/>
          <w:sz w:val="16"/>
          <w:szCs w:val="16"/>
          <w:b w:val="1"/>
          <w:bCs w:val="1"/>
          <w:i w:val="1"/>
          <w:iCs w:val="1"/>
          <w:color w:val="00497F"/>
        </w:rPr>
        <w:t xml:space="preserve"> </w:t>
      </w:r>
      <w:r>
        <w:rPr>
          <w:rFonts w:ascii="Arial" w:cs="Arial" w:eastAsia="Arial" w:hAnsi="Arial"/>
          <w:sz w:val="16"/>
          <w:szCs w:val="16"/>
          <w:i w:val="1"/>
          <w:iCs w:val="1"/>
          <w:color w:val="000000"/>
        </w:rPr>
        <w:t>Revenues from Contracts with Customers (Topic 606)</w:t>
      </w:r>
      <w:r>
        <w:rPr>
          <w:rFonts w:ascii="Arial" w:cs="Arial" w:eastAsia="Arial" w:hAnsi="Arial"/>
          <w:sz w:val="16"/>
          <w:szCs w:val="16"/>
          <w:b w:val="1"/>
          <w:bCs w:val="1"/>
          <w:i w:val="1"/>
          <w:iCs w:val="1"/>
          <w:color w:val="00497F"/>
        </w:rPr>
        <w:t xml:space="preserve"> </w:t>
      </w:r>
      <w:r>
        <w:rPr>
          <w:rFonts w:ascii="Arial" w:cs="Arial" w:eastAsia="Arial" w:hAnsi="Arial"/>
          <w:sz w:val="16"/>
          <w:szCs w:val="16"/>
          <w:color w:val="000000"/>
        </w:rPr>
        <w:t>(“ASU</w:t>
      </w:r>
      <w:r>
        <w:rPr>
          <w:rFonts w:ascii="Arial" w:cs="Arial" w:eastAsia="Arial" w:hAnsi="Arial"/>
          <w:sz w:val="16"/>
          <w:szCs w:val="16"/>
          <w:b w:val="1"/>
          <w:bCs w:val="1"/>
          <w:i w:val="1"/>
          <w:iCs w:val="1"/>
          <w:color w:val="00497F"/>
        </w:rPr>
        <w:t xml:space="preserve"> </w:t>
      </w:r>
      <w:r>
        <w:rPr>
          <w:rFonts w:ascii="Arial" w:cs="Arial" w:eastAsia="Arial" w:hAnsi="Arial"/>
          <w:sz w:val="16"/>
          <w:szCs w:val="16"/>
          <w:color w:val="000000"/>
        </w:rPr>
        <w:t>2014-09”)</w:t>
      </w:r>
      <w:r>
        <w:rPr>
          <w:rFonts w:ascii="Arial" w:cs="Arial" w:eastAsia="Arial" w:hAnsi="Arial"/>
          <w:sz w:val="16"/>
          <w:szCs w:val="16"/>
          <w:i w:val="1"/>
          <w:iCs w:val="1"/>
          <w:color w:val="000000"/>
        </w:rPr>
        <w:t>.</w:t>
      </w:r>
      <w:r>
        <w:rPr>
          <w:rFonts w:ascii="Arial" w:cs="Arial" w:eastAsia="Arial" w:hAnsi="Arial"/>
          <w:sz w:val="16"/>
          <w:szCs w:val="16"/>
          <w:color w:val="000000"/>
        </w:rPr>
        <w:t xml:space="preserve"> ASU 2014-09 requires that a company recognize revenue when it transfers promised goods or services to customers in an amount that reflects the consideration to which the company expects to be entitled in exchange for those goods or services. In doing so, companies will need to use more judgment and make more estimates than under current guidance. These may include identifying performance obligations in the contract, estimating the amount of variable consideration to include in the transaction price and allocating the transaction price to each separate performance obligation. In August 2015, the FASB deferred the effective date of this standard by one year, which will be for fiscal years, and interim periods within those years, beginning after December 15, 2017. Additionally, during 2016, the FASB issued ASU 2016-08, </w:t>
      </w:r>
      <w:r>
        <w:rPr>
          <w:rFonts w:ascii="Arial" w:cs="Arial" w:eastAsia="Arial" w:hAnsi="Arial"/>
          <w:sz w:val="16"/>
          <w:szCs w:val="16"/>
          <w:i w:val="1"/>
          <w:iCs w:val="1"/>
          <w:color w:val="000000"/>
        </w:rPr>
        <w:t>Revenue from Contracts with Customers, Principal versus Agent</w:t>
      </w:r>
      <w:r>
        <w:rPr>
          <w:rFonts w:ascii="Arial" w:cs="Arial" w:eastAsia="Arial" w:hAnsi="Arial"/>
          <w:sz w:val="16"/>
          <w:szCs w:val="16"/>
          <w:color w:val="000000"/>
        </w:rPr>
        <w:t xml:space="preserve"> </w:t>
      </w:r>
      <w:r>
        <w:rPr>
          <w:rFonts w:ascii="Arial" w:cs="Arial" w:eastAsia="Arial" w:hAnsi="Arial"/>
          <w:sz w:val="16"/>
          <w:szCs w:val="16"/>
          <w:i w:val="1"/>
          <w:iCs w:val="1"/>
          <w:color w:val="000000"/>
        </w:rPr>
        <w:t xml:space="preserve">Considerations, </w:t>
      </w:r>
      <w:r>
        <w:rPr>
          <w:rFonts w:ascii="Arial" w:cs="Arial" w:eastAsia="Arial" w:hAnsi="Arial"/>
          <w:sz w:val="16"/>
          <w:szCs w:val="16"/>
          <w:color w:val="000000"/>
        </w:rPr>
        <w:t>ASU 2016-10,</w:t>
      </w:r>
      <w:r>
        <w:rPr>
          <w:rFonts w:ascii="Arial" w:cs="Arial" w:eastAsia="Arial" w:hAnsi="Arial"/>
          <w:sz w:val="16"/>
          <w:szCs w:val="16"/>
          <w:i w:val="1"/>
          <w:iCs w:val="1"/>
          <w:color w:val="000000"/>
        </w:rPr>
        <w:t xml:space="preserve"> Revenue from Contracts with Customers, Identifying Performance Obligations and Licensing </w:t>
      </w:r>
      <w:r>
        <w:rPr>
          <w:rFonts w:ascii="Arial" w:cs="Arial" w:eastAsia="Arial" w:hAnsi="Arial"/>
          <w:sz w:val="16"/>
          <w:szCs w:val="16"/>
          <w:color w:val="000000"/>
        </w:rPr>
        <w:t>and ASU 2016-12,</w:t>
      </w:r>
      <w:r>
        <w:rPr>
          <w:rFonts w:ascii="Arial" w:cs="Arial" w:eastAsia="Arial" w:hAnsi="Arial"/>
          <w:sz w:val="16"/>
          <w:szCs w:val="16"/>
          <w:i w:val="1"/>
          <w:iCs w:val="1"/>
          <w:color w:val="000000"/>
        </w:rPr>
        <w:t xml:space="preserve"> Revenue from Contracts with Customers, Narrow-Scope Improvements and Practical Expedients</w:t>
      </w:r>
      <w:r>
        <w:rPr>
          <w:rFonts w:ascii="Arial" w:cs="Arial" w:eastAsia="Arial" w:hAnsi="Arial"/>
          <w:sz w:val="16"/>
          <w:szCs w:val="16"/>
          <w:color w:val="000000"/>
        </w:rPr>
        <w:t>, ASU 2016-20,</w:t>
      </w:r>
      <w:r>
        <w:rPr>
          <w:rFonts w:ascii="Arial" w:cs="Arial" w:eastAsia="Arial" w:hAnsi="Arial"/>
          <w:sz w:val="16"/>
          <w:szCs w:val="16"/>
          <w:i w:val="1"/>
          <w:iCs w:val="1"/>
          <w:color w:val="000000"/>
        </w:rPr>
        <w:t xml:space="preserve"> Technical Corrections and Improvements to Topic 606, Revenue from Contracts with Customers</w:t>
      </w:r>
      <w:r>
        <w:rPr>
          <w:rFonts w:ascii="Arial" w:cs="Arial" w:eastAsia="Arial" w:hAnsi="Arial"/>
          <w:sz w:val="16"/>
          <w:szCs w:val="16"/>
          <w:color w:val="000000"/>
        </w:rPr>
        <w:t>, which clarify the guidance on reporting revenue as a principal versus agent, identifying and disclosing</w:t>
      </w:r>
      <w:r>
        <w:rPr>
          <w:rFonts w:ascii="Arial" w:cs="Arial" w:eastAsia="Arial" w:hAnsi="Arial"/>
          <w:sz w:val="16"/>
          <w:szCs w:val="16"/>
          <w:i w:val="1"/>
          <w:iCs w:val="1"/>
          <w:color w:val="000000"/>
        </w:rPr>
        <w:t xml:space="preserve"> </w:t>
      </w:r>
      <w:r>
        <w:rPr>
          <w:rFonts w:ascii="Arial" w:cs="Arial" w:eastAsia="Arial" w:hAnsi="Arial"/>
          <w:sz w:val="16"/>
          <w:szCs w:val="16"/>
          <w:color w:val="000000"/>
        </w:rPr>
        <w:t xml:space="preserve">performance obligations, accounting for intellectual property licenses, and assessing collectibility, present sales tax, treating noncash consideration. The Company’s evaluation of the impact of the new guidance on its consolidated financial statements is ongoing. The Company’s implementation efforts include the identification of revenue within the scope of the guidance, the evaluation of those revenue contracts, education and discussions with the Company’s control functions. The Company continues to evaluate the timing of recognition for various revenues, however, since a substantial portion of the Company’s revenue is recognized from its leasing contracts, subject to ASU 2016-02 </w:t>
      </w:r>
      <w:r>
        <w:rPr>
          <w:rFonts w:ascii="Arial" w:cs="Arial" w:eastAsia="Arial" w:hAnsi="Arial"/>
          <w:sz w:val="16"/>
          <w:szCs w:val="16"/>
          <w:i w:val="1"/>
          <w:iCs w:val="1"/>
          <w:color w:val="000000"/>
        </w:rPr>
        <w:t>Leases,</w:t>
      </w:r>
      <w:r>
        <w:rPr>
          <w:rFonts w:ascii="Arial" w:cs="Arial" w:eastAsia="Arial" w:hAnsi="Arial"/>
          <w:sz w:val="16"/>
          <w:szCs w:val="16"/>
          <w:color w:val="000000"/>
        </w:rPr>
        <w:t xml:space="preserve"> these have been excluded from the evaluation.</w:t>
      </w:r>
    </w:p>
    <w:p>
      <w:pPr>
        <w:spacing w:after="0" w:line="243" w:lineRule="exact"/>
        <w:rPr>
          <w:sz w:val="20"/>
          <w:szCs w:val="20"/>
          <w:color w:val="auto"/>
        </w:rPr>
      </w:pPr>
    </w:p>
    <w:p>
      <w:pPr>
        <w:jc w:val="both"/>
        <w:ind w:left="340"/>
        <w:spacing w:after="0" w:line="253" w:lineRule="auto"/>
        <w:rPr>
          <w:sz w:val="20"/>
          <w:szCs w:val="20"/>
          <w:color w:val="auto"/>
        </w:rPr>
      </w:pPr>
      <w:r>
        <w:rPr>
          <w:rFonts w:ascii="Arial" w:cs="Arial" w:eastAsia="Arial" w:hAnsi="Arial"/>
          <w:sz w:val="16"/>
          <w:szCs w:val="16"/>
          <w:color w:val="auto"/>
        </w:rPr>
        <w:t xml:space="preserve">In February 2016, the FASB issued ASU 2016-02, </w:t>
      </w:r>
      <w:r>
        <w:rPr>
          <w:rFonts w:ascii="Arial" w:cs="Arial" w:eastAsia="Arial" w:hAnsi="Arial"/>
          <w:sz w:val="16"/>
          <w:szCs w:val="16"/>
          <w:i w:val="1"/>
          <w:iCs w:val="1"/>
          <w:color w:val="auto"/>
        </w:rPr>
        <w:t>Leases</w:t>
      </w:r>
      <w:r>
        <w:rPr>
          <w:rFonts w:ascii="Arial" w:cs="Arial" w:eastAsia="Arial" w:hAnsi="Arial"/>
          <w:sz w:val="16"/>
          <w:szCs w:val="16"/>
          <w:color w:val="auto"/>
        </w:rPr>
        <w:t xml:space="preserve"> (“ASU 2016-02”). ASU 2016-02 amends the existing accounting standards for lease accounting, including requiring lessees to recognize most leases on their balance sheets and making targeted changes to lessor accounting. ASU 2016-02 will be effective beginning in the first quarter of 2019, with early adoption permitted. ASU 2016-02 requires a modified retrospective transition approach for all leases existing at, or entered into after, the date of initial application, with an option to use certain transition relief. The Company’s evaluation of the impact of the new guidance on its consolidated financial statements is ongoing. The Company is currently identifying the lease arrangements within the scope of the new guidance, and evaluating the impact of the lease arrangements. In September 2017, the FASB issued ASU 2017-13, </w:t>
      </w:r>
      <w:r>
        <w:rPr>
          <w:rFonts w:ascii="Arial" w:cs="Arial" w:eastAsia="Arial" w:hAnsi="Arial"/>
          <w:sz w:val="16"/>
          <w:szCs w:val="16"/>
          <w:i w:val="1"/>
          <w:iCs w:val="1"/>
          <w:color w:val="auto"/>
        </w:rPr>
        <w:t>Revenue Recognition (Topic</w:t>
      </w:r>
      <w:r>
        <w:rPr>
          <w:rFonts w:ascii="Arial" w:cs="Arial" w:eastAsia="Arial" w:hAnsi="Arial"/>
          <w:sz w:val="16"/>
          <w:szCs w:val="16"/>
          <w:color w:val="auto"/>
        </w:rPr>
        <w:t xml:space="preserve"> </w:t>
      </w:r>
      <w:r>
        <w:rPr>
          <w:rFonts w:ascii="Arial" w:cs="Arial" w:eastAsia="Arial" w:hAnsi="Arial"/>
          <w:sz w:val="16"/>
          <w:szCs w:val="16"/>
          <w:i w:val="1"/>
          <w:iCs w:val="1"/>
          <w:color w:val="auto"/>
        </w:rPr>
        <w:t>605), Revenue from contracts from customers (Topic 606), Leases (Topic 840) and Leases (Topic 842)</w:t>
      </w:r>
      <w:r>
        <w:rPr>
          <w:rFonts w:ascii="Arial" w:cs="Arial" w:eastAsia="Arial" w:hAnsi="Arial"/>
          <w:sz w:val="16"/>
          <w:szCs w:val="16"/>
          <w:color w:val="auto"/>
        </w:rPr>
        <w:t>, (“ASU 2017-13”) which adds SEC paragraphs to</w:t>
      </w:r>
      <w:r>
        <w:rPr>
          <w:rFonts w:ascii="Arial" w:cs="Arial" w:eastAsia="Arial" w:hAnsi="Arial"/>
          <w:sz w:val="16"/>
          <w:szCs w:val="16"/>
          <w:i w:val="1"/>
          <w:iCs w:val="1"/>
          <w:color w:val="auto"/>
        </w:rPr>
        <w:t xml:space="preserve"> </w:t>
      </w:r>
      <w:r>
        <w:rPr>
          <w:rFonts w:ascii="Arial" w:cs="Arial" w:eastAsia="Arial" w:hAnsi="Arial"/>
          <w:sz w:val="16"/>
          <w:szCs w:val="16"/>
          <w:color w:val="auto"/>
        </w:rPr>
        <w:t>the new revenue and lease sections of the codification on the announcement of the SEC observer made at the July 2017 EITF meeting</w:t>
      </w:r>
      <w:r>
        <w:rPr>
          <w:rFonts w:ascii="Arial" w:cs="Arial" w:eastAsia="Arial" w:hAnsi="Arial"/>
          <w:sz w:val="16"/>
          <w:szCs w:val="16"/>
          <w:i w:val="1"/>
          <w:iCs w:val="1"/>
          <w:color w:val="auto"/>
        </w:rPr>
        <w:t>.</w:t>
      </w:r>
    </w:p>
    <w:p>
      <w:pPr>
        <w:spacing w:after="0" w:line="231" w:lineRule="exact"/>
        <w:rPr>
          <w:sz w:val="20"/>
          <w:szCs w:val="20"/>
          <w:color w:val="auto"/>
        </w:rPr>
      </w:pPr>
    </w:p>
    <w:p>
      <w:pPr>
        <w:jc w:val="both"/>
        <w:ind w:left="340"/>
        <w:spacing w:after="0" w:line="257" w:lineRule="auto"/>
        <w:rPr>
          <w:sz w:val="20"/>
          <w:szCs w:val="20"/>
          <w:color w:val="auto"/>
        </w:rPr>
      </w:pPr>
      <w:r>
        <w:rPr>
          <w:rFonts w:ascii="Arial" w:cs="Arial" w:eastAsia="Arial" w:hAnsi="Arial"/>
          <w:sz w:val="16"/>
          <w:szCs w:val="16"/>
          <w:color w:val="auto"/>
        </w:rPr>
        <w:t xml:space="preserve">In January 2016, the FASB issued ASU 2016-01, </w:t>
      </w:r>
      <w:r>
        <w:rPr>
          <w:rFonts w:ascii="Arial" w:cs="Arial" w:eastAsia="Arial" w:hAnsi="Arial"/>
          <w:sz w:val="16"/>
          <w:szCs w:val="16"/>
          <w:i w:val="1"/>
          <w:iCs w:val="1"/>
          <w:color w:val="auto"/>
        </w:rPr>
        <w:t>Financial Instruments-Overall (Subtopic 825-10): Recognition and Measurement of Financial Assets and</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Financial Liabilities </w:t>
      </w:r>
      <w:r>
        <w:rPr>
          <w:rFonts w:ascii="Arial" w:cs="Arial" w:eastAsia="Arial" w:hAnsi="Arial"/>
          <w:sz w:val="16"/>
          <w:szCs w:val="16"/>
          <w:color w:val="auto"/>
        </w:rPr>
        <w:t>(“ASU 2016-01”). ASU 2016-01 requires (i) equity investments, except those accounted for under the equity method of accounting or</w:t>
      </w:r>
      <w:r>
        <w:rPr>
          <w:rFonts w:ascii="Arial" w:cs="Arial" w:eastAsia="Arial" w:hAnsi="Arial"/>
          <w:sz w:val="16"/>
          <w:szCs w:val="16"/>
          <w:i w:val="1"/>
          <w:iCs w:val="1"/>
          <w:color w:val="auto"/>
        </w:rPr>
        <w:t xml:space="preserve"> </w:t>
      </w:r>
      <w:r>
        <w:rPr>
          <w:rFonts w:ascii="Arial" w:cs="Arial" w:eastAsia="Arial" w:hAnsi="Arial"/>
          <w:sz w:val="16"/>
          <w:szCs w:val="16"/>
          <w:color w:val="auto"/>
        </w:rPr>
        <w:t>those that result in consolidation of the investee, to be measured at fair value with changes in fair value recognized in net income, (ii) public business entities to use the exit price notion when measuring the fair value of financial instruments for disclosure purposes, and (iii) separate presentation of financial assets and</w:t>
      </w:r>
    </w:p>
    <w:p>
      <w:pPr>
        <w:spacing w:after="0" w:line="31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14</w:t>
      </w:r>
    </w:p>
    <w:p>
      <w:pPr>
        <w:sectPr>
          <w:pgSz w:w="11900" w:h="16838" w:orient="portrait"/>
          <w:cols w:equalWidth="0" w:num="1">
            <w:col w:w="11420"/>
          </w:cols>
          <w:pgMar w:left="240" w:top="117" w:right="239" w:bottom="1440" w:gutter="0" w:footer="0" w:header="0"/>
        </w:sectPr>
      </w:pPr>
    </w:p>
    <w:bookmarkStart w:id="14" w:name="page15"/>
    <w:bookmarkEnd w:id="14"/>
    <w:p>
      <w:pPr>
        <w:ind w:right="3820"/>
        <w:spacing w:after="0" w:line="305" w:lineRule="auto"/>
        <w:rPr>
          <w:sz w:val="20"/>
          <w:szCs w:val="20"/>
          <w:color w:val="auto"/>
        </w:rPr>
      </w:pPr>
      <w:r>
        <w:rPr>
          <w:rFonts w:ascii="Arial" w:cs="Arial" w:eastAsia="Arial" w:hAnsi="Arial"/>
          <w:sz w:val="22"/>
          <w:szCs w:val="22"/>
          <w:b w:val="1"/>
          <w:bCs w:val="1"/>
          <w:color w:val="00497F"/>
        </w:rPr>
        <w:t xml:space="preserve">FORTRESS TRANSPORTATION AND INFRASTRUCTURE INVESTORS LLC NOTES TO CONSOLIDATED FINANCIAL STATEMENTS </w:t>
      </w:r>
      <w:r>
        <w:rPr>
          <w:rFonts w:ascii="Arial" w:cs="Arial" w:eastAsia="Arial" w:hAnsi="Arial"/>
          <w:sz w:val="22"/>
          <w:szCs w:val="22"/>
          <w:b w:val="1"/>
          <w:bCs w:val="1"/>
          <w:i w:val="1"/>
          <w:iCs w:val="1"/>
          <w:color w:val="00497F"/>
        </w:rPr>
        <w:t>(unaudited)</w:t>
      </w:r>
    </w:p>
    <w:p>
      <w:pPr>
        <w:spacing w:after="0"/>
        <w:rPr>
          <w:sz w:val="20"/>
          <w:szCs w:val="20"/>
          <w:color w:val="auto"/>
        </w:rPr>
      </w:pPr>
      <w:r>
        <w:rPr>
          <w:rFonts w:ascii="Arial" w:cs="Arial" w:eastAsia="Arial" w:hAnsi="Arial"/>
          <w:sz w:val="18"/>
          <w:szCs w:val="18"/>
          <w:i w:val="1"/>
          <w:iCs w:val="1"/>
          <w:color w:val="00497F"/>
        </w:rPr>
        <w:t>(Dollar amounts in thousands, unless otherwise noted)</w:t>
      </w:r>
    </w:p>
    <w:p>
      <w:pPr>
        <w:spacing w:after="0" w:line="397" w:lineRule="exact"/>
        <w:rPr>
          <w:sz w:val="20"/>
          <w:szCs w:val="20"/>
          <w:color w:val="auto"/>
        </w:rPr>
      </w:pPr>
    </w:p>
    <w:p>
      <w:pPr>
        <w:jc w:val="both"/>
        <w:ind w:left="340"/>
        <w:spacing w:after="0" w:line="261" w:lineRule="auto"/>
        <w:rPr>
          <w:sz w:val="20"/>
          <w:szCs w:val="20"/>
          <w:color w:val="auto"/>
        </w:rPr>
      </w:pPr>
      <w:r>
        <w:rPr>
          <w:rFonts w:ascii="Arial" w:cs="Arial" w:eastAsia="Arial" w:hAnsi="Arial"/>
          <w:sz w:val="16"/>
          <w:szCs w:val="16"/>
          <w:color w:val="auto"/>
        </w:rPr>
        <w:t>financial liabilities by measurement category and form of financial asset. ASU 2016-01 also eliminates the requirement for public business entities to disclose the methods and significant assumptions used to estimate the fair value that is required to be disclosed for financial instruments measured at amortized cost. The pronouncement is effective for fiscal years, and interim periods within those years, beginning after December 15, 2017, with early adoption permitted. The Company is currently evaluating the impact of adopting this new guidance on its consolidated financial statements.</w:t>
      </w:r>
    </w:p>
    <w:p>
      <w:pPr>
        <w:spacing w:after="0" w:line="226" w:lineRule="exact"/>
        <w:rPr>
          <w:sz w:val="20"/>
          <w:szCs w:val="20"/>
          <w:color w:val="auto"/>
        </w:rPr>
      </w:pPr>
    </w:p>
    <w:p>
      <w:pPr>
        <w:jc w:val="both"/>
        <w:ind w:left="340"/>
        <w:spacing w:after="0" w:line="269" w:lineRule="auto"/>
        <w:rPr>
          <w:sz w:val="20"/>
          <w:szCs w:val="20"/>
          <w:color w:val="auto"/>
        </w:rPr>
      </w:pPr>
      <w:r>
        <w:rPr>
          <w:rFonts w:ascii="Arial" w:cs="Arial" w:eastAsia="Arial" w:hAnsi="Arial"/>
          <w:sz w:val="16"/>
          <w:szCs w:val="16"/>
          <w:color w:val="auto"/>
        </w:rPr>
        <w:t xml:space="preserve">In May 2016, the FASB issued ASU 2016-11, </w:t>
      </w:r>
      <w:r>
        <w:rPr>
          <w:rFonts w:ascii="Arial" w:cs="Arial" w:eastAsia="Arial" w:hAnsi="Arial"/>
          <w:sz w:val="16"/>
          <w:szCs w:val="16"/>
          <w:i w:val="1"/>
          <w:iCs w:val="1"/>
          <w:color w:val="auto"/>
        </w:rPr>
        <w:t>Revenue Recognition (Topic 605) and Derivatives and Hedging (Topic 815): Rescission of SEC Guidance</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Because of Accounting Standards Updates 2014-09 and 2014-16 Pursuant to Staff Announcements at the March 3, 2016 EITF Meeting. </w:t>
      </w:r>
      <w:r>
        <w:rPr>
          <w:rFonts w:ascii="Arial" w:cs="Arial" w:eastAsia="Arial" w:hAnsi="Arial"/>
          <w:sz w:val="16"/>
          <w:szCs w:val="16"/>
          <w:color w:val="auto"/>
        </w:rPr>
        <w:t>The Company is</w:t>
      </w:r>
      <w:r>
        <w:rPr>
          <w:rFonts w:ascii="Arial" w:cs="Arial" w:eastAsia="Arial" w:hAnsi="Arial"/>
          <w:sz w:val="16"/>
          <w:szCs w:val="16"/>
          <w:i w:val="1"/>
          <w:iCs w:val="1"/>
          <w:color w:val="auto"/>
        </w:rPr>
        <w:t xml:space="preserve"> </w:t>
      </w:r>
      <w:r>
        <w:rPr>
          <w:rFonts w:ascii="Arial" w:cs="Arial" w:eastAsia="Arial" w:hAnsi="Arial"/>
          <w:sz w:val="16"/>
          <w:szCs w:val="16"/>
          <w:color w:val="auto"/>
        </w:rPr>
        <w:t>currently evaluating the impact of adopting this new guidance on its consolidated financial statements.</w:t>
      </w:r>
    </w:p>
    <w:p>
      <w:pPr>
        <w:spacing w:after="0" w:line="219" w:lineRule="exact"/>
        <w:rPr>
          <w:sz w:val="20"/>
          <w:szCs w:val="20"/>
          <w:color w:val="auto"/>
        </w:rPr>
      </w:pPr>
    </w:p>
    <w:p>
      <w:pPr>
        <w:jc w:val="both"/>
        <w:ind w:left="340"/>
        <w:spacing w:after="0" w:line="251" w:lineRule="auto"/>
        <w:rPr>
          <w:sz w:val="20"/>
          <w:szCs w:val="20"/>
          <w:color w:val="auto"/>
        </w:rPr>
      </w:pPr>
      <w:r>
        <w:rPr>
          <w:rFonts w:ascii="Arial" w:cs="Arial" w:eastAsia="Arial" w:hAnsi="Arial"/>
          <w:sz w:val="16"/>
          <w:szCs w:val="16"/>
          <w:color w:val="auto"/>
        </w:rPr>
        <w:t xml:space="preserve">In June 2016, the FASB issued ASU 2016-13, </w:t>
      </w:r>
      <w:r>
        <w:rPr>
          <w:rFonts w:ascii="Arial" w:cs="Arial" w:eastAsia="Arial" w:hAnsi="Arial"/>
          <w:sz w:val="16"/>
          <w:szCs w:val="16"/>
          <w:i w:val="1"/>
          <w:iCs w:val="1"/>
          <w:color w:val="auto"/>
        </w:rPr>
        <w:t>Financial Instruments—Credit Losses (Topic 326): Measurement of Credit Losses on Financial Instruments</w:t>
      </w:r>
      <w:r>
        <w:rPr>
          <w:rFonts w:ascii="Arial" w:cs="Arial" w:eastAsia="Arial" w:hAnsi="Arial"/>
          <w:sz w:val="16"/>
          <w:szCs w:val="16"/>
          <w:color w:val="auto"/>
        </w:rPr>
        <w:t xml:space="preserve"> (“ASU 2016-13”)</w:t>
      </w:r>
      <w:r>
        <w:rPr>
          <w:rFonts w:ascii="Arial" w:cs="Arial" w:eastAsia="Arial" w:hAnsi="Arial"/>
          <w:sz w:val="16"/>
          <w:szCs w:val="16"/>
          <w:i w:val="1"/>
          <w:iCs w:val="1"/>
          <w:color w:val="auto"/>
        </w:rPr>
        <w:t>.</w:t>
      </w:r>
      <w:r>
        <w:rPr>
          <w:rFonts w:ascii="Arial" w:cs="Arial" w:eastAsia="Arial" w:hAnsi="Arial"/>
          <w:sz w:val="16"/>
          <w:szCs w:val="16"/>
          <w:color w:val="auto"/>
        </w:rPr>
        <w:t xml:space="preserve"> For assets held at amortized cost basis, ASU 2016-13 eliminates the probable initial recognition threshold in current GAAP and, instead, requires an entity to reflect its current estimate of all expected credit losses. The allowance for credit losses is a valuation account that is deducted from the amortized cost basis of the financial assets to present the net amount expected to be collected. For available for sale debt securities, credit losses should be measured in a manner similar to current GAAP, however this ASU requires that credit losses be presented as an allowance rather than as a write-down. This ASU affects entities holding financial assets and net investment in leases that are not accounted for at fair value through net income. The amendments affect loans, debt securities, trade receivables, net investments in leases, off balance sheet credit exposures, reinsurance receivables, and any other financial assets not excluded from the scope that have the contractual right to receive cash. ASU 2016-13 will be effective for fiscal years beginning after December 15, 2019, including interim periods within those fiscal years. The Company is currently evaluating the impact of adopting this new guidance on its consolidated financial statements.</w:t>
      </w:r>
    </w:p>
    <w:p>
      <w:pPr>
        <w:spacing w:after="0" w:line="237" w:lineRule="exact"/>
        <w:rPr>
          <w:sz w:val="20"/>
          <w:szCs w:val="20"/>
          <w:color w:val="auto"/>
        </w:rPr>
      </w:pPr>
    </w:p>
    <w:p>
      <w:pPr>
        <w:ind w:left="340"/>
        <w:spacing w:after="0"/>
        <w:rPr>
          <w:sz w:val="20"/>
          <w:szCs w:val="20"/>
          <w:color w:val="auto"/>
        </w:rPr>
      </w:pPr>
      <w:r>
        <w:rPr>
          <w:rFonts w:ascii="Arial" w:cs="Arial" w:eastAsia="Arial" w:hAnsi="Arial"/>
          <w:sz w:val="16"/>
          <w:szCs w:val="16"/>
          <w:color w:val="auto"/>
        </w:rPr>
        <w:t xml:space="preserve">In August 2016, the FASB issued ASU 2016-15, </w:t>
      </w:r>
      <w:r>
        <w:rPr>
          <w:rFonts w:ascii="Arial" w:cs="Arial" w:eastAsia="Arial" w:hAnsi="Arial"/>
          <w:sz w:val="16"/>
          <w:szCs w:val="16"/>
          <w:i w:val="1"/>
          <w:iCs w:val="1"/>
          <w:color w:val="auto"/>
        </w:rPr>
        <w:t>Statement of Cash Flows: Classification of Certain Cash Receipts and Cash Payments</w:t>
      </w:r>
      <w:r>
        <w:rPr>
          <w:rFonts w:ascii="Arial" w:cs="Arial" w:eastAsia="Arial" w:hAnsi="Arial"/>
          <w:sz w:val="16"/>
          <w:szCs w:val="16"/>
          <w:color w:val="auto"/>
        </w:rPr>
        <w:t xml:space="preserve"> (“ASU 2016-15”)</w:t>
      </w:r>
      <w:r>
        <w:rPr>
          <w:rFonts w:ascii="Arial" w:cs="Arial" w:eastAsia="Arial" w:hAnsi="Arial"/>
          <w:sz w:val="16"/>
          <w:szCs w:val="16"/>
          <w:i w:val="1"/>
          <w:iCs w:val="1"/>
          <w:color w:val="auto"/>
        </w:rPr>
        <w:t>.</w:t>
      </w:r>
    </w:p>
    <w:p>
      <w:pPr>
        <w:spacing w:after="0" w:line="25" w:lineRule="exact"/>
        <w:rPr>
          <w:sz w:val="20"/>
          <w:szCs w:val="20"/>
          <w:color w:val="auto"/>
        </w:rPr>
      </w:pPr>
    </w:p>
    <w:p>
      <w:pPr>
        <w:jc w:val="both"/>
        <w:ind w:left="340"/>
        <w:spacing w:after="0" w:line="249" w:lineRule="auto"/>
        <w:rPr>
          <w:sz w:val="20"/>
          <w:szCs w:val="20"/>
          <w:color w:val="auto"/>
        </w:rPr>
      </w:pPr>
      <w:r>
        <w:rPr>
          <w:rFonts w:ascii="Arial" w:cs="Arial" w:eastAsia="Arial" w:hAnsi="Arial"/>
          <w:sz w:val="16"/>
          <w:szCs w:val="16"/>
          <w:color w:val="auto"/>
        </w:rPr>
        <w:t>ASU 2016-15 addresses the following eight specific cash flow issues: (i) debt prepayment or debt extinguishment costs; (ii) settlement of zero-coupon debt instruments or other debt instruments with coupon interest rates that are insignificant in relation to the effective interest rate of the borrowing; (iii) contingent consideration payments made after a business combination; (iv) proceeds from the settlement of insurance claims; (v) proceeds from the settlement of corporate-owned life insurance policies (COLIs); (vi) distributions received from equity method investees; (vii) beneficial interests in securitization transactions; (viii) and separately identifiable cash flows and application of the predominance principle. ASU 2016-15 will be effective for fiscal years beginning after December 15, 2017, and interim periods within those fiscal years. Early adoption is permitted, including adoption in an interim period. The Company is currently evaluating the impact of adopting this new guidance on its consolidated financial statements.</w:t>
      </w:r>
    </w:p>
    <w:p>
      <w:pPr>
        <w:spacing w:after="0" w:line="237" w:lineRule="exact"/>
        <w:rPr>
          <w:sz w:val="20"/>
          <w:szCs w:val="20"/>
          <w:color w:val="auto"/>
        </w:rPr>
      </w:pPr>
    </w:p>
    <w:p>
      <w:pPr>
        <w:jc w:val="both"/>
        <w:ind w:left="340"/>
        <w:spacing w:after="0" w:line="252" w:lineRule="auto"/>
        <w:rPr>
          <w:sz w:val="20"/>
          <w:szCs w:val="20"/>
          <w:color w:val="auto"/>
        </w:rPr>
      </w:pPr>
      <w:r>
        <w:rPr>
          <w:rFonts w:ascii="Arial" w:cs="Arial" w:eastAsia="Arial" w:hAnsi="Arial"/>
          <w:sz w:val="16"/>
          <w:szCs w:val="16"/>
          <w:color w:val="auto"/>
        </w:rPr>
        <w:t xml:space="preserve">In October 2016, the FASB issued ASU 2016-16, </w:t>
      </w:r>
      <w:r>
        <w:rPr>
          <w:rFonts w:ascii="Arial" w:cs="Arial" w:eastAsia="Arial" w:hAnsi="Arial"/>
          <w:sz w:val="16"/>
          <w:szCs w:val="16"/>
          <w:i w:val="1"/>
          <w:iCs w:val="1"/>
          <w:color w:val="auto"/>
        </w:rPr>
        <w:t>Income Taxes (Topic 740): Intra-Entity Transfers of Assets Other Than Inventory (“ASU 2016-16”).</w:t>
      </w:r>
      <w:r>
        <w:rPr>
          <w:rFonts w:ascii="Arial" w:cs="Arial" w:eastAsia="Arial" w:hAnsi="Arial"/>
          <w:sz w:val="16"/>
          <w:szCs w:val="16"/>
          <w:color w:val="auto"/>
        </w:rPr>
        <w:t xml:space="preserve"> ASU 2016-16 prohibits the recognition of current and deferred income taxes for an intra-entity asset transfer until the asset has been sold to an outside party. In addition, interpretations of this guidance have developed in practice for transfers of certain intangible and tangible assets. This prohibition on recognition is an exception to the principle of comprehensive recognition of current and deferred income taxes in GAAP. To more faithfully represent the economics of intra-entity asset transfers, the amendments ASU 2016-16 require that entities recognize the income tax consequences of an intra-entity transfer of an asset other than inventory when the transfer occurs. The amendments in ASU 2016-16 do not change GAAP for the pre-tax effects of an intra-entity asset transfer under Topic 810, </w:t>
      </w:r>
      <w:r>
        <w:rPr>
          <w:rFonts w:ascii="Arial" w:cs="Arial" w:eastAsia="Arial" w:hAnsi="Arial"/>
          <w:sz w:val="16"/>
          <w:szCs w:val="16"/>
          <w:i w:val="1"/>
          <w:iCs w:val="1"/>
          <w:color w:val="auto"/>
        </w:rPr>
        <w:t>Consolidation,</w:t>
      </w:r>
      <w:r>
        <w:rPr>
          <w:rFonts w:ascii="Arial" w:cs="Arial" w:eastAsia="Arial" w:hAnsi="Arial"/>
          <w:sz w:val="16"/>
          <w:szCs w:val="16"/>
          <w:color w:val="auto"/>
        </w:rPr>
        <w:t xml:space="preserve"> or for an intra-entity transfer of inventory. ASU 2016-16 will be effective for annual reporting periods beginning after December 15, 2017, and interim periods within those annual reporting periods. Early adoption is permitted, including adoption in an interim period. The Company is currently evaluating the impact of adopting this new guidance on its consolidated financial statements.</w:t>
      </w:r>
    </w:p>
    <w:p>
      <w:pPr>
        <w:spacing w:after="0" w:line="233" w:lineRule="exact"/>
        <w:rPr>
          <w:sz w:val="20"/>
          <w:szCs w:val="20"/>
          <w:color w:val="auto"/>
        </w:rPr>
      </w:pPr>
    </w:p>
    <w:p>
      <w:pPr>
        <w:jc w:val="both"/>
        <w:ind w:left="340"/>
        <w:spacing w:after="0" w:line="252" w:lineRule="auto"/>
        <w:rPr>
          <w:sz w:val="20"/>
          <w:szCs w:val="20"/>
          <w:color w:val="auto"/>
        </w:rPr>
      </w:pPr>
      <w:r>
        <w:rPr>
          <w:rFonts w:ascii="Arial" w:cs="Arial" w:eastAsia="Arial" w:hAnsi="Arial"/>
          <w:sz w:val="16"/>
          <w:szCs w:val="16"/>
          <w:color w:val="auto"/>
        </w:rPr>
        <w:t xml:space="preserve">In November 2016, the FASB issued ASU 2016-18, </w:t>
      </w:r>
      <w:r>
        <w:rPr>
          <w:rFonts w:ascii="Arial" w:cs="Arial" w:eastAsia="Arial" w:hAnsi="Arial"/>
          <w:sz w:val="16"/>
          <w:szCs w:val="16"/>
          <w:i w:val="1"/>
          <w:iCs w:val="1"/>
          <w:color w:val="auto"/>
        </w:rPr>
        <w:t>Statement of Cash Flows (Topic 230): Restricted Cash (“ASU 2016-18”)</w:t>
      </w:r>
      <w:r>
        <w:rPr>
          <w:rFonts w:ascii="Arial" w:cs="Arial" w:eastAsia="Arial" w:hAnsi="Arial"/>
          <w:sz w:val="16"/>
          <w:szCs w:val="16"/>
          <w:color w:val="auto"/>
        </w:rPr>
        <w:t>. ASU 2016-18 addresses the diversity in the classification and presentation of changes in restricted cash on the statement of cash flows under Topic 230, Statement of Cash Flows. The amendments in ASU 2016-18 require that a statement of cash flows explain the change during the period in the total of cash, cash equivalents, and amounts generally described as restricted cash or restricted cash equivalents. Therefore, amounts generally described as restricted cash and restricted cash equivalents should be included with cash and cash equivalents when reconciling the beginning-of-period and end-of-period total amounts shown on the statement of cash flows. The amendments in this ASU apply to all entities that have restricted cash or restricted cash equivalents and are required to present a statement of cash flows under Topic 230. ASU 2016-18 will be effective for fiscal years beginning after December 15, 2017, and interim periods within those fiscal years. Early adoption is permitted, including adoption in an interim period. The Company is currently evaluating the impact of adopting this new guidance on its consolidated financial statements.</w:t>
      </w:r>
    </w:p>
    <w:p>
      <w:pPr>
        <w:spacing w:after="0" w:line="31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15</w:t>
      </w:r>
    </w:p>
    <w:p>
      <w:pPr>
        <w:sectPr>
          <w:pgSz w:w="11900" w:h="16838" w:orient="portrait"/>
          <w:cols w:equalWidth="0" w:num="1">
            <w:col w:w="11420"/>
          </w:cols>
          <w:pgMar w:left="240" w:top="117" w:right="239" w:bottom="1440" w:gutter="0" w:footer="0" w:header="0"/>
        </w:sectPr>
      </w:pPr>
    </w:p>
    <w:bookmarkStart w:id="15" w:name="page16"/>
    <w:bookmarkEnd w:id="15"/>
    <w:p>
      <w:pPr>
        <w:ind w:right="3820"/>
        <w:spacing w:after="0" w:line="305" w:lineRule="auto"/>
        <w:rPr>
          <w:sz w:val="20"/>
          <w:szCs w:val="20"/>
          <w:color w:val="auto"/>
        </w:rPr>
      </w:pPr>
      <w:r>
        <w:rPr>
          <w:rFonts w:ascii="Arial" w:cs="Arial" w:eastAsia="Arial" w:hAnsi="Arial"/>
          <w:sz w:val="22"/>
          <w:szCs w:val="22"/>
          <w:b w:val="1"/>
          <w:bCs w:val="1"/>
          <w:color w:val="00497F"/>
        </w:rPr>
        <w:t xml:space="preserve">FORTRESS TRANSPORTATION AND INFRASTRUCTURE INVESTORS LLC NOTES TO CONSOLIDATED FINANCIAL STATEMENTS </w:t>
      </w:r>
      <w:r>
        <w:rPr>
          <w:rFonts w:ascii="Arial" w:cs="Arial" w:eastAsia="Arial" w:hAnsi="Arial"/>
          <w:sz w:val="22"/>
          <w:szCs w:val="22"/>
          <w:b w:val="1"/>
          <w:bCs w:val="1"/>
          <w:i w:val="1"/>
          <w:iCs w:val="1"/>
          <w:color w:val="00497F"/>
        </w:rPr>
        <w:t>(unaudited)</w:t>
      </w:r>
    </w:p>
    <w:p>
      <w:pPr>
        <w:spacing w:after="0"/>
        <w:rPr>
          <w:sz w:val="20"/>
          <w:szCs w:val="20"/>
          <w:color w:val="auto"/>
        </w:rPr>
      </w:pPr>
      <w:r>
        <w:rPr>
          <w:rFonts w:ascii="Arial" w:cs="Arial" w:eastAsia="Arial" w:hAnsi="Arial"/>
          <w:sz w:val="18"/>
          <w:szCs w:val="18"/>
          <w:i w:val="1"/>
          <w:iCs w:val="1"/>
          <w:color w:val="00497F"/>
        </w:rPr>
        <w:t>(Dollar amounts in thousands, unless otherwise noted)</w:t>
      </w:r>
    </w:p>
    <w:p>
      <w:pPr>
        <w:spacing w:after="0" w:line="397" w:lineRule="exact"/>
        <w:rPr>
          <w:sz w:val="20"/>
          <w:szCs w:val="20"/>
          <w:color w:val="auto"/>
        </w:rPr>
      </w:pPr>
    </w:p>
    <w:p>
      <w:pPr>
        <w:jc w:val="both"/>
        <w:ind w:left="340"/>
        <w:spacing w:after="0" w:line="253" w:lineRule="auto"/>
        <w:rPr>
          <w:sz w:val="20"/>
          <w:szCs w:val="20"/>
          <w:color w:val="auto"/>
        </w:rPr>
      </w:pPr>
      <w:r>
        <w:rPr>
          <w:rFonts w:ascii="Arial" w:cs="Arial" w:eastAsia="Arial" w:hAnsi="Arial"/>
          <w:sz w:val="16"/>
          <w:szCs w:val="16"/>
          <w:color w:val="auto"/>
        </w:rPr>
        <w:t xml:space="preserve">In January 2017, the FASB issued ASU 2017-03, </w:t>
      </w:r>
      <w:r>
        <w:rPr>
          <w:rFonts w:ascii="Arial" w:cs="Arial" w:eastAsia="Arial" w:hAnsi="Arial"/>
          <w:sz w:val="16"/>
          <w:szCs w:val="16"/>
          <w:i w:val="1"/>
          <w:iCs w:val="1"/>
          <w:color w:val="auto"/>
        </w:rPr>
        <w:t>Accounting Changes and Error Corrections (Topic 250) and Investments—Equity Method and Joint</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Ventures (Topic 323) (“ASU 2017-03”). </w:t>
      </w:r>
      <w:r>
        <w:rPr>
          <w:rFonts w:ascii="Arial" w:cs="Arial" w:eastAsia="Arial" w:hAnsi="Arial"/>
          <w:sz w:val="16"/>
          <w:szCs w:val="16"/>
          <w:color w:val="auto"/>
        </w:rPr>
        <w:t>ASU 2017-03 adds and amends SEC paragraphs pursuant to the SEC Staff Announcements at the September 22,</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2016 and November 17, 2016 Emerging Issues Task Force (EITF) meetings. The September announcement is about the disclosure of the impact that recently issued accounting standards will have on the financial statements of a registrant when such standards are adopted in a future period. The November announcement made amendments to conform the SEC Observer Comment on Accounting for Tax Benefits Resulting from Investments in Qualified Affordable Housing Projects to the guidance issued in ASU 2014-01, </w:t>
      </w:r>
      <w:r>
        <w:rPr>
          <w:rFonts w:ascii="Arial" w:cs="Arial" w:eastAsia="Arial" w:hAnsi="Arial"/>
          <w:sz w:val="16"/>
          <w:szCs w:val="16"/>
          <w:i w:val="1"/>
          <w:iCs w:val="1"/>
          <w:color w:val="auto"/>
        </w:rPr>
        <w:t>Investments—Equity Method and Joint Ventures (Topic 323): Accounting for</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Investments in Qualified Affordable Housing Projects. </w:t>
      </w:r>
      <w:r>
        <w:rPr>
          <w:rFonts w:ascii="Arial" w:cs="Arial" w:eastAsia="Arial" w:hAnsi="Arial"/>
          <w:sz w:val="16"/>
          <w:szCs w:val="16"/>
          <w:color w:val="auto"/>
        </w:rPr>
        <w:t>The Company is currently evaluating the impact of adopting this new guidance on its consolidated</w:t>
      </w:r>
      <w:r>
        <w:rPr>
          <w:rFonts w:ascii="Arial" w:cs="Arial" w:eastAsia="Arial" w:hAnsi="Arial"/>
          <w:sz w:val="16"/>
          <w:szCs w:val="16"/>
          <w:i w:val="1"/>
          <w:iCs w:val="1"/>
          <w:color w:val="auto"/>
        </w:rPr>
        <w:t xml:space="preserve"> </w:t>
      </w:r>
      <w:r>
        <w:rPr>
          <w:rFonts w:ascii="Arial" w:cs="Arial" w:eastAsia="Arial" w:hAnsi="Arial"/>
          <w:sz w:val="16"/>
          <w:szCs w:val="16"/>
          <w:color w:val="auto"/>
        </w:rPr>
        <w:t>financial statements.</w:t>
      </w:r>
    </w:p>
    <w:p>
      <w:pPr>
        <w:spacing w:after="0" w:line="231" w:lineRule="exact"/>
        <w:rPr>
          <w:sz w:val="20"/>
          <w:szCs w:val="20"/>
          <w:color w:val="auto"/>
        </w:rPr>
      </w:pPr>
    </w:p>
    <w:p>
      <w:pPr>
        <w:jc w:val="both"/>
        <w:ind w:left="340"/>
        <w:spacing w:after="0" w:line="255" w:lineRule="auto"/>
        <w:rPr>
          <w:sz w:val="20"/>
          <w:szCs w:val="20"/>
          <w:color w:val="auto"/>
        </w:rPr>
      </w:pPr>
      <w:r>
        <w:rPr>
          <w:rFonts w:ascii="Arial" w:cs="Arial" w:eastAsia="Arial" w:hAnsi="Arial"/>
          <w:sz w:val="16"/>
          <w:szCs w:val="16"/>
          <w:color w:val="auto"/>
        </w:rPr>
        <w:t xml:space="preserve">In January 2017, the FASB issued ASU 2017-04, </w:t>
      </w:r>
      <w:r>
        <w:rPr>
          <w:rFonts w:ascii="Arial" w:cs="Arial" w:eastAsia="Arial" w:hAnsi="Arial"/>
          <w:sz w:val="16"/>
          <w:szCs w:val="16"/>
          <w:i w:val="1"/>
          <w:iCs w:val="1"/>
          <w:color w:val="auto"/>
        </w:rPr>
        <w:t xml:space="preserve">Intangibles—Goodwill and Other (Topic 350): Simplifying the Test for Goodwill Impairment (“ASU 2017-04”). </w:t>
      </w:r>
      <w:r>
        <w:rPr>
          <w:rFonts w:ascii="Arial" w:cs="Arial" w:eastAsia="Arial" w:hAnsi="Arial"/>
          <w:sz w:val="16"/>
          <w:szCs w:val="16"/>
          <w:color w:val="auto"/>
        </w:rPr>
        <w:t>ASU 2017-04 addresses concerns over the cost and complexity of the two-step goodwill impairment test by removing the second step of the test. An</w:t>
      </w:r>
      <w:r>
        <w:rPr>
          <w:rFonts w:ascii="Arial" w:cs="Arial" w:eastAsia="Arial" w:hAnsi="Arial"/>
          <w:sz w:val="16"/>
          <w:szCs w:val="16"/>
          <w:i w:val="1"/>
          <w:iCs w:val="1"/>
          <w:color w:val="auto"/>
        </w:rPr>
        <w:t xml:space="preserve"> </w:t>
      </w:r>
      <w:r>
        <w:rPr>
          <w:rFonts w:ascii="Arial" w:cs="Arial" w:eastAsia="Arial" w:hAnsi="Arial"/>
          <w:sz w:val="16"/>
          <w:szCs w:val="16"/>
          <w:color w:val="auto"/>
        </w:rPr>
        <w:t>entity will apply a one-step quantitative test and record the amount of goodwill impairment as the excess of a reporting unit's carrying amount over its fair value, not to exceed the total amount of goodwill allocated to the reporting unit. The new guidance does not amend the optional qualitative assessment of goodwill impairment. ASU 2017-01 will be effective for fiscal years beginning after December 15, 2019, and interim periods within those fiscal years. The Company is currently evaluating the impact of adopting this new guidance on its consolidated financial statements.</w:t>
      </w:r>
    </w:p>
    <w:p>
      <w:pPr>
        <w:spacing w:after="0" w:line="124" w:lineRule="exact"/>
        <w:rPr>
          <w:sz w:val="20"/>
          <w:szCs w:val="20"/>
          <w:color w:val="auto"/>
        </w:rPr>
      </w:pPr>
    </w:p>
    <w:p>
      <w:pPr>
        <w:jc w:val="both"/>
        <w:ind w:left="340"/>
        <w:spacing w:after="0" w:line="251" w:lineRule="auto"/>
        <w:rPr>
          <w:sz w:val="20"/>
          <w:szCs w:val="20"/>
          <w:color w:val="auto"/>
        </w:rPr>
      </w:pPr>
      <w:r>
        <w:rPr>
          <w:rFonts w:ascii="Arial" w:cs="Arial" w:eastAsia="Arial" w:hAnsi="Arial"/>
          <w:sz w:val="16"/>
          <w:szCs w:val="16"/>
          <w:color w:val="auto"/>
        </w:rPr>
        <w:t xml:space="preserve">In February 2017, the FASB issued ASU 2017-05, </w:t>
      </w:r>
      <w:r>
        <w:rPr>
          <w:rFonts w:ascii="Arial" w:cs="Arial" w:eastAsia="Arial" w:hAnsi="Arial"/>
          <w:sz w:val="16"/>
          <w:szCs w:val="16"/>
          <w:i w:val="1"/>
          <w:iCs w:val="1"/>
          <w:color w:val="auto"/>
        </w:rPr>
        <w:t>Other Income—Gains and Losses from the Derecognition of Nonfinancial Assets (Subtopic 610-20):</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Clarifying the Scope of Asset Derecognition Guidance and Accounting for Partial Sales of Nonfinancial Assets (“ASU 2017-05”). </w:t>
      </w:r>
      <w:r>
        <w:rPr>
          <w:rFonts w:ascii="Arial" w:cs="Arial" w:eastAsia="Arial" w:hAnsi="Arial"/>
          <w:sz w:val="16"/>
          <w:szCs w:val="16"/>
          <w:color w:val="auto"/>
        </w:rPr>
        <w:t>ASU 2017-05</w:t>
      </w:r>
      <w:r>
        <w:rPr>
          <w:rFonts w:ascii="Arial" w:cs="Arial" w:eastAsia="Arial" w:hAnsi="Arial"/>
          <w:sz w:val="16"/>
          <w:szCs w:val="16"/>
          <w:i w:val="1"/>
          <w:iCs w:val="1"/>
          <w:color w:val="auto"/>
        </w:rPr>
        <w:t xml:space="preserve"> </w:t>
      </w:r>
      <w:r>
        <w:rPr>
          <w:rFonts w:ascii="Arial" w:cs="Arial" w:eastAsia="Arial" w:hAnsi="Arial"/>
          <w:sz w:val="16"/>
          <w:szCs w:val="16"/>
          <w:color w:val="auto"/>
        </w:rPr>
        <w:t>amendments the scope of the nonfinancial asset guidance in Subtopic 610-20. The amendments also clarify that the derecognition of all businesses and nonprofit activities (except those related to conveyances of oil and gas mineral rights or contracts with customers) should be accounted for in accordance with the derecognition and deconsolidation guidance in Subtopic 810-10. In addition, the amendments eliminate the exception in the financial asset guidance for transfers of investments (including equity method investments) in real estate entities and supersede the guidance in the Exchanges of a Nonfinancial Asset for a Noncontrolling Ownership Interest Subsection within Topic 845. The amendments in ASU 2017-05 also provide guidance on the accounting for what often are referred to as partial sales of nonfinancial assets within the scope of Subtopic 610-20 and contributions of nonfinancial assets to a joint venture or other noncontrolled investee. ASU 2017-05 will be effective for annual reporting periods beginning after December 15, 2017, and interim periods within those fiscal years. The Company is currently evaluating the impact of adopting this new guidance on its consolidated financial statements.</w:t>
      </w:r>
    </w:p>
    <w:p>
      <w:pPr>
        <w:spacing w:after="0" w:line="318" w:lineRule="exact"/>
        <w:rPr>
          <w:sz w:val="20"/>
          <w:szCs w:val="20"/>
          <w:color w:val="auto"/>
        </w:rPr>
      </w:pPr>
    </w:p>
    <w:p>
      <w:pPr>
        <w:jc w:val="both"/>
        <w:ind w:left="340"/>
        <w:spacing w:after="0" w:line="257" w:lineRule="auto"/>
        <w:rPr>
          <w:sz w:val="20"/>
          <w:szCs w:val="20"/>
          <w:color w:val="auto"/>
        </w:rPr>
      </w:pPr>
      <w:r>
        <w:rPr>
          <w:rFonts w:ascii="Arial" w:cs="Arial" w:eastAsia="Arial" w:hAnsi="Arial"/>
          <w:sz w:val="16"/>
          <w:szCs w:val="16"/>
          <w:color w:val="auto"/>
        </w:rPr>
        <w:t xml:space="preserve">In May 2017, the FASB issued Accounting Standards Update No. 2017-09, </w:t>
      </w:r>
      <w:r>
        <w:rPr>
          <w:rFonts w:ascii="Arial" w:cs="Arial" w:eastAsia="Arial" w:hAnsi="Arial"/>
          <w:sz w:val="16"/>
          <w:szCs w:val="16"/>
          <w:i w:val="1"/>
          <w:iCs w:val="1"/>
          <w:color w:val="auto"/>
        </w:rPr>
        <w:t>Compensation - Stock Compensation (Topic 718): Scope of Modification</w:t>
      </w:r>
      <w:r>
        <w:rPr>
          <w:rFonts w:ascii="Arial" w:cs="Arial" w:eastAsia="Arial" w:hAnsi="Arial"/>
          <w:sz w:val="16"/>
          <w:szCs w:val="16"/>
          <w:color w:val="auto"/>
        </w:rPr>
        <w:t xml:space="preserve"> </w:t>
      </w:r>
      <w:r>
        <w:rPr>
          <w:rFonts w:ascii="Arial" w:cs="Arial" w:eastAsia="Arial" w:hAnsi="Arial"/>
          <w:sz w:val="16"/>
          <w:szCs w:val="16"/>
          <w:i w:val="1"/>
          <w:iCs w:val="1"/>
          <w:color w:val="auto"/>
        </w:rPr>
        <w:t>Accounting ("ASU 2017-09")</w:t>
      </w:r>
      <w:r>
        <w:rPr>
          <w:rFonts w:ascii="Arial" w:cs="Arial" w:eastAsia="Arial" w:hAnsi="Arial"/>
          <w:sz w:val="16"/>
          <w:szCs w:val="16"/>
          <w:color w:val="auto"/>
        </w:rPr>
        <w:t>, which provides guidance about which changes to the terms or conditions of a share-based payment award require an entity</w:t>
      </w:r>
      <w:r>
        <w:rPr>
          <w:rFonts w:ascii="Arial" w:cs="Arial" w:eastAsia="Arial" w:hAnsi="Arial"/>
          <w:sz w:val="16"/>
          <w:szCs w:val="16"/>
          <w:i w:val="1"/>
          <w:iCs w:val="1"/>
          <w:color w:val="auto"/>
        </w:rPr>
        <w:t xml:space="preserve"> </w:t>
      </w:r>
      <w:r>
        <w:rPr>
          <w:rFonts w:ascii="Arial" w:cs="Arial" w:eastAsia="Arial" w:hAnsi="Arial"/>
          <w:sz w:val="16"/>
          <w:szCs w:val="16"/>
          <w:color w:val="auto"/>
        </w:rPr>
        <w:t>to apply modification accounting in Topic 718. ASU 2017-09 is effective for fiscal years beginning after December 15, 2017 and interim periods within those fiscal years, and early adoption is permitted, including in an interim period. ASU 2017-09 is to be applied on a prospective basis to an award modified on or after the adoption date. We do not expect the adoption of ASU 2017-09 to have a material impact on our consolidated financial statements.</w:t>
      </w:r>
    </w:p>
    <w:p>
      <w:pPr>
        <w:spacing w:after="0" w:line="117" w:lineRule="exact"/>
        <w:rPr>
          <w:sz w:val="20"/>
          <w:szCs w:val="20"/>
          <w:color w:val="auto"/>
        </w:rPr>
      </w:pPr>
    </w:p>
    <w:p>
      <w:pPr>
        <w:spacing w:after="0"/>
        <w:rPr>
          <w:sz w:val="20"/>
          <w:szCs w:val="20"/>
          <w:color w:val="auto"/>
        </w:rPr>
      </w:pPr>
      <w:r>
        <w:rPr>
          <w:rFonts w:ascii="Arial" w:cs="Arial" w:eastAsia="Arial" w:hAnsi="Arial"/>
          <w:sz w:val="22"/>
          <w:szCs w:val="22"/>
          <w:b w:val="1"/>
          <w:bCs w:val="1"/>
          <w:color w:val="00497F"/>
        </w:rPr>
        <w:t>3. LEASING EQUIPMENT, NET</w:t>
      </w:r>
    </w:p>
    <w:p>
      <w:pPr>
        <w:spacing w:after="0" w:line="184" w:lineRule="exact"/>
        <w:rPr>
          <w:sz w:val="20"/>
          <w:szCs w:val="20"/>
          <w:color w:val="auto"/>
        </w:rPr>
      </w:pPr>
    </w:p>
    <w:p>
      <w:pPr>
        <w:ind w:left="980"/>
        <w:spacing w:after="0"/>
        <w:rPr>
          <w:sz w:val="20"/>
          <w:szCs w:val="20"/>
          <w:color w:val="auto"/>
        </w:rPr>
      </w:pPr>
      <w:r>
        <w:rPr>
          <w:rFonts w:ascii="Arial" w:cs="Arial" w:eastAsia="Arial" w:hAnsi="Arial"/>
          <w:sz w:val="16"/>
          <w:szCs w:val="16"/>
          <w:color w:val="auto"/>
        </w:rPr>
        <w:t>Leasing equipment, net is summarized as follows:</w:t>
      </w:r>
    </w:p>
    <w:p>
      <w:pPr>
        <w:spacing w:after="0" w:line="238" w:lineRule="exact"/>
        <w:rPr>
          <w:sz w:val="20"/>
          <w:szCs w:val="20"/>
          <w:color w:val="auto"/>
        </w:rPr>
      </w:pPr>
    </w:p>
    <w:tbl>
      <w:tblPr>
        <w:tblLayout w:type="fixed"/>
        <w:tblInd w:w="340" w:type="dxa"/>
        <w:tblCellMar>
          <w:top w:w="0" w:type="dxa"/>
          <w:left w:w="0" w:type="dxa"/>
          <w:bottom w:w="0" w:type="dxa"/>
          <w:right w:w="0" w:type="dxa"/>
        </w:tblCellMar>
      </w:tblPr>
      <w:tr>
        <w:trPr>
          <w:trHeight w:val="203"/>
        </w:trPr>
        <w:tc>
          <w:tcPr>
            <w:tcW w:w="66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20" w:type="dxa"/>
            <w:vAlign w:val="bottom"/>
            <w:gridSpan w:val="2"/>
          </w:tcPr>
          <w:p>
            <w:pPr>
              <w:ind w:left="80"/>
              <w:spacing w:after="0"/>
              <w:rPr>
                <w:sz w:val="20"/>
                <w:szCs w:val="20"/>
                <w:color w:val="auto"/>
              </w:rPr>
            </w:pPr>
            <w:r>
              <w:rPr>
                <w:rFonts w:ascii="Arial" w:cs="Arial" w:eastAsia="Arial" w:hAnsi="Arial"/>
                <w:sz w:val="14"/>
                <w:szCs w:val="14"/>
                <w:b w:val="1"/>
                <w:bCs w:val="1"/>
                <w:color w:val="auto"/>
              </w:rPr>
              <w:t>September 30, 2017</w:t>
            </w:r>
          </w:p>
        </w:tc>
        <w:tc>
          <w:tcPr>
            <w:tcW w:w="200" w:type="dxa"/>
            <w:vAlign w:val="bottom"/>
          </w:tcPr>
          <w:p>
            <w:pPr>
              <w:spacing w:after="0"/>
              <w:rPr>
                <w:sz w:val="17"/>
                <w:szCs w:val="17"/>
                <w:color w:val="auto"/>
              </w:rPr>
            </w:pPr>
          </w:p>
        </w:tc>
        <w:tc>
          <w:tcPr>
            <w:tcW w:w="1700" w:type="dxa"/>
            <w:vAlign w:val="bottom"/>
          </w:tcPr>
          <w:p>
            <w:pPr>
              <w:jc w:val="right"/>
              <w:ind w:right="228"/>
              <w:spacing w:after="0"/>
              <w:rPr>
                <w:sz w:val="20"/>
                <w:szCs w:val="20"/>
                <w:color w:val="auto"/>
              </w:rPr>
            </w:pPr>
            <w:r>
              <w:rPr>
                <w:rFonts w:ascii="Arial" w:cs="Arial" w:eastAsia="Arial" w:hAnsi="Arial"/>
                <w:sz w:val="14"/>
                <w:szCs w:val="14"/>
                <w:b w:val="1"/>
                <w:bCs w:val="1"/>
                <w:color w:val="auto"/>
              </w:rPr>
              <w:t>December 31, 2016</w:t>
            </w:r>
          </w:p>
        </w:tc>
      </w:tr>
      <w:tr>
        <w:trPr>
          <w:trHeight w:val="250"/>
        </w:trPr>
        <w:tc>
          <w:tcPr>
            <w:tcW w:w="6680" w:type="dxa"/>
            <w:vAlign w:val="bottom"/>
          </w:tcPr>
          <w:p>
            <w:pPr>
              <w:ind w:left="20"/>
              <w:spacing w:after="0"/>
              <w:rPr>
                <w:sz w:val="20"/>
                <w:szCs w:val="20"/>
                <w:color w:val="auto"/>
              </w:rPr>
            </w:pPr>
            <w:r>
              <w:rPr>
                <w:rFonts w:ascii="Arial" w:cs="Arial" w:eastAsia="Arial" w:hAnsi="Arial"/>
                <w:sz w:val="14"/>
                <w:szCs w:val="14"/>
                <w:color w:val="auto"/>
              </w:rPr>
              <w:t>Leasing equipment</w:t>
            </w:r>
          </w:p>
        </w:tc>
        <w:tc>
          <w:tcPr>
            <w:tcW w:w="200" w:type="dxa"/>
            <w:vAlign w:val="bottom"/>
            <w:tcBorders>
              <w:top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w:t>
            </w:r>
          </w:p>
        </w:tc>
        <w:tc>
          <w:tcPr>
            <w:tcW w:w="1720" w:type="dxa"/>
            <w:vAlign w:val="bottom"/>
            <w:tcBorders>
              <w:top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1,055,548</w:t>
            </w:r>
          </w:p>
        </w:tc>
        <w:tc>
          <w:tcPr>
            <w:tcW w:w="100" w:type="dxa"/>
            <w:vAlign w:val="bottom"/>
          </w:tcPr>
          <w:p>
            <w:pPr>
              <w:spacing w:after="0"/>
              <w:rPr>
                <w:sz w:val="21"/>
                <w:szCs w:val="21"/>
                <w:color w:val="auto"/>
              </w:rPr>
            </w:pPr>
          </w:p>
        </w:tc>
        <w:tc>
          <w:tcPr>
            <w:tcW w:w="200" w:type="dxa"/>
            <w:vAlign w:val="bottom"/>
            <w:tcBorders>
              <w:top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1700" w:type="dxa"/>
            <w:vAlign w:val="bottom"/>
            <w:tcBorders>
              <w:top w:val="single" w:sz="8" w:color="auto"/>
            </w:tcBorders>
          </w:tcPr>
          <w:p>
            <w:pPr>
              <w:jc w:val="right"/>
              <w:ind w:right="28"/>
              <w:spacing w:after="0"/>
              <w:rPr>
                <w:sz w:val="20"/>
                <w:szCs w:val="20"/>
                <w:color w:val="auto"/>
              </w:rPr>
            </w:pPr>
            <w:r>
              <w:rPr>
                <w:rFonts w:ascii="Arial" w:cs="Arial" w:eastAsia="Arial" w:hAnsi="Arial"/>
                <w:sz w:val="14"/>
                <w:szCs w:val="14"/>
                <w:color w:val="auto"/>
              </w:rPr>
              <w:t>849,565</w:t>
            </w:r>
          </w:p>
        </w:tc>
      </w:tr>
      <w:tr>
        <w:trPr>
          <w:trHeight w:val="270"/>
        </w:trPr>
        <w:tc>
          <w:tcPr>
            <w:tcW w:w="6680" w:type="dxa"/>
            <w:vAlign w:val="bottom"/>
            <w:shd w:val="clear" w:color="auto" w:fill="CCEEFF"/>
          </w:tcPr>
          <w:p>
            <w:pPr>
              <w:ind w:left="20"/>
              <w:spacing w:after="0"/>
              <w:rPr>
                <w:sz w:val="20"/>
                <w:szCs w:val="20"/>
                <w:color w:val="auto"/>
              </w:rPr>
            </w:pPr>
            <w:r>
              <w:rPr>
                <w:rFonts w:ascii="Arial" w:cs="Arial" w:eastAsia="Arial" w:hAnsi="Arial"/>
                <w:sz w:val="14"/>
                <w:szCs w:val="14"/>
                <w:color w:val="auto"/>
              </w:rPr>
              <w:t>Less: accumulated depreciation</w:t>
            </w:r>
          </w:p>
        </w:tc>
        <w:tc>
          <w:tcPr>
            <w:tcW w:w="200" w:type="dxa"/>
            <w:vAlign w:val="bottom"/>
            <w:tcBorders>
              <w:bottom w:val="single" w:sz="8" w:color="auto"/>
            </w:tcBorders>
            <w:shd w:val="clear" w:color="auto" w:fill="CCEEFF"/>
          </w:tcPr>
          <w:p>
            <w:pPr>
              <w:spacing w:after="0"/>
              <w:rPr>
                <w:sz w:val="23"/>
                <w:szCs w:val="23"/>
                <w:color w:val="auto"/>
              </w:rPr>
            </w:pPr>
          </w:p>
        </w:tc>
        <w:tc>
          <w:tcPr>
            <w:tcW w:w="1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(126,184)</w:t>
            </w:r>
          </w:p>
        </w:tc>
        <w:tc>
          <w:tcPr>
            <w:tcW w:w="10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1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(84,110)</w:t>
            </w:r>
          </w:p>
        </w:tc>
      </w:tr>
      <w:tr>
        <w:trPr>
          <w:trHeight w:val="238"/>
        </w:trPr>
        <w:tc>
          <w:tcPr>
            <w:tcW w:w="6680" w:type="dxa"/>
            <w:vAlign w:val="bottom"/>
          </w:tcPr>
          <w:p>
            <w:pPr>
              <w:ind w:left="20"/>
              <w:spacing w:after="0"/>
              <w:rPr>
                <w:sz w:val="20"/>
                <w:szCs w:val="20"/>
                <w:color w:val="auto"/>
              </w:rPr>
            </w:pPr>
            <w:r>
              <w:rPr>
                <w:rFonts w:ascii="Arial" w:cs="Arial" w:eastAsia="Arial" w:hAnsi="Arial"/>
                <w:sz w:val="14"/>
                <w:szCs w:val="14"/>
                <w:b w:val="1"/>
                <w:bCs w:val="1"/>
                <w:color w:val="auto"/>
              </w:rPr>
              <w:t>Leasing equipment, net</w:t>
            </w:r>
          </w:p>
        </w:tc>
        <w:tc>
          <w:tcPr>
            <w:tcW w:w="2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w:t>
            </w:r>
          </w:p>
        </w:tc>
        <w:tc>
          <w:tcPr>
            <w:tcW w:w="17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929,364</w:t>
            </w:r>
          </w:p>
        </w:tc>
        <w:tc>
          <w:tcPr>
            <w:tcW w:w="100" w:type="dxa"/>
            <w:vAlign w:val="bottom"/>
          </w:tcPr>
          <w:p>
            <w:pPr>
              <w:spacing w:after="0"/>
              <w:rPr>
                <w:sz w:val="20"/>
                <w:szCs w:val="20"/>
                <w:color w:val="auto"/>
              </w:rPr>
            </w:pPr>
          </w:p>
        </w:tc>
        <w:tc>
          <w:tcPr>
            <w:tcW w:w="2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17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765,455</w:t>
            </w:r>
          </w:p>
        </w:tc>
      </w:tr>
      <w:tr>
        <w:trPr>
          <w:trHeight w:val="20"/>
        </w:trPr>
        <w:tc>
          <w:tcPr>
            <w:tcW w:w="66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r>
    </w:tbl>
    <w:p>
      <w:pPr>
        <w:spacing w:after="0" w:line="144" w:lineRule="exact"/>
        <w:rPr>
          <w:sz w:val="20"/>
          <w:szCs w:val="20"/>
          <w:color w:val="auto"/>
        </w:rPr>
      </w:pPr>
    </w:p>
    <w:p>
      <w:pPr>
        <w:ind w:left="340"/>
        <w:spacing w:after="0" w:line="291" w:lineRule="auto"/>
        <w:rPr>
          <w:sz w:val="20"/>
          <w:szCs w:val="20"/>
          <w:color w:val="auto"/>
        </w:rPr>
      </w:pPr>
      <w:r>
        <w:rPr>
          <w:rFonts w:ascii="Arial" w:cs="Arial" w:eastAsia="Arial" w:hAnsi="Arial"/>
          <w:sz w:val="16"/>
          <w:szCs w:val="16"/>
          <w:color w:val="auto"/>
        </w:rPr>
        <w:t>During the nine months ended September 30, 2017, the Company acquired seventeen aircraft, fifty commercial jet engines, and sold five aircraft and thirteen commercial jet engines.</w:t>
      </w:r>
    </w:p>
    <w:p>
      <w:pPr>
        <w:spacing w:after="0" w:line="108" w:lineRule="exact"/>
        <w:rPr>
          <w:sz w:val="20"/>
          <w:szCs w:val="20"/>
          <w:color w:val="auto"/>
        </w:rPr>
      </w:pPr>
    </w:p>
    <w:p>
      <w:pPr>
        <w:ind w:left="340"/>
        <w:spacing w:after="0"/>
        <w:rPr>
          <w:sz w:val="20"/>
          <w:szCs w:val="20"/>
          <w:color w:val="auto"/>
        </w:rPr>
      </w:pPr>
      <w:r>
        <w:rPr>
          <w:rFonts w:ascii="Arial" w:cs="Arial" w:eastAsia="Arial" w:hAnsi="Arial"/>
          <w:sz w:val="16"/>
          <w:szCs w:val="16"/>
          <w:color w:val="auto"/>
        </w:rPr>
        <w:t>Depreciation expense for leasing equipment is summarized as follows:</w:t>
      </w:r>
    </w:p>
    <w:p>
      <w:pPr>
        <w:spacing w:after="0" w:line="238" w:lineRule="exact"/>
        <w:rPr>
          <w:sz w:val="20"/>
          <w:szCs w:val="20"/>
          <w:color w:val="auto"/>
        </w:rPr>
      </w:pPr>
    </w:p>
    <w:tbl>
      <w:tblPr>
        <w:tblLayout w:type="fixed"/>
        <w:tblInd w:w="340" w:type="dxa"/>
        <w:tblCellMar>
          <w:top w:w="0" w:type="dxa"/>
          <w:left w:w="0" w:type="dxa"/>
          <w:bottom w:w="0" w:type="dxa"/>
          <w:right w:w="0" w:type="dxa"/>
        </w:tblCellMar>
      </w:tblPr>
      <w:tr>
        <w:trPr>
          <w:trHeight w:val="203"/>
        </w:trPr>
        <w:tc>
          <w:tcPr>
            <w:tcW w:w="4600" w:type="dxa"/>
            <w:vAlign w:val="bottom"/>
          </w:tcPr>
          <w:p>
            <w:pPr>
              <w:spacing w:after="0"/>
              <w:rPr>
                <w:sz w:val="17"/>
                <w:szCs w:val="17"/>
                <w:color w:val="auto"/>
              </w:rPr>
            </w:pPr>
          </w:p>
        </w:tc>
        <w:tc>
          <w:tcPr>
            <w:tcW w:w="3220" w:type="dxa"/>
            <w:vAlign w:val="bottom"/>
            <w:gridSpan w:val="6"/>
          </w:tcPr>
          <w:p>
            <w:pPr>
              <w:ind w:left="160"/>
              <w:spacing w:after="0"/>
              <w:rPr>
                <w:sz w:val="20"/>
                <w:szCs w:val="20"/>
                <w:color w:val="auto"/>
              </w:rPr>
            </w:pPr>
            <w:r>
              <w:rPr>
                <w:rFonts w:ascii="Arial" w:cs="Arial" w:eastAsia="Arial" w:hAnsi="Arial"/>
                <w:sz w:val="14"/>
                <w:szCs w:val="14"/>
                <w:b w:val="1"/>
                <w:bCs w:val="1"/>
                <w:color w:val="auto"/>
              </w:rPr>
              <w:t>Three Months Ended September 30, 2017</w:t>
            </w:r>
          </w:p>
        </w:tc>
        <w:tc>
          <w:tcPr>
            <w:tcW w:w="180" w:type="dxa"/>
            <w:vAlign w:val="bottom"/>
          </w:tcPr>
          <w:p>
            <w:pPr>
              <w:spacing w:after="0"/>
              <w:rPr>
                <w:sz w:val="17"/>
                <w:szCs w:val="17"/>
                <w:color w:val="auto"/>
              </w:rPr>
            </w:pPr>
          </w:p>
        </w:tc>
        <w:tc>
          <w:tcPr>
            <w:tcW w:w="2680" w:type="dxa"/>
            <w:vAlign w:val="bottom"/>
            <w:gridSpan w:val="4"/>
          </w:tcPr>
          <w:p>
            <w:pPr>
              <w:jc w:val="right"/>
              <w:ind w:right="148"/>
              <w:spacing w:after="0"/>
              <w:rPr>
                <w:sz w:val="20"/>
                <w:szCs w:val="20"/>
                <w:color w:val="auto"/>
              </w:rPr>
            </w:pPr>
            <w:r>
              <w:rPr>
                <w:rFonts w:ascii="Arial" w:cs="Arial" w:eastAsia="Arial" w:hAnsi="Arial"/>
                <w:sz w:val="14"/>
                <w:szCs w:val="14"/>
                <w:b w:val="1"/>
                <w:bCs w:val="1"/>
                <w:color w:val="auto"/>
              </w:rPr>
              <w:t>Nine Months Ended September 30,</w:t>
            </w:r>
          </w:p>
        </w:tc>
      </w:tr>
      <w:tr>
        <w:trPr>
          <w:trHeight w:val="264"/>
        </w:trPr>
        <w:tc>
          <w:tcPr>
            <w:tcW w:w="4600" w:type="dxa"/>
            <w:vAlign w:val="bottom"/>
            <w:tcBorders>
              <w:bottom w:val="single" w:sz="8" w:color="CCEEFF"/>
            </w:tcBorders>
          </w:tcPr>
          <w:p>
            <w:pPr>
              <w:spacing w:after="0"/>
              <w:rPr>
                <w:sz w:val="22"/>
                <w:szCs w:val="22"/>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2017</w:t>
            </w:r>
          </w:p>
        </w:tc>
        <w:tc>
          <w:tcPr>
            <w:tcW w:w="580" w:type="dxa"/>
            <w:vAlign w:val="bottom"/>
            <w:tcBorders>
              <w:top w:val="single" w:sz="8" w:color="auto"/>
              <w:bottom w:val="single" w:sz="8" w:color="auto"/>
            </w:tcBorders>
          </w:tcPr>
          <w:p>
            <w:pPr>
              <w:spacing w:after="0"/>
              <w:rPr>
                <w:sz w:val="22"/>
                <w:szCs w:val="22"/>
                <w:color w:val="auto"/>
              </w:rPr>
            </w:pPr>
          </w:p>
        </w:tc>
        <w:tc>
          <w:tcPr>
            <w:tcW w:w="120" w:type="dxa"/>
            <w:vAlign w:val="bottom"/>
            <w:tcBorders>
              <w:top w:val="single" w:sz="8" w:color="auto"/>
              <w:bottom w:val="single" w:sz="8" w:color="CCEEFF"/>
            </w:tcBorders>
          </w:tcPr>
          <w:p>
            <w:pPr>
              <w:spacing w:after="0"/>
              <w:rPr>
                <w:sz w:val="22"/>
                <w:szCs w:val="22"/>
                <w:color w:val="auto"/>
              </w:rPr>
            </w:pPr>
          </w:p>
        </w:tc>
        <w:tc>
          <w:tcPr>
            <w:tcW w:w="340" w:type="dxa"/>
            <w:vAlign w:val="bottom"/>
            <w:tcBorders>
              <w:top w:val="single" w:sz="8" w:color="auto"/>
              <w:bottom w:val="single" w:sz="8" w:color="auto"/>
            </w:tcBorders>
          </w:tcPr>
          <w:p>
            <w:pPr>
              <w:spacing w:after="0"/>
              <w:rPr>
                <w:sz w:val="22"/>
                <w:szCs w:val="22"/>
                <w:color w:val="auto"/>
              </w:rPr>
            </w:pPr>
          </w:p>
        </w:tc>
        <w:tc>
          <w:tcPr>
            <w:tcW w:w="1140" w:type="dxa"/>
            <w:vAlign w:val="bottom"/>
            <w:tcBorders>
              <w:top w:val="single" w:sz="8" w:color="auto"/>
              <w:bottom w:val="single" w:sz="8" w:color="auto"/>
            </w:tcBorders>
          </w:tcPr>
          <w:p>
            <w:pPr>
              <w:jc w:val="right"/>
              <w:ind w:right="508"/>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CCEEFF"/>
            </w:tcBorders>
          </w:tcPr>
          <w:p>
            <w:pPr>
              <w:spacing w:after="0"/>
              <w:rPr>
                <w:sz w:val="22"/>
                <w:szCs w:val="22"/>
                <w:color w:val="auto"/>
              </w:rPr>
            </w:pPr>
          </w:p>
        </w:tc>
        <w:tc>
          <w:tcPr>
            <w:tcW w:w="180" w:type="dxa"/>
            <w:vAlign w:val="bottom"/>
            <w:tcBorders>
              <w:top w:val="single" w:sz="8" w:color="auto"/>
              <w:bottom w:val="single" w:sz="8" w:color="auto"/>
            </w:tcBorders>
          </w:tcPr>
          <w:p>
            <w:pPr>
              <w:spacing w:after="0"/>
              <w:rPr>
                <w:sz w:val="22"/>
                <w:szCs w:val="22"/>
                <w:color w:val="auto"/>
              </w:rPr>
            </w:pPr>
          </w:p>
        </w:tc>
        <w:tc>
          <w:tcPr>
            <w:tcW w:w="1320" w:type="dxa"/>
            <w:vAlign w:val="bottom"/>
            <w:tcBorders>
              <w:top w:val="single" w:sz="8" w:color="auto"/>
              <w:bottom w:val="single" w:sz="8" w:color="auto"/>
            </w:tcBorders>
          </w:tcPr>
          <w:p>
            <w:pPr>
              <w:jc w:val="right"/>
              <w:ind w:right="528"/>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top w:val="single" w:sz="8" w:color="auto"/>
              <w:bottom w:val="single" w:sz="8" w:color="CCEEFF"/>
            </w:tcBorders>
          </w:tcPr>
          <w:p>
            <w:pPr>
              <w:spacing w:after="0"/>
              <w:rPr>
                <w:sz w:val="22"/>
                <w:szCs w:val="22"/>
                <w:color w:val="auto"/>
              </w:rPr>
            </w:pPr>
          </w:p>
        </w:tc>
        <w:tc>
          <w:tcPr>
            <w:tcW w:w="280" w:type="dxa"/>
            <w:vAlign w:val="bottom"/>
            <w:tcBorders>
              <w:top w:val="single" w:sz="8" w:color="auto"/>
              <w:bottom w:val="single" w:sz="8" w:color="auto"/>
            </w:tcBorders>
          </w:tcPr>
          <w:p>
            <w:pPr>
              <w:spacing w:after="0"/>
              <w:rPr>
                <w:sz w:val="22"/>
                <w:szCs w:val="22"/>
                <w:color w:val="auto"/>
              </w:rPr>
            </w:pPr>
          </w:p>
        </w:tc>
        <w:tc>
          <w:tcPr>
            <w:tcW w:w="980" w:type="dxa"/>
            <w:vAlign w:val="bottom"/>
            <w:tcBorders>
              <w:top w:val="single" w:sz="8" w:color="auto"/>
              <w:bottom w:val="single" w:sz="8" w:color="auto"/>
            </w:tcBorders>
          </w:tcPr>
          <w:p>
            <w:pPr>
              <w:jc w:val="right"/>
              <w:ind w:right="388"/>
              <w:spacing w:after="0"/>
              <w:rPr>
                <w:sz w:val="20"/>
                <w:szCs w:val="20"/>
                <w:color w:val="auto"/>
              </w:rPr>
            </w:pPr>
            <w:r>
              <w:rPr>
                <w:rFonts w:ascii="Arial" w:cs="Arial" w:eastAsia="Arial" w:hAnsi="Arial"/>
                <w:sz w:val="14"/>
                <w:szCs w:val="14"/>
                <w:b w:val="1"/>
                <w:bCs w:val="1"/>
                <w:color w:val="auto"/>
              </w:rPr>
              <w:t>2016</w:t>
            </w:r>
          </w:p>
        </w:tc>
      </w:tr>
      <w:tr>
        <w:trPr>
          <w:trHeight w:val="251"/>
        </w:trPr>
        <w:tc>
          <w:tcPr>
            <w:tcW w:w="4600" w:type="dxa"/>
            <w:vAlign w:val="bottom"/>
            <w:shd w:val="clear" w:color="auto" w:fill="CCEEFF"/>
          </w:tcPr>
          <w:p>
            <w:pPr>
              <w:ind w:left="20"/>
              <w:spacing w:after="0"/>
              <w:rPr>
                <w:sz w:val="20"/>
                <w:szCs w:val="20"/>
                <w:color w:val="auto"/>
              </w:rPr>
            </w:pPr>
            <w:r>
              <w:rPr>
                <w:rFonts w:ascii="Arial" w:cs="Arial" w:eastAsia="Arial" w:hAnsi="Arial"/>
                <w:sz w:val="14"/>
                <w:szCs w:val="14"/>
                <w:color w:val="auto"/>
              </w:rPr>
              <w:t>Depreciation expense for leasing equipment</w:t>
            </w:r>
          </w:p>
        </w:tc>
        <w:tc>
          <w:tcPr>
            <w:tcW w:w="940" w:type="dxa"/>
            <w:vAlign w:val="bottom"/>
            <w:shd w:val="clear" w:color="auto" w:fill="CCEEFF"/>
          </w:tcPr>
          <w:p>
            <w:pPr>
              <w:jc w:val="right"/>
              <w:ind w:right="768"/>
              <w:spacing w:after="0"/>
              <w:rPr>
                <w:sz w:val="20"/>
                <w:szCs w:val="20"/>
                <w:color w:val="auto"/>
              </w:rPr>
            </w:pPr>
            <w:r>
              <w:rPr>
                <w:rFonts w:ascii="Arial" w:cs="Arial" w:eastAsia="Arial" w:hAnsi="Arial"/>
                <w:sz w:val="14"/>
                <w:szCs w:val="14"/>
                <w:b w:val="1"/>
                <w:bCs w:val="1"/>
                <w:color w:val="auto"/>
              </w:rPr>
              <w:t>$</w:t>
            </w:r>
          </w:p>
        </w:tc>
        <w:tc>
          <w:tcPr>
            <w:tcW w:w="58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19,792</w:t>
            </w:r>
          </w:p>
        </w:tc>
        <w:tc>
          <w:tcPr>
            <w:tcW w:w="120" w:type="dxa"/>
            <w:vAlign w:val="bottom"/>
            <w:shd w:val="clear" w:color="auto" w:fill="CCEEFF"/>
          </w:tcPr>
          <w:p>
            <w:pPr>
              <w:spacing w:after="0"/>
              <w:rPr>
                <w:sz w:val="21"/>
                <w:szCs w:val="21"/>
                <w:color w:val="auto"/>
              </w:rPr>
            </w:pPr>
          </w:p>
        </w:tc>
        <w:tc>
          <w:tcPr>
            <w:tcW w:w="34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11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11,322</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32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48,934</w:t>
            </w: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9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31,065</w:t>
            </w:r>
          </w:p>
        </w:tc>
      </w:tr>
    </w:tbl>
    <w:p>
      <w:pPr>
        <w:spacing w:after="0" w:line="22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16</w:t>
      </w:r>
    </w:p>
    <w:p>
      <w:pPr>
        <w:sectPr>
          <w:pgSz w:w="11900" w:h="16838" w:orient="portrait"/>
          <w:cols w:equalWidth="0" w:num="1">
            <w:col w:w="11420"/>
          </w:cols>
          <w:pgMar w:left="240" w:top="117" w:right="239" w:bottom="1440" w:gutter="0" w:footer="0" w:header="0"/>
        </w:sectPr>
      </w:pPr>
    </w:p>
    <w:bookmarkStart w:id="16" w:name="page17"/>
    <w:bookmarkEnd w:id="16"/>
    <w:p>
      <w:pPr>
        <w:ind w:right="3820"/>
        <w:spacing w:after="0" w:line="305" w:lineRule="auto"/>
        <w:rPr>
          <w:sz w:val="20"/>
          <w:szCs w:val="20"/>
          <w:color w:val="auto"/>
        </w:rPr>
      </w:pPr>
      <w:r>
        <w:rPr>
          <w:rFonts w:ascii="Arial" w:cs="Arial" w:eastAsia="Arial" w:hAnsi="Arial"/>
          <w:sz w:val="22"/>
          <w:szCs w:val="22"/>
          <w:b w:val="1"/>
          <w:bCs w:val="1"/>
          <w:color w:val="00497F"/>
        </w:rPr>
        <w:t xml:space="preserve">FORTRESS TRANSPORTATION AND INFRASTRUCTURE INVESTORS LLC NOTES TO CONSOLIDATED FINANCIAL STATEMENTS </w:t>
      </w:r>
      <w:r>
        <w:rPr>
          <w:rFonts w:ascii="Arial" w:cs="Arial" w:eastAsia="Arial" w:hAnsi="Arial"/>
          <w:sz w:val="22"/>
          <w:szCs w:val="22"/>
          <w:b w:val="1"/>
          <w:bCs w:val="1"/>
          <w:i w:val="1"/>
          <w:iCs w:val="1"/>
          <w:color w:val="00497F"/>
        </w:rPr>
        <w:t>(unaudited)</w:t>
      </w:r>
    </w:p>
    <w:p>
      <w:pPr>
        <w:spacing w:after="0"/>
        <w:rPr>
          <w:sz w:val="20"/>
          <w:szCs w:val="20"/>
          <w:color w:val="auto"/>
        </w:rPr>
      </w:pPr>
      <w:r>
        <w:rPr>
          <w:rFonts w:ascii="Arial" w:cs="Arial" w:eastAsia="Arial" w:hAnsi="Arial"/>
          <w:sz w:val="18"/>
          <w:szCs w:val="18"/>
          <w:i w:val="1"/>
          <w:iCs w:val="1"/>
          <w:color w:val="00497F"/>
        </w:rPr>
        <w:t>(Dollar amounts in thousands, unless otherwise noted)</w:t>
      </w:r>
    </w:p>
    <w:p>
      <w:pPr>
        <w:spacing w:after="0" w:line="392" w:lineRule="exact"/>
        <w:rPr>
          <w:sz w:val="20"/>
          <w:szCs w:val="20"/>
          <w:color w:val="auto"/>
        </w:rPr>
      </w:pPr>
    </w:p>
    <w:tbl>
      <w:tblPr>
        <w:tblLayout w:type="fixed"/>
        <w:tblInd w:w="0" w:type="dxa"/>
        <w:tblCellMar>
          <w:top w:w="0" w:type="dxa"/>
          <w:left w:w="0" w:type="dxa"/>
          <w:bottom w:w="0" w:type="dxa"/>
          <w:right w:w="0" w:type="dxa"/>
        </w:tblCellMar>
      </w:tblPr>
      <w:tr>
        <w:trPr>
          <w:trHeight w:val="306"/>
        </w:trPr>
        <w:tc>
          <w:tcPr>
            <w:tcW w:w="340" w:type="dxa"/>
            <w:vAlign w:val="bottom"/>
          </w:tcPr>
          <w:p>
            <w:pPr>
              <w:jc w:val="right"/>
              <w:ind w:right="52"/>
              <w:spacing w:after="0"/>
              <w:rPr>
                <w:sz w:val="20"/>
                <w:szCs w:val="20"/>
                <w:color w:val="auto"/>
              </w:rPr>
            </w:pPr>
            <w:r>
              <w:rPr>
                <w:rFonts w:ascii="Arial" w:cs="Arial" w:eastAsia="Arial" w:hAnsi="Arial"/>
                <w:sz w:val="22"/>
                <w:szCs w:val="22"/>
                <w:b w:val="1"/>
                <w:bCs w:val="1"/>
                <w:color w:val="00497F"/>
                <w:w w:val="86"/>
              </w:rPr>
              <w:t>4.</w:t>
            </w:r>
          </w:p>
        </w:tc>
        <w:tc>
          <w:tcPr>
            <w:tcW w:w="6940" w:type="dxa"/>
            <w:vAlign w:val="bottom"/>
          </w:tcPr>
          <w:p>
            <w:pPr>
              <w:ind w:left="140"/>
              <w:spacing w:after="0"/>
              <w:rPr>
                <w:sz w:val="20"/>
                <w:szCs w:val="20"/>
                <w:color w:val="auto"/>
              </w:rPr>
            </w:pPr>
            <w:r>
              <w:rPr>
                <w:rFonts w:ascii="Arial" w:cs="Arial" w:eastAsia="Arial" w:hAnsi="Arial"/>
                <w:sz w:val="22"/>
                <w:szCs w:val="22"/>
                <w:b w:val="1"/>
                <w:bCs w:val="1"/>
                <w:color w:val="00497F"/>
              </w:rPr>
              <w:t>FINANCE LEASES, NET</w:t>
            </w:r>
          </w:p>
        </w:tc>
        <w:tc>
          <w:tcPr>
            <w:tcW w:w="16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20" w:type="dxa"/>
            <w:vAlign w:val="bottom"/>
          </w:tcPr>
          <w:p>
            <w:pPr>
              <w:spacing w:after="0"/>
              <w:rPr>
                <w:sz w:val="24"/>
                <w:szCs w:val="24"/>
                <w:color w:val="auto"/>
              </w:rPr>
            </w:pPr>
          </w:p>
        </w:tc>
      </w:tr>
      <w:tr>
        <w:trPr>
          <w:trHeight w:val="350"/>
        </w:trPr>
        <w:tc>
          <w:tcPr>
            <w:tcW w:w="340" w:type="dxa"/>
            <w:vAlign w:val="bottom"/>
          </w:tcPr>
          <w:p>
            <w:pPr>
              <w:spacing w:after="0"/>
              <w:rPr>
                <w:sz w:val="24"/>
                <w:szCs w:val="24"/>
                <w:color w:val="auto"/>
              </w:rPr>
            </w:pPr>
          </w:p>
        </w:tc>
        <w:tc>
          <w:tcPr>
            <w:tcW w:w="6940" w:type="dxa"/>
            <w:vAlign w:val="bottom"/>
          </w:tcPr>
          <w:p>
            <w:pPr>
              <w:spacing w:after="0"/>
              <w:rPr>
                <w:sz w:val="20"/>
                <w:szCs w:val="20"/>
                <w:color w:val="auto"/>
              </w:rPr>
            </w:pPr>
            <w:r>
              <w:rPr>
                <w:rFonts w:ascii="Arial" w:cs="Arial" w:eastAsia="Arial" w:hAnsi="Arial"/>
                <w:sz w:val="16"/>
                <w:szCs w:val="16"/>
                <w:color w:val="auto"/>
              </w:rPr>
              <w:t>Finance leases, net are summarized as follows:</w:t>
            </w:r>
          </w:p>
        </w:tc>
        <w:tc>
          <w:tcPr>
            <w:tcW w:w="16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20" w:type="dxa"/>
            <w:vAlign w:val="bottom"/>
          </w:tcPr>
          <w:p>
            <w:pPr>
              <w:spacing w:after="0"/>
              <w:rPr>
                <w:sz w:val="24"/>
                <w:szCs w:val="24"/>
                <w:color w:val="auto"/>
              </w:rPr>
            </w:pPr>
          </w:p>
        </w:tc>
      </w:tr>
      <w:tr>
        <w:trPr>
          <w:trHeight w:val="378"/>
        </w:trPr>
        <w:tc>
          <w:tcPr>
            <w:tcW w:w="340" w:type="dxa"/>
            <w:vAlign w:val="bottom"/>
          </w:tcPr>
          <w:p>
            <w:pPr>
              <w:spacing w:after="0"/>
              <w:rPr>
                <w:sz w:val="24"/>
                <w:szCs w:val="24"/>
                <w:color w:val="auto"/>
              </w:rPr>
            </w:pPr>
          </w:p>
        </w:tc>
        <w:tc>
          <w:tcPr>
            <w:tcW w:w="69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760" w:type="dxa"/>
            <w:vAlign w:val="bottom"/>
            <w:gridSpan w:val="2"/>
          </w:tcPr>
          <w:p>
            <w:pPr>
              <w:ind w:left="80"/>
              <w:spacing w:after="0"/>
              <w:rPr>
                <w:sz w:val="20"/>
                <w:szCs w:val="20"/>
                <w:color w:val="auto"/>
              </w:rPr>
            </w:pPr>
            <w:r>
              <w:rPr>
                <w:rFonts w:ascii="Arial" w:cs="Arial" w:eastAsia="Arial" w:hAnsi="Arial"/>
                <w:sz w:val="14"/>
                <w:szCs w:val="14"/>
                <w:b w:val="1"/>
                <w:bCs w:val="1"/>
                <w:color w:val="auto"/>
              </w:rPr>
              <w:t>September 30, 2017</w:t>
            </w:r>
          </w:p>
        </w:tc>
        <w:tc>
          <w:tcPr>
            <w:tcW w:w="180" w:type="dxa"/>
            <w:vAlign w:val="bottom"/>
          </w:tcPr>
          <w:p>
            <w:pPr>
              <w:spacing w:after="0"/>
              <w:rPr>
                <w:sz w:val="24"/>
                <w:szCs w:val="24"/>
                <w:color w:val="auto"/>
              </w:rPr>
            </w:pPr>
          </w:p>
        </w:tc>
        <w:tc>
          <w:tcPr>
            <w:tcW w:w="1620" w:type="dxa"/>
            <w:vAlign w:val="bottom"/>
          </w:tcPr>
          <w:p>
            <w:pPr>
              <w:jc w:val="right"/>
              <w:ind w:right="168"/>
              <w:spacing w:after="0"/>
              <w:rPr>
                <w:sz w:val="20"/>
                <w:szCs w:val="20"/>
                <w:color w:val="auto"/>
              </w:rPr>
            </w:pPr>
            <w:r>
              <w:rPr>
                <w:rFonts w:ascii="Arial" w:cs="Arial" w:eastAsia="Arial" w:hAnsi="Arial"/>
                <w:sz w:val="14"/>
                <w:szCs w:val="14"/>
                <w:b w:val="1"/>
                <w:bCs w:val="1"/>
                <w:color w:val="auto"/>
              </w:rPr>
              <w:t>December 31, 2016</w:t>
            </w:r>
          </w:p>
        </w:tc>
      </w:tr>
      <w:tr>
        <w:trPr>
          <w:trHeight w:val="29"/>
        </w:trPr>
        <w:tc>
          <w:tcPr>
            <w:tcW w:w="340" w:type="dxa"/>
            <w:vAlign w:val="bottom"/>
          </w:tcPr>
          <w:p>
            <w:pPr>
              <w:spacing w:after="0"/>
              <w:rPr>
                <w:sz w:val="2"/>
                <w:szCs w:val="2"/>
                <w:color w:val="auto"/>
              </w:rPr>
            </w:pPr>
          </w:p>
        </w:tc>
        <w:tc>
          <w:tcPr>
            <w:tcW w:w="694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r>
      <w:tr>
        <w:trPr>
          <w:trHeight w:val="249"/>
        </w:trPr>
        <w:tc>
          <w:tcPr>
            <w:tcW w:w="340" w:type="dxa"/>
            <w:vAlign w:val="bottom"/>
          </w:tcPr>
          <w:p>
            <w:pPr>
              <w:spacing w:after="0"/>
              <w:rPr>
                <w:sz w:val="21"/>
                <w:szCs w:val="21"/>
                <w:color w:val="auto"/>
              </w:rPr>
            </w:pPr>
          </w:p>
        </w:tc>
        <w:tc>
          <w:tcPr>
            <w:tcW w:w="6940" w:type="dxa"/>
            <w:vAlign w:val="bottom"/>
          </w:tcPr>
          <w:p>
            <w:pPr>
              <w:ind w:left="20"/>
              <w:spacing w:after="0"/>
              <w:rPr>
                <w:sz w:val="20"/>
                <w:szCs w:val="20"/>
                <w:color w:val="auto"/>
              </w:rPr>
            </w:pPr>
            <w:r>
              <w:rPr>
                <w:rFonts w:ascii="Arial" w:cs="Arial" w:eastAsia="Arial" w:hAnsi="Arial"/>
                <w:sz w:val="14"/>
                <w:szCs w:val="14"/>
                <w:color w:val="auto"/>
              </w:rPr>
              <w:t>Finance leases</w:t>
            </w:r>
          </w:p>
        </w:tc>
        <w:tc>
          <w:tcPr>
            <w:tcW w:w="16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660" w:type="dxa"/>
            <w:vAlign w:val="bottom"/>
          </w:tcPr>
          <w:p>
            <w:pPr>
              <w:jc w:val="right"/>
              <w:ind w:right="28"/>
              <w:spacing w:after="0"/>
              <w:rPr>
                <w:sz w:val="20"/>
                <w:szCs w:val="20"/>
                <w:color w:val="auto"/>
              </w:rPr>
            </w:pPr>
            <w:r>
              <w:rPr>
                <w:rFonts w:ascii="Arial" w:cs="Arial" w:eastAsia="Arial" w:hAnsi="Arial"/>
                <w:sz w:val="14"/>
                <w:szCs w:val="14"/>
                <w:b w:val="1"/>
                <w:bCs w:val="1"/>
                <w:color w:val="auto"/>
              </w:rPr>
              <w:t>16,521</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4"/>
                <w:szCs w:val="14"/>
                <w:color w:val="auto"/>
              </w:rPr>
              <w:t>$</w:t>
            </w:r>
          </w:p>
        </w:tc>
        <w:tc>
          <w:tcPr>
            <w:tcW w:w="1620" w:type="dxa"/>
            <w:vAlign w:val="bottom"/>
          </w:tcPr>
          <w:p>
            <w:pPr>
              <w:jc w:val="right"/>
              <w:ind w:right="28"/>
              <w:spacing w:after="0"/>
              <w:rPr>
                <w:sz w:val="20"/>
                <w:szCs w:val="20"/>
                <w:color w:val="auto"/>
              </w:rPr>
            </w:pPr>
            <w:r>
              <w:rPr>
                <w:rFonts w:ascii="Arial" w:cs="Arial" w:eastAsia="Arial" w:hAnsi="Arial"/>
                <w:sz w:val="14"/>
                <w:szCs w:val="14"/>
                <w:color w:val="auto"/>
              </w:rPr>
              <w:t>18,022</w:t>
            </w:r>
          </w:p>
        </w:tc>
      </w:tr>
      <w:tr>
        <w:trPr>
          <w:trHeight w:val="270"/>
        </w:trPr>
        <w:tc>
          <w:tcPr>
            <w:tcW w:w="340" w:type="dxa"/>
            <w:vAlign w:val="bottom"/>
          </w:tcPr>
          <w:p>
            <w:pPr>
              <w:spacing w:after="0"/>
              <w:rPr>
                <w:sz w:val="23"/>
                <w:szCs w:val="23"/>
                <w:color w:val="auto"/>
              </w:rPr>
            </w:pPr>
          </w:p>
        </w:tc>
        <w:tc>
          <w:tcPr>
            <w:tcW w:w="6940" w:type="dxa"/>
            <w:vAlign w:val="bottom"/>
            <w:shd w:val="clear" w:color="auto" w:fill="CCEEFF"/>
          </w:tcPr>
          <w:p>
            <w:pPr>
              <w:ind w:left="20"/>
              <w:spacing w:after="0"/>
              <w:rPr>
                <w:sz w:val="20"/>
                <w:szCs w:val="20"/>
                <w:color w:val="auto"/>
              </w:rPr>
            </w:pPr>
            <w:r>
              <w:rPr>
                <w:rFonts w:ascii="Arial" w:cs="Arial" w:eastAsia="Arial" w:hAnsi="Arial"/>
                <w:sz w:val="14"/>
                <w:szCs w:val="14"/>
                <w:color w:val="auto"/>
              </w:rPr>
              <w:t>Unearned revenue</w:t>
            </w:r>
          </w:p>
        </w:tc>
        <w:tc>
          <w:tcPr>
            <w:tcW w:w="160" w:type="dxa"/>
            <w:vAlign w:val="bottom"/>
            <w:tcBorders>
              <w:bottom w:val="single" w:sz="8" w:color="auto"/>
            </w:tcBorders>
            <w:shd w:val="clear" w:color="auto" w:fill="CCEEFF"/>
          </w:tcPr>
          <w:p>
            <w:pPr>
              <w:spacing w:after="0"/>
              <w:rPr>
                <w:sz w:val="23"/>
                <w:szCs w:val="23"/>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(7,151)</w:t>
            </w:r>
          </w:p>
        </w:tc>
        <w:tc>
          <w:tcPr>
            <w:tcW w:w="10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(8,305)</w:t>
            </w:r>
          </w:p>
        </w:tc>
      </w:tr>
      <w:tr>
        <w:trPr>
          <w:trHeight w:val="238"/>
        </w:trPr>
        <w:tc>
          <w:tcPr>
            <w:tcW w:w="340" w:type="dxa"/>
            <w:vAlign w:val="bottom"/>
          </w:tcPr>
          <w:p>
            <w:pPr>
              <w:spacing w:after="0"/>
              <w:rPr>
                <w:sz w:val="20"/>
                <w:szCs w:val="20"/>
                <w:color w:val="auto"/>
              </w:rPr>
            </w:pPr>
          </w:p>
        </w:tc>
        <w:tc>
          <w:tcPr>
            <w:tcW w:w="6940" w:type="dxa"/>
            <w:vAlign w:val="bottom"/>
          </w:tcPr>
          <w:p>
            <w:pPr>
              <w:ind w:left="20"/>
              <w:spacing w:after="0"/>
              <w:rPr>
                <w:sz w:val="20"/>
                <w:szCs w:val="20"/>
                <w:color w:val="auto"/>
              </w:rPr>
            </w:pPr>
            <w:r>
              <w:rPr>
                <w:rFonts w:ascii="Arial" w:cs="Arial" w:eastAsia="Arial" w:hAnsi="Arial"/>
                <w:sz w:val="14"/>
                <w:szCs w:val="14"/>
                <w:b w:val="1"/>
                <w:bCs w:val="1"/>
                <w:color w:val="auto"/>
              </w:rPr>
              <w:t>Finance leases, net</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16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9,370</w:t>
            </w:r>
          </w:p>
        </w:tc>
        <w:tc>
          <w:tcPr>
            <w:tcW w:w="100" w:type="dxa"/>
            <w:vAlign w:val="bottom"/>
          </w:tcPr>
          <w:p>
            <w:pPr>
              <w:spacing w:after="0"/>
              <w:rPr>
                <w:sz w:val="20"/>
                <w:szCs w:val="20"/>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6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9,717</w:t>
            </w:r>
          </w:p>
        </w:tc>
      </w:tr>
      <w:tr>
        <w:trPr>
          <w:trHeight w:val="20"/>
        </w:trPr>
        <w:tc>
          <w:tcPr>
            <w:tcW w:w="340" w:type="dxa"/>
            <w:vAlign w:val="bottom"/>
          </w:tcPr>
          <w:p>
            <w:pPr>
              <w:spacing w:after="0" w:line="20" w:lineRule="exact"/>
              <w:rPr>
                <w:sz w:val="1"/>
                <w:szCs w:val="1"/>
                <w:color w:val="auto"/>
              </w:rPr>
            </w:pPr>
          </w:p>
        </w:tc>
        <w:tc>
          <w:tcPr>
            <w:tcW w:w="69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r>
    </w:tbl>
    <w:p>
      <w:pPr>
        <w:spacing w:after="0" w:line="157" w:lineRule="exact"/>
        <w:rPr>
          <w:sz w:val="20"/>
          <w:szCs w:val="20"/>
          <w:color w:val="auto"/>
        </w:rPr>
      </w:pPr>
    </w:p>
    <w:p>
      <w:pPr>
        <w:ind w:left="340"/>
        <w:spacing w:after="0"/>
        <w:rPr>
          <w:sz w:val="20"/>
          <w:szCs w:val="20"/>
          <w:color w:val="auto"/>
        </w:rPr>
      </w:pPr>
      <w:r>
        <w:rPr>
          <w:rFonts w:ascii="Arial" w:cs="Arial" w:eastAsia="Arial" w:hAnsi="Arial"/>
          <w:sz w:val="16"/>
          <w:szCs w:val="16"/>
          <w:color w:val="auto"/>
        </w:rPr>
        <w:t>As of September 30, 2017, future minimum lease payments to be received under finance leases for the remainder of the lease terms are as follows:</w:t>
      </w:r>
    </w:p>
    <w:p>
      <w:pPr>
        <w:spacing w:after="0" w:line="238" w:lineRule="exact"/>
        <w:rPr>
          <w:sz w:val="20"/>
          <w:szCs w:val="20"/>
          <w:color w:val="auto"/>
        </w:rPr>
      </w:pPr>
    </w:p>
    <w:tbl>
      <w:tblPr>
        <w:tblLayout w:type="fixed"/>
        <w:tblInd w:w="340" w:type="dxa"/>
        <w:tblCellMar>
          <w:top w:w="0" w:type="dxa"/>
          <w:left w:w="0" w:type="dxa"/>
          <w:bottom w:w="0" w:type="dxa"/>
          <w:right w:w="0" w:type="dxa"/>
        </w:tblCellMar>
      </w:tblPr>
      <w:tr>
        <w:trPr>
          <w:trHeight w:val="203"/>
        </w:trPr>
        <w:tc>
          <w:tcPr>
            <w:tcW w:w="8940" w:type="dxa"/>
            <w:vAlign w:val="bottom"/>
            <w:tcBorders>
              <w:bottom w:val="single" w:sz="8" w:color="CCEEFF"/>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right"/>
              <w:ind w:right="608"/>
              <w:spacing w:after="0"/>
              <w:rPr>
                <w:sz w:val="20"/>
                <w:szCs w:val="20"/>
                <w:color w:val="auto"/>
              </w:rPr>
            </w:pPr>
            <w:r>
              <w:rPr>
                <w:rFonts w:ascii="Arial" w:cs="Arial" w:eastAsia="Arial" w:hAnsi="Arial"/>
                <w:sz w:val="14"/>
                <w:szCs w:val="14"/>
                <w:b w:val="1"/>
                <w:bCs w:val="1"/>
                <w:color w:val="auto"/>
              </w:rPr>
              <w:t>Total</w:t>
            </w:r>
          </w:p>
        </w:tc>
      </w:tr>
      <w:tr>
        <w:trPr>
          <w:trHeight w:val="211"/>
        </w:trPr>
        <w:tc>
          <w:tcPr>
            <w:tcW w:w="8940" w:type="dxa"/>
            <w:vAlign w:val="bottom"/>
            <w:shd w:val="clear" w:color="auto" w:fill="CCEEFF"/>
          </w:tcPr>
          <w:p>
            <w:pPr>
              <w:ind w:left="20"/>
              <w:spacing w:after="0"/>
              <w:rPr>
                <w:sz w:val="20"/>
                <w:szCs w:val="20"/>
                <w:color w:val="auto"/>
              </w:rPr>
            </w:pPr>
            <w:r>
              <w:rPr>
                <w:rFonts w:ascii="Arial" w:cs="Arial" w:eastAsia="Arial" w:hAnsi="Arial"/>
                <w:sz w:val="14"/>
                <w:szCs w:val="14"/>
                <w:color w:val="auto"/>
              </w:rPr>
              <w:t>2017</w:t>
            </w:r>
          </w:p>
        </w:tc>
        <w:tc>
          <w:tcPr>
            <w:tcW w:w="380" w:type="dxa"/>
            <w:vAlign w:val="bottom"/>
            <w:shd w:val="clear" w:color="auto" w:fill="CCEEFF"/>
          </w:tcPr>
          <w:p>
            <w:pPr>
              <w:jc w:val="right"/>
              <w:ind w:right="208"/>
              <w:spacing w:after="0"/>
              <w:rPr>
                <w:sz w:val="20"/>
                <w:szCs w:val="20"/>
                <w:color w:val="auto"/>
              </w:rPr>
            </w:pPr>
            <w:r>
              <w:rPr>
                <w:rFonts w:ascii="Arial" w:cs="Arial" w:eastAsia="Arial" w:hAnsi="Arial"/>
                <w:sz w:val="14"/>
                <w:szCs w:val="14"/>
                <w:color w:val="auto"/>
              </w:rPr>
              <w:t>$</w:t>
            </w:r>
          </w:p>
        </w:tc>
        <w:tc>
          <w:tcPr>
            <w:tcW w:w="13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507</w:t>
            </w:r>
          </w:p>
        </w:tc>
      </w:tr>
      <w:tr>
        <w:trPr>
          <w:trHeight w:val="212"/>
        </w:trPr>
        <w:tc>
          <w:tcPr>
            <w:tcW w:w="8940" w:type="dxa"/>
            <w:vAlign w:val="bottom"/>
          </w:tcPr>
          <w:p>
            <w:pPr>
              <w:ind w:left="20"/>
              <w:spacing w:after="0"/>
              <w:rPr>
                <w:sz w:val="20"/>
                <w:szCs w:val="20"/>
                <w:color w:val="auto"/>
              </w:rPr>
            </w:pPr>
            <w:r>
              <w:rPr>
                <w:rFonts w:ascii="Arial" w:cs="Arial" w:eastAsia="Arial" w:hAnsi="Arial"/>
                <w:sz w:val="14"/>
                <w:szCs w:val="14"/>
                <w:color w:val="auto"/>
              </w:rPr>
              <w:t>2018</w:t>
            </w:r>
          </w:p>
        </w:tc>
        <w:tc>
          <w:tcPr>
            <w:tcW w:w="380" w:type="dxa"/>
            <w:vAlign w:val="bottom"/>
          </w:tcPr>
          <w:p>
            <w:pPr>
              <w:spacing w:after="0"/>
              <w:rPr>
                <w:sz w:val="18"/>
                <w:szCs w:val="18"/>
                <w:color w:val="auto"/>
              </w:rPr>
            </w:pPr>
          </w:p>
        </w:tc>
        <w:tc>
          <w:tcPr>
            <w:tcW w:w="1320" w:type="dxa"/>
            <w:vAlign w:val="bottom"/>
          </w:tcPr>
          <w:p>
            <w:pPr>
              <w:jc w:val="right"/>
              <w:ind w:right="28"/>
              <w:spacing w:after="0"/>
              <w:rPr>
                <w:sz w:val="20"/>
                <w:szCs w:val="20"/>
                <w:color w:val="auto"/>
              </w:rPr>
            </w:pPr>
            <w:r>
              <w:rPr>
                <w:rFonts w:ascii="Arial" w:cs="Arial" w:eastAsia="Arial" w:hAnsi="Arial"/>
                <w:sz w:val="14"/>
                <w:szCs w:val="14"/>
                <w:color w:val="auto"/>
              </w:rPr>
              <w:t>2,008</w:t>
            </w:r>
          </w:p>
        </w:tc>
      </w:tr>
      <w:tr>
        <w:trPr>
          <w:trHeight w:val="220"/>
        </w:trPr>
        <w:tc>
          <w:tcPr>
            <w:tcW w:w="8940" w:type="dxa"/>
            <w:vAlign w:val="bottom"/>
            <w:shd w:val="clear" w:color="auto" w:fill="CCEEFF"/>
          </w:tcPr>
          <w:p>
            <w:pPr>
              <w:ind w:left="20"/>
              <w:spacing w:after="0"/>
              <w:rPr>
                <w:sz w:val="20"/>
                <w:szCs w:val="20"/>
                <w:color w:val="auto"/>
              </w:rPr>
            </w:pPr>
            <w:r>
              <w:rPr>
                <w:rFonts w:ascii="Arial" w:cs="Arial" w:eastAsia="Arial" w:hAnsi="Arial"/>
                <w:sz w:val="14"/>
                <w:szCs w:val="14"/>
                <w:color w:val="auto"/>
              </w:rPr>
              <w:t>2019</w:t>
            </w:r>
          </w:p>
        </w:tc>
        <w:tc>
          <w:tcPr>
            <w:tcW w:w="380" w:type="dxa"/>
            <w:vAlign w:val="bottom"/>
            <w:shd w:val="clear" w:color="auto" w:fill="CCEEFF"/>
          </w:tcPr>
          <w:p>
            <w:pPr>
              <w:spacing w:after="0"/>
              <w:rPr>
                <w:sz w:val="19"/>
                <w:szCs w:val="19"/>
                <w:color w:val="auto"/>
              </w:rPr>
            </w:pPr>
          </w:p>
        </w:tc>
        <w:tc>
          <w:tcPr>
            <w:tcW w:w="13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2,008</w:t>
            </w:r>
          </w:p>
        </w:tc>
      </w:tr>
      <w:tr>
        <w:trPr>
          <w:trHeight w:val="212"/>
        </w:trPr>
        <w:tc>
          <w:tcPr>
            <w:tcW w:w="8940" w:type="dxa"/>
            <w:vAlign w:val="bottom"/>
          </w:tcPr>
          <w:p>
            <w:pPr>
              <w:ind w:left="20"/>
              <w:spacing w:after="0"/>
              <w:rPr>
                <w:sz w:val="20"/>
                <w:szCs w:val="20"/>
                <w:color w:val="auto"/>
              </w:rPr>
            </w:pPr>
            <w:r>
              <w:rPr>
                <w:rFonts w:ascii="Arial" w:cs="Arial" w:eastAsia="Arial" w:hAnsi="Arial"/>
                <w:sz w:val="14"/>
                <w:szCs w:val="14"/>
                <w:color w:val="auto"/>
              </w:rPr>
              <w:t>2020</w:t>
            </w:r>
          </w:p>
        </w:tc>
        <w:tc>
          <w:tcPr>
            <w:tcW w:w="380" w:type="dxa"/>
            <w:vAlign w:val="bottom"/>
          </w:tcPr>
          <w:p>
            <w:pPr>
              <w:spacing w:after="0"/>
              <w:rPr>
                <w:sz w:val="18"/>
                <w:szCs w:val="18"/>
                <w:color w:val="auto"/>
              </w:rPr>
            </w:pPr>
          </w:p>
        </w:tc>
        <w:tc>
          <w:tcPr>
            <w:tcW w:w="1320" w:type="dxa"/>
            <w:vAlign w:val="bottom"/>
          </w:tcPr>
          <w:p>
            <w:pPr>
              <w:jc w:val="right"/>
              <w:ind w:right="28"/>
              <w:spacing w:after="0"/>
              <w:rPr>
                <w:sz w:val="20"/>
                <w:szCs w:val="20"/>
                <w:color w:val="auto"/>
              </w:rPr>
            </w:pPr>
            <w:r>
              <w:rPr>
                <w:rFonts w:ascii="Arial" w:cs="Arial" w:eastAsia="Arial" w:hAnsi="Arial"/>
                <w:sz w:val="14"/>
                <w:szCs w:val="14"/>
                <w:color w:val="auto"/>
              </w:rPr>
              <w:t>2,013</w:t>
            </w:r>
          </w:p>
        </w:tc>
      </w:tr>
      <w:tr>
        <w:trPr>
          <w:trHeight w:val="220"/>
        </w:trPr>
        <w:tc>
          <w:tcPr>
            <w:tcW w:w="8940" w:type="dxa"/>
            <w:vAlign w:val="bottom"/>
            <w:shd w:val="clear" w:color="auto" w:fill="CCEEFF"/>
          </w:tcPr>
          <w:p>
            <w:pPr>
              <w:ind w:left="20"/>
              <w:spacing w:after="0"/>
              <w:rPr>
                <w:sz w:val="20"/>
                <w:szCs w:val="20"/>
                <w:color w:val="auto"/>
              </w:rPr>
            </w:pPr>
            <w:r>
              <w:rPr>
                <w:rFonts w:ascii="Arial" w:cs="Arial" w:eastAsia="Arial" w:hAnsi="Arial"/>
                <w:sz w:val="14"/>
                <w:szCs w:val="14"/>
                <w:color w:val="auto"/>
              </w:rPr>
              <w:t>2021</w:t>
            </w:r>
          </w:p>
        </w:tc>
        <w:tc>
          <w:tcPr>
            <w:tcW w:w="380" w:type="dxa"/>
            <w:vAlign w:val="bottom"/>
            <w:shd w:val="clear" w:color="auto" w:fill="CCEEFF"/>
          </w:tcPr>
          <w:p>
            <w:pPr>
              <w:spacing w:after="0"/>
              <w:rPr>
                <w:sz w:val="19"/>
                <w:szCs w:val="19"/>
                <w:color w:val="auto"/>
              </w:rPr>
            </w:pPr>
          </w:p>
        </w:tc>
        <w:tc>
          <w:tcPr>
            <w:tcW w:w="13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2,008</w:t>
            </w:r>
          </w:p>
        </w:tc>
      </w:tr>
      <w:tr>
        <w:trPr>
          <w:trHeight w:val="212"/>
        </w:trPr>
        <w:tc>
          <w:tcPr>
            <w:tcW w:w="894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Thereafter</w:t>
            </w:r>
          </w:p>
        </w:tc>
        <w:tc>
          <w:tcPr>
            <w:tcW w:w="38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7,977</w:t>
            </w:r>
          </w:p>
        </w:tc>
      </w:tr>
      <w:tr>
        <w:trPr>
          <w:trHeight w:val="214"/>
        </w:trPr>
        <w:tc>
          <w:tcPr>
            <w:tcW w:w="89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Total</w:t>
            </w:r>
          </w:p>
        </w:tc>
        <w:tc>
          <w:tcPr>
            <w:tcW w:w="380" w:type="dxa"/>
            <w:vAlign w:val="bottom"/>
            <w:tcBorders>
              <w:bottom w:val="single" w:sz="8" w:color="auto"/>
            </w:tcBorders>
            <w:shd w:val="clear" w:color="auto" w:fill="CCEEFF"/>
          </w:tcPr>
          <w:p>
            <w:pPr>
              <w:jc w:val="right"/>
              <w:ind w:right="208"/>
              <w:spacing w:after="0"/>
              <w:rPr>
                <w:sz w:val="20"/>
                <w:szCs w:val="20"/>
                <w:color w:val="auto"/>
              </w:rPr>
            </w:pPr>
            <w:r>
              <w:rPr>
                <w:rFonts w:ascii="Arial" w:cs="Arial" w:eastAsia="Arial" w:hAnsi="Arial"/>
                <w:sz w:val="14"/>
                <w:szCs w:val="14"/>
                <w:b w:val="1"/>
                <w:bCs w:val="1"/>
                <w:color w:val="auto"/>
              </w:rPr>
              <w:t>$</w:t>
            </w:r>
          </w:p>
        </w:tc>
        <w:tc>
          <w:tcPr>
            <w:tcW w:w="13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16,521</w:t>
            </w:r>
          </w:p>
        </w:tc>
      </w:tr>
      <w:tr>
        <w:trPr>
          <w:trHeight w:val="20"/>
        </w:trPr>
        <w:tc>
          <w:tcPr>
            <w:tcW w:w="89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bl>
    <w:p>
      <w:pPr>
        <w:spacing w:after="0" w:line="139" w:lineRule="exact"/>
        <w:rPr>
          <w:sz w:val="20"/>
          <w:szCs w:val="20"/>
          <w:color w:val="auto"/>
        </w:rPr>
      </w:pPr>
    </w:p>
    <w:p>
      <w:pPr>
        <w:spacing w:after="0"/>
        <w:rPr>
          <w:sz w:val="20"/>
          <w:szCs w:val="20"/>
          <w:color w:val="auto"/>
        </w:rPr>
      </w:pPr>
      <w:r>
        <w:rPr>
          <w:rFonts w:ascii="Arial" w:cs="Arial" w:eastAsia="Arial" w:hAnsi="Arial"/>
          <w:sz w:val="22"/>
          <w:szCs w:val="22"/>
          <w:b w:val="1"/>
          <w:bCs w:val="1"/>
          <w:color w:val="00497F"/>
        </w:rPr>
        <w:t>5. PROPERTY, PLANT AND EQUIPMENT, NET</w:t>
      </w:r>
    </w:p>
    <w:p>
      <w:pPr>
        <w:spacing w:after="0" w:line="184" w:lineRule="exact"/>
        <w:rPr>
          <w:sz w:val="20"/>
          <w:szCs w:val="20"/>
          <w:color w:val="auto"/>
        </w:rPr>
      </w:pPr>
    </w:p>
    <w:p>
      <w:pPr>
        <w:ind w:left="340"/>
        <w:spacing w:after="0"/>
        <w:rPr>
          <w:sz w:val="20"/>
          <w:szCs w:val="20"/>
          <w:color w:val="auto"/>
        </w:rPr>
      </w:pPr>
      <w:r>
        <w:rPr>
          <w:rFonts w:ascii="Arial" w:cs="Arial" w:eastAsia="Arial" w:hAnsi="Arial"/>
          <w:sz w:val="16"/>
          <w:szCs w:val="16"/>
          <w:color w:val="auto"/>
        </w:rPr>
        <w:t>Property, plant and equipment, net is summarized as follows:</w:t>
      </w:r>
    </w:p>
    <w:p>
      <w:pPr>
        <w:spacing w:after="0" w:line="238" w:lineRule="exact"/>
        <w:rPr>
          <w:sz w:val="20"/>
          <w:szCs w:val="20"/>
          <w:color w:val="auto"/>
        </w:rPr>
      </w:pPr>
    </w:p>
    <w:tbl>
      <w:tblPr>
        <w:tblLayout w:type="fixed"/>
        <w:tblInd w:w="340" w:type="dxa"/>
        <w:tblCellMar>
          <w:top w:w="0" w:type="dxa"/>
          <w:left w:w="0" w:type="dxa"/>
          <w:bottom w:w="0" w:type="dxa"/>
          <w:right w:w="0" w:type="dxa"/>
        </w:tblCellMar>
      </w:tblPr>
      <w:tr>
        <w:trPr>
          <w:trHeight w:val="203"/>
        </w:trPr>
        <w:tc>
          <w:tcPr>
            <w:tcW w:w="7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80" w:type="dxa"/>
            <w:vAlign w:val="bottom"/>
            <w:gridSpan w:val="2"/>
          </w:tcPr>
          <w:p>
            <w:pPr>
              <w:ind w:left="40"/>
              <w:spacing w:after="0"/>
              <w:rPr>
                <w:sz w:val="20"/>
                <w:szCs w:val="20"/>
                <w:color w:val="auto"/>
              </w:rPr>
            </w:pPr>
            <w:r>
              <w:rPr>
                <w:rFonts w:ascii="Arial" w:cs="Arial" w:eastAsia="Arial" w:hAnsi="Arial"/>
                <w:sz w:val="14"/>
                <w:szCs w:val="14"/>
                <w:b w:val="1"/>
                <w:bCs w:val="1"/>
                <w:color w:val="auto"/>
              </w:rPr>
              <w:t>September 30, 2017</w:t>
            </w:r>
          </w:p>
        </w:tc>
        <w:tc>
          <w:tcPr>
            <w:tcW w:w="160" w:type="dxa"/>
            <w:vAlign w:val="bottom"/>
          </w:tcPr>
          <w:p>
            <w:pPr>
              <w:spacing w:after="0"/>
              <w:rPr>
                <w:sz w:val="17"/>
                <w:szCs w:val="17"/>
                <w:color w:val="auto"/>
              </w:rPr>
            </w:pPr>
          </w:p>
        </w:tc>
        <w:tc>
          <w:tcPr>
            <w:tcW w:w="1520" w:type="dxa"/>
            <w:vAlign w:val="bottom"/>
          </w:tcPr>
          <w:p>
            <w:pPr>
              <w:jc w:val="right"/>
              <w:ind w:right="108"/>
              <w:spacing w:after="0"/>
              <w:rPr>
                <w:sz w:val="20"/>
                <w:szCs w:val="20"/>
                <w:color w:val="auto"/>
              </w:rPr>
            </w:pPr>
            <w:r>
              <w:rPr>
                <w:rFonts w:ascii="Arial" w:cs="Arial" w:eastAsia="Arial" w:hAnsi="Arial"/>
                <w:sz w:val="14"/>
                <w:szCs w:val="14"/>
                <w:b w:val="1"/>
                <w:bCs w:val="1"/>
                <w:color w:val="auto"/>
              </w:rPr>
              <w:t>December 31, 2016</w:t>
            </w:r>
          </w:p>
        </w:tc>
      </w:tr>
      <w:tr>
        <w:trPr>
          <w:trHeight w:val="251"/>
        </w:trPr>
        <w:tc>
          <w:tcPr>
            <w:tcW w:w="71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Land, site improvements and rights</w:t>
            </w: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580" w:type="dxa"/>
            <w:vAlign w:val="bottom"/>
            <w:tcBorders>
              <w:top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74,270</w:t>
            </w:r>
          </w:p>
        </w:tc>
        <w:tc>
          <w:tcPr>
            <w:tcW w:w="100" w:type="dxa"/>
            <w:vAlign w:val="bottom"/>
            <w:tcBorders>
              <w:top w:val="single" w:sz="8" w:color="CCEEFF"/>
            </w:tcBorders>
            <w:shd w:val="clear" w:color="auto" w:fill="CCEEFF"/>
          </w:tcPr>
          <w:p>
            <w:pPr>
              <w:spacing w:after="0"/>
              <w:rPr>
                <w:sz w:val="21"/>
                <w:szCs w:val="21"/>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52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57,617</w:t>
            </w:r>
          </w:p>
        </w:tc>
      </w:tr>
      <w:tr>
        <w:trPr>
          <w:trHeight w:val="269"/>
        </w:trPr>
        <w:tc>
          <w:tcPr>
            <w:tcW w:w="7160" w:type="dxa"/>
            <w:vAlign w:val="bottom"/>
          </w:tcPr>
          <w:p>
            <w:pPr>
              <w:ind w:left="20"/>
              <w:spacing w:after="0"/>
              <w:rPr>
                <w:sz w:val="20"/>
                <w:szCs w:val="20"/>
                <w:color w:val="auto"/>
              </w:rPr>
            </w:pPr>
            <w:r>
              <w:rPr>
                <w:rFonts w:ascii="Arial" w:cs="Arial" w:eastAsia="Arial" w:hAnsi="Arial"/>
                <w:sz w:val="14"/>
                <w:szCs w:val="14"/>
                <w:color w:val="auto"/>
              </w:rPr>
              <w:t>Construction in progress</w:t>
            </w:r>
          </w:p>
        </w:tc>
        <w:tc>
          <w:tcPr>
            <w:tcW w:w="160" w:type="dxa"/>
            <w:vAlign w:val="bottom"/>
          </w:tcPr>
          <w:p>
            <w:pPr>
              <w:spacing w:after="0"/>
              <w:rPr>
                <w:sz w:val="23"/>
                <w:szCs w:val="23"/>
                <w:color w:val="auto"/>
              </w:rPr>
            </w:pPr>
          </w:p>
        </w:tc>
        <w:tc>
          <w:tcPr>
            <w:tcW w:w="1580" w:type="dxa"/>
            <w:vAlign w:val="bottom"/>
          </w:tcPr>
          <w:p>
            <w:pPr>
              <w:jc w:val="right"/>
              <w:ind w:right="48"/>
              <w:spacing w:after="0"/>
              <w:rPr>
                <w:sz w:val="20"/>
                <w:szCs w:val="20"/>
                <w:color w:val="auto"/>
              </w:rPr>
            </w:pPr>
            <w:r>
              <w:rPr>
                <w:rFonts w:ascii="Arial" w:cs="Arial" w:eastAsia="Arial" w:hAnsi="Arial"/>
                <w:sz w:val="14"/>
                <w:szCs w:val="14"/>
                <w:b w:val="1"/>
                <w:bCs w:val="1"/>
                <w:color w:val="auto"/>
              </w:rPr>
              <w:t>114,844</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520" w:type="dxa"/>
            <w:vAlign w:val="bottom"/>
          </w:tcPr>
          <w:p>
            <w:pPr>
              <w:jc w:val="right"/>
              <w:ind w:right="8"/>
              <w:spacing w:after="0"/>
              <w:rPr>
                <w:sz w:val="20"/>
                <w:szCs w:val="20"/>
                <w:color w:val="auto"/>
              </w:rPr>
            </w:pPr>
            <w:r>
              <w:rPr>
                <w:rFonts w:ascii="Arial" w:cs="Arial" w:eastAsia="Arial" w:hAnsi="Arial"/>
                <w:sz w:val="14"/>
                <w:szCs w:val="14"/>
                <w:color w:val="auto"/>
              </w:rPr>
              <w:t>49,605</w:t>
            </w:r>
          </w:p>
        </w:tc>
      </w:tr>
      <w:tr>
        <w:trPr>
          <w:trHeight w:val="271"/>
        </w:trPr>
        <w:tc>
          <w:tcPr>
            <w:tcW w:w="7160" w:type="dxa"/>
            <w:vAlign w:val="bottom"/>
            <w:shd w:val="clear" w:color="auto" w:fill="CCEEFF"/>
          </w:tcPr>
          <w:p>
            <w:pPr>
              <w:ind w:left="20"/>
              <w:spacing w:after="0"/>
              <w:rPr>
                <w:sz w:val="20"/>
                <w:szCs w:val="20"/>
                <w:color w:val="auto"/>
              </w:rPr>
            </w:pPr>
            <w:r>
              <w:rPr>
                <w:rFonts w:ascii="Arial" w:cs="Arial" w:eastAsia="Arial" w:hAnsi="Arial"/>
                <w:sz w:val="14"/>
                <w:szCs w:val="14"/>
                <w:color w:val="auto"/>
              </w:rPr>
              <w:t>Buildings and improvements</w:t>
            </w:r>
          </w:p>
        </w:tc>
        <w:tc>
          <w:tcPr>
            <w:tcW w:w="160" w:type="dxa"/>
            <w:vAlign w:val="bottom"/>
            <w:shd w:val="clear" w:color="auto" w:fill="CCEEFF"/>
          </w:tcPr>
          <w:p>
            <w:pPr>
              <w:spacing w:after="0"/>
              <w:rPr>
                <w:sz w:val="23"/>
                <w:szCs w:val="23"/>
                <w:color w:val="auto"/>
              </w:rPr>
            </w:pPr>
          </w:p>
        </w:tc>
        <w:tc>
          <w:tcPr>
            <w:tcW w:w="158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9,763</w:t>
            </w: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5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2,750</w:t>
            </w:r>
          </w:p>
        </w:tc>
      </w:tr>
      <w:tr>
        <w:trPr>
          <w:trHeight w:val="269"/>
        </w:trPr>
        <w:tc>
          <w:tcPr>
            <w:tcW w:w="7160" w:type="dxa"/>
            <w:vAlign w:val="bottom"/>
          </w:tcPr>
          <w:p>
            <w:pPr>
              <w:ind w:left="20"/>
              <w:spacing w:after="0"/>
              <w:rPr>
                <w:sz w:val="20"/>
                <w:szCs w:val="20"/>
                <w:color w:val="auto"/>
              </w:rPr>
            </w:pPr>
            <w:r>
              <w:rPr>
                <w:rFonts w:ascii="Arial" w:cs="Arial" w:eastAsia="Arial" w:hAnsi="Arial"/>
                <w:sz w:val="14"/>
                <w:szCs w:val="14"/>
                <w:color w:val="auto"/>
              </w:rPr>
              <w:t>Terminal machinery and equipment</w:t>
            </w:r>
          </w:p>
        </w:tc>
        <w:tc>
          <w:tcPr>
            <w:tcW w:w="160" w:type="dxa"/>
            <w:vAlign w:val="bottom"/>
          </w:tcPr>
          <w:p>
            <w:pPr>
              <w:spacing w:after="0"/>
              <w:rPr>
                <w:sz w:val="23"/>
                <w:szCs w:val="23"/>
                <w:color w:val="auto"/>
              </w:rPr>
            </w:pPr>
          </w:p>
        </w:tc>
        <w:tc>
          <w:tcPr>
            <w:tcW w:w="1580" w:type="dxa"/>
            <w:vAlign w:val="bottom"/>
          </w:tcPr>
          <w:p>
            <w:pPr>
              <w:jc w:val="right"/>
              <w:ind w:right="48"/>
              <w:spacing w:after="0"/>
              <w:rPr>
                <w:sz w:val="20"/>
                <w:szCs w:val="20"/>
                <w:color w:val="auto"/>
              </w:rPr>
            </w:pPr>
            <w:r>
              <w:rPr>
                <w:rFonts w:ascii="Arial" w:cs="Arial" w:eastAsia="Arial" w:hAnsi="Arial"/>
                <w:sz w:val="14"/>
                <w:szCs w:val="14"/>
                <w:b w:val="1"/>
                <w:bCs w:val="1"/>
                <w:color w:val="auto"/>
              </w:rPr>
              <w:t>262,212</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520" w:type="dxa"/>
            <w:vAlign w:val="bottom"/>
          </w:tcPr>
          <w:p>
            <w:pPr>
              <w:jc w:val="right"/>
              <w:ind w:right="8"/>
              <w:spacing w:after="0"/>
              <w:rPr>
                <w:sz w:val="20"/>
                <w:szCs w:val="20"/>
                <w:color w:val="auto"/>
              </w:rPr>
            </w:pPr>
            <w:r>
              <w:rPr>
                <w:rFonts w:ascii="Arial" w:cs="Arial" w:eastAsia="Arial" w:hAnsi="Arial"/>
                <w:sz w:val="14"/>
                <w:szCs w:val="14"/>
                <w:color w:val="auto"/>
              </w:rPr>
              <w:t>236,652</w:t>
            </w:r>
          </w:p>
        </w:tc>
      </w:tr>
      <w:tr>
        <w:trPr>
          <w:trHeight w:val="271"/>
        </w:trPr>
        <w:tc>
          <w:tcPr>
            <w:tcW w:w="7160" w:type="dxa"/>
            <w:vAlign w:val="bottom"/>
            <w:shd w:val="clear" w:color="auto" w:fill="CCEEFF"/>
          </w:tcPr>
          <w:p>
            <w:pPr>
              <w:ind w:left="20"/>
              <w:spacing w:after="0"/>
              <w:rPr>
                <w:sz w:val="20"/>
                <w:szCs w:val="20"/>
                <w:color w:val="auto"/>
              </w:rPr>
            </w:pPr>
            <w:r>
              <w:rPr>
                <w:rFonts w:ascii="Arial" w:cs="Arial" w:eastAsia="Arial" w:hAnsi="Arial"/>
                <w:sz w:val="14"/>
                <w:szCs w:val="14"/>
                <w:color w:val="auto"/>
              </w:rPr>
              <w:t>Track and track related assets</w:t>
            </w:r>
          </w:p>
        </w:tc>
        <w:tc>
          <w:tcPr>
            <w:tcW w:w="160" w:type="dxa"/>
            <w:vAlign w:val="bottom"/>
            <w:shd w:val="clear" w:color="auto" w:fill="CCEEFF"/>
          </w:tcPr>
          <w:p>
            <w:pPr>
              <w:spacing w:after="0"/>
              <w:rPr>
                <w:sz w:val="23"/>
                <w:szCs w:val="23"/>
                <w:color w:val="auto"/>
              </w:rPr>
            </w:pPr>
          </w:p>
        </w:tc>
        <w:tc>
          <w:tcPr>
            <w:tcW w:w="158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27,977</w:t>
            </w: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5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22,948</w:t>
            </w:r>
          </w:p>
        </w:tc>
      </w:tr>
      <w:tr>
        <w:trPr>
          <w:trHeight w:val="269"/>
        </w:trPr>
        <w:tc>
          <w:tcPr>
            <w:tcW w:w="7160" w:type="dxa"/>
            <w:vAlign w:val="bottom"/>
          </w:tcPr>
          <w:p>
            <w:pPr>
              <w:ind w:left="20"/>
              <w:spacing w:after="0"/>
              <w:rPr>
                <w:sz w:val="20"/>
                <w:szCs w:val="20"/>
                <w:color w:val="auto"/>
              </w:rPr>
            </w:pPr>
            <w:r>
              <w:rPr>
                <w:rFonts w:ascii="Arial" w:cs="Arial" w:eastAsia="Arial" w:hAnsi="Arial"/>
                <w:sz w:val="14"/>
                <w:szCs w:val="14"/>
                <w:color w:val="auto"/>
              </w:rPr>
              <w:t>Railroad equipment</w:t>
            </w:r>
          </w:p>
        </w:tc>
        <w:tc>
          <w:tcPr>
            <w:tcW w:w="160" w:type="dxa"/>
            <w:vAlign w:val="bottom"/>
          </w:tcPr>
          <w:p>
            <w:pPr>
              <w:spacing w:after="0"/>
              <w:rPr>
                <w:sz w:val="23"/>
                <w:szCs w:val="23"/>
                <w:color w:val="auto"/>
              </w:rPr>
            </w:pPr>
          </w:p>
        </w:tc>
        <w:tc>
          <w:tcPr>
            <w:tcW w:w="1580" w:type="dxa"/>
            <w:vAlign w:val="bottom"/>
          </w:tcPr>
          <w:p>
            <w:pPr>
              <w:jc w:val="right"/>
              <w:ind w:right="48"/>
              <w:spacing w:after="0"/>
              <w:rPr>
                <w:sz w:val="20"/>
                <w:szCs w:val="20"/>
                <w:color w:val="auto"/>
              </w:rPr>
            </w:pPr>
            <w:r>
              <w:rPr>
                <w:rFonts w:ascii="Arial" w:cs="Arial" w:eastAsia="Arial" w:hAnsi="Arial"/>
                <w:sz w:val="14"/>
                <w:szCs w:val="14"/>
                <w:b w:val="1"/>
                <w:bCs w:val="1"/>
                <w:color w:val="auto"/>
              </w:rPr>
              <w:t>1,037</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520" w:type="dxa"/>
            <w:vAlign w:val="bottom"/>
          </w:tcPr>
          <w:p>
            <w:pPr>
              <w:jc w:val="right"/>
              <w:ind w:right="8"/>
              <w:spacing w:after="0"/>
              <w:rPr>
                <w:sz w:val="20"/>
                <w:szCs w:val="20"/>
                <w:color w:val="auto"/>
              </w:rPr>
            </w:pPr>
            <w:r>
              <w:rPr>
                <w:rFonts w:ascii="Arial" w:cs="Arial" w:eastAsia="Arial" w:hAnsi="Arial"/>
                <w:sz w:val="14"/>
                <w:szCs w:val="14"/>
                <w:color w:val="auto"/>
              </w:rPr>
              <w:t>1,091</w:t>
            </w:r>
          </w:p>
        </w:tc>
      </w:tr>
      <w:tr>
        <w:trPr>
          <w:trHeight w:val="271"/>
        </w:trPr>
        <w:tc>
          <w:tcPr>
            <w:tcW w:w="7160" w:type="dxa"/>
            <w:vAlign w:val="bottom"/>
            <w:shd w:val="clear" w:color="auto" w:fill="CCEEFF"/>
          </w:tcPr>
          <w:p>
            <w:pPr>
              <w:ind w:left="20"/>
              <w:spacing w:after="0"/>
              <w:rPr>
                <w:sz w:val="20"/>
                <w:szCs w:val="20"/>
                <w:color w:val="auto"/>
              </w:rPr>
            </w:pPr>
            <w:r>
              <w:rPr>
                <w:rFonts w:ascii="Arial" w:cs="Arial" w:eastAsia="Arial" w:hAnsi="Arial"/>
                <w:sz w:val="14"/>
                <w:szCs w:val="14"/>
                <w:color w:val="auto"/>
              </w:rPr>
              <w:t>Railcars and locomotives</w:t>
            </w:r>
          </w:p>
        </w:tc>
        <w:tc>
          <w:tcPr>
            <w:tcW w:w="160" w:type="dxa"/>
            <w:vAlign w:val="bottom"/>
            <w:shd w:val="clear" w:color="auto" w:fill="CCEEFF"/>
          </w:tcPr>
          <w:p>
            <w:pPr>
              <w:spacing w:after="0"/>
              <w:rPr>
                <w:sz w:val="23"/>
                <w:szCs w:val="23"/>
                <w:color w:val="auto"/>
              </w:rPr>
            </w:pPr>
          </w:p>
        </w:tc>
        <w:tc>
          <w:tcPr>
            <w:tcW w:w="158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3,114</w:t>
            </w: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5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2,909</w:t>
            </w:r>
          </w:p>
        </w:tc>
      </w:tr>
      <w:tr>
        <w:trPr>
          <w:trHeight w:val="269"/>
        </w:trPr>
        <w:tc>
          <w:tcPr>
            <w:tcW w:w="7160" w:type="dxa"/>
            <w:vAlign w:val="bottom"/>
          </w:tcPr>
          <w:p>
            <w:pPr>
              <w:ind w:left="20"/>
              <w:spacing w:after="0"/>
              <w:rPr>
                <w:sz w:val="20"/>
                <w:szCs w:val="20"/>
                <w:color w:val="auto"/>
              </w:rPr>
            </w:pPr>
            <w:r>
              <w:rPr>
                <w:rFonts w:ascii="Arial" w:cs="Arial" w:eastAsia="Arial" w:hAnsi="Arial"/>
                <w:sz w:val="14"/>
                <w:szCs w:val="14"/>
                <w:color w:val="auto"/>
              </w:rPr>
              <w:t>Computer hardware and software</w:t>
            </w:r>
          </w:p>
        </w:tc>
        <w:tc>
          <w:tcPr>
            <w:tcW w:w="160" w:type="dxa"/>
            <w:vAlign w:val="bottom"/>
          </w:tcPr>
          <w:p>
            <w:pPr>
              <w:spacing w:after="0"/>
              <w:rPr>
                <w:sz w:val="23"/>
                <w:szCs w:val="23"/>
                <w:color w:val="auto"/>
              </w:rPr>
            </w:pPr>
          </w:p>
        </w:tc>
        <w:tc>
          <w:tcPr>
            <w:tcW w:w="1580" w:type="dxa"/>
            <w:vAlign w:val="bottom"/>
          </w:tcPr>
          <w:p>
            <w:pPr>
              <w:jc w:val="right"/>
              <w:ind w:right="48"/>
              <w:spacing w:after="0"/>
              <w:rPr>
                <w:sz w:val="20"/>
                <w:szCs w:val="20"/>
                <w:color w:val="auto"/>
              </w:rPr>
            </w:pPr>
            <w:r>
              <w:rPr>
                <w:rFonts w:ascii="Arial" w:cs="Arial" w:eastAsia="Arial" w:hAnsi="Arial"/>
                <w:sz w:val="14"/>
                <w:szCs w:val="14"/>
                <w:b w:val="1"/>
                <w:bCs w:val="1"/>
                <w:color w:val="auto"/>
              </w:rPr>
              <w:t>3,034</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520" w:type="dxa"/>
            <w:vAlign w:val="bottom"/>
          </w:tcPr>
          <w:p>
            <w:pPr>
              <w:jc w:val="right"/>
              <w:ind w:right="8"/>
              <w:spacing w:after="0"/>
              <w:rPr>
                <w:sz w:val="20"/>
                <w:szCs w:val="20"/>
                <w:color w:val="auto"/>
              </w:rPr>
            </w:pPr>
            <w:r>
              <w:rPr>
                <w:rFonts w:ascii="Arial" w:cs="Arial" w:eastAsia="Arial" w:hAnsi="Arial"/>
                <w:sz w:val="14"/>
                <w:szCs w:val="14"/>
                <w:color w:val="auto"/>
              </w:rPr>
              <w:t>388</w:t>
            </w:r>
          </w:p>
        </w:tc>
      </w:tr>
      <w:tr>
        <w:trPr>
          <w:trHeight w:val="271"/>
        </w:trPr>
        <w:tc>
          <w:tcPr>
            <w:tcW w:w="7160" w:type="dxa"/>
            <w:vAlign w:val="bottom"/>
            <w:shd w:val="clear" w:color="auto" w:fill="CCEEFF"/>
          </w:tcPr>
          <w:p>
            <w:pPr>
              <w:ind w:left="20"/>
              <w:spacing w:after="0"/>
              <w:rPr>
                <w:sz w:val="20"/>
                <w:szCs w:val="20"/>
                <w:color w:val="auto"/>
              </w:rPr>
            </w:pPr>
            <w:r>
              <w:rPr>
                <w:rFonts w:ascii="Arial" w:cs="Arial" w:eastAsia="Arial" w:hAnsi="Arial"/>
                <w:sz w:val="14"/>
                <w:szCs w:val="14"/>
                <w:color w:val="auto"/>
              </w:rPr>
              <w:t>Furniture and fixtures</w:t>
            </w:r>
          </w:p>
        </w:tc>
        <w:tc>
          <w:tcPr>
            <w:tcW w:w="160" w:type="dxa"/>
            <w:vAlign w:val="bottom"/>
            <w:shd w:val="clear" w:color="auto" w:fill="CCEEFF"/>
          </w:tcPr>
          <w:p>
            <w:pPr>
              <w:spacing w:after="0"/>
              <w:rPr>
                <w:sz w:val="23"/>
                <w:szCs w:val="23"/>
                <w:color w:val="auto"/>
              </w:rPr>
            </w:pPr>
          </w:p>
        </w:tc>
        <w:tc>
          <w:tcPr>
            <w:tcW w:w="158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544</w:t>
            </w: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5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405</w:t>
            </w:r>
          </w:p>
        </w:tc>
      </w:tr>
      <w:tr>
        <w:trPr>
          <w:trHeight w:val="269"/>
        </w:trPr>
        <w:tc>
          <w:tcPr>
            <w:tcW w:w="716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Vehicles</w:t>
            </w:r>
          </w:p>
        </w:tc>
        <w:tc>
          <w:tcPr>
            <w:tcW w:w="160" w:type="dxa"/>
            <w:vAlign w:val="bottom"/>
            <w:tcBorders>
              <w:bottom w:val="single" w:sz="8" w:color="auto"/>
            </w:tcBorders>
          </w:tcPr>
          <w:p>
            <w:pPr>
              <w:spacing w:after="0"/>
              <w:rPr>
                <w:sz w:val="23"/>
                <w:szCs w:val="23"/>
                <w:color w:val="auto"/>
              </w:rPr>
            </w:pPr>
          </w:p>
        </w:tc>
        <w:tc>
          <w:tcPr>
            <w:tcW w:w="15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1,171</w:t>
            </w:r>
          </w:p>
        </w:tc>
        <w:tc>
          <w:tcPr>
            <w:tcW w:w="100" w:type="dxa"/>
            <w:vAlign w:val="bottom"/>
            <w:tcBorders>
              <w:bottom w:val="single" w:sz="8" w:color="CCEEFF"/>
            </w:tcBorders>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15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985</w:t>
            </w:r>
          </w:p>
        </w:tc>
      </w:tr>
      <w:tr>
        <w:trPr>
          <w:trHeight w:val="251"/>
        </w:trPr>
        <w:tc>
          <w:tcPr>
            <w:tcW w:w="716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58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497,966</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5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375,350</w:t>
            </w:r>
          </w:p>
        </w:tc>
      </w:tr>
      <w:tr>
        <w:trPr>
          <w:trHeight w:val="269"/>
        </w:trPr>
        <w:tc>
          <w:tcPr>
            <w:tcW w:w="7160" w:type="dxa"/>
            <w:vAlign w:val="bottom"/>
          </w:tcPr>
          <w:p>
            <w:pPr>
              <w:ind w:left="20"/>
              <w:spacing w:after="0"/>
              <w:rPr>
                <w:sz w:val="20"/>
                <w:szCs w:val="20"/>
                <w:color w:val="auto"/>
              </w:rPr>
            </w:pPr>
            <w:r>
              <w:rPr>
                <w:rFonts w:ascii="Arial" w:cs="Arial" w:eastAsia="Arial" w:hAnsi="Arial"/>
                <w:sz w:val="14"/>
                <w:szCs w:val="14"/>
                <w:color w:val="auto"/>
              </w:rPr>
              <w:t>Less: accumulated depreciation</w:t>
            </w:r>
          </w:p>
        </w:tc>
        <w:tc>
          <w:tcPr>
            <w:tcW w:w="160" w:type="dxa"/>
            <w:vAlign w:val="bottom"/>
          </w:tcPr>
          <w:p>
            <w:pPr>
              <w:spacing w:after="0"/>
              <w:rPr>
                <w:sz w:val="23"/>
                <w:szCs w:val="23"/>
                <w:color w:val="auto"/>
              </w:rPr>
            </w:pPr>
          </w:p>
        </w:tc>
        <w:tc>
          <w:tcPr>
            <w:tcW w:w="1580" w:type="dxa"/>
            <w:vAlign w:val="bottom"/>
          </w:tcPr>
          <w:p>
            <w:pPr>
              <w:jc w:val="right"/>
              <w:spacing w:after="0"/>
              <w:rPr>
                <w:sz w:val="20"/>
                <w:szCs w:val="20"/>
                <w:color w:val="auto"/>
              </w:rPr>
            </w:pPr>
            <w:r>
              <w:rPr>
                <w:rFonts w:ascii="Arial" w:cs="Arial" w:eastAsia="Arial" w:hAnsi="Arial"/>
                <w:sz w:val="14"/>
                <w:szCs w:val="14"/>
                <w:b w:val="1"/>
                <w:bCs w:val="1"/>
                <w:color w:val="auto"/>
              </w:rPr>
              <w:t>(36,413)</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520" w:type="dxa"/>
            <w:vAlign w:val="bottom"/>
          </w:tcPr>
          <w:p>
            <w:pPr>
              <w:jc w:val="right"/>
              <w:spacing w:after="0"/>
              <w:rPr>
                <w:sz w:val="20"/>
                <w:szCs w:val="20"/>
                <w:color w:val="auto"/>
              </w:rPr>
            </w:pPr>
            <w:r>
              <w:rPr>
                <w:rFonts w:ascii="Arial" w:cs="Arial" w:eastAsia="Arial" w:hAnsi="Arial"/>
                <w:sz w:val="14"/>
                <w:szCs w:val="14"/>
                <w:color w:val="auto"/>
              </w:rPr>
              <w:t>(26,002)</w:t>
            </w:r>
          </w:p>
        </w:tc>
      </w:tr>
      <w:tr>
        <w:trPr>
          <w:trHeight w:val="270"/>
        </w:trPr>
        <w:tc>
          <w:tcPr>
            <w:tcW w:w="7160" w:type="dxa"/>
            <w:vAlign w:val="bottom"/>
            <w:shd w:val="clear" w:color="auto" w:fill="CCEEFF"/>
          </w:tcPr>
          <w:p>
            <w:pPr>
              <w:ind w:left="20"/>
              <w:spacing w:after="0"/>
              <w:rPr>
                <w:sz w:val="20"/>
                <w:szCs w:val="20"/>
                <w:color w:val="auto"/>
              </w:rPr>
            </w:pPr>
            <w:r>
              <w:rPr>
                <w:rFonts w:ascii="Arial" w:cs="Arial" w:eastAsia="Arial" w:hAnsi="Arial"/>
                <w:sz w:val="14"/>
                <w:szCs w:val="14"/>
                <w:color w:val="auto"/>
              </w:rPr>
              <w:t>Spare parts</w:t>
            </w:r>
          </w:p>
        </w:tc>
        <w:tc>
          <w:tcPr>
            <w:tcW w:w="160" w:type="dxa"/>
            <w:vAlign w:val="bottom"/>
            <w:tcBorders>
              <w:bottom w:val="single" w:sz="8" w:color="auto"/>
            </w:tcBorders>
            <w:shd w:val="clear" w:color="auto" w:fill="CCEEFF"/>
          </w:tcPr>
          <w:p>
            <w:pPr>
              <w:spacing w:after="0"/>
              <w:rPr>
                <w:sz w:val="23"/>
                <w:szCs w:val="23"/>
                <w:color w:val="auto"/>
              </w:rPr>
            </w:pPr>
          </w:p>
        </w:tc>
        <w:tc>
          <w:tcPr>
            <w:tcW w:w="158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2,846</w:t>
            </w:r>
          </w:p>
        </w:tc>
        <w:tc>
          <w:tcPr>
            <w:tcW w:w="10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152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2,833</w:t>
            </w:r>
          </w:p>
        </w:tc>
      </w:tr>
      <w:tr>
        <w:trPr>
          <w:trHeight w:val="238"/>
        </w:trPr>
        <w:tc>
          <w:tcPr>
            <w:tcW w:w="7160" w:type="dxa"/>
            <w:vAlign w:val="bottom"/>
          </w:tcPr>
          <w:p>
            <w:pPr>
              <w:ind w:left="20"/>
              <w:spacing w:after="0"/>
              <w:rPr>
                <w:sz w:val="20"/>
                <w:szCs w:val="20"/>
                <w:color w:val="auto"/>
              </w:rPr>
            </w:pPr>
            <w:r>
              <w:rPr>
                <w:rFonts w:ascii="Arial" w:cs="Arial" w:eastAsia="Arial" w:hAnsi="Arial"/>
                <w:sz w:val="14"/>
                <w:szCs w:val="14"/>
                <w:b w:val="1"/>
                <w:bCs w:val="1"/>
                <w:color w:val="auto"/>
              </w:rPr>
              <w:t>Property, plant and equipment, net</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15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464,399</w:t>
            </w:r>
          </w:p>
        </w:tc>
        <w:tc>
          <w:tcPr>
            <w:tcW w:w="100" w:type="dxa"/>
            <w:vAlign w:val="bottom"/>
          </w:tcPr>
          <w:p>
            <w:pPr>
              <w:spacing w:after="0"/>
              <w:rPr>
                <w:sz w:val="20"/>
                <w:szCs w:val="20"/>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5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352,181</w:t>
            </w:r>
          </w:p>
        </w:tc>
      </w:tr>
      <w:tr>
        <w:trPr>
          <w:trHeight w:val="20"/>
        </w:trPr>
        <w:tc>
          <w:tcPr>
            <w:tcW w:w="7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r>
    </w:tbl>
    <w:p>
      <w:pPr>
        <w:spacing w:after="0" w:line="144" w:lineRule="exact"/>
        <w:rPr>
          <w:sz w:val="20"/>
          <w:szCs w:val="20"/>
          <w:color w:val="auto"/>
        </w:rPr>
      </w:pPr>
    </w:p>
    <w:p>
      <w:pPr>
        <w:jc w:val="both"/>
        <w:ind w:left="340"/>
        <w:spacing w:after="0" w:line="269" w:lineRule="auto"/>
        <w:rPr>
          <w:sz w:val="20"/>
          <w:szCs w:val="20"/>
          <w:color w:val="auto"/>
        </w:rPr>
      </w:pPr>
      <w:r>
        <w:rPr>
          <w:rFonts w:ascii="Arial" w:cs="Arial" w:eastAsia="Arial" w:hAnsi="Arial"/>
          <w:sz w:val="16"/>
          <w:szCs w:val="16"/>
          <w:color w:val="auto"/>
        </w:rPr>
        <w:t>During the nine months ended September 30, 2017, additional property, plant and equipment of $122,737 was acquired. Acquisitions primarily consist of construction in progress, terminal machinery and equipment, and computer hardware and software due to the ongoing development of Jefferson Terminal and Repauno.</w:t>
      </w:r>
    </w:p>
    <w:p>
      <w:pPr>
        <w:spacing w:after="0" w:line="111" w:lineRule="exact"/>
        <w:rPr>
          <w:sz w:val="20"/>
          <w:szCs w:val="20"/>
          <w:color w:val="auto"/>
        </w:rPr>
      </w:pPr>
    </w:p>
    <w:p>
      <w:pPr>
        <w:jc w:val="both"/>
        <w:ind w:left="340"/>
        <w:spacing w:after="0" w:line="261" w:lineRule="auto"/>
        <w:rPr>
          <w:sz w:val="20"/>
          <w:szCs w:val="20"/>
          <w:color w:val="auto"/>
        </w:rPr>
      </w:pPr>
      <w:r>
        <w:rPr>
          <w:rFonts w:ascii="Arial" w:cs="Arial" w:eastAsia="Arial" w:hAnsi="Arial"/>
          <w:sz w:val="16"/>
          <w:szCs w:val="16"/>
          <w:color w:val="auto"/>
        </w:rPr>
        <w:t>On June 16, 2017, the Company, through one of its consolidated subsidiaries, purchased the assets of Hannibal for $30,000. The assets acquired consisted primarily of land, buildings, railroad track, docks, water rights, site improvements and other rights. As part of the transaction, additional amounts of $2,335 were capitalized for costs directly related to the purchase, including costs for legal advice, exploratory diligence, and regulatory permitting. Hannibal is part of the Ports and Terminals segment.</w:t>
      </w:r>
    </w:p>
    <w:p>
      <w:pPr>
        <w:spacing w:after="0" w:line="118" w:lineRule="exact"/>
        <w:rPr>
          <w:sz w:val="20"/>
          <w:szCs w:val="20"/>
          <w:color w:val="auto"/>
        </w:rPr>
      </w:pPr>
    </w:p>
    <w:p>
      <w:pPr>
        <w:jc w:val="both"/>
        <w:ind w:left="340"/>
        <w:spacing w:after="0" w:line="291" w:lineRule="auto"/>
        <w:rPr>
          <w:sz w:val="20"/>
          <w:szCs w:val="20"/>
          <w:color w:val="auto"/>
        </w:rPr>
      </w:pPr>
      <w:r>
        <w:rPr>
          <w:rFonts w:ascii="Arial" w:cs="Arial" w:eastAsia="Arial" w:hAnsi="Arial"/>
          <w:sz w:val="16"/>
          <w:szCs w:val="16"/>
          <w:color w:val="auto"/>
        </w:rPr>
        <w:t>During the nine months ended September 30, 2017 and 2016, disposals of property, plant and equipment totaled $108 and $125, respectively, mainly related to railroad equipment, vehicles, and furniture and fixtures.</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17</w:t>
      </w:r>
    </w:p>
    <w:p>
      <w:pPr>
        <w:sectPr>
          <w:pgSz w:w="11900" w:h="16838" w:orient="portrait"/>
          <w:cols w:equalWidth="0" w:num="1">
            <w:col w:w="11420"/>
          </w:cols>
          <w:pgMar w:left="240" w:top="117" w:right="239" w:bottom="1440" w:gutter="0" w:footer="0" w:header="0"/>
        </w:sectPr>
      </w:pPr>
    </w:p>
    <w:bookmarkStart w:id="17" w:name="page18"/>
    <w:bookmarkEnd w:id="17"/>
    <w:p>
      <w:pPr>
        <w:ind w:right="3820"/>
        <w:spacing w:after="0" w:line="305" w:lineRule="auto"/>
        <w:rPr>
          <w:sz w:val="20"/>
          <w:szCs w:val="20"/>
          <w:color w:val="auto"/>
        </w:rPr>
      </w:pPr>
      <w:r>
        <w:rPr>
          <w:rFonts w:ascii="Arial" w:cs="Arial" w:eastAsia="Arial" w:hAnsi="Arial"/>
          <w:sz w:val="22"/>
          <w:szCs w:val="22"/>
          <w:b w:val="1"/>
          <w:bCs w:val="1"/>
          <w:color w:val="00497F"/>
        </w:rPr>
        <w:t xml:space="preserve">FORTRESS TRANSPORTATION AND INFRASTRUCTURE INVESTORS LLC NOTES TO CONSOLIDATED FINANCIAL STATEMENTS </w:t>
      </w:r>
      <w:r>
        <w:rPr>
          <w:rFonts w:ascii="Arial" w:cs="Arial" w:eastAsia="Arial" w:hAnsi="Arial"/>
          <w:sz w:val="22"/>
          <w:szCs w:val="22"/>
          <w:b w:val="1"/>
          <w:bCs w:val="1"/>
          <w:i w:val="1"/>
          <w:iCs w:val="1"/>
          <w:color w:val="00497F"/>
        </w:rPr>
        <w:t>(unaudited)</w:t>
      </w:r>
    </w:p>
    <w:p>
      <w:pPr>
        <w:spacing w:after="0"/>
        <w:rPr>
          <w:sz w:val="20"/>
          <w:szCs w:val="20"/>
          <w:color w:val="auto"/>
        </w:rPr>
      </w:pPr>
      <w:r>
        <w:rPr>
          <w:rFonts w:ascii="Arial" w:cs="Arial" w:eastAsia="Arial" w:hAnsi="Arial"/>
          <w:sz w:val="18"/>
          <w:szCs w:val="18"/>
          <w:i w:val="1"/>
          <w:iCs w:val="1"/>
          <w:color w:val="00497F"/>
        </w:rPr>
        <w:t>(Dollar amounts in thousands, unless otherwise noted)</w:t>
      </w:r>
    </w:p>
    <w:p>
      <w:pPr>
        <w:spacing w:after="0" w:line="200" w:lineRule="exact"/>
        <w:rPr>
          <w:sz w:val="20"/>
          <w:szCs w:val="20"/>
          <w:color w:val="auto"/>
        </w:rPr>
      </w:pPr>
    </w:p>
    <w:p>
      <w:pPr>
        <w:spacing w:after="0" w:line="211" w:lineRule="exact"/>
        <w:rPr>
          <w:sz w:val="20"/>
          <w:szCs w:val="20"/>
          <w:color w:val="auto"/>
        </w:rPr>
      </w:pPr>
    </w:p>
    <w:p>
      <w:pPr>
        <w:ind w:left="340"/>
        <w:spacing w:after="0"/>
        <w:rPr>
          <w:sz w:val="20"/>
          <w:szCs w:val="20"/>
          <w:color w:val="auto"/>
        </w:rPr>
      </w:pPr>
      <w:r>
        <w:rPr>
          <w:rFonts w:ascii="Arial" w:cs="Arial" w:eastAsia="Arial" w:hAnsi="Arial"/>
          <w:sz w:val="16"/>
          <w:szCs w:val="16"/>
          <w:color w:val="auto"/>
        </w:rPr>
        <w:t>Depreciation expense for property, plant and equipment is summarized as follows:</w:t>
      </w:r>
    </w:p>
    <w:p>
      <w:pPr>
        <w:spacing w:after="0" w:line="238" w:lineRule="exact"/>
        <w:rPr>
          <w:sz w:val="20"/>
          <w:szCs w:val="20"/>
          <w:color w:val="auto"/>
        </w:rPr>
      </w:pPr>
    </w:p>
    <w:tbl>
      <w:tblPr>
        <w:tblLayout w:type="fixed"/>
        <w:tblInd w:w="340" w:type="dxa"/>
        <w:tblCellMar>
          <w:top w:w="0" w:type="dxa"/>
          <w:left w:w="0" w:type="dxa"/>
          <w:bottom w:w="0" w:type="dxa"/>
          <w:right w:w="0" w:type="dxa"/>
        </w:tblCellMar>
      </w:tblPr>
      <w:tr>
        <w:trPr>
          <w:trHeight w:val="203"/>
        </w:trPr>
        <w:tc>
          <w:tcPr>
            <w:tcW w:w="5220" w:type="dxa"/>
            <w:vAlign w:val="bottom"/>
          </w:tcPr>
          <w:p>
            <w:pPr>
              <w:spacing w:after="0"/>
              <w:rPr>
                <w:sz w:val="17"/>
                <w:szCs w:val="17"/>
                <w:color w:val="auto"/>
              </w:rPr>
            </w:pPr>
          </w:p>
        </w:tc>
        <w:tc>
          <w:tcPr>
            <w:tcW w:w="2800" w:type="dxa"/>
            <w:vAlign w:val="bottom"/>
            <w:gridSpan w:val="6"/>
          </w:tcPr>
          <w:p>
            <w:pPr>
              <w:ind w:left="140"/>
              <w:spacing w:after="0"/>
              <w:rPr>
                <w:sz w:val="20"/>
                <w:szCs w:val="20"/>
                <w:color w:val="auto"/>
              </w:rPr>
            </w:pPr>
            <w:r>
              <w:rPr>
                <w:rFonts w:ascii="Arial" w:cs="Arial" w:eastAsia="Arial" w:hAnsi="Arial"/>
                <w:sz w:val="14"/>
                <w:szCs w:val="14"/>
                <w:b w:val="1"/>
                <w:bCs w:val="1"/>
                <w:color w:val="auto"/>
              </w:rPr>
              <w:t>Three Months Ended September 30,</w:t>
            </w:r>
          </w:p>
        </w:tc>
        <w:tc>
          <w:tcPr>
            <w:tcW w:w="120" w:type="dxa"/>
            <w:vAlign w:val="bottom"/>
          </w:tcPr>
          <w:p>
            <w:pPr>
              <w:spacing w:after="0"/>
              <w:rPr>
                <w:sz w:val="17"/>
                <w:szCs w:val="17"/>
                <w:color w:val="auto"/>
              </w:rPr>
            </w:pPr>
          </w:p>
        </w:tc>
        <w:tc>
          <w:tcPr>
            <w:tcW w:w="2500" w:type="dxa"/>
            <w:vAlign w:val="bottom"/>
            <w:gridSpan w:val="4"/>
          </w:tcPr>
          <w:p>
            <w:pPr>
              <w:jc w:val="right"/>
              <w:ind w:right="48"/>
              <w:spacing w:after="0"/>
              <w:rPr>
                <w:sz w:val="20"/>
                <w:szCs w:val="20"/>
                <w:color w:val="auto"/>
              </w:rPr>
            </w:pPr>
            <w:r>
              <w:rPr>
                <w:rFonts w:ascii="Arial" w:cs="Arial" w:eastAsia="Arial" w:hAnsi="Arial"/>
                <w:sz w:val="14"/>
                <w:szCs w:val="14"/>
                <w:b w:val="1"/>
                <w:bCs w:val="1"/>
                <w:color w:val="auto"/>
              </w:rPr>
              <w:t>Nine Months Ended September 30,</w:t>
            </w:r>
          </w:p>
        </w:tc>
      </w:tr>
      <w:tr>
        <w:trPr>
          <w:trHeight w:val="264"/>
        </w:trPr>
        <w:tc>
          <w:tcPr>
            <w:tcW w:w="5220" w:type="dxa"/>
            <w:vAlign w:val="bottom"/>
            <w:tcBorders>
              <w:bottom w:val="single" w:sz="8" w:color="CCEEFF"/>
            </w:tcBorders>
          </w:tcPr>
          <w:p>
            <w:pPr>
              <w:spacing w:after="0"/>
              <w:rPr>
                <w:sz w:val="22"/>
                <w:szCs w:val="22"/>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2017</w:t>
            </w:r>
          </w:p>
        </w:tc>
        <w:tc>
          <w:tcPr>
            <w:tcW w:w="480" w:type="dxa"/>
            <w:vAlign w:val="bottom"/>
            <w:tcBorders>
              <w:top w:val="single" w:sz="8" w:color="auto"/>
              <w:bottom w:val="single" w:sz="8" w:color="auto"/>
            </w:tcBorders>
          </w:tcPr>
          <w:p>
            <w:pPr>
              <w:spacing w:after="0"/>
              <w:rPr>
                <w:sz w:val="22"/>
                <w:szCs w:val="22"/>
                <w:color w:val="auto"/>
              </w:rPr>
            </w:pPr>
          </w:p>
        </w:tc>
        <w:tc>
          <w:tcPr>
            <w:tcW w:w="120" w:type="dxa"/>
            <w:vAlign w:val="bottom"/>
            <w:tcBorders>
              <w:top w:val="single" w:sz="8" w:color="auto"/>
              <w:bottom w:val="single" w:sz="8" w:color="CCEEFF"/>
            </w:tcBorders>
          </w:tcPr>
          <w:p>
            <w:pPr>
              <w:spacing w:after="0"/>
              <w:rPr>
                <w:sz w:val="22"/>
                <w:szCs w:val="22"/>
                <w:color w:val="auto"/>
              </w:rPr>
            </w:pPr>
          </w:p>
        </w:tc>
        <w:tc>
          <w:tcPr>
            <w:tcW w:w="280" w:type="dxa"/>
            <w:vAlign w:val="bottom"/>
            <w:tcBorders>
              <w:top w:val="single" w:sz="8" w:color="auto"/>
              <w:bottom w:val="single" w:sz="8" w:color="auto"/>
            </w:tcBorders>
          </w:tcPr>
          <w:p>
            <w:pPr>
              <w:spacing w:after="0"/>
              <w:rPr>
                <w:sz w:val="22"/>
                <w:szCs w:val="22"/>
                <w:color w:val="auto"/>
              </w:rPr>
            </w:pPr>
          </w:p>
        </w:tc>
        <w:tc>
          <w:tcPr>
            <w:tcW w:w="980" w:type="dxa"/>
            <w:vAlign w:val="bottom"/>
            <w:tcBorders>
              <w:top w:val="single" w:sz="8" w:color="auto"/>
              <w:bottom w:val="single" w:sz="8" w:color="auto"/>
            </w:tcBorders>
          </w:tcPr>
          <w:p>
            <w:pPr>
              <w:jc w:val="right"/>
              <w:ind w:right="388"/>
              <w:spacing w:after="0"/>
              <w:rPr>
                <w:sz w:val="20"/>
                <w:szCs w:val="20"/>
                <w:color w:val="auto"/>
              </w:rPr>
            </w:pPr>
            <w:r>
              <w:rPr>
                <w:rFonts w:ascii="Arial" w:cs="Arial" w:eastAsia="Arial" w:hAnsi="Arial"/>
                <w:sz w:val="14"/>
                <w:szCs w:val="14"/>
                <w:color w:val="auto"/>
              </w:rPr>
              <w:t>2016</w:t>
            </w:r>
          </w:p>
        </w:tc>
        <w:tc>
          <w:tcPr>
            <w:tcW w:w="120" w:type="dxa"/>
            <w:vAlign w:val="bottom"/>
            <w:tcBorders>
              <w:bottom w:val="single" w:sz="8" w:color="CCEEFF"/>
            </w:tcBorders>
          </w:tcPr>
          <w:p>
            <w:pPr>
              <w:spacing w:after="0"/>
              <w:rPr>
                <w:sz w:val="22"/>
                <w:szCs w:val="22"/>
                <w:color w:val="auto"/>
              </w:rPr>
            </w:pPr>
          </w:p>
        </w:tc>
        <w:tc>
          <w:tcPr>
            <w:tcW w:w="120" w:type="dxa"/>
            <w:vAlign w:val="bottom"/>
            <w:tcBorders>
              <w:top w:val="single" w:sz="8" w:color="auto"/>
              <w:bottom w:val="single" w:sz="8" w:color="auto"/>
            </w:tcBorders>
          </w:tcPr>
          <w:p>
            <w:pPr>
              <w:spacing w:after="0"/>
              <w:rPr>
                <w:sz w:val="22"/>
                <w:szCs w:val="22"/>
                <w:color w:val="auto"/>
              </w:rPr>
            </w:pPr>
          </w:p>
        </w:tc>
        <w:tc>
          <w:tcPr>
            <w:tcW w:w="1140" w:type="dxa"/>
            <w:vAlign w:val="bottom"/>
            <w:tcBorders>
              <w:top w:val="single" w:sz="8" w:color="auto"/>
              <w:bottom w:val="single" w:sz="8" w:color="auto"/>
            </w:tcBorders>
          </w:tcPr>
          <w:p>
            <w:pPr>
              <w:jc w:val="right"/>
              <w:ind w:right="408"/>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top w:val="single" w:sz="8" w:color="auto"/>
              <w:bottom w:val="single" w:sz="8" w:color="CCEEFF"/>
            </w:tcBorders>
          </w:tcPr>
          <w:p>
            <w:pPr>
              <w:spacing w:after="0"/>
              <w:rPr>
                <w:sz w:val="22"/>
                <w:szCs w:val="22"/>
                <w:color w:val="auto"/>
              </w:rPr>
            </w:pPr>
          </w:p>
        </w:tc>
        <w:tc>
          <w:tcPr>
            <w:tcW w:w="280" w:type="dxa"/>
            <w:vAlign w:val="bottom"/>
            <w:tcBorders>
              <w:top w:val="single" w:sz="8" w:color="auto"/>
              <w:bottom w:val="single" w:sz="8" w:color="auto"/>
            </w:tcBorders>
          </w:tcPr>
          <w:p>
            <w:pPr>
              <w:spacing w:after="0"/>
              <w:rPr>
                <w:sz w:val="22"/>
                <w:szCs w:val="22"/>
                <w:color w:val="auto"/>
              </w:rPr>
            </w:pPr>
          </w:p>
        </w:tc>
        <w:tc>
          <w:tcPr>
            <w:tcW w:w="980" w:type="dxa"/>
            <w:vAlign w:val="bottom"/>
            <w:tcBorders>
              <w:top w:val="single" w:sz="8" w:color="auto"/>
              <w:bottom w:val="single" w:sz="8" w:color="auto"/>
            </w:tcBorders>
          </w:tcPr>
          <w:p>
            <w:pPr>
              <w:jc w:val="right"/>
              <w:ind w:right="408"/>
              <w:spacing w:after="0"/>
              <w:rPr>
                <w:sz w:val="20"/>
                <w:szCs w:val="20"/>
                <w:color w:val="auto"/>
              </w:rPr>
            </w:pPr>
            <w:r>
              <w:rPr>
                <w:rFonts w:ascii="Arial" w:cs="Arial" w:eastAsia="Arial" w:hAnsi="Arial"/>
                <w:sz w:val="14"/>
                <w:szCs w:val="14"/>
                <w:color w:val="auto"/>
              </w:rPr>
              <w:t>2016</w:t>
            </w:r>
          </w:p>
        </w:tc>
      </w:tr>
      <w:tr>
        <w:trPr>
          <w:trHeight w:val="251"/>
        </w:trPr>
        <w:tc>
          <w:tcPr>
            <w:tcW w:w="5220" w:type="dxa"/>
            <w:vAlign w:val="bottom"/>
            <w:shd w:val="clear" w:color="auto" w:fill="CCEEFF"/>
          </w:tcPr>
          <w:p>
            <w:pPr>
              <w:ind w:left="20"/>
              <w:spacing w:after="0"/>
              <w:rPr>
                <w:sz w:val="20"/>
                <w:szCs w:val="20"/>
                <w:color w:val="auto"/>
              </w:rPr>
            </w:pPr>
            <w:r>
              <w:rPr>
                <w:rFonts w:ascii="Arial" w:cs="Arial" w:eastAsia="Arial" w:hAnsi="Arial"/>
                <w:sz w:val="14"/>
                <w:szCs w:val="14"/>
                <w:color w:val="auto"/>
              </w:rPr>
              <w:t>Depreciation expense for property, plant and equipment</w:t>
            </w:r>
          </w:p>
        </w:tc>
        <w:tc>
          <w:tcPr>
            <w:tcW w:w="820" w:type="dxa"/>
            <w:vAlign w:val="bottom"/>
            <w:shd w:val="clear" w:color="auto" w:fill="CCEEFF"/>
          </w:tcPr>
          <w:p>
            <w:pPr>
              <w:jc w:val="right"/>
              <w:ind w:right="648"/>
              <w:spacing w:after="0"/>
              <w:rPr>
                <w:sz w:val="20"/>
                <w:szCs w:val="20"/>
                <w:color w:val="auto"/>
              </w:rPr>
            </w:pPr>
            <w:r>
              <w:rPr>
                <w:rFonts w:ascii="Arial" w:cs="Arial" w:eastAsia="Arial" w:hAnsi="Arial"/>
                <w:sz w:val="14"/>
                <w:szCs w:val="14"/>
                <w:b w:val="1"/>
                <w:bCs w:val="1"/>
                <w:color w:val="auto"/>
              </w:rPr>
              <w:t>$</w:t>
            </w:r>
          </w:p>
        </w:tc>
        <w:tc>
          <w:tcPr>
            <w:tcW w:w="48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w w:val="96"/>
              </w:rPr>
              <w:t>4,092</w:t>
            </w:r>
          </w:p>
        </w:tc>
        <w:tc>
          <w:tcPr>
            <w:tcW w:w="120" w:type="dxa"/>
            <w:vAlign w:val="bottom"/>
            <w:shd w:val="clear" w:color="auto" w:fill="CCEEFF"/>
          </w:tcPr>
          <w:p>
            <w:pPr>
              <w:spacing w:after="0"/>
              <w:rPr>
                <w:sz w:val="21"/>
                <w:szCs w:val="21"/>
                <w:color w:val="auto"/>
              </w:rPr>
            </w:pPr>
          </w:p>
        </w:tc>
        <w:tc>
          <w:tcPr>
            <w:tcW w:w="28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9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3,154</w:t>
            </w: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14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10,749</w:t>
            </w: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9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9,530</w:t>
            </w:r>
          </w:p>
        </w:tc>
      </w:tr>
    </w:tbl>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Arial" w:cs="Arial" w:eastAsia="Arial" w:hAnsi="Arial"/>
          <w:sz w:val="22"/>
          <w:szCs w:val="22"/>
          <w:b w:val="1"/>
          <w:bCs w:val="1"/>
          <w:color w:val="00497F"/>
        </w:rPr>
        <w:t>6. INVESTMENTS</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The following table presents the ownership interests and carrying values of the Company’s investments:</w:t>
      </w:r>
    </w:p>
    <w:p>
      <w:pPr>
        <w:spacing w:after="0" w:line="386" w:lineRule="exact"/>
        <w:rPr>
          <w:sz w:val="20"/>
          <w:szCs w:val="20"/>
          <w:color w:val="auto"/>
        </w:rPr>
      </w:pPr>
    </w:p>
    <w:tbl>
      <w:tblPr>
        <w:tblLayout w:type="fixed"/>
        <w:tblInd w:w="340" w:type="dxa"/>
        <w:tblCellMar>
          <w:top w:w="0" w:type="dxa"/>
          <w:left w:w="0" w:type="dxa"/>
          <w:bottom w:w="0" w:type="dxa"/>
          <w:right w:w="0" w:type="dxa"/>
        </w:tblCellMar>
      </w:tblPr>
      <w:tr>
        <w:trPr>
          <w:trHeight w:val="203"/>
        </w:trPr>
        <w:tc>
          <w:tcPr>
            <w:tcW w:w="2680" w:type="dxa"/>
            <w:vAlign w:val="bottom"/>
          </w:tcPr>
          <w:p>
            <w:pPr>
              <w:spacing w:after="0"/>
              <w:rPr>
                <w:sz w:val="17"/>
                <w:szCs w:val="17"/>
                <w:color w:val="auto"/>
              </w:rPr>
            </w:pPr>
          </w:p>
        </w:tc>
        <w:tc>
          <w:tcPr>
            <w:tcW w:w="2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212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Carrying Value</w:t>
            </w:r>
          </w:p>
        </w:tc>
        <w:tc>
          <w:tcPr>
            <w:tcW w:w="122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64"/>
        </w:trPr>
        <w:tc>
          <w:tcPr>
            <w:tcW w:w="2680" w:type="dxa"/>
            <w:vAlign w:val="bottom"/>
            <w:tcBorders>
              <w:bottom w:val="single" w:sz="8" w:color="CCEEFF"/>
            </w:tcBorders>
          </w:tcPr>
          <w:p>
            <w:pPr>
              <w:spacing w:after="0"/>
              <w:rPr>
                <w:sz w:val="22"/>
                <w:szCs w:val="22"/>
                <w:color w:val="auto"/>
              </w:rPr>
            </w:pPr>
          </w:p>
        </w:tc>
        <w:tc>
          <w:tcPr>
            <w:tcW w:w="21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Investment</w:t>
            </w:r>
          </w:p>
        </w:tc>
        <w:tc>
          <w:tcPr>
            <w:tcW w:w="120" w:type="dxa"/>
            <w:vAlign w:val="bottom"/>
            <w:tcBorders>
              <w:bottom w:val="single" w:sz="8" w:color="CCEEFF"/>
            </w:tcBorders>
          </w:tcPr>
          <w:p>
            <w:pPr>
              <w:spacing w:after="0"/>
              <w:rPr>
                <w:sz w:val="22"/>
                <w:szCs w:val="22"/>
                <w:color w:val="auto"/>
              </w:rPr>
            </w:pPr>
          </w:p>
        </w:tc>
        <w:tc>
          <w:tcPr>
            <w:tcW w:w="2160" w:type="dxa"/>
            <w:vAlign w:val="bottom"/>
            <w:tcBorders>
              <w:bottom w:val="single" w:sz="8" w:color="auto"/>
            </w:tcBorders>
          </w:tcPr>
          <w:p>
            <w:pPr>
              <w:ind w:left="300"/>
              <w:spacing w:after="0"/>
              <w:rPr>
                <w:sz w:val="20"/>
                <w:szCs w:val="20"/>
                <w:color w:val="auto"/>
              </w:rPr>
            </w:pPr>
            <w:r>
              <w:rPr>
                <w:rFonts w:ascii="Arial" w:cs="Arial" w:eastAsia="Arial" w:hAnsi="Arial"/>
                <w:sz w:val="14"/>
                <w:szCs w:val="14"/>
                <w:b w:val="1"/>
                <w:bCs w:val="1"/>
                <w:color w:val="auto"/>
              </w:rPr>
              <w:t>Ownership Percentage</w:t>
            </w:r>
          </w:p>
        </w:tc>
        <w:tc>
          <w:tcPr>
            <w:tcW w:w="10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56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b w:val="1"/>
                <w:bCs w:val="1"/>
                <w:color w:val="auto"/>
              </w:rPr>
              <w:t>September 30, 2017</w:t>
            </w:r>
          </w:p>
        </w:tc>
        <w:tc>
          <w:tcPr>
            <w:tcW w:w="100" w:type="dxa"/>
            <w:vAlign w:val="bottom"/>
            <w:tcBorders>
              <w:bottom w:val="single" w:sz="8" w:color="CCEEFF"/>
            </w:tcBorders>
          </w:tcPr>
          <w:p>
            <w:pPr>
              <w:spacing w:after="0"/>
              <w:rPr>
                <w:sz w:val="22"/>
                <w:szCs w:val="22"/>
                <w:color w:val="auto"/>
              </w:rPr>
            </w:pPr>
          </w:p>
        </w:tc>
        <w:tc>
          <w:tcPr>
            <w:tcW w:w="1680" w:type="dxa"/>
            <w:vAlign w:val="bottom"/>
            <w:tcBorders>
              <w:bottom w:val="single" w:sz="8" w:color="auto"/>
            </w:tcBorders>
            <w:gridSpan w:val="3"/>
          </w:tcPr>
          <w:p>
            <w:pPr>
              <w:jc w:val="right"/>
              <w:ind w:right="108"/>
              <w:spacing w:after="0"/>
              <w:rPr>
                <w:sz w:val="20"/>
                <w:szCs w:val="20"/>
                <w:color w:val="auto"/>
              </w:rPr>
            </w:pPr>
            <w:r>
              <w:rPr>
                <w:rFonts w:ascii="Arial" w:cs="Arial" w:eastAsia="Arial" w:hAnsi="Arial"/>
                <w:sz w:val="14"/>
                <w:szCs w:val="14"/>
                <w:b w:val="1"/>
                <w:bCs w:val="1"/>
                <w:color w:val="auto"/>
              </w:rPr>
              <w:t>December 31, 2016</w:t>
            </w:r>
          </w:p>
        </w:tc>
        <w:tc>
          <w:tcPr>
            <w:tcW w:w="0" w:type="dxa"/>
            <w:vAlign w:val="bottom"/>
          </w:tcPr>
          <w:p>
            <w:pPr>
              <w:spacing w:after="0"/>
              <w:rPr>
                <w:sz w:val="1"/>
                <w:szCs w:val="1"/>
                <w:color w:val="auto"/>
              </w:rPr>
            </w:pPr>
          </w:p>
        </w:tc>
      </w:tr>
      <w:tr>
        <w:trPr>
          <w:trHeight w:val="251"/>
        </w:trPr>
        <w:tc>
          <w:tcPr>
            <w:tcW w:w="2680" w:type="dxa"/>
            <w:vAlign w:val="bottom"/>
            <w:shd w:val="clear" w:color="auto" w:fill="CCEEFF"/>
          </w:tcPr>
          <w:p>
            <w:pPr>
              <w:ind w:left="20"/>
              <w:spacing w:after="0"/>
              <w:rPr>
                <w:sz w:val="20"/>
                <w:szCs w:val="20"/>
                <w:color w:val="auto"/>
              </w:rPr>
            </w:pPr>
            <w:r>
              <w:rPr>
                <w:rFonts w:ascii="Arial" w:cs="Arial" w:eastAsia="Arial" w:hAnsi="Arial"/>
                <w:sz w:val="14"/>
                <w:szCs w:val="14"/>
                <w:color w:val="auto"/>
              </w:rPr>
              <w:t>Listed security</w:t>
            </w:r>
          </w:p>
        </w:tc>
        <w:tc>
          <w:tcPr>
            <w:tcW w:w="2260" w:type="dxa"/>
            <w:vAlign w:val="bottom"/>
            <w:gridSpan w:val="2"/>
            <w:shd w:val="clear" w:color="auto" w:fill="CCEEFF"/>
          </w:tcPr>
          <w:p>
            <w:pPr>
              <w:jc w:val="center"/>
              <w:ind w:right="120"/>
              <w:spacing w:after="0"/>
              <w:rPr>
                <w:sz w:val="20"/>
                <w:szCs w:val="20"/>
                <w:color w:val="auto"/>
              </w:rPr>
            </w:pPr>
            <w:r>
              <w:rPr>
                <w:rFonts w:ascii="Arial" w:cs="Arial" w:eastAsia="Arial" w:hAnsi="Arial"/>
                <w:sz w:val="14"/>
                <w:szCs w:val="14"/>
                <w:color w:val="auto"/>
              </w:rPr>
              <w:t>Available-for-sale</w:t>
            </w:r>
          </w:p>
        </w:tc>
        <w:tc>
          <w:tcPr>
            <w:tcW w:w="21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8"/>
              </w:rPr>
              <w:t>2%</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56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30,470</w:t>
            </w:r>
          </w:p>
        </w:tc>
        <w:tc>
          <w:tcPr>
            <w:tcW w:w="100" w:type="dxa"/>
            <w:vAlign w:val="bottom"/>
            <w:shd w:val="clear" w:color="auto" w:fill="CCEEFF"/>
          </w:tcPr>
          <w:p>
            <w:pPr>
              <w:spacing w:after="0"/>
              <w:rPr>
                <w:sz w:val="21"/>
                <w:szCs w:val="21"/>
                <w:color w:val="auto"/>
              </w:rPr>
            </w:pPr>
          </w:p>
        </w:tc>
        <w:tc>
          <w:tcPr>
            <w:tcW w:w="32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1"/>
                <w:szCs w:val="21"/>
                <w:color w:val="auto"/>
              </w:rPr>
            </w:pPr>
          </w:p>
        </w:tc>
        <w:tc>
          <w:tcPr>
            <w:tcW w:w="12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17,630</w:t>
            </w:r>
          </w:p>
        </w:tc>
        <w:tc>
          <w:tcPr>
            <w:tcW w:w="0" w:type="dxa"/>
            <w:vAlign w:val="bottom"/>
          </w:tcPr>
          <w:p>
            <w:pPr>
              <w:spacing w:after="0"/>
              <w:rPr>
                <w:sz w:val="1"/>
                <w:szCs w:val="1"/>
                <w:color w:val="auto"/>
              </w:rPr>
            </w:pPr>
          </w:p>
        </w:tc>
      </w:tr>
      <w:tr>
        <w:trPr>
          <w:trHeight w:val="269"/>
        </w:trPr>
        <w:tc>
          <w:tcPr>
            <w:tcW w:w="2680" w:type="dxa"/>
            <w:vAlign w:val="bottom"/>
          </w:tcPr>
          <w:p>
            <w:pPr>
              <w:ind w:left="20"/>
              <w:spacing w:after="0"/>
              <w:rPr>
                <w:sz w:val="20"/>
                <w:szCs w:val="20"/>
                <w:color w:val="auto"/>
              </w:rPr>
            </w:pPr>
            <w:r>
              <w:rPr>
                <w:rFonts w:ascii="Arial" w:cs="Arial" w:eastAsia="Arial" w:hAnsi="Arial"/>
                <w:sz w:val="14"/>
                <w:szCs w:val="14"/>
                <w:color w:val="auto"/>
              </w:rPr>
              <w:t>Advanced Engine Repair JV</w:t>
            </w:r>
          </w:p>
        </w:tc>
        <w:tc>
          <w:tcPr>
            <w:tcW w:w="2260" w:type="dxa"/>
            <w:vAlign w:val="bottom"/>
            <w:gridSpan w:val="2"/>
          </w:tcPr>
          <w:p>
            <w:pPr>
              <w:jc w:val="center"/>
              <w:ind w:right="100"/>
              <w:spacing w:after="0"/>
              <w:rPr>
                <w:sz w:val="20"/>
                <w:szCs w:val="20"/>
                <w:color w:val="auto"/>
              </w:rPr>
            </w:pPr>
            <w:r>
              <w:rPr>
                <w:rFonts w:ascii="Arial" w:cs="Arial" w:eastAsia="Arial" w:hAnsi="Arial"/>
                <w:sz w:val="14"/>
                <w:szCs w:val="14"/>
                <w:color w:val="auto"/>
              </w:rPr>
              <w:t>Equity method</w:t>
            </w:r>
          </w:p>
        </w:tc>
        <w:tc>
          <w:tcPr>
            <w:tcW w:w="2160" w:type="dxa"/>
            <w:vAlign w:val="bottom"/>
          </w:tcPr>
          <w:p>
            <w:pPr>
              <w:jc w:val="center"/>
              <w:spacing w:after="0"/>
              <w:rPr>
                <w:sz w:val="20"/>
                <w:szCs w:val="20"/>
                <w:color w:val="auto"/>
              </w:rPr>
            </w:pPr>
            <w:r>
              <w:rPr>
                <w:rFonts w:ascii="Arial" w:cs="Arial" w:eastAsia="Arial" w:hAnsi="Arial"/>
                <w:sz w:val="14"/>
                <w:szCs w:val="14"/>
                <w:color w:val="auto"/>
                <w:w w:val="99"/>
              </w:rPr>
              <w:t>25%</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560" w:type="dxa"/>
            <w:vAlign w:val="bottom"/>
          </w:tcPr>
          <w:p>
            <w:pPr>
              <w:jc w:val="right"/>
              <w:ind w:right="28"/>
              <w:spacing w:after="0"/>
              <w:rPr>
                <w:sz w:val="20"/>
                <w:szCs w:val="20"/>
                <w:color w:val="auto"/>
              </w:rPr>
            </w:pPr>
            <w:r>
              <w:rPr>
                <w:rFonts w:ascii="Arial" w:cs="Arial" w:eastAsia="Arial" w:hAnsi="Arial"/>
                <w:sz w:val="14"/>
                <w:szCs w:val="14"/>
                <w:b w:val="1"/>
                <w:bCs w:val="1"/>
                <w:color w:val="auto"/>
              </w:rPr>
              <w:t>13,954</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20" w:type="dxa"/>
            <w:vAlign w:val="bottom"/>
          </w:tcPr>
          <w:p>
            <w:pPr>
              <w:jc w:val="right"/>
              <w:ind w:right="8"/>
              <w:spacing w:after="0"/>
              <w:rPr>
                <w:sz w:val="20"/>
                <w:szCs w:val="20"/>
                <w:color w:val="auto"/>
              </w:rPr>
            </w:pPr>
            <w:r>
              <w:rPr>
                <w:rFonts w:ascii="Arial" w:cs="Arial" w:eastAsia="Arial" w:hAnsi="Arial"/>
                <w:sz w:val="14"/>
                <w:szCs w:val="14"/>
                <w:color w:val="auto"/>
              </w:rPr>
              <w:t>15,000</w:t>
            </w:r>
          </w:p>
        </w:tc>
        <w:tc>
          <w:tcPr>
            <w:tcW w:w="0" w:type="dxa"/>
            <w:vAlign w:val="bottom"/>
          </w:tcPr>
          <w:p>
            <w:pPr>
              <w:spacing w:after="0"/>
              <w:rPr>
                <w:sz w:val="1"/>
                <w:szCs w:val="1"/>
                <w:color w:val="auto"/>
              </w:rPr>
            </w:pPr>
          </w:p>
        </w:tc>
      </w:tr>
      <w:tr>
        <w:trPr>
          <w:trHeight w:val="271"/>
        </w:trPr>
        <w:tc>
          <w:tcPr>
            <w:tcW w:w="2680" w:type="dxa"/>
            <w:vAlign w:val="bottom"/>
            <w:shd w:val="clear" w:color="auto" w:fill="CCEEFF"/>
          </w:tcPr>
          <w:p>
            <w:pPr>
              <w:ind w:left="20"/>
              <w:spacing w:after="0"/>
              <w:rPr>
                <w:sz w:val="20"/>
                <w:szCs w:val="20"/>
                <w:color w:val="auto"/>
              </w:rPr>
            </w:pPr>
            <w:r>
              <w:rPr>
                <w:rFonts w:ascii="Arial" w:cs="Arial" w:eastAsia="Arial" w:hAnsi="Arial"/>
                <w:sz w:val="14"/>
                <w:szCs w:val="14"/>
                <w:color w:val="auto"/>
              </w:rPr>
              <w:t>JGP Energy Partners LLC</w:t>
            </w:r>
          </w:p>
        </w:tc>
        <w:tc>
          <w:tcPr>
            <w:tcW w:w="2260" w:type="dxa"/>
            <w:vAlign w:val="bottom"/>
            <w:gridSpan w:val="2"/>
            <w:shd w:val="clear" w:color="auto" w:fill="CCEEFF"/>
          </w:tcPr>
          <w:p>
            <w:pPr>
              <w:jc w:val="center"/>
              <w:ind w:right="100"/>
              <w:spacing w:after="0"/>
              <w:rPr>
                <w:sz w:val="20"/>
                <w:szCs w:val="20"/>
                <w:color w:val="auto"/>
              </w:rPr>
            </w:pPr>
            <w:r>
              <w:rPr>
                <w:rFonts w:ascii="Arial" w:cs="Arial" w:eastAsia="Arial" w:hAnsi="Arial"/>
                <w:sz w:val="14"/>
                <w:szCs w:val="14"/>
                <w:color w:val="auto"/>
              </w:rPr>
              <w:t>Equity method</w:t>
            </w:r>
          </w:p>
        </w:tc>
        <w:tc>
          <w:tcPr>
            <w:tcW w:w="21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9"/>
              </w:rPr>
              <w:t>50%</w:t>
            </w: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56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19,741</w:t>
            </w:r>
          </w:p>
        </w:tc>
        <w:tc>
          <w:tcPr>
            <w:tcW w:w="10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2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3,266</w:t>
            </w:r>
          </w:p>
        </w:tc>
        <w:tc>
          <w:tcPr>
            <w:tcW w:w="0" w:type="dxa"/>
            <w:vAlign w:val="bottom"/>
          </w:tcPr>
          <w:p>
            <w:pPr>
              <w:spacing w:after="0"/>
              <w:rPr>
                <w:sz w:val="1"/>
                <w:szCs w:val="1"/>
                <w:color w:val="auto"/>
              </w:rPr>
            </w:pPr>
          </w:p>
        </w:tc>
      </w:tr>
      <w:tr>
        <w:trPr>
          <w:trHeight w:val="269"/>
        </w:trPr>
        <w:tc>
          <w:tcPr>
            <w:tcW w:w="268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Intermodal Finance I, Ltd.</w:t>
            </w:r>
          </w:p>
        </w:tc>
        <w:tc>
          <w:tcPr>
            <w:tcW w:w="2260" w:type="dxa"/>
            <w:vAlign w:val="bottom"/>
            <w:tcBorders>
              <w:bottom w:val="single" w:sz="8" w:color="CCEEFF"/>
            </w:tcBorders>
            <w:gridSpan w:val="2"/>
          </w:tcPr>
          <w:p>
            <w:pPr>
              <w:jc w:val="center"/>
              <w:ind w:right="100"/>
              <w:spacing w:after="0"/>
              <w:rPr>
                <w:sz w:val="20"/>
                <w:szCs w:val="20"/>
                <w:color w:val="auto"/>
              </w:rPr>
            </w:pPr>
            <w:r>
              <w:rPr>
                <w:rFonts w:ascii="Arial" w:cs="Arial" w:eastAsia="Arial" w:hAnsi="Arial"/>
                <w:sz w:val="14"/>
                <w:szCs w:val="14"/>
                <w:color w:val="auto"/>
              </w:rPr>
              <w:t>Equity method</w:t>
            </w:r>
          </w:p>
        </w:tc>
        <w:tc>
          <w:tcPr>
            <w:tcW w:w="2160" w:type="dxa"/>
            <w:vAlign w:val="bottom"/>
            <w:tcBorders>
              <w:bottom w:val="single" w:sz="8" w:color="CCEEFF"/>
            </w:tcBorders>
          </w:tcPr>
          <w:p>
            <w:pPr>
              <w:jc w:val="center"/>
              <w:spacing w:after="0"/>
              <w:rPr>
                <w:sz w:val="20"/>
                <w:szCs w:val="20"/>
                <w:color w:val="auto"/>
              </w:rPr>
            </w:pPr>
            <w:r>
              <w:rPr>
                <w:rFonts w:ascii="Arial" w:cs="Arial" w:eastAsia="Arial" w:hAnsi="Arial"/>
                <w:sz w:val="14"/>
                <w:szCs w:val="14"/>
                <w:color w:val="auto"/>
                <w:w w:val="99"/>
              </w:rPr>
              <w:t>51%</w:t>
            </w:r>
          </w:p>
        </w:tc>
        <w:tc>
          <w:tcPr>
            <w:tcW w:w="100" w:type="dxa"/>
            <w:vAlign w:val="bottom"/>
            <w:tcBorders>
              <w:bottom w:val="single" w:sz="8" w:color="CCEEFF"/>
            </w:tcBorders>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15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3,627</w:t>
            </w:r>
          </w:p>
        </w:tc>
        <w:tc>
          <w:tcPr>
            <w:tcW w:w="100" w:type="dxa"/>
            <w:vAlign w:val="bottom"/>
            <w:tcBorders>
              <w:bottom w:val="single" w:sz="8" w:color="CCEEFF"/>
            </w:tcBorders>
          </w:tcPr>
          <w:p>
            <w:pPr>
              <w:spacing w:after="0"/>
              <w:rPr>
                <w:sz w:val="23"/>
                <w:szCs w:val="23"/>
                <w:color w:val="auto"/>
              </w:rPr>
            </w:pPr>
          </w:p>
        </w:tc>
        <w:tc>
          <w:tcPr>
            <w:tcW w:w="320" w:type="dxa"/>
            <w:vAlign w:val="bottom"/>
            <w:tcBorders>
              <w:bottom w:val="single" w:sz="8" w:color="auto"/>
            </w:tcBorders>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12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4,082</w:t>
            </w:r>
          </w:p>
        </w:tc>
        <w:tc>
          <w:tcPr>
            <w:tcW w:w="0" w:type="dxa"/>
            <w:vAlign w:val="bottom"/>
          </w:tcPr>
          <w:p>
            <w:pPr>
              <w:spacing w:after="0"/>
              <w:rPr>
                <w:sz w:val="1"/>
                <w:szCs w:val="1"/>
                <w:color w:val="auto"/>
              </w:rPr>
            </w:pPr>
          </w:p>
        </w:tc>
      </w:tr>
      <w:tr>
        <w:trPr>
          <w:trHeight w:val="238"/>
        </w:trPr>
        <w:tc>
          <w:tcPr>
            <w:tcW w:w="2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Investments</w:t>
            </w:r>
          </w:p>
        </w:tc>
        <w:tc>
          <w:tcPr>
            <w:tcW w:w="21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1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5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67,792</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auto"/>
            </w:tcBorders>
            <w:shd w:val="clear" w:color="auto" w:fill="CCEEFF"/>
          </w:tcPr>
          <w:p>
            <w:pPr>
              <w:spacing w:after="0"/>
              <w:rPr>
                <w:sz w:val="20"/>
                <w:szCs w:val="20"/>
                <w:color w:val="auto"/>
              </w:rPr>
            </w:pPr>
          </w:p>
        </w:tc>
        <w:tc>
          <w:tcPr>
            <w:tcW w:w="122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39,978</w:t>
            </w:r>
          </w:p>
        </w:tc>
        <w:tc>
          <w:tcPr>
            <w:tcW w:w="0" w:type="dxa"/>
            <w:vAlign w:val="bottom"/>
          </w:tcPr>
          <w:p>
            <w:pPr>
              <w:spacing w:after="0"/>
              <w:rPr>
                <w:sz w:val="1"/>
                <w:szCs w:val="1"/>
                <w:color w:val="auto"/>
              </w:rPr>
            </w:pPr>
          </w:p>
        </w:tc>
      </w:tr>
      <w:tr>
        <w:trPr>
          <w:trHeight w:val="20"/>
        </w:trPr>
        <w:tc>
          <w:tcPr>
            <w:tcW w:w="2680" w:type="dxa"/>
            <w:vAlign w:val="bottom"/>
            <w:vMerge w:val="restart"/>
          </w:tcPr>
          <w:p>
            <w:pPr>
              <w:spacing w:after="0"/>
              <w:rPr>
                <w:sz w:val="20"/>
                <w:szCs w:val="20"/>
                <w:color w:val="auto"/>
              </w:rPr>
            </w:pPr>
            <w:r>
              <w:rPr>
                <w:rFonts w:ascii="Arial" w:cs="Arial" w:eastAsia="Arial" w:hAnsi="Arial"/>
                <w:sz w:val="16"/>
                <w:szCs w:val="16"/>
                <w:b w:val="1"/>
                <w:bCs w:val="1"/>
                <w:color w:val="00497F"/>
              </w:rPr>
              <w:t>Available-for-sale securities</w:t>
            </w:r>
          </w:p>
        </w:tc>
        <w:tc>
          <w:tcPr>
            <w:tcW w:w="2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5"/>
        </w:trPr>
        <w:tc>
          <w:tcPr>
            <w:tcW w:w="2680" w:type="dxa"/>
            <w:vAlign w:val="bottom"/>
            <w:vMerge w:val="continue"/>
          </w:tcPr>
          <w:p>
            <w:pPr>
              <w:spacing w:after="0"/>
              <w:rPr>
                <w:sz w:val="24"/>
                <w:szCs w:val="24"/>
                <w:color w:val="auto"/>
              </w:rPr>
            </w:pPr>
          </w:p>
        </w:tc>
        <w:tc>
          <w:tcPr>
            <w:tcW w:w="2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8"/>
        </w:trPr>
        <w:tc>
          <w:tcPr>
            <w:tcW w:w="2680" w:type="dxa"/>
            <w:vAlign w:val="bottom"/>
          </w:tcPr>
          <w:p>
            <w:pPr>
              <w:spacing w:after="0"/>
              <w:rPr>
                <w:sz w:val="24"/>
                <w:szCs w:val="24"/>
                <w:color w:val="auto"/>
              </w:rPr>
            </w:pPr>
          </w:p>
        </w:tc>
        <w:tc>
          <w:tcPr>
            <w:tcW w:w="2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b w:val="1"/>
                <w:bCs w:val="1"/>
                <w:color w:val="auto"/>
              </w:rPr>
              <w:t>Equity Security</w:t>
            </w:r>
          </w:p>
        </w:tc>
        <w:tc>
          <w:tcPr>
            <w:tcW w:w="0" w:type="dxa"/>
            <w:vAlign w:val="bottom"/>
          </w:tcPr>
          <w:p>
            <w:pPr>
              <w:spacing w:after="0"/>
              <w:rPr>
                <w:sz w:val="1"/>
                <w:szCs w:val="1"/>
                <w:color w:val="auto"/>
              </w:rPr>
            </w:pPr>
          </w:p>
        </w:tc>
      </w:tr>
      <w:tr>
        <w:trPr>
          <w:trHeight w:val="247"/>
        </w:trPr>
        <w:tc>
          <w:tcPr>
            <w:tcW w:w="2680" w:type="dxa"/>
            <w:vAlign w:val="bottom"/>
          </w:tcPr>
          <w:p>
            <w:pPr>
              <w:ind w:left="20"/>
              <w:spacing w:after="0"/>
              <w:rPr>
                <w:sz w:val="20"/>
                <w:szCs w:val="20"/>
                <w:color w:val="auto"/>
              </w:rPr>
            </w:pPr>
            <w:r>
              <w:rPr>
                <w:rFonts w:ascii="Arial" w:cs="Arial" w:eastAsia="Arial" w:hAnsi="Arial"/>
                <w:sz w:val="14"/>
                <w:szCs w:val="14"/>
                <w:color w:val="auto"/>
              </w:rPr>
              <w:t>December 31, 2016</w:t>
            </w:r>
          </w:p>
        </w:tc>
        <w:tc>
          <w:tcPr>
            <w:tcW w:w="2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5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6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c>
          <w:tcPr>
            <w:tcW w:w="1220" w:type="dxa"/>
            <w:vAlign w:val="bottom"/>
          </w:tcPr>
          <w:p>
            <w:pPr>
              <w:jc w:val="right"/>
              <w:ind w:right="8"/>
              <w:spacing w:after="0"/>
              <w:rPr>
                <w:sz w:val="20"/>
                <w:szCs w:val="20"/>
                <w:color w:val="auto"/>
              </w:rPr>
            </w:pPr>
            <w:r>
              <w:rPr>
                <w:rFonts w:ascii="Arial" w:cs="Arial" w:eastAsia="Arial" w:hAnsi="Arial"/>
                <w:sz w:val="14"/>
                <w:szCs w:val="14"/>
                <w:color w:val="auto"/>
              </w:rPr>
              <w:t>17,630</w:t>
            </w:r>
          </w:p>
        </w:tc>
        <w:tc>
          <w:tcPr>
            <w:tcW w:w="0" w:type="dxa"/>
            <w:vAlign w:val="bottom"/>
          </w:tcPr>
          <w:p>
            <w:pPr>
              <w:spacing w:after="0"/>
              <w:rPr>
                <w:sz w:val="1"/>
                <w:szCs w:val="1"/>
                <w:color w:val="auto"/>
              </w:rPr>
            </w:pPr>
          </w:p>
        </w:tc>
      </w:tr>
      <w:tr>
        <w:trPr>
          <w:trHeight w:val="274"/>
        </w:trPr>
        <w:tc>
          <w:tcPr>
            <w:tcW w:w="2680" w:type="dxa"/>
            <w:vAlign w:val="bottom"/>
            <w:shd w:val="clear" w:color="auto" w:fill="CCEEFF"/>
          </w:tcPr>
          <w:p>
            <w:pPr>
              <w:ind w:left="160"/>
              <w:spacing w:after="0"/>
              <w:rPr>
                <w:sz w:val="20"/>
                <w:szCs w:val="20"/>
                <w:color w:val="auto"/>
              </w:rPr>
            </w:pPr>
            <w:r>
              <w:rPr>
                <w:rFonts w:ascii="Arial" w:cs="Arial" w:eastAsia="Arial" w:hAnsi="Arial"/>
                <w:sz w:val="14"/>
                <w:szCs w:val="14"/>
                <w:color w:val="auto"/>
              </w:rPr>
              <w:t>Purchases</w:t>
            </w:r>
          </w:p>
        </w:tc>
        <w:tc>
          <w:tcPr>
            <w:tcW w:w="21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1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5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2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8,332</w:t>
            </w:r>
          </w:p>
        </w:tc>
        <w:tc>
          <w:tcPr>
            <w:tcW w:w="0" w:type="dxa"/>
            <w:vAlign w:val="bottom"/>
          </w:tcPr>
          <w:p>
            <w:pPr>
              <w:spacing w:after="0"/>
              <w:rPr>
                <w:sz w:val="1"/>
                <w:szCs w:val="1"/>
                <w:color w:val="auto"/>
              </w:rPr>
            </w:pPr>
          </w:p>
        </w:tc>
      </w:tr>
      <w:tr>
        <w:trPr>
          <w:trHeight w:val="266"/>
        </w:trPr>
        <w:tc>
          <w:tcPr>
            <w:tcW w:w="2680" w:type="dxa"/>
            <w:vAlign w:val="bottom"/>
            <w:tcBorders>
              <w:bottom w:val="single" w:sz="8" w:color="CCEEFF"/>
            </w:tcBorders>
          </w:tcPr>
          <w:p>
            <w:pPr>
              <w:ind w:left="160"/>
              <w:spacing w:after="0"/>
              <w:rPr>
                <w:sz w:val="20"/>
                <w:szCs w:val="20"/>
                <w:color w:val="auto"/>
              </w:rPr>
            </w:pPr>
            <w:r>
              <w:rPr>
                <w:rFonts w:ascii="Arial" w:cs="Arial" w:eastAsia="Arial" w:hAnsi="Arial"/>
                <w:sz w:val="14"/>
                <w:szCs w:val="14"/>
                <w:color w:val="auto"/>
              </w:rPr>
              <w:t>Unrealized gain</w:t>
            </w:r>
          </w:p>
        </w:tc>
        <w:tc>
          <w:tcPr>
            <w:tcW w:w="2140" w:type="dxa"/>
            <w:vAlign w:val="bottom"/>
            <w:tcBorders>
              <w:bottom w:val="single" w:sz="8" w:color="CCEEFF"/>
            </w:tcBorders>
          </w:tcPr>
          <w:p>
            <w:pPr>
              <w:spacing w:after="0"/>
              <w:rPr>
                <w:sz w:val="23"/>
                <w:szCs w:val="23"/>
                <w:color w:val="auto"/>
              </w:rPr>
            </w:pPr>
          </w:p>
        </w:tc>
        <w:tc>
          <w:tcPr>
            <w:tcW w:w="120" w:type="dxa"/>
            <w:vAlign w:val="bottom"/>
            <w:tcBorders>
              <w:bottom w:val="single" w:sz="8" w:color="CCEEFF"/>
            </w:tcBorders>
          </w:tcPr>
          <w:p>
            <w:pPr>
              <w:spacing w:after="0"/>
              <w:rPr>
                <w:sz w:val="23"/>
                <w:szCs w:val="23"/>
                <w:color w:val="auto"/>
              </w:rPr>
            </w:pPr>
          </w:p>
        </w:tc>
        <w:tc>
          <w:tcPr>
            <w:tcW w:w="2160" w:type="dxa"/>
            <w:vAlign w:val="bottom"/>
            <w:tcBorders>
              <w:bottom w:val="single" w:sz="8" w:color="CCEEFF"/>
            </w:tcBorders>
          </w:tcPr>
          <w:p>
            <w:pPr>
              <w:spacing w:after="0"/>
              <w:rPr>
                <w:sz w:val="23"/>
                <w:szCs w:val="23"/>
                <w:color w:val="auto"/>
              </w:rPr>
            </w:pPr>
          </w:p>
        </w:tc>
        <w:tc>
          <w:tcPr>
            <w:tcW w:w="100" w:type="dxa"/>
            <w:vAlign w:val="bottom"/>
            <w:tcBorders>
              <w:bottom w:val="single" w:sz="8" w:color="CCEEFF"/>
            </w:tcBorders>
          </w:tcPr>
          <w:p>
            <w:pPr>
              <w:spacing w:after="0"/>
              <w:rPr>
                <w:sz w:val="23"/>
                <w:szCs w:val="23"/>
                <w:color w:val="auto"/>
              </w:rPr>
            </w:pPr>
          </w:p>
        </w:tc>
        <w:tc>
          <w:tcPr>
            <w:tcW w:w="140" w:type="dxa"/>
            <w:vAlign w:val="bottom"/>
            <w:tcBorders>
              <w:bottom w:val="single" w:sz="8" w:color="CCEEFF"/>
            </w:tcBorders>
          </w:tcPr>
          <w:p>
            <w:pPr>
              <w:spacing w:after="0"/>
              <w:rPr>
                <w:sz w:val="23"/>
                <w:szCs w:val="23"/>
                <w:color w:val="auto"/>
              </w:rPr>
            </w:pPr>
          </w:p>
        </w:tc>
        <w:tc>
          <w:tcPr>
            <w:tcW w:w="1560" w:type="dxa"/>
            <w:vAlign w:val="bottom"/>
            <w:tcBorders>
              <w:bottom w:val="single" w:sz="8" w:color="CCEEFF"/>
            </w:tcBorders>
          </w:tcPr>
          <w:p>
            <w:pPr>
              <w:spacing w:after="0"/>
              <w:rPr>
                <w:sz w:val="23"/>
                <w:szCs w:val="23"/>
                <w:color w:val="auto"/>
              </w:rPr>
            </w:pPr>
          </w:p>
        </w:tc>
        <w:tc>
          <w:tcPr>
            <w:tcW w:w="100" w:type="dxa"/>
            <w:vAlign w:val="bottom"/>
            <w:tcBorders>
              <w:bottom w:val="single" w:sz="8" w:color="CCEEFF"/>
            </w:tcBorders>
          </w:tcPr>
          <w:p>
            <w:pPr>
              <w:spacing w:after="0"/>
              <w:rPr>
                <w:sz w:val="23"/>
                <w:szCs w:val="23"/>
                <w:color w:val="auto"/>
              </w:rPr>
            </w:pPr>
          </w:p>
        </w:tc>
        <w:tc>
          <w:tcPr>
            <w:tcW w:w="320" w:type="dxa"/>
            <w:vAlign w:val="bottom"/>
            <w:tcBorders>
              <w:bottom w:val="single" w:sz="8" w:color="CCEEFF"/>
            </w:tcBorders>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12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4,508</w:t>
            </w:r>
          </w:p>
        </w:tc>
        <w:tc>
          <w:tcPr>
            <w:tcW w:w="0" w:type="dxa"/>
            <w:vAlign w:val="bottom"/>
          </w:tcPr>
          <w:p>
            <w:pPr>
              <w:spacing w:after="0"/>
              <w:rPr>
                <w:sz w:val="1"/>
                <w:szCs w:val="1"/>
                <w:color w:val="auto"/>
              </w:rPr>
            </w:pPr>
          </w:p>
        </w:tc>
      </w:tr>
      <w:tr>
        <w:trPr>
          <w:trHeight w:val="241"/>
        </w:trPr>
        <w:tc>
          <w:tcPr>
            <w:tcW w:w="2680" w:type="dxa"/>
            <w:vAlign w:val="bottom"/>
            <w:shd w:val="clear" w:color="auto" w:fill="CCEEFF"/>
          </w:tcPr>
          <w:p>
            <w:pPr>
              <w:ind w:left="20"/>
              <w:spacing w:after="0"/>
              <w:rPr>
                <w:sz w:val="20"/>
                <w:szCs w:val="20"/>
                <w:color w:val="auto"/>
              </w:rPr>
            </w:pPr>
            <w:r>
              <w:rPr>
                <w:rFonts w:ascii="Arial" w:cs="Arial" w:eastAsia="Arial" w:hAnsi="Arial"/>
                <w:sz w:val="14"/>
                <w:szCs w:val="14"/>
                <w:color w:val="auto"/>
              </w:rPr>
              <w:t>September 30, 2017</w:t>
            </w:r>
          </w:p>
        </w:tc>
        <w:tc>
          <w:tcPr>
            <w:tcW w:w="21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1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5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6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b w:val="1"/>
                <w:bCs w:val="1"/>
                <w:color w:val="auto"/>
              </w:rPr>
              <w:t>$</w:t>
            </w:r>
          </w:p>
        </w:tc>
        <w:tc>
          <w:tcPr>
            <w:tcW w:w="1220" w:type="dxa"/>
            <w:vAlign w:val="bottom"/>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30,470</w:t>
            </w:r>
          </w:p>
        </w:tc>
        <w:tc>
          <w:tcPr>
            <w:tcW w:w="0" w:type="dxa"/>
            <w:vAlign w:val="bottom"/>
          </w:tcPr>
          <w:p>
            <w:pPr>
              <w:spacing w:after="0"/>
              <w:rPr>
                <w:sz w:val="1"/>
                <w:szCs w:val="1"/>
                <w:color w:val="auto"/>
              </w:rPr>
            </w:pPr>
          </w:p>
        </w:tc>
      </w:tr>
      <w:tr>
        <w:trPr>
          <w:trHeight w:val="20"/>
        </w:trPr>
        <w:tc>
          <w:tcPr>
            <w:tcW w:w="2680" w:type="dxa"/>
            <w:vAlign w:val="bottom"/>
            <w:tcBorders>
              <w:top w:val="single" w:sz="8" w:color="CCEEFF"/>
            </w:tcBorders>
          </w:tcPr>
          <w:p>
            <w:pPr>
              <w:spacing w:after="0" w:line="20" w:lineRule="exact"/>
              <w:rPr>
                <w:sz w:val="1"/>
                <w:szCs w:val="1"/>
                <w:color w:val="auto"/>
              </w:rPr>
            </w:pPr>
          </w:p>
        </w:tc>
        <w:tc>
          <w:tcPr>
            <w:tcW w:w="21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1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5"/>
        </w:trPr>
        <w:tc>
          <w:tcPr>
            <w:tcW w:w="2680" w:type="dxa"/>
            <w:vAlign w:val="bottom"/>
          </w:tcPr>
          <w:p>
            <w:pPr>
              <w:spacing w:after="0"/>
              <w:rPr>
                <w:sz w:val="24"/>
                <w:szCs w:val="24"/>
                <w:color w:val="auto"/>
              </w:rPr>
            </w:pPr>
          </w:p>
        </w:tc>
        <w:tc>
          <w:tcPr>
            <w:tcW w:w="2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2680" w:type="dxa"/>
            <w:vAlign w:val="bottom"/>
            <w:shd w:val="clear" w:color="auto" w:fill="CCEEFF"/>
          </w:tcPr>
          <w:p>
            <w:pPr>
              <w:ind w:left="20"/>
              <w:spacing w:after="0"/>
              <w:rPr>
                <w:sz w:val="20"/>
                <w:szCs w:val="20"/>
                <w:color w:val="auto"/>
              </w:rPr>
            </w:pPr>
            <w:r>
              <w:rPr>
                <w:rFonts w:ascii="Arial" w:cs="Arial" w:eastAsia="Arial" w:hAnsi="Arial"/>
                <w:sz w:val="14"/>
                <w:szCs w:val="14"/>
                <w:color w:val="auto"/>
              </w:rPr>
              <w:t>Cost</w:t>
            </w:r>
          </w:p>
        </w:tc>
        <w:tc>
          <w:tcPr>
            <w:tcW w:w="21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1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5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46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w:t>
            </w:r>
          </w:p>
        </w:tc>
        <w:tc>
          <w:tcPr>
            <w:tcW w:w="12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18,833</w:t>
            </w:r>
          </w:p>
        </w:tc>
        <w:tc>
          <w:tcPr>
            <w:tcW w:w="0" w:type="dxa"/>
            <w:vAlign w:val="bottom"/>
          </w:tcPr>
          <w:p>
            <w:pPr>
              <w:spacing w:after="0"/>
              <w:rPr>
                <w:sz w:val="1"/>
                <w:szCs w:val="1"/>
                <w:color w:val="auto"/>
              </w:rPr>
            </w:pPr>
          </w:p>
        </w:tc>
      </w:tr>
    </w:tbl>
    <w:p>
      <w:pPr>
        <w:spacing w:after="0" w:line="144"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The Company did not recognize any other-than-temporary impairments for the three and nine months ended September 30, 2017.</w:t>
      </w:r>
    </w:p>
    <w:p>
      <w:pPr>
        <w:spacing w:after="0" w:line="165" w:lineRule="exact"/>
        <w:rPr>
          <w:sz w:val="20"/>
          <w:szCs w:val="20"/>
          <w:color w:val="auto"/>
        </w:rPr>
      </w:pPr>
    </w:p>
    <w:p>
      <w:pPr>
        <w:ind w:left="340"/>
        <w:spacing w:after="0"/>
        <w:rPr>
          <w:sz w:val="20"/>
          <w:szCs w:val="20"/>
          <w:color w:val="auto"/>
        </w:rPr>
      </w:pPr>
      <w:r>
        <w:rPr>
          <w:rFonts w:ascii="Arial" w:cs="Arial" w:eastAsia="Arial" w:hAnsi="Arial"/>
          <w:sz w:val="16"/>
          <w:szCs w:val="16"/>
          <w:b w:val="1"/>
          <w:bCs w:val="1"/>
          <w:color w:val="00497F"/>
        </w:rPr>
        <w:t>Equity Method Investments</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6"/>
          <w:szCs w:val="16"/>
          <w:i w:val="1"/>
          <w:iCs w:val="1"/>
          <w:color w:val="00497F"/>
        </w:rPr>
        <w:t>Advanced Engine Repair JV</w:t>
      </w:r>
    </w:p>
    <w:p>
      <w:pPr>
        <w:spacing w:after="0" w:line="179" w:lineRule="exact"/>
        <w:rPr>
          <w:sz w:val="20"/>
          <w:szCs w:val="20"/>
          <w:color w:val="auto"/>
        </w:rPr>
      </w:pPr>
    </w:p>
    <w:p>
      <w:pPr>
        <w:jc w:val="both"/>
        <w:ind w:left="340"/>
        <w:spacing w:after="0" w:line="296" w:lineRule="auto"/>
        <w:rPr>
          <w:sz w:val="20"/>
          <w:szCs w:val="20"/>
          <w:color w:val="auto"/>
        </w:rPr>
      </w:pPr>
      <w:r>
        <w:rPr>
          <w:rFonts w:ascii="Arial" w:cs="Arial" w:eastAsia="Arial" w:hAnsi="Arial"/>
          <w:sz w:val="16"/>
          <w:szCs w:val="16"/>
          <w:color w:val="auto"/>
        </w:rPr>
        <w:t>In December 2016, the Company invested $15,000 for 25% interest in an advanced engine repair joint venture. The Company will initially focus on developing new costs savings programs for engine repairs. The primary financial activities for the joint venture relate to member contributions and therefore its summary financial information has not been presented. The Company’s proportionate share of equity in losses was $203 and $1,046 for the three and nine months ended September 30, 2017, respectively.</w:t>
      </w:r>
    </w:p>
    <w:p>
      <w:pPr>
        <w:spacing w:after="0" w:line="107" w:lineRule="exact"/>
        <w:rPr>
          <w:sz w:val="20"/>
          <w:szCs w:val="20"/>
          <w:color w:val="auto"/>
        </w:rPr>
      </w:pPr>
    </w:p>
    <w:p>
      <w:pPr>
        <w:ind w:left="340"/>
        <w:spacing w:after="0"/>
        <w:rPr>
          <w:sz w:val="20"/>
          <w:szCs w:val="20"/>
          <w:color w:val="auto"/>
        </w:rPr>
      </w:pPr>
      <w:r>
        <w:rPr>
          <w:rFonts w:ascii="Arial" w:cs="Arial" w:eastAsia="Arial" w:hAnsi="Arial"/>
          <w:sz w:val="16"/>
          <w:szCs w:val="16"/>
          <w:i w:val="1"/>
          <w:iCs w:val="1"/>
          <w:color w:val="00497F"/>
        </w:rPr>
        <w:t>JGP</w:t>
      </w:r>
    </w:p>
    <w:p>
      <w:pPr>
        <w:spacing w:after="0" w:line="165" w:lineRule="exact"/>
        <w:rPr>
          <w:sz w:val="20"/>
          <w:szCs w:val="20"/>
          <w:color w:val="auto"/>
        </w:rPr>
      </w:pPr>
    </w:p>
    <w:p>
      <w:pPr>
        <w:jc w:val="both"/>
        <w:ind w:left="340"/>
        <w:spacing w:after="0" w:line="255" w:lineRule="auto"/>
        <w:rPr>
          <w:sz w:val="20"/>
          <w:szCs w:val="20"/>
          <w:color w:val="auto"/>
        </w:rPr>
      </w:pPr>
      <w:r>
        <w:rPr>
          <w:rFonts w:ascii="Arial" w:cs="Arial" w:eastAsia="Arial" w:hAnsi="Arial"/>
          <w:sz w:val="16"/>
          <w:szCs w:val="16"/>
          <w:color w:val="auto"/>
        </w:rPr>
        <w:t>In 2016, the Company initiated activities in a 50% non-controlling interest in JGP, a joint venture. JGP is governed by a designated operating committee selected by the members in proportion to their equity interests. JGP is solely reliant on its members to finance its activities and therefore is a variable interest entity. The Company concluded it is not the primary beneficiary of JGP as the members share equally in the risks and rewards and decision making authority of the entity; therefore, the Company does not consolidate JGP and instead accounts for this investment in accordance with the equity method. The primary financial activities for JGP relate to member investments and therefore JGP summary financial information has not been presented. The Company’s proportionate share of equity in losses was $24 and $99 for the three and nine months ended September 30, 2017, respectively.</w:t>
      </w:r>
    </w:p>
    <w:p>
      <w:pPr>
        <w:spacing w:after="0" w:line="126" w:lineRule="exact"/>
        <w:rPr>
          <w:sz w:val="20"/>
          <w:szCs w:val="20"/>
          <w:color w:val="auto"/>
        </w:rPr>
      </w:pPr>
    </w:p>
    <w:p>
      <w:pPr>
        <w:ind w:left="340"/>
        <w:spacing w:after="0"/>
        <w:rPr>
          <w:sz w:val="20"/>
          <w:szCs w:val="20"/>
          <w:color w:val="auto"/>
        </w:rPr>
      </w:pPr>
      <w:r>
        <w:rPr>
          <w:rFonts w:ascii="Arial" w:cs="Arial" w:eastAsia="Arial" w:hAnsi="Arial"/>
          <w:sz w:val="16"/>
          <w:szCs w:val="16"/>
          <w:i w:val="1"/>
          <w:iCs w:val="1"/>
          <w:color w:val="00497F"/>
        </w:rPr>
        <w:t>Intermodal Finance I, Ltd.</w:t>
      </w:r>
    </w:p>
    <w:p>
      <w:pPr>
        <w:spacing w:after="0" w:line="165" w:lineRule="exact"/>
        <w:rPr>
          <w:sz w:val="20"/>
          <w:szCs w:val="20"/>
          <w:color w:val="auto"/>
        </w:rPr>
      </w:pPr>
    </w:p>
    <w:p>
      <w:pPr>
        <w:jc w:val="both"/>
        <w:ind w:left="340"/>
        <w:spacing w:after="0" w:line="291" w:lineRule="auto"/>
        <w:rPr>
          <w:sz w:val="20"/>
          <w:szCs w:val="20"/>
          <w:color w:val="auto"/>
        </w:rPr>
      </w:pPr>
      <w:r>
        <w:rPr>
          <w:rFonts w:ascii="Arial" w:cs="Arial" w:eastAsia="Arial" w:hAnsi="Arial"/>
          <w:sz w:val="16"/>
          <w:szCs w:val="16"/>
          <w:color w:val="auto"/>
        </w:rPr>
        <w:t>In 2012, the Company acquired a 51% non-controlling interest in Intermodal Finance I, Ltd. (“Intermodal”), a joint venture. Intermodal is governed by a board of directors, and its shareholders have voting rights through their equity interests. As such,</w:t>
      </w:r>
    </w:p>
    <w:p>
      <w:pPr>
        <w:spacing w:after="0" w:line="17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18</w:t>
      </w:r>
    </w:p>
    <w:p>
      <w:pPr>
        <w:sectPr>
          <w:pgSz w:w="11900" w:h="16838" w:orient="portrait"/>
          <w:cols w:equalWidth="0" w:num="1">
            <w:col w:w="11420"/>
          </w:cols>
          <w:pgMar w:left="240" w:top="117" w:right="239" w:bottom="1440" w:gutter="0" w:footer="0" w:header="0"/>
        </w:sectPr>
      </w:pPr>
    </w:p>
    <w:bookmarkStart w:id="18" w:name="page19"/>
    <w:bookmarkEnd w:id="18"/>
    <w:p>
      <w:pPr>
        <w:ind w:right="3820"/>
        <w:spacing w:after="0" w:line="305" w:lineRule="auto"/>
        <w:rPr>
          <w:sz w:val="20"/>
          <w:szCs w:val="20"/>
          <w:color w:val="auto"/>
        </w:rPr>
      </w:pPr>
      <w:r>
        <w:rPr>
          <w:rFonts w:ascii="Arial" w:cs="Arial" w:eastAsia="Arial" w:hAnsi="Arial"/>
          <w:sz w:val="22"/>
          <w:szCs w:val="22"/>
          <w:b w:val="1"/>
          <w:bCs w:val="1"/>
          <w:color w:val="00497F"/>
        </w:rPr>
        <w:t xml:space="preserve">FORTRESS TRANSPORTATION AND INFRASTRUCTURE INVESTORS LLC NOTES TO CONSOLIDATED FINANCIAL STATEMENTS </w:t>
      </w:r>
      <w:r>
        <w:rPr>
          <w:rFonts w:ascii="Arial" w:cs="Arial" w:eastAsia="Arial" w:hAnsi="Arial"/>
          <w:sz w:val="22"/>
          <w:szCs w:val="22"/>
          <w:b w:val="1"/>
          <w:bCs w:val="1"/>
          <w:i w:val="1"/>
          <w:iCs w:val="1"/>
          <w:color w:val="00497F"/>
        </w:rPr>
        <w:t>(unaudited)</w:t>
      </w:r>
    </w:p>
    <w:p>
      <w:pPr>
        <w:spacing w:after="0"/>
        <w:rPr>
          <w:sz w:val="20"/>
          <w:szCs w:val="20"/>
          <w:color w:val="auto"/>
        </w:rPr>
      </w:pPr>
      <w:r>
        <w:rPr>
          <w:rFonts w:ascii="Arial" w:cs="Arial" w:eastAsia="Arial" w:hAnsi="Arial"/>
          <w:sz w:val="18"/>
          <w:szCs w:val="18"/>
          <w:i w:val="1"/>
          <w:iCs w:val="1"/>
          <w:color w:val="00497F"/>
        </w:rPr>
        <w:t>(Dollar amounts in thousands, unless otherwise noted)</w:t>
      </w:r>
    </w:p>
    <w:p>
      <w:pPr>
        <w:spacing w:after="0" w:line="397" w:lineRule="exact"/>
        <w:rPr>
          <w:sz w:val="20"/>
          <w:szCs w:val="20"/>
          <w:color w:val="auto"/>
        </w:rPr>
      </w:pPr>
    </w:p>
    <w:p>
      <w:pPr>
        <w:jc w:val="both"/>
        <w:ind w:left="340"/>
        <w:spacing w:after="0" w:line="257" w:lineRule="auto"/>
        <w:rPr>
          <w:sz w:val="20"/>
          <w:szCs w:val="20"/>
          <w:color w:val="auto"/>
        </w:rPr>
      </w:pPr>
      <w:r>
        <w:rPr>
          <w:rFonts w:ascii="Arial" w:cs="Arial" w:eastAsia="Arial" w:hAnsi="Arial"/>
          <w:sz w:val="16"/>
          <w:szCs w:val="16"/>
          <w:color w:val="auto"/>
        </w:rPr>
        <w:t>Intermodal is not within the scope of ASC 810-20 and should be evaluated for consolidation under the voting interest model. Due to the existence of substantive participating rights of the 49% equity investor, including the joint approval of material operating and capital decisions, such as material contracts and capital expenditures consistent with ASC 810-10-25-11, the Company does not have unilateral rights over this investment; therefore, the Company does not consolidate Intermodal but accounts for this investment in accordance with the equity method. The Company does not have a variable interest in this investment as none of the criteria of ASC 810-10-15-14 were met.</w:t>
      </w:r>
    </w:p>
    <w:p>
      <w:pPr>
        <w:spacing w:after="0" w:line="136" w:lineRule="exact"/>
        <w:rPr>
          <w:sz w:val="20"/>
          <w:szCs w:val="20"/>
          <w:color w:val="auto"/>
        </w:rPr>
      </w:pPr>
    </w:p>
    <w:p>
      <w:pPr>
        <w:jc w:val="both"/>
        <w:ind w:left="340"/>
        <w:spacing w:after="0" w:line="296" w:lineRule="auto"/>
        <w:rPr>
          <w:sz w:val="20"/>
          <w:szCs w:val="20"/>
          <w:color w:val="auto"/>
        </w:rPr>
      </w:pPr>
      <w:r>
        <w:rPr>
          <w:rFonts w:ascii="Arial" w:cs="Arial" w:eastAsia="Arial" w:hAnsi="Arial"/>
          <w:sz w:val="16"/>
          <w:szCs w:val="16"/>
          <w:color w:val="auto"/>
        </w:rPr>
        <w:t>As of September 30, 2017, Intermodal owns a portfolio of multiple finance leases, representing five customers and comprising approximately 24,000 shipping containers, as well as a portfolio of approximately 12,000 shipping containers subject to multiple operating leases. The Company’s proportionate share of equity in income was $359 and equity in losses was $316 for the three and nine months ended September 30, 2017, respectively, and $1,161 and $1,335 for the three and nine months ended September 30, 2016, respectively.</w:t>
      </w:r>
    </w:p>
    <w:p>
      <w:pPr>
        <w:spacing w:after="0" w:line="100" w:lineRule="exact"/>
        <w:rPr>
          <w:sz w:val="20"/>
          <w:szCs w:val="20"/>
          <w:color w:val="auto"/>
        </w:rPr>
      </w:pPr>
    </w:p>
    <w:p>
      <w:pPr>
        <w:spacing w:after="0"/>
        <w:rPr>
          <w:sz w:val="20"/>
          <w:szCs w:val="20"/>
          <w:color w:val="auto"/>
        </w:rPr>
      </w:pPr>
      <w:r>
        <w:rPr>
          <w:rFonts w:ascii="Arial" w:cs="Arial" w:eastAsia="Arial" w:hAnsi="Arial"/>
          <w:sz w:val="22"/>
          <w:szCs w:val="22"/>
          <w:b w:val="1"/>
          <w:bCs w:val="1"/>
          <w:color w:val="00497F"/>
        </w:rPr>
        <w:t>7. INTANGIBLE ASSETS AND LIABILITIES, NET</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The Company’s intangible assets and liabilities, net are summarized as follows:</w:t>
      </w:r>
    </w:p>
    <w:p>
      <w:pPr>
        <w:spacing w:after="0" w:line="386" w:lineRule="exact"/>
        <w:rPr>
          <w:sz w:val="20"/>
          <w:szCs w:val="20"/>
          <w:color w:val="auto"/>
        </w:rPr>
      </w:pPr>
    </w:p>
    <w:tbl>
      <w:tblPr>
        <w:tblLayout w:type="fixed"/>
        <w:tblInd w:w="340" w:type="dxa"/>
        <w:tblCellMar>
          <w:top w:w="0" w:type="dxa"/>
          <w:left w:w="0" w:type="dxa"/>
          <w:bottom w:w="0" w:type="dxa"/>
          <w:right w:w="0" w:type="dxa"/>
        </w:tblCellMar>
      </w:tblPr>
      <w:tr>
        <w:trPr>
          <w:trHeight w:val="203"/>
        </w:trPr>
        <w:tc>
          <w:tcPr>
            <w:tcW w:w="438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2180" w:type="dxa"/>
            <w:vAlign w:val="bottom"/>
            <w:tcBorders>
              <w:bottom w:val="single" w:sz="8" w:color="auto"/>
            </w:tcBorders>
            <w:gridSpan w:val="3"/>
          </w:tcPr>
          <w:p>
            <w:pPr>
              <w:jc w:val="right"/>
              <w:ind w:right="388"/>
              <w:spacing w:after="0"/>
              <w:rPr>
                <w:sz w:val="20"/>
                <w:szCs w:val="20"/>
                <w:color w:val="auto"/>
              </w:rPr>
            </w:pPr>
            <w:r>
              <w:rPr>
                <w:rFonts w:ascii="Arial" w:cs="Arial" w:eastAsia="Arial" w:hAnsi="Arial"/>
                <w:sz w:val="14"/>
                <w:szCs w:val="14"/>
                <w:b w:val="1"/>
                <w:bCs w:val="1"/>
                <w:color w:val="auto"/>
              </w:rPr>
              <w:t>September 30, 2017</w:t>
            </w:r>
          </w:p>
        </w:tc>
        <w:tc>
          <w:tcPr>
            <w:tcW w:w="4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spacing w:after="0"/>
              <w:rPr>
                <w:sz w:val="17"/>
                <w:szCs w:val="17"/>
                <w:color w:val="auto"/>
              </w:rPr>
            </w:pPr>
          </w:p>
        </w:tc>
      </w:tr>
      <w:tr>
        <w:trPr>
          <w:trHeight w:val="264"/>
        </w:trPr>
        <w:tc>
          <w:tcPr>
            <w:tcW w:w="43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500" w:type="dxa"/>
            <w:vAlign w:val="bottom"/>
            <w:gridSpan w:val="2"/>
          </w:tcPr>
          <w:p>
            <w:pPr>
              <w:ind w:left="60"/>
              <w:spacing w:after="0"/>
              <w:rPr>
                <w:sz w:val="20"/>
                <w:szCs w:val="20"/>
                <w:color w:val="auto"/>
              </w:rPr>
            </w:pPr>
            <w:r>
              <w:rPr>
                <w:rFonts w:ascii="Arial" w:cs="Arial" w:eastAsia="Arial" w:hAnsi="Arial"/>
                <w:sz w:val="14"/>
                <w:szCs w:val="14"/>
                <w:b w:val="1"/>
                <w:bCs w:val="1"/>
                <w:color w:val="auto"/>
              </w:rPr>
              <w:t>Aviation Leasing</w:t>
            </w:r>
          </w:p>
        </w:tc>
        <w:tc>
          <w:tcPr>
            <w:tcW w:w="1580" w:type="dxa"/>
            <w:vAlign w:val="bottom"/>
            <w:gridSpan w:val="3"/>
          </w:tcPr>
          <w:p>
            <w:pPr>
              <w:ind w:left="100"/>
              <w:spacing w:after="0"/>
              <w:rPr>
                <w:sz w:val="20"/>
                <w:szCs w:val="20"/>
                <w:color w:val="auto"/>
              </w:rPr>
            </w:pPr>
            <w:r>
              <w:rPr>
                <w:rFonts w:ascii="Arial" w:cs="Arial" w:eastAsia="Arial" w:hAnsi="Arial"/>
                <w:sz w:val="14"/>
                <w:szCs w:val="14"/>
                <w:b w:val="1"/>
                <w:bCs w:val="1"/>
                <w:color w:val="auto"/>
              </w:rPr>
              <w:t>Jefferson Terminal</w:t>
            </w:r>
          </w:p>
        </w:tc>
        <w:tc>
          <w:tcPr>
            <w:tcW w:w="1080" w:type="dxa"/>
            <w:vAlign w:val="bottom"/>
          </w:tcPr>
          <w:p>
            <w:pPr>
              <w:jc w:val="right"/>
              <w:spacing w:after="0"/>
              <w:rPr>
                <w:sz w:val="20"/>
                <w:szCs w:val="20"/>
                <w:color w:val="auto"/>
              </w:rPr>
            </w:pPr>
            <w:r>
              <w:rPr>
                <w:rFonts w:ascii="Arial" w:cs="Arial" w:eastAsia="Arial" w:hAnsi="Arial"/>
                <w:sz w:val="14"/>
                <w:szCs w:val="14"/>
                <w:b w:val="1"/>
                <w:bCs w:val="1"/>
                <w:color w:val="auto"/>
              </w:rPr>
              <w:t>Railroad</w:t>
            </w:r>
          </w:p>
        </w:tc>
        <w:tc>
          <w:tcPr>
            <w:tcW w:w="4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40" w:type="dxa"/>
            <w:vAlign w:val="bottom"/>
          </w:tcPr>
          <w:p>
            <w:pPr>
              <w:jc w:val="right"/>
              <w:ind w:right="488"/>
              <w:spacing w:after="0"/>
              <w:rPr>
                <w:sz w:val="20"/>
                <w:szCs w:val="20"/>
                <w:color w:val="auto"/>
              </w:rPr>
            </w:pPr>
            <w:r>
              <w:rPr>
                <w:rFonts w:ascii="Arial" w:cs="Arial" w:eastAsia="Arial" w:hAnsi="Arial"/>
                <w:sz w:val="14"/>
                <w:szCs w:val="14"/>
                <w:b w:val="1"/>
                <w:bCs w:val="1"/>
                <w:color w:val="auto"/>
              </w:rPr>
              <w:t>Total</w:t>
            </w:r>
          </w:p>
        </w:tc>
      </w:tr>
      <w:tr>
        <w:trPr>
          <w:trHeight w:val="265"/>
        </w:trPr>
        <w:tc>
          <w:tcPr>
            <w:tcW w:w="43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Intangible assets</w:t>
            </w:r>
          </w:p>
        </w:tc>
        <w:tc>
          <w:tcPr>
            <w:tcW w:w="140" w:type="dxa"/>
            <w:vAlign w:val="bottom"/>
            <w:tcBorders>
              <w:top w:val="single" w:sz="8" w:color="auto"/>
            </w:tcBorders>
            <w:shd w:val="clear" w:color="auto" w:fill="CCEEFF"/>
          </w:tcPr>
          <w:p>
            <w:pPr>
              <w:spacing w:after="0"/>
              <w:rPr>
                <w:sz w:val="23"/>
                <w:szCs w:val="23"/>
                <w:color w:val="auto"/>
              </w:rPr>
            </w:pPr>
          </w:p>
        </w:tc>
        <w:tc>
          <w:tcPr>
            <w:tcW w:w="138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480" w:type="dxa"/>
            <w:vAlign w:val="bottom"/>
            <w:tcBorders>
              <w:top w:val="single" w:sz="8" w:color="auto"/>
            </w:tcBorders>
            <w:shd w:val="clear" w:color="auto" w:fill="CCEEFF"/>
          </w:tcPr>
          <w:p>
            <w:pPr>
              <w:spacing w:after="0"/>
              <w:rPr>
                <w:sz w:val="23"/>
                <w:szCs w:val="23"/>
                <w:color w:val="auto"/>
              </w:rPr>
            </w:pPr>
          </w:p>
        </w:tc>
        <w:tc>
          <w:tcPr>
            <w:tcW w:w="100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1080" w:type="dxa"/>
            <w:vAlign w:val="bottom"/>
            <w:tcBorders>
              <w:top w:val="single" w:sz="8" w:color="auto"/>
            </w:tcBorders>
            <w:shd w:val="clear" w:color="auto" w:fill="CCEEFF"/>
          </w:tcPr>
          <w:p>
            <w:pPr>
              <w:spacing w:after="0"/>
              <w:rPr>
                <w:sz w:val="23"/>
                <w:szCs w:val="23"/>
                <w:color w:val="auto"/>
              </w:rPr>
            </w:pPr>
          </w:p>
        </w:tc>
        <w:tc>
          <w:tcPr>
            <w:tcW w:w="42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340" w:type="dxa"/>
            <w:vAlign w:val="bottom"/>
            <w:tcBorders>
              <w:top w:val="single" w:sz="8" w:color="auto"/>
            </w:tcBorders>
            <w:shd w:val="clear" w:color="auto" w:fill="CCEEFF"/>
          </w:tcPr>
          <w:p>
            <w:pPr>
              <w:spacing w:after="0"/>
              <w:rPr>
                <w:sz w:val="23"/>
                <w:szCs w:val="23"/>
                <w:color w:val="auto"/>
              </w:rPr>
            </w:pPr>
          </w:p>
        </w:tc>
        <w:tc>
          <w:tcPr>
            <w:tcW w:w="1140" w:type="dxa"/>
            <w:vAlign w:val="bottom"/>
            <w:tcBorders>
              <w:top w:val="single" w:sz="8" w:color="auto"/>
            </w:tcBorders>
            <w:shd w:val="clear" w:color="auto" w:fill="CCEEFF"/>
          </w:tcPr>
          <w:p>
            <w:pPr>
              <w:spacing w:after="0"/>
              <w:rPr>
                <w:sz w:val="23"/>
                <w:szCs w:val="23"/>
                <w:color w:val="auto"/>
              </w:rPr>
            </w:pPr>
          </w:p>
        </w:tc>
      </w:tr>
      <w:tr>
        <w:trPr>
          <w:trHeight w:val="269"/>
        </w:trPr>
        <w:tc>
          <w:tcPr>
            <w:tcW w:w="4380" w:type="dxa"/>
            <w:vAlign w:val="bottom"/>
          </w:tcPr>
          <w:p>
            <w:pPr>
              <w:ind w:left="20"/>
              <w:spacing w:after="0"/>
              <w:rPr>
                <w:sz w:val="20"/>
                <w:szCs w:val="20"/>
                <w:color w:val="auto"/>
              </w:rPr>
            </w:pPr>
            <w:r>
              <w:rPr>
                <w:rFonts w:ascii="Arial" w:cs="Arial" w:eastAsia="Arial" w:hAnsi="Arial"/>
                <w:sz w:val="14"/>
                <w:szCs w:val="14"/>
                <w:color w:val="auto"/>
              </w:rPr>
              <w:t>Acquired favorable lease intangibles</w:t>
            </w:r>
          </w:p>
        </w:tc>
        <w:tc>
          <w:tcPr>
            <w:tcW w:w="14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380" w:type="dxa"/>
            <w:vAlign w:val="bottom"/>
          </w:tcPr>
          <w:p>
            <w:pPr>
              <w:jc w:val="right"/>
              <w:ind w:right="28"/>
              <w:spacing w:after="0"/>
              <w:rPr>
                <w:sz w:val="20"/>
                <w:szCs w:val="20"/>
                <w:color w:val="auto"/>
              </w:rPr>
            </w:pPr>
            <w:r>
              <w:rPr>
                <w:rFonts w:ascii="Arial" w:cs="Arial" w:eastAsia="Arial" w:hAnsi="Arial"/>
                <w:sz w:val="14"/>
                <w:szCs w:val="14"/>
                <w:b w:val="1"/>
                <w:bCs w:val="1"/>
                <w:color w:val="auto"/>
              </w:rPr>
              <w:t>28,180</w:t>
            </w:r>
          </w:p>
        </w:tc>
        <w:tc>
          <w:tcPr>
            <w:tcW w:w="120" w:type="dxa"/>
            <w:vAlign w:val="bottom"/>
          </w:tcPr>
          <w:p>
            <w:pPr>
              <w:spacing w:after="0"/>
              <w:rPr>
                <w:sz w:val="23"/>
                <w:szCs w:val="23"/>
                <w:color w:val="auto"/>
              </w:rPr>
            </w:pPr>
          </w:p>
        </w:tc>
        <w:tc>
          <w:tcPr>
            <w:tcW w:w="480" w:type="dxa"/>
            <w:vAlign w:val="bottom"/>
          </w:tcPr>
          <w:p>
            <w:pPr>
              <w:jc w:val="right"/>
              <w:ind w:right="308"/>
              <w:spacing w:after="0"/>
              <w:rPr>
                <w:sz w:val="20"/>
                <w:szCs w:val="20"/>
                <w:color w:val="auto"/>
              </w:rPr>
            </w:pPr>
            <w:r>
              <w:rPr>
                <w:rFonts w:ascii="Arial" w:cs="Arial" w:eastAsia="Arial" w:hAnsi="Arial"/>
                <w:sz w:val="14"/>
                <w:szCs w:val="14"/>
                <w:b w:val="1"/>
                <w:bCs w:val="1"/>
                <w:color w:val="auto"/>
              </w:rPr>
              <w:t>$</w:t>
            </w:r>
          </w:p>
        </w:tc>
        <w:tc>
          <w:tcPr>
            <w:tcW w:w="110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rPr>
              <w:t>—</w:t>
            </w:r>
          </w:p>
        </w:tc>
        <w:tc>
          <w:tcPr>
            <w:tcW w:w="1080" w:type="dxa"/>
            <w:vAlign w:val="bottom"/>
          </w:tcPr>
          <w:p>
            <w:pPr>
              <w:jc w:val="right"/>
              <w:ind w:right="888"/>
              <w:spacing w:after="0"/>
              <w:rPr>
                <w:sz w:val="20"/>
                <w:szCs w:val="20"/>
                <w:color w:val="auto"/>
              </w:rPr>
            </w:pPr>
            <w:r>
              <w:rPr>
                <w:rFonts w:ascii="Arial" w:cs="Arial" w:eastAsia="Arial" w:hAnsi="Arial"/>
                <w:sz w:val="14"/>
                <w:szCs w:val="14"/>
                <w:b w:val="1"/>
                <w:bCs w:val="1"/>
                <w:color w:val="auto"/>
              </w:rPr>
              <w:t>$</w:t>
            </w:r>
          </w:p>
        </w:tc>
        <w:tc>
          <w:tcPr>
            <w:tcW w:w="52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rPr>
              <w:t>—</w:t>
            </w:r>
          </w:p>
        </w:tc>
        <w:tc>
          <w:tcPr>
            <w:tcW w:w="340" w:type="dxa"/>
            <w:vAlign w:val="bottom"/>
          </w:tcPr>
          <w:p>
            <w:pPr>
              <w:jc w:val="right"/>
              <w:ind w:right="168"/>
              <w:spacing w:after="0"/>
              <w:rPr>
                <w:sz w:val="20"/>
                <w:szCs w:val="20"/>
                <w:color w:val="auto"/>
              </w:rPr>
            </w:pPr>
            <w:r>
              <w:rPr>
                <w:rFonts w:ascii="Arial" w:cs="Arial" w:eastAsia="Arial" w:hAnsi="Arial"/>
                <w:sz w:val="14"/>
                <w:szCs w:val="14"/>
                <w:b w:val="1"/>
                <w:bCs w:val="1"/>
                <w:color w:val="auto"/>
              </w:rPr>
              <w:t>$</w:t>
            </w:r>
          </w:p>
        </w:tc>
        <w:tc>
          <w:tcPr>
            <w:tcW w:w="1140" w:type="dxa"/>
            <w:vAlign w:val="bottom"/>
          </w:tcPr>
          <w:p>
            <w:pPr>
              <w:jc w:val="right"/>
              <w:ind w:right="8"/>
              <w:spacing w:after="0"/>
              <w:rPr>
                <w:sz w:val="20"/>
                <w:szCs w:val="20"/>
                <w:color w:val="auto"/>
              </w:rPr>
            </w:pPr>
            <w:r>
              <w:rPr>
                <w:rFonts w:ascii="Arial" w:cs="Arial" w:eastAsia="Arial" w:hAnsi="Arial"/>
                <w:sz w:val="14"/>
                <w:szCs w:val="14"/>
                <w:b w:val="1"/>
                <w:bCs w:val="1"/>
                <w:color w:val="auto"/>
              </w:rPr>
              <w:t>28,180</w:t>
            </w:r>
          </w:p>
        </w:tc>
      </w:tr>
      <w:tr>
        <w:trPr>
          <w:trHeight w:val="270"/>
        </w:trPr>
        <w:tc>
          <w:tcPr>
            <w:tcW w:w="4380" w:type="dxa"/>
            <w:vAlign w:val="bottom"/>
            <w:shd w:val="clear" w:color="auto" w:fill="CCEEFF"/>
          </w:tcPr>
          <w:p>
            <w:pPr>
              <w:ind w:left="20"/>
              <w:spacing w:after="0"/>
              <w:rPr>
                <w:sz w:val="20"/>
                <w:szCs w:val="20"/>
                <w:color w:val="auto"/>
              </w:rPr>
            </w:pPr>
            <w:r>
              <w:rPr>
                <w:rFonts w:ascii="Arial" w:cs="Arial" w:eastAsia="Arial" w:hAnsi="Arial"/>
                <w:sz w:val="14"/>
                <w:szCs w:val="14"/>
                <w:color w:val="auto"/>
              </w:rPr>
              <w:t>Less: Accumulated amortization</w:t>
            </w:r>
          </w:p>
        </w:tc>
        <w:tc>
          <w:tcPr>
            <w:tcW w:w="140" w:type="dxa"/>
            <w:vAlign w:val="bottom"/>
            <w:tcBorders>
              <w:bottom w:val="single" w:sz="8" w:color="auto"/>
            </w:tcBorders>
            <w:shd w:val="clear" w:color="auto" w:fill="CCEEFF"/>
          </w:tcPr>
          <w:p>
            <w:pPr>
              <w:spacing w:after="0"/>
              <w:rPr>
                <w:sz w:val="23"/>
                <w:szCs w:val="23"/>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(18,946)</w:t>
            </w:r>
          </w:p>
        </w:tc>
        <w:tc>
          <w:tcPr>
            <w:tcW w:w="120" w:type="dxa"/>
            <w:vAlign w:val="bottom"/>
            <w:shd w:val="clear" w:color="auto" w:fill="CCEEFF"/>
          </w:tcPr>
          <w:p>
            <w:pPr>
              <w:spacing w:after="0"/>
              <w:rPr>
                <w:sz w:val="23"/>
                <w:szCs w:val="23"/>
                <w:color w:val="auto"/>
              </w:rPr>
            </w:pPr>
          </w:p>
        </w:tc>
        <w:tc>
          <w:tcPr>
            <w:tcW w:w="480" w:type="dxa"/>
            <w:vAlign w:val="bottom"/>
            <w:tcBorders>
              <w:bottom w:val="single" w:sz="8" w:color="auto"/>
            </w:tcBorders>
            <w:shd w:val="clear" w:color="auto" w:fill="CCEEFF"/>
          </w:tcPr>
          <w:p>
            <w:pPr>
              <w:spacing w:after="0"/>
              <w:rPr>
                <w:sz w:val="23"/>
                <w:szCs w:val="23"/>
                <w:color w:val="auto"/>
              </w:rPr>
            </w:pPr>
          </w:p>
        </w:tc>
        <w:tc>
          <w:tcPr>
            <w:tcW w:w="10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w:t>
            </w:r>
          </w:p>
        </w:tc>
        <w:tc>
          <w:tcPr>
            <w:tcW w:w="100" w:type="dxa"/>
            <w:vAlign w:val="bottom"/>
            <w:shd w:val="clear" w:color="auto" w:fill="CCEEFF"/>
          </w:tcPr>
          <w:p>
            <w:pPr>
              <w:spacing w:after="0"/>
              <w:rPr>
                <w:sz w:val="23"/>
                <w:szCs w:val="23"/>
                <w:color w:val="auto"/>
              </w:rPr>
            </w:pPr>
          </w:p>
        </w:tc>
        <w:tc>
          <w:tcPr>
            <w:tcW w:w="1080" w:type="dxa"/>
            <w:vAlign w:val="bottom"/>
            <w:tcBorders>
              <w:bottom w:val="single" w:sz="8" w:color="auto"/>
            </w:tcBorders>
            <w:shd w:val="clear" w:color="auto" w:fill="CCEEFF"/>
          </w:tcPr>
          <w:p>
            <w:pPr>
              <w:spacing w:after="0"/>
              <w:rPr>
                <w:sz w:val="23"/>
                <w:szCs w:val="23"/>
                <w:color w:val="auto"/>
              </w:rPr>
            </w:pPr>
          </w:p>
        </w:tc>
        <w:tc>
          <w:tcPr>
            <w:tcW w:w="4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w:t>
            </w:r>
          </w:p>
        </w:tc>
        <w:tc>
          <w:tcPr>
            <w:tcW w:w="100" w:type="dxa"/>
            <w:vAlign w:val="bottom"/>
            <w:shd w:val="clear" w:color="auto" w:fill="CCEEFF"/>
          </w:tcPr>
          <w:p>
            <w:pPr>
              <w:spacing w:after="0"/>
              <w:rPr>
                <w:sz w:val="23"/>
                <w:szCs w:val="23"/>
                <w:color w:val="auto"/>
              </w:rPr>
            </w:pPr>
          </w:p>
        </w:tc>
        <w:tc>
          <w:tcPr>
            <w:tcW w:w="340" w:type="dxa"/>
            <w:vAlign w:val="bottom"/>
            <w:tcBorders>
              <w:bottom w:val="single" w:sz="8" w:color="auto"/>
            </w:tcBorders>
            <w:shd w:val="clear" w:color="auto" w:fill="CCEEFF"/>
          </w:tcPr>
          <w:p>
            <w:pPr>
              <w:spacing w:after="0"/>
              <w:rPr>
                <w:sz w:val="23"/>
                <w:szCs w:val="23"/>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(18,946)</w:t>
            </w:r>
          </w:p>
        </w:tc>
      </w:tr>
      <w:tr>
        <w:trPr>
          <w:trHeight w:val="250"/>
        </w:trPr>
        <w:tc>
          <w:tcPr>
            <w:tcW w:w="438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Acquired favorable lease intangibles, net</w:t>
            </w:r>
          </w:p>
        </w:tc>
        <w:tc>
          <w:tcPr>
            <w:tcW w:w="140" w:type="dxa"/>
            <w:vAlign w:val="bottom"/>
            <w:tcBorders>
              <w:bottom w:val="single" w:sz="8" w:color="auto"/>
            </w:tcBorders>
          </w:tcPr>
          <w:p>
            <w:pPr>
              <w:spacing w:after="0"/>
              <w:rPr>
                <w:sz w:val="21"/>
                <w:szCs w:val="21"/>
                <w:color w:val="auto"/>
              </w:rPr>
            </w:pPr>
          </w:p>
        </w:tc>
        <w:tc>
          <w:tcPr>
            <w:tcW w:w="13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9,234</w:t>
            </w:r>
          </w:p>
        </w:tc>
        <w:tc>
          <w:tcPr>
            <w:tcW w:w="120" w:type="dxa"/>
            <w:vAlign w:val="bottom"/>
            <w:tcBorders>
              <w:bottom w:val="single" w:sz="8" w:color="CCEEFF"/>
            </w:tcBorders>
          </w:tcPr>
          <w:p>
            <w:pPr>
              <w:spacing w:after="0"/>
              <w:rPr>
                <w:sz w:val="21"/>
                <w:szCs w:val="21"/>
                <w:color w:val="auto"/>
              </w:rPr>
            </w:pPr>
          </w:p>
        </w:tc>
        <w:tc>
          <w:tcPr>
            <w:tcW w:w="48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w:t>
            </w:r>
          </w:p>
        </w:tc>
        <w:tc>
          <w:tcPr>
            <w:tcW w:w="100" w:type="dxa"/>
            <w:vAlign w:val="bottom"/>
            <w:tcBorders>
              <w:bottom w:val="single" w:sz="8" w:color="CCEEFF"/>
            </w:tcBorders>
          </w:tcPr>
          <w:p>
            <w:pPr>
              <w:spacing w:after="0"/>
              <w:rPr>
                <w:sz w:val="21"/>
                <w:szCs w:val="21"/>
                <w:color w:val="auto"/>
              </w:rPr>
            </w:pPr>
          </w:p>
        </w:tc>
        <w:tc>
          <w:tcPr>
            <w:tcW w:w="1080" w:type="dxa"/>
            <w:vAlign w:val="bottom"/>
            <w:tcBorders>
              <w:bottom w:val="single" w:sz="8" w:color="auto"/>
            </w:tcBorders>
          </w:tcPr>
          <w:p>
            <w:pPr>
              <w:spacing w:after="0"/>
              <w:rPr>
                <w:sz w:val="21"/>
                <w:szCs w:val="21"/>
                <w:color w:val="auto"/>
              </w:rPr>
            </w:pPr>
          </w:p>
        </w:tc>
        <w:tc>
          <w:tcPr>
            <w:tcW w:w="4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w:t>
            </w:r>
          </w:p>
        </w:tc>
        <w:tc>
          <w:tcPr>
            <w:tcW w:w="10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9,234</w:t>
            </w:r>
          </w:p>
        </w:tc>
      </w:tr>
      <w:tr>
        <w:trPr>
          <w:trHeight w:val="251"/>
        </w:trPr>
        <w:tc>
          <w:tcPr>
            <w:tcW w:w="4380" w:type="dxa"/>
            <w:vAlign w:val="bottom"/>
            <w:shd w:val="clear" w:color="auto" w:fill="CCEEFF"/>
          </w:tcPr>
          <w:p>
            <w:pPr>
              <w:ind w:left="20"/>
              <w:spacing w:after="0"/>
              <w:rPr>
                <w:sz w:val="20"/>
                <w:szCs w:val="20"/>
                <w:color w:val="auto"/>
              </w:rPr>
            </w:pPr>
            <w:r>
              <w:rPr>
                <w:rFonts w:ascii="Arial" w:cs="Arial" w:eastAsia="Arial" w:hAnsi="Arial"/>
                <w:sz w:val="14"/>
                <w:szCs w:val="14"/>
                <w:color w:val="auto"/>
              </w:rPr>
              <w:t>Customer relationships</w:t>
            </w:r>
          </w:p>
        </w:tc>
        <w:tc>
          <w:tcPr>
            <w:tcW w:w="140" w:type="dxa"/>
            <w:vAlign w:val="bottom"/>
            <w:shd w:val="clear" w:color="auto" w:fill="CCEEFF"/>
          </w:tcPr>
          <w:p>
            <w:pPr>
              <w:spacing w:after="0"/>
              <w:rPr>
                <w:sz w:val="21"/>
                <w:szCs w:val="21"/>
                <w:color w:val="auto"/>
              </w:rPr>
            </w:pPr>
          </w:p>
        </w:tc>
        <w:tc>
          <w:tcPr>
            <w:tcW w:w="15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b w:val="1"/>
                <w:bCs w:val="1"/>
                <w:color w:val="auto"/>
              </w:rPr>
              <w:t>—</w:t>
            </w:r>
          </w:p>
        </w:tc>
        <w:tc>
          <w:tcPr>
            <w:tcW w:w="480" w:type="dxa"/>
            <w:vAlign w:val="bottom"/>
            <w:shd w:val="clear" w:color="auto" w:fill="CCEEFF"/>
          </w:tcPr>
          <w:p>
            <w:pPr>
              <w:spacing w:after="0"/>
              <w:rPr>
                <w:sz w:val="21"/>
                <w:szCs w:val="21"/>
                <w:color w:val="auto"/>
              </w:rPr>
            </w:pPr>
          </w:p>
        </w:tc>
        <w:tc>
          <w:tcPr>
            <w:tcW w:w="100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35,513</w:t>
            </w:r>
          </w:p>
        </w:tc>
        <w:tc>
          <w:tcPr>
            <w:tcW w:w="100" w:type="dxa"/>
            <w:vAlign w:val="bottom"/>
            <w:shd w:val="clear" w:color="auto" w:fill="CCEEFF"/>
          </w:tcPr>
          <w:p>
            <w:pPr>
              <w:spacing w:after="0"/>
              <w:rPr>
                <w:sz w:val="21"/>
                <w:szCs w:val="21"/>
                <w:color w:val="auto"/>
              </w:rPr>
            </w:pPr>
          </w:p>
        </w:tc>
        <w:tc>
          <w:tcPr>
            <w:tcW w:w="1080" w:type="dxa"/>
            <w:vAlign w:val="bottom"/>
            <w:shd w:val="clear" w:color="auto" w:fill="CCEEFF"/>
          </w:tcPr>
          <w:p>
            <w:pPr>
              <w:spacing w:after="0"/>
              <w:rPr>
                <w:sz w:val="21"/>
                <w:szCs w:val="21"/>
                <w:color w:val="auto"/>
              </w:rPr>
            </w:pPr>
          </w:p>
        </w:tc>
        <w:tc>
          <w:tcPr>
            <w:tcW w:w="42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225</w:t>
            </w: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40" w:type="dxa"/>
            <w:vAlign w:val="bottom"/>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35,738</w:t>
            </w:r>
          </w:p>
        </w:tc>
      </w:tr>
      <w:tr>
        <w:trPr>
          <w:trHeight w:val="269"/>
        </w:trPr>
        <w:tc>
          <w:tcPr>
            <w:tcW w:w="438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Less: Accumulated amortization</w:t>
            </w:r>
          </w:p>
        </w:tc>
        <w:tc>
          <w:tcPr>
            <w:tcW w:w="140" w:type="dxa"/>
            <w:vAlign w:val="bottom"/>
            <w:tcBorders>
              <w:bottom w:val="single" w:sz="8" w:color="auto"/>
            </w:tcBorders>
          </w:tcPr>
          <w:p>
            <w:pPr>
              <w:spacing w:after="0"/>
              <w:rPr>
                <w:sz w:val="23"/>
                <w:szCs w:val="23"/>
                <w:color w:val="auto"/>
              </w:rPr>
            </w:pPr>
          </w:p>
        </w:tc>
        <w:tc>
          <w:tcPr>
            <w:tcW w:w="13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w:t>
            </w:r>
          </w:p>
        </w:tc>
        <w:tc>
          <w:tcPr>
            <w:tcW w:w="120" w:type="dxa"/>
            <w:vAlign w:val="bottom"/>
            <w:tcBorders>
              <w:bottom w:val="single" w:sz="8" w:color="CCEEFF"/>
            </w:tcBorders>
          </w:tcPr>
          <w:p>
            <w:pPr>
              <w:spacing w:after="0"/>
              <w:rPr>
                <w:sz w:val="23"/>
                <w:szCs w:val="23"/>
                <w:color w:val="auto"/>
              </w:rPr>
            </w:pPr>
          </w:p>
        </w:tc>
        <w:tc>
          <w:tcPr>
            <w:tcW w:w="480" w:type="dxa"/>
            <w:vAlign w:val="bottom"/>
            <w:tcBorders>
              <w:bottom w:val="single" w:sz="8" w:color="auto"/>
            </w:tcBorders>
          </w:tcPr>
          <w:p>
            <w:pPr>
              <w:spacing w:after="0"/>
              <w:rPr>
                <w:sz w:val="23"/>
                <w:szCs w:val="23"/>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(10,936)</w:t>
            </w:r>
          </w:p>
        </w:tc>
        <w:tc>
          <w:tcPr>
            <w:tcW w:w="100" w:type="dxa"/>
            <w:vAlign w:val="bottom"/>
            <w:tcBorders>
              <w:bottom w:val="single" w:sz="8" w:color="CCEEFF"/>
            </w:tcBorders>
          </w:tcPr>
          <w:p>
            <w:pPr>
              <w:spacing w:after="0"/>
              <w:rPr>
                <w:sz w:val="23"/>
                <w:szCs w:val="23"/>
                <w:color w:val="auto"/>
              </w:rPr>
            </w:pPr>
          </w:p>
        </w:tc>
        <w:tc>
          <w:tcPr>
            <w:tcW w:w="1080" w:type="dxa"/>
            <w:vAlign w:val="bottom"/>
            <w:tcBorders>
              <w:bottom w:val="single" w:sz="8" w:color="auto"/>
            </w:tcBorders>
          </w:tcPr>
          <w:p>
            <w:pPr>
              <w:spacing w:after="0"/>
              <w:rPr>
                <w:sz w:val="23"/>
                <w:szCs w:val="23"/>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(154)</w:t>
            </w:r>
          </w:p>
        </w:tc>
        <w:tc>
          <w:tcPr>
            <w:tcW w:w="100" w:type="dxa"/>
            <w:vAlign w:val="bottom"/>
            <w:tcBorders>
              <w:bottom w:val="single" w:sz="8" w:color="CCEEFF"/>
            </w:tcBorders>
          </w:tcPr>
          <w:p>
            <w:pPr>
              <w:spacing w:after="0"/>
              <w:rPr>
                <w:sz w:val="23"/>
                <w:szCs w:val="23"/>
                <w:color w:val="auto"/>
              </w:rPr>
            </w:pPr>
          </w:p>
        </w:tc>
        <w:tc>
          <w:tcPr>
            <w:tcW w:w="340" w:type="dxa"/>
            <w:vAlign w:val="bottom"/>
            <w:tcBorders>
              <w:bottom w:val="single" w:sz="8" w:color="auto"/>
            </w:tcBorders>
          </w:tcPr>
          <w:p>
            <w:pPr>
              <w:spacing w:after="0"/>
              <w:rPr>
                <w:sz w:val="23"/>
                <w:szCs w:val="23"/>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(11,090)</w:t>
            </w:r>
          </w:p>
        </w:tc>
      </w:tr>
      <w:tr>
        <w:trPr>
          <w:trHeight w:val="250"/>
        </w:trPr>
        <w:tc>
          <w:tcPr>
            <w:tcW w:w="438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Acquired customer relationships, net</w:t>
            </w:r>
          </w:p>
        </w:tc>
        <w:tc>
          <w:tcPr>
            <w:tcW w:w="140" w:type="dxa"/>
            <w:vAlign w:val="bottom"/>
            <w:shd w:val="clear" w:color="auto" w:fill="CCEEFF"/>
          </w:tcPr>
          <w:p>
            <w:pPr>
              <w:spacing w:after="0"/>
              <w:rPr>
                <w:sz w:val="21"/>
                <w:szCs w:val="21"/>
                <w:color w:val="auto"/>
              </w:rPr>
            </w:pPr>
          </w:p>
        </w:tc>
        <w:tc>
          <w:tcPr>
            <w:tcW w:w="15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b w:val="1"/>
                <w:bCs w:val="1"/>
                <w:color w:val="auto"/>
              </w:rPr>
              <w:t>—</w:t>
            </w:r>
          </w:p>
        </w:tc>
        <w:tc>
          <w:tcPr>
            <w:tcW w:w="480" w:type="dxa"/>
            <w:vAlign w:val="bottom"/>
            <w:shd w:val="clear" w:color="auto" w:fill="CCEEFF"/>
          </w:tcPr>
          <w:p>
            <w:pPr>
              <w:spacing w:after="0"/>
              <w:rPr>
                <w:sz w:val="21"/>
                <w:szCs w:val="21"/>
                <w:color w:val="auto"/>
              </w:rPr>
            </w:pPr>
          </w:p>
        </w:tc>
        <w:tc>
          <w:tcPr>
            <w:tcW w:w="100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24,577</w:t>
            </w:r>
          </w:p>
        </w:tc>
        <w:tc>
          <w:tcPr>
            <w:tcW w:w="100" w:type="dxa"/>
            <w:vAlign w:val="bottom"/>
            <w:shd w:val="clear" w:color="auto" w:fill="CCEEFF"/>
          </w:tcPr>
          <w:p>
            <w:pPr>
              <w:spacing w:after="0"/>
              <w:rPr>
                <w:sz w:val="21"/>
                <w:szCs w:val="21"/>
                <w:color w:val="auto"/>
              </w:rPr>
            </w:pPr>
          </w:p>
        </w:tc>
        <w:tc>
          <w:tcPr>
            <w:tcW w:w="1080" w:type="dxa"/>
            <w:vAlign w:val="bottom"/>
            <w:shd w:val="clear" w:color="auto" w:fill="CCEEFF"/>
          </w:tcPr>
          <w:p>
            <w:pPr>
              <w:spacing w:after="0"/>
              <w:rPr>
                <w:sz w:val="21"/>
                <w:szCs w:val="21"/>
                <w:color w:val="auto"/>
              </w:rPr>
            </w:pPr>
          </w:p>
        </w:tc>
        <w:tc>
          <w:tcPr>
            <w:tcW w:w="42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71</w:t>
            </w: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40" w:type="dxa"/>
            <w:vAlign w:val="bottom"/>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24,648</w:t>
            </w:r>
          </w:p>
        </w:tc>
      </w:tr>
      <w:tr>
        <w:trPr>
          <w:trHeight w:val="278"/>
        </w:trPr>
        <w:tc>
          <w:tcPr>
            <w:tcW w:w="438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Total intangible assets, net</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138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9,234</w:t>
            </w:r>
          </w:p>
        </w:tc>
        <w:tc>
          <w:tcPr>
            <w:tcW w:w="120" w:type="dxa"/>
            <w:vAlign w:val="bottom"/>
            <w:tcBorders>
              <w:bottom w:val="single" w:sz="8" w:color="CCEEFF"/>
            </w:tcBorders>
          </w:tcPr>
          <w:p>
            <w:pPr>
              <w:spacing w:after="0"/>
              <w:rPr>
                <w:sz w:val="24"/>
                <w:szCs w:val="24"/>
                <w:color w:val="auto"/>
              </w:rPr>
            </w:pPr>
          </w:p>
        </w:tc>
        <w:tc>
          <w:tcPr>
            <w:tcW w:w="480" w:type="dxa"/>
            <w:vAlign w:val="bottom"/>
            <w:tcBorders>
              <w:top w:val="single" w:sz="8" w:color="auto"/>
              <w:bottom w:val="single" w:sz="8" w:color="auto"/>
            </w:tcBorders>
          </w:tcPr>
          <w:p>
            <w:pPr>
              <w:jc w:val="right"/>
              <w:ind w:right="308"/>
              <w:spacing w:after="0"/>
              <w:rPr>
                <w:sz w:val="20"/>
                <w:szCs w:val="20"/>
                <w:color w:val="auto"/>
              </w:rPr>
            </w:pPr>
            <w:r>
              <w:rPr>
                <w:rFonts w:ascii="Arial" w:cs="Arial" w:eastAsia="Arial" w:hAnsi="Arial"/>
                <w:sz w:val="14"/>
                <w:szCs w:val="14"/>
                <w:b w:val="1"/>
                <w:bCs w:val="1"/>
                <w:color w:val="auto"/>
              </w:rPr>
              <w:t>$</w:t>
            </w:r>
          </w:p>
        </w:tc>
        <w:tc>
          <w:tcPr>
            <w:tcW w:w="100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24,577</w:t>
            </w:r>
          </w:p>
        </w:tc>
        <w:tc>
          <w:tcPr>
            <w:tcW w:w="100" w:type="dxa"/>
            <w:vAlign w:val="bottom"/>
            <w:tcBorders>
              <w:bottom w:val="single" w:sz="8" w:color="CCEEFF"/>
            </w:tcBorders>
          </w:tcPr>
          <w:p>
            <w:pPr>
              <w:spacing w:after="0"/>
              <w:rPr>
                <w:sz w:val="24"/>
                <w:szCs w:val="24"/>
                <w:color w:val="auto"/>
              </w:rPr>
            </w:pPr>
          </w:p>
        </w:tc>
        <w:tc>
          <w:tcPr>
            <w:tcW w:w="1080" w:type="dxa"/>
            <w:vAlign w:val="bottom"/>
            <w:tcBorders>
              <w:top w:val="single" w:sz="8" w:color="auto"/>
              <w:bottom w:val="single" w:sz="8" w:color="auto"/>
            </w:tcBorders>
          </w:tcPr>
          <w:p>
            <w:pPr>
              <w:jc w:val="right"/>
              <w:ind w:right="888"/>
              <w:spacing w:after="0"/>
              <w:rPr>
                <w:sz w:val="20"/>
                <w:szCs w:val="20"/>
                <w:color w:val="auto"/>
              </w:rPr>
            </w:pPr>
            <w:r>
              <w:rPr>
                <w:rFonts w:ascii="Arial" w:cs="Arial" w:eastAsia="Arial" w:hAnsi="Arial"/>
                <w:sz w:val="14"/>
                <w:szCs w:val="14"/>
                <w:b w:val="1"/>
                <w:bCs w:val="1"/>
                <w:color w:val="auto"/>
              </w:rPr>
              <w:t>$</w:t>
            </w:r>
          </w:p>
        </w:tc>
        <w:tc>
          <w:tcPr>
            <w:tcW w:w="42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71</w:t>
            </w:r>
          </w:p>
        </w:tc>
        <w:tc>
          <w:tcPr>
            <w:tcW w:w="100" w:type="dxa"/>
            <w:vAlign w:val="bottom"/>
            <w:tcBorders>
              <w:bottom w:val="single" w:sz="8" w:color="CCEEFF"/>
            </w:tcBorders>
          </w:tcPr>
          <w:p>
            <w:pPr>
              <w:spacing w:after="0"/>
              <w:rPr>
                <w:sz w:val="24"/>
                <w:szCs w:val="24"/>
                <w:color w:val="auto"/>
              </w:rPr>
            </w:pPr>
          </w:p>
        </w:tc>
        <w:tc>
          <w:tcPr>
            <w:tcW w:w="340" w:type="dxa"/>
            <w:vAlign w:val="bottom"/>
            <w:tcBorders>
              <w:top w:val="single" w:sz="8" w:color="auto"/>
              <w:bottom w:val="single" w:sz="8" w:color="auto"/>
            </w:tcBorders>
          </w:tcPr>
          <w:p>
            <w:pPr>
              <w:jc w:val="right"/>
              <w:ind w:right="168"/>
              <w:spacing w:after="0"/>
              <w:rPr>
                <w:sz w:val="20"/>
                <w:szCs w:val="20"/>
                <w:color w:val="auto"/>
              </w:rPr>
            </w:pPr>
            <w:r>
              <w:rPr>
                <w:rFonts w:ascii="Arial" w:cs="Arial" w:eastAsia="Arial" w:hAnsi="Arial"/>
                <w:sz w:val="14"/>
                <w:szCs w:val="14"/>
                <w:b w:val="1"/>
                <w:bCs w:val="1"/>
                <w:color w:val="auto"/>
              </w:rPr>
              <w:t>$</w:t>
            </w:r>
          </w:p>
        </w:tc>
        <w:tc>
          <w:tcPr>
            <w:tcW w:w="114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33,882</w:t>
            </w:r>
          </w:p>
        </w:tc>
      </w:tr>
      <w:tr>
        <w:trPr>
          <w:trHeight w:val="278"/>
        </w:trPr>
        <w:tc>
          <w:tcPr>
            <w:tcW w:w="438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3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48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08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r>
      <w:tr>
        <w:trPr>
          <w:trHeight w:val="269"/>
        </w:trPr>
        <w:tc>
          <w:tcPr>
            <w:tcW w:w="4380" w:type="dxa"/>
            <w:vAlign w:val="bottom"/>
          </w:tcPr>
          <w:p>
            <w:pPr>
              <w:ind w:left="20"/>
              <w:spacing w:after="0"/>
              <w:rPr>
                <w:sz w:val="20"/>
                <w:szCs w:val="20"/>
                <w:color w:val="auto"/>
              </w:rPr>
            </w:pPr>
            <w:r>
              <w:rPr>
                <w:rFonts w:ascii="Arial" w:cs="Arial" w:eastAsia="Arial" w:hAnsi="Arial"/>
                <w:sz w:val="14"/>
                <w:szCs w:val="14"/>
                <w:b w:val="1"/>
                <w:bCs w:val="1"/>
                <w:color w:val="auto"/>
              </w:rPr>
              <w:t>Intangible liabilities</w:t>
            </w:r>
          </w:p>
        </w:tc>
        <w:tc>
          <w:tcPr>
            <w:tcW w:w="140" w:type="dxa"/>
            <w:vAlign w:val="bottom"/>
          </w:tcPr>
          <w:p>
            <w:pPr>
              <w:spacing w:after="0"/>
              <w:rPr>
                <w:sz w:val="23"/>
                <w:szCs w:val="23"/>
                <w:color w:val="auto"/>
              </w:rPr>
            </w:pPr>
          </w:p>
        </w:tc>
        <w:tc>
          <w:tcPr>
            <w:tcW w:w="13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40" w:type="dxa"/>
            <w:vAlign w:val="bottom"/>
          </w:tcPr>
          <w:p>
            <w:pPr>
              <w:spacing w:after="0"/>
              <w:rPr>
                <w:sz w:val="23"/>
                <w:szCs w:val="23"/>
                <w:color w:val="auto"/>
              </w:rPr>
            </w:pPr>
          </w:p>
        </w:tc>
      </w:tr>
      <w:tr>
        <w:trPr>
          <w:trHeight w:val="271"/>
        </w:trPr>
        <w:tc>
          <w:tcPr>
            <w:tcW w:w="4380" w:type="dxa"/>
            <w:vAlign w:val="bottom"/>
            <w:shd w:val="clear" w:color="auto" w:fill="CCEEFF"/>
          </w:tcPr>
          <w:p>
            <w:pPr>
              <w:ind w:left="20"/>
              <w:spacing w:after="0"/>
              <w:rPr>
                <w:sz w:val="20"/>
                <w:szCs w:val="20"/>
                <w:color w:val="auto"/>
              </w:rPr>
            </w:pPr>
            <w:r>
              <w:rPr>
                <w:rFonts w:ascii="Arial" w:cs="Arial" w:eastAsia="Arial" w:hAnsi="Arial"/>
                <w:sz w:val="14"/>
                <w:szCs w:val="14"/>
                <w:color w:val="auto"/>
              </w:rPr>
              <w:t>Acquired unfavorable lease intangibles</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38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2,440</w:t>
            </w:r>
          </w:p>
        </w:tc>
        <w:tc>
          <w:tcPr>
            <w:tcW w:w="120" w:type="dxa"/>
            <w:vAlign w:val="bottom"/>
            <w:shd w:val="clear" w:color="auto" w:fill="CCEEFF"/>
          </w:tcPr>
          <w:p>
            <w:pPr>
              <w:spacing w:after="0"/>
              <w:rPr>
                <w:sz w:val="23"/>
                <w:szCs w:val="23"/>
                <w:color w:val="auto"/>
              </w:rPr>
            </w:pPr>
          </w:p>
        </w:tc>
        <w:tc>
          <w:tcPr>
            <w:tcW w:w="480" w:type="dxa"/>
            <w:vAlign w:val="bottom"/>
            <w:shd w:val="clear" w:color="auto" w:fill="CCEEFF"/>
          </w:tcPr>
          <w:p>
            <w:pPr>
              <w:jc w:val="right"/>
              <w:ind w:right="308"/>
              <w:spacing w:after="0"/>
              <w:rPr>
                <w:sz w:val="20"/>
                <w:szCs w:val="20"/>
                <w:color w:val="auto"/>
              </w:rPr>
            </w:pPr>
            <w:r>
              <w:rPr>
                <w:rFonts w:ascii="Arial" w:cs="Arial" w:eastAsia="Arial" w:hAnsi="Arial"/>
                <w:sz w:val="14"/>
                <w:szCs w:val="14"/>
                <w:b w:val="1"/>
                <w:bCs w:val="1"/>
                <w:color w:val="auto"/>
              </w:rPr>
              <w:t>$</w:t>
            </w: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b w:val="1"/>
                <w:bCs w:val="1"/>
                <w:color w:val="auto"/>
              </w:rPr>
              <w:t>—</w:t>
            </w:r>
          </w:p>
        </w:tc>
        <w:tc>
          <w:tcPr>
            <w:tcW w:w="1080" w:type="dxa"/>
            <w:vAlign w:val="bottom"/>
            <w:shd w:val="clear" w:color="auto" w:fill="CCEEFF"/>
          </w:tcPr>
          <w:p>
            <w:pPr>
              <w:jc w:val="right"/>
              <w:ind w:right="888"/>
              <w:spacing w:after="0"/>
              <w:rPr>
                <w:sz w:val="20"/>
                <w:szCs w:val="20"/>
                <w:color w:val="auto"/>
              </w:rPr>
            </w:pPr>
            <w:r>
              <w:rPr>
                <w:rFonts w:ascii="Arial" w:cs="Arial" w:eastAsia="Arial" w:hAnsi="Arial"/>
                <w:sz w:val="14"/>
                <w:szCs w:val="14"/>
                <w:b w:val="1"/>
                <w:bCs w:val="1"/>
                <w:color w:val="auto"/>
              </w:rPr>
              <w:t>$</w:t>
            </w:r>
          </w:p>
        </w:tc>
        <w:tc>
          <w:tcPr>
            <w:tcW w:w="5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b w:val="1"/>
                <w:bCs w:val="1"/>
                <w:color w:val="auto"/>
              </w:rPr>
              <w:t>—</w:t>
            </w:r>
          </w:p>
        </w:tc>
        <w:tc>
          <w:tcPr>
            <w:tcW w:w="340" w:type="dxa"/>
            <w:vAlign w:val="bottom"/>
            <w:shd w:val="clear" w:color="auto" w:fill="CCEEFF"/>
          </w:tcPr>
          <w:p>
            <w:pPr>
              <w:jc w:val="right"/>
              <w:ind w:right="168"/>
              <w:spacing w:after="0"/>
              <w:rPr>
                <w:sz w:val="20"/>
                <w:szCs w:val="20"/>
                <w:color w:val="auto"/>
              </w:rPr>
            </w:pPr>
            <w:r>
              <w:rPr>
                <w:rFonts w:ascii="Arial" w:cs="Arial" w:eastAsia="Arial" w:hAnsi="Arial"/>
                <w:sz w:val="14"/>
                <w:szCs w:val="14"/>
                <w:b w:val="1"/>
                <w:bCs w:val="1"/>
                <w:color w:val="auto"/>
              </w:rPr>
              <w:t>$</w:t>
            </w:r>
          </w:p>
        </w:tc>
        <w:tc>
          <w:tcPr>
            <w:tcW w:w="1140" w:type="dxa"/>
            <w:vAlign w:val="bottom"/>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2,440</w:t>
            </w:r>
          </w:p>
        </w:tc>
      </w:tr>
      <w:tr>
        <w:trPr>
          <w:trHeight w:val="269"/>
        </w:trPr>
        <w:tc>
          <w:tcPr>
            <w:tcW w:w="438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Less: Accumulated amortization</w:t>
            </w:r>
          </w:p>
        </w:tc>
        <w:tc>
          <w:tcPr>
            <w:tcW w:w="140" w:type="dxa"/>
            <w:vAlign w:val="bottom"/>
            <w:tcBorders>
              <w:bottom w:val="single" w:sz="8" w:color="auto"/>
            </w:tcBorders>
          </w:tcPr>
          <w:p>
            <w:pPr>
              <w:spacing w:after="0"/>
              <w:rPr>
                <w:sz w:val="23"/>
                <w:szCs w:val="23"/>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(1,090)</w:t>
            </w:r>
          </w:p>
        </w:tc>
        <w:tc>
          <w:tcPr>
            <w:tcW w:w="120" w:type="dxa"/>
            <w:vAlign w:val="bottom"/>
            <w:tcBorders>
              <w:bottom w:val="single" w:sz="8" w:color="CCEEFF"/>
            </w:tcBorders>
          </w:tcPr>
          <w:p>
            <w:pPr>
              <w:spacing w:after="0"/>
              <w:rPr>
                <w:sz w:val="23"/>
                <w:szCs w:val="23"/>
                <w:color w:val="auto"/>
              </w:rPr>
            </w:pPr>
          </w:p>
        </w:tc>
        <w:tc>
          <w:tcPr>
            <w:tcW w:w="480" w:type="dxa"/>
            <w:vAlign w:val="bottom"/>
            <w:tcBorders>
              <w:bottom w:val="single" w:sz="8" w:color="auto"/>
            </w:tcBorders>
          </w:tcPr>
          <w:p>
            <w:pPr>
              <w:spacing w:after="0"/>
              <w:rPr>
                <w:sz w:val="23"/>
                <w:szCs w:val="23"/>
                <w:color w:val="auto"/>
              </w:rPr>
            </w:pPr>
          </w:p>
        </w:tc>
        <w:tc>
          <w:tcPr>
            <w:tcW w:w="10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w:t>
            </w:r>
          </w:p>
        </w:tc>
        <w:tc>
          <w:tcPr>
            <w:tcW w:w="100" w:type="dxa"/>
            <w:vAlign w:val="bottom"/>
            <w:tcBorders>
              <w:bottom w:val="single" w:sz="8" w:color="CCEEFF"/>
            </w:tcBorders>
          </w:tcPr>
          <w:p>
            <w:pPr>
              <w:spacing w:after="0"/>
              <w:rPr>
                <w:sz w:val="23"/>
                <w:szCs w:val="23"/>
                <w:color w:val="auto"/>
              </w:rPr>
            </w:pPr>
          </w:p>
        </w:tc>
        <w:tc>
          <w:tcPr>
            <w:tcW w:w="1080" w:type="dxa"/>
            <w:vAlign w:val="bottom"/>
            <w:tcBorders>
              <w:bottom w:val="single" w:sz="8" w:color="auto"/>
            </w:tcBorders>
          </w:tcPr>
          <w:p>
            <w:pPr>
              <w:spacing w:after="0"/>
              <w:rPr>
                <w:sz w:val="23"/>
                <w:szCs w:val="23"/>
                <w:color w:val="auto"/>
              </w:rPr>
            </w:pPr>
          </w:p>
        </w:tc>
        <w:tc>
          <w:tcPr>
            <w:tcW w:w="4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w:t>
            </w:r>
          </w:p>
        </w:tc>
        <w:tc>
          <w:tcPr>
            <w:tcW w:w="100" w:type="dxa"/>
            <w:vAlign w:val="bottom"/>
            <w:tcBorders>
              <w:bottom w:val="single" w:sz="8" w:color="CCEEFF"/>
            </w:tcBorders>
          </w:tcPr>
          <w:p>
            <w:pPr>
              <w:spacing w:after="0"/>
              <w:rPr>
                <w:sz w:val="23"/>
                <w:szCs w:val="23"/>
                <w:color w:val="auto"/>
              </w:rPr>
            </w:pPr>
          </w:p>
        </w:tc>
        <w:tc>
          <w:tcPr>
            <w:tcW w:w="340" w:type="dxa"/>
            <w:vAlign w:val="bottom"/>
            <w:tcBorders>
              <w:bottom w:val="single" w:sz="8" w:color="auto"/>
            </w:tcBorders>
          </w:tcPr>
          <w:p>
            <w:pPr>
              <w:spacing w:after="0"/>
              <w:rPr>
                <w:sz w:val="23"/>
                <w:szCs w:val="23"/>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(1,090)</w:t>
            </w:r>
          </w:p>
        </w:tc>
      </w:tr>
      <w:tr>
        <w:trPr>
          <w:trHeight w:val="238"/>
        </w:trPr>
        <w:tc>
          <w:tcPr>
            <w:tcW w:w="43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Acquired unfavorable lease intangibles, net</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3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1,350</w:t>
            </w:r>
          </w:p>
        </w:tc>
        <w:tc>
          <w:tcPr>
            <w:tcW w:w="12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auto"/>
            </w:tcBorders>
            <w:shd w:val="clear" w:color="auto" w:fill="CCEEFF"/>
          </w:tcPr>
          <w:p>
            <w:pPr>
              <w:jc w:val="right"/>
              <w:ind w:right="308"/>
              <w:spacing w:after="0"/>
              <w:rPr>
                <w:sz w:val="20"/>
                <w:szCs w:val="20"/>
                <w:color w:val="auto"/>
              </w:rPr>
            </w:pPr>
            <w:r>
              <w:rPr>
                <w:rFonts w:ascii="Arial" w:cs="Arial" w:eastAsia="Arial" w:hAnsi="Arial"/>
                <w:sz w:val="14"/>
                <w:szCs w:val="14"/>
                <w:b w:val="1"/>
                <w:bCs w:val="1"/>
                <w:color w:val="auto"/>
              </w:rPr>
              <w:t>$</w:t>
            </w:r>
          </w:p>
        </w:tc>
        <w:tc>
          <w:tcPr>
            <w:tcW w:w="10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w:t>
            </w:r>
          </w:p>
        </w:tc>
        <w:tc>
          <w:tcPr>
            <w:tcW w:w="10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auto"/>
            </w:tcBorders>
            <w:shd w:val="clear" w:color="auto" w:fill="CCEEFF"/>
          </w:tcPr>
          <w:p>
            <w:pPr>
              <w:jc w:val="right"/>
              <w:ind w:right="888"/>
              <w:spacing w:after="0"/>
              <w:rPr>
                <w:sz w:val="20"/>
                <w:szCs w:val="20"/>
                <w:color w:val="auto"/>
              </w:rPr>
            </w:pPr>
            <w:r>
              <w:rPr>
                <w:rFonts w:ascii="Arial" w:cs="Arial" w:eastAsia="Arial" w:hAnsi="Arial"/>
                <w:sz w:val="14"/>
                <w:szCs w:val="14"/>
                <w:b w:val="1"/>
                <w:bCs w:val="1"/>
                <w:color w:val="auto"/>
              </w:rPr>
              <w:t>$</w:t>
            </w:r>
          </w:p>
        </w:tc>
        <w:tc>
          <w:tcPr>
            <w:tcW w:w="4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68"/>
              <w:spacing w:after="0"/>
              <w:rPr>
                <w:sz w:val="20"/>
                <w:szCs w:val="20"/>
                <w:color w:val="auto"/>
              </w:rPr>
            </w:pPr>
            <w:r>
              <w:rPr>
                <w:rFonts w:ascii="Arial" w:cs="Arial" w:eastAsia="Arial" w:hAnsi="Arial"/>
                <w:sz w:val="14"/>
                <w:szCs w:val="14"/>
                <w:b w:val="1"/>
                <w:bCs w:val="1"/>
                <w:color w:val="auto"/>
              </w:rPr>
              <w:t>$</w:t>
            </w:r>
          </w:p>
        </w:tc>
        <w:tc>
          <w:tcPr>
            <w:tcW w:w="114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1,350</w:t>
            </w:r>
          </w:p>
        </w:tc>
      </w:tr>
      <w:tr>
        <w:trPr>
          <w:trHeight w:val="20"/>
        </w:trPr>
        <w:tc>
          <w:tcPr>
            <w:tcW w:w="43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r>
        <w:trPr>
          <w:trHeight w:val="385"/>
        </w:trPr>
        <w:tc>
          <w:tcPr>
            <w:tcW w:w="438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2180" w:type="dxa"/>
            <w:vAlign w:val="bottom"/>
            <w:tcBorders>
              <w:bottom w:val="single" w:sz="8" w:color="auto"/>
            </w:tcBorders>
            <w:gridSpan w:val="3"/>
          </w:tcPr>
          <w:p>
            <w:pPr>
              <w:jc w:val="right"/>
              <w:ind w:right="408"/>
              <w:spacing w:after="0"/>
              <w:rPr>
                <w:sz w:val="20"/>
                <w:szCs w:val="20"/>
                <w:color w:val="auto"/>
              </w:rPr>
            </w:pPr>
            <w:r>
              <w:rPr>
                <w:rFonts w:ascii="Arial" w:cs="Arial" w:eastAsia="Arial" w:hAnsi="Arial"/>
                <w:sz w:val="14"/>
                <w:szCs w:val="14"/>
                <w:b w:val="1"/>
                <w:bCs w:val="1"/>
                <w:color w:val="auto"/>
              </w:rPr>
              <w:t>December 31, 2016</w:t>
            </w:r>
          </w:p>
        </w:tc>
        <w:tc>
          <w:tcPr>
            <w:tcW w:w="4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r>
      <w:tr>
        <w:trPr>
          <w:trHeight w:val="264"/>
        </w:trPr>
        <w:tc>
          <w:tcPr>
            <w:tcW w:w="43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500" w:type="dxa"/>
            <w:vAlign w:val="bottom"/>
            <w:gridSpan w:val="2"/>
          </w:tcPr>
          <w:p>
            <w:pPr>
              <w:ind w:left="60"/>
              <w:spacing w:after="0"/>
              <w:rPr>
                <w:sz w:val="20"/>
                <w:szCs w:val="20"/>
                <w:color w:val="auto"/>
              </w:rPr>
            </w:pPr>
            <w:r>
              <w:rPr>
                <w:rFonts w:ascii="Arial" w:cs="Arial" w:eastAsia="Arial" w:hAnsi="Arial"/>
                <w:sz w:val="14"/>
                <w:szCs w:val="14"/>
                <w:b w:val="1"/>
                <w:bCs w:val="1"/>
                <w:color w:val="auto"/>
              </w:rPr>
              <w:t>Aviation Leasing</w:t>
            </w:r>
          </w:p>
        </w:tc>
        <w:tc>
          <w:tcPr>
            <w:tcW w:w="1580" w:type="dxa"/>
            <w:vAlign w:val="bottom"/>
            <w:gridSpan w:val="3"/>
          </w:tcPr>
          <w:p>
            <w:pPr>
              <w:ind w:left="100"/>
              <w:spacing w:after="0"/>
              <w:rPr>
                <w:sz w:val="20"/>
                <w:szCs w:val="20"/>
                <w:color w:val="auto"/>
              </w:rPr>
            </w:pPr>
            <w:r>
              <w:rPr>
                <w:rFonts w:ascii="Arial" w:cs="Arial" w:eastAsia="Arial" w:hAnsi="Arial"/>
                <w:sz w:val="14"/>
                <w:szCs w:val="14"/>
                <w:b w:val="1"/>
                <w:bCs w:val="1"/>
                <w:color w:val="auto"/>
              </w:rPr>
              <w:t>Jefferson Terminal</w:t>
            </w:r>
          </w:p>
        </w:tc>
        <w:tc>
          <w:tcPr>
            <w:tcW w:w="1080" w:type="dxa"/>
            <w:vAlign w:val="bottom"/>
          </w:tcPr>
          <w:p>
            <w:pPr>
              <w:jc w:val="right"/>
              <w:spacing w:after="0"/>
              <w:rPr>
                <w:sz w:val="20"/>
                <w:szCs w:val="20"/>
                <w:color w:val="auto"/>
              </w:rPr>
            </w:pPr>
            <w:r>
              <w:rPr>
                <w:rFonts w:ascii="Arial" w:cs="Arial" w:eastAsia="Arial" w:hAnsi="Arial"/>
                <w:sz w:val="14"/>
                <w:szCs w:val="14"/>
                <w:b w:val="1"/>
                <w:bCs w:val="1"/>
                <w:color w:val="auto"/>
              </w:rPr>
              <w:t>Railroad</w:t>
            </w:r>
          </w:p>
        </w:tc>
        <w:tc>
          <w:tcPr>
            <w:tcW w:w="4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40" w:type="dxa"/>
            <w:vAlign w:val="bottom"/>
          </w:tcPr>
          <w:p>
            <w:pPr>
              <w:jc w:val="right"/>
              <w:ind w:right="488"/>
              <w:spacing w:after="0"/>
              <w:rPr>
                <w:sz w:val="20"/>
                <w:szCs w:val="20"/>
                <w:color w:val="auto"/>
              </w:rPr>
            </w:pPr>
            <w:r>
              <w:rPr>
                <w:rFonts w:ascii="Arial" w:cs="Arial" w:eastAsia="Arial" w:hAnsi="Arial"/>
                <w:sz w:val="14"/>
                <w:szCs w:val="14"/>
                <w:b w:val="1"/>
                <w:bCs w:val="1"/>
                <w:color w:val="auto"/>
              </w:rPr>
              <w:t>Total</w:t>
            </w:r>
          </w:p>
        </w:tc>
      </w:tr>
      <w:tr>
        <w:trPr>
          <w:trHeight w:val="265"/>
        </w:trPr>
        <w:tc>
          <w:tcPr>
            <w:tcW w:w="43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Intangible assets</w:t>
            </w:r>
          </w:p>
        </w:tc>
        <w:tc>
          <w:tcPr>
            <w:tcW w:w="140" w:type="dxa"/>
            <w:vAlign w:val="bottom"/>
            <w:tcBorders>
              <w:top w:val="single" w:sz="8" w:color="auto"/>
            </w:tcBorders>
            <w:shd w:val="clear" w:color="auto" w:fill="CCEEFF"/>
          </w:tcPr>
          <w:p>
            <w:pPr>
              <w:spacing w:after="0"/>
              <w:rPr>
                <w:sz w:val="23"/>
                <w:szCs w:val="23"/>
                <w:color w:val="auto"/>
              </w:rPr>
            </w:pPr>
          </w:p>
        </w:tc>
        <w:tc>
          <w:tcPr>
            <w:tcW w:w="138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480" w:type="dxa"/>
            <w:vAlign w:val="bottom"/>
            <w:tcBorders>
              <w:top w:val="single" w:sz="8" w:color="auto"/>
            </w:tcBorders>
            <w:shd w:val="clear" w:color="auto" w:fill="CCEEFF"/>
          </w:tcPr>
          <w:p>
            <w:pPr>
              <w:spacing w:after="0"/>
              <w:rPr>
                <w:sz w:val="23"/>
                <w:szCs w:val="23"/>
                <w:color w:val="auto"/>
              </w:rPr>
            </w:pPr>
          </w:p>
        </w:tc>
        <w:tc>
          <w:tcPr>
            <w:tcW w:w="100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1080" w:type="dxa"/>
            <w:vAlign w:val="bottom"/>
            <w:tcBorders>
              <w:top w:val="single" w:sz="8" w:color="auto"/>
            </w:tcBorders>
            <w:shd w:val="clear" w:color="auto" w:fill="CCEEFF"/>
          </w:tcPr>
          <w:p>
            <w:pPr>
              <w:spacing w:after="0"/>
              <w:rPr>
                <w:sz w:val="23"/>
                <w:szCs w:val="23"/>
                <w:color w:val="auto"/>
              </w:rPr>
            </w:pPr>
          </w:p>
        </w:tc>
        <w:tc>
          <w:tcPr>
            <w:tcW w:w="42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340" w:type="dxa"/>
            <w:vAlign w:val="bottom"/>
            <w:tcBorders>
              <w:top w:val="single" w:sz="8" w:color="auto"/>
            </w:tcBorders>
            <w:shd w:val="clear" w:color="auto" w:fill="CCEEFF"/>
          </w:tcPr>
          <w:p>
            <w:pPr>
              <w:spacing w:after="0"/>
              <w:rPr>
                <w:sz w:val="23"/>
                <w:szCs w:val="23"/>
                <w:color w:val="auto"/>
              </w:rPr>
            </w:pPr>
          </w:p>
        </w:tc>
        <w:tc>
          <w:tcPr>
            <w:tcW w:w="1140" w:type="dxa"/>
            <w:vAlign w:val="bottom"/>
            <w:tcBorders>
              <w:top w:val="single" w:sz="8" w:color="auto"/>
            </w:tcBorders>
            <w:shd w:val="clear" w:color="auto" w:fill="CCEEFF"/>
          </w:tcPr>
          <w:p>
            <w:pPr>
              <w:spacing w:after="0"/>
              <w:rPr>
                <w:sz w:val="23"/>
                <w:szCs w:val="23"/>
                <w:color w:val="auto"/>
              </w:rPr>
            </w:pPr>
          </w:p>
        </w:tc>
      </w:tr>
      <w:tr>
        <w:trPr>
          <w:trHeight w:val="266"/>
        </w:trPr>
        <w:tc>
          <w:tcPr>
            <w:tcW w:w="4380" w:type="dxa"/>
            <w:vAlign w:val="bottom"/>
          </w:tcPr>
          <w:p>
            <w:pPr>
              <w:ind w:left="20"/>
              <w:spacing w:after="0"/>
              <w:rPr>
                <w:sz w:val="20"/>
                <w:szCs w:val="20"/>
                <w:color w:val="auto"/>
              </w:rPr>
            </w:pPr>
            <w:r>
              <w:rPr>
                <w:rFonts w:ascii="Arial" w:cs="Arial" w:eastAsia="Arial" w:hAnsi="Arial"/>
                <w:sz w:val="14"/>
                <w:szCs w:val="14"/>
                <w:color w:val="auto"/>
              </w:rPr>
              <w:t>Acquired favorable lease intangibles</w:t>
            </w: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1380" w:type="dxa"/>
            <w:vAlign w:val="bottom"/>
          </w:tcPr>
          <w:p>
            <w:pPr>
              <w:jc w:val="right"/>
              <w:ind w:right="28"/>
              <w:spacing w:after="0"/>
              <w:rPr>
                <w:sz w:val="20"/>
                <w:szCs w:val="20"/>
                <w:color w:val="auto"/>
              </w:rPr>
            </w:pPr>
            <w:r>
              <w:rPr>
                <w:rFonts w:ascii="Arial" w:cs="Arial" w:eastAsia="Arial" w:hAnsi="Arial"/>
                <w:sz w:val="14"/>
                <w:szCs w:val="14"/>
                <w:color w:val="auto"/>
              </w:rPr>
              <w:t>26,605</w:t>
            </w:r>
          </w:p>
        </w:tc>
        <w:tc>
          <w:tcPr>
            <w:tcW w:w="120" w:type="dxa"/>
            <w:vAlign w:val="bottom"/>
          </w:tcPr>
          <w:p>
            <w:pPr>
              <w:spacing w:after="0"/>
              <w:rPr>
                <w:sz w:val="23"/>
                <w:szCs w:val="23"/>
                <w:color w:val="auto"/>
              </w:rPr>
            </w:pPr>
          </w:p>
        </w:tc>
        <w:tc>
          <w:tcPr>
            <w:tcW w:w="480" w:type="dxa"/>
            <w:vAlign w:val="bottom"/>
          </w:tcPr>
          <w:p>
            <w:pPr>
              <w:jc w:val="right"/>
              <w:ind w:right="308"/>
              <w:spacing w:after="0"/>
              <w:rPr>
                <w:sz w:val="20"/>
                <w:szCs w:val="20"/>
                <w:color w:val="auto"/>
              </w:rPr>
            </w:pPr>
            <w:r>
              <w:rPr>
                <w:rFonts w:ascii="Arial" w:cs="Arial" w:eastAsia="Arial" w:hAnsi="Arial"/>
                <w:sz w:val="14"/>
                <w:szCs w:val="14"/>
                <w:color w:val="auto"/>
              </w:rPr>
              <w:t>$</w:t>
            </w:r>
          </w:p>
        </w:tc>
        <w:tc>
          <w:tcPr>
            <w:tcW w:w="11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080" w:type="dxa"/>
            <w:vAlign w:val="bottom"/>
          </w:tcPr>
          <w:p>
            <w:pPr>
              <w:jc w:val="right"/>
              <w:ind w:right="888"/>
              <w:spacing w:after="0"/>
              <w:rPr>
                <w:sz w:val="20"/>
                <w:szCs w:val="20"/>
                <w:color w:val="auto"/>
              </w:rPr>
            </w:pPr>
            <w:r>
              <w:rPr>
                <w:rFonts w:ascii="Arial" w:cs="Arial" w:eastAsia="Arial" w:hAnsi="Arial"/>
                <w:sz w:val="14"/>
                <w:szCs w:val="14"/>
                <w:color w:val="auto"/>
              </w:rPr>
              <w:t>$</w:t>
            </w:r>
          </w:p>
        </w:tc>
        <w:tc>
          <w:tcPr>
            <w:tcW w:w="5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34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1140" w:type="dxa"/>
            <w:vAlign w:val="bottom"/>
          </w:tcPr>
          <w:p>
            <w:pPr>
              <w:jc w:val="right"/>
              <w:ind w:right="8"/>
              <w:spacing w:after="0"/>
              <w:rPr>
                <w:sz w:val="20"/>
                <w:szCs w:val="20"/>
                <w:color w:val="auto"/>
              </w:rPr>
            </w:pPr>
            <w:r>
              <w:rPr>
                <w:rFonts w:ascii="Arial" w:cs="Arial" w:eastAsia="Arial" w:hAnsi="Arial"/>
                <w:sz w:val="14"/>
                <w:szCs w:val="14"/>
                <w:color w:val="auto"/>
              </w:rPr>
              <w:t>26,605</w:t>
            </w:r>
          </w:p>
        </w:tc>
      </w:tr>
      <w:tr>
        <w:trPr>
          <w:trHeight w:val="274"/>
        </w:trPr>
        <w:tc>
          <w:tcPr>
            <w:tcW w:w="4380" w:type="dxa"/>
            <w:vAlign w:val="bottom"/>
            <w:shd w:val="clear" w:color="auto" w:fill="CCEEFF"/>
          </w:tcPr>
          <w:p>
            <w:pPr>
              <w:ind w:left="20"/>
              <w:spacing w:after="0"/>
              <w:rPr>
                <w:sz w:val="20"/>
                <w:szCs w:val="20"/>
                <w:color w:val="auto"/>
              </w:rPr>
            </w:pPr>
            <w:r>
              <w:rPr>
                <w:rFonts w:ascii="Arial" w:cs="Arial" w:eastAsia="Arial" w:hAnsi="Arial"/>
                <w:sz w:val="14"/>
                <w:szCs w:val="14"/>
                <w:color w:val="auto"/>
              </w:rPr>
              <w:t>Less: Accumulated amortization</w:t>
            </w:r>
          </w:p>
        </w:tc>
        <w:tc>
          <w:tcPr>
            <w:tcW w:w="140" w:type="dxa"/>
            <w:vAlign w:val="bottom"/>
            <w:tcBorders>
              <w:bottom w:val="single" w:sz="8" w:color="auto"/>
            </w:tcBorders>
            <w:shd w:val="clear" w:color="auto" w:fill="CCEEFF"/>
          </w:tcPr>
          <w:p>
            <w:pPr>
              <w:spacing w:after="0"/>
              <w:rPr>
                <w:sz w:val="23"/>
                <w:szCs w:val="23"/>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(14,998)</w:t>
            </w:r>
          </w:p>
        </w:tc>
        <w:tc>
          <w:tcPr>
            <w:tcW w:w="120" w:type="dxa"/>
            <w:vAlign w:val="bottom"/>
            <w:shd w:val="clear" w:color="auto" w:fill="CCEEFF"/>
          </w:tcPr>
          <w:p>
            <w:pPr>
              <w:spacing w:after="0"/>
              <w:rPr>
                <w:sz w:val="23"/>
                <w:szCs w:val="23"/>
                <w:color w:val="auto"/>
              </w:rPr>
            </w:pPr>
          </w:p>
        </w:tc>
        <w:tc>
          <w:tcPr>
            <w:tcW w:w="480" w:type="dxa"/>
            <w:vAlign w:val="bottom"/>
            <w:tcBorders>
              <w:bottom w:val="single" w:sz="8" w:color="auto"/>
            </w:tcBorders>
            <w:shd w:val="clear" w:color="auto" w:fill="CCEEFF"/>
          </w:tcPr>
          <w:p>
            <w:pPr>
              <w:spacing w:after="0"/>
              <w:rPr>
                <w:sz w:val="23"/>
                <w:szCs w:val="23"/>
                <w:color w:val="auto"/>
              </w:rPr>
            </w:pPr>
          </w:p>
        </w:tc>
        <w:tc>
          <w:tcPr>
            <w:tcW w:w="10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3"/>
                <w:szCs w:val="23"/>
                <w:color w:val="auto"/>
              </w:rPr>
            </w:pPr>
          </w:p>
        </w:tc>
        <w:tc>
          <w:tcPr>
            <w:tcW w:w="1080" w:type="dxa"/>
            <w:vAlign w:val="bottom"/>
            <w:tcBorders>
              <w:bottom w:val="single" w:sz="8" w:color="auto"/>
            </w:tcBorders>
            <w:shd w:val="clear" w:color="auto" w:fill="CCEEFF"/>
          </w:tcPr>
          <w:p>
            <w:pPr>
              <w:spacing w:after="0"/>
              <w:rPr>
                <w:sz w:val="23"/>
                <w:szCs w:val="23"/>
                <w:color w:val="auto"/>
              </w:rPr>
            </w:pPr>
          </w:p>
        </w:tc>
        <w:tc>
          <w:tcPr>
            <w:tcW w:w="4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3"/>
                <w:szCs w:val="23"/>
                <w:color w:val="auto"/>
              </w:rPr>
            </w:pPr>
          </w:p>
        </w:tc>
        <w:tc>
          <w:tcPr>
            <w:tcW w:w="340" w:type="dxa"/>
            <w:vAlign w:val="bottom"/>
            <w:tcBorders>
              <w:bottom w:val="single" w:sz="8" w:color="auto"/>
            </w:tcBorders>
            <w:shd w:val="clear" w:color="auto" w:fill="CCEEFF"/>
          </w:tcPr>
          <w:p>
            <w:pPr>
              <w:spacing w:after="0"/>
              <w:rPr>
                <w:sz w:val="23"/>
                <w:szCs w:val="23"/>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(14,998)</w:t>
            </w:r>
          </w:p>
        </w:tc>
      </w:tr>
      <w:tr>
        <w:trPr>
          <w:trHeight w:val="249"/>
        </w:trPr>
        <w:tc>
          <w:tcPr>
            <w:tcW w:w="438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Acquired favorable lease intangibles, net</w:t>
            </w:r>
          </w:p>
        </w:tc>
        <w:tc>
          <w:tcPr>
            <w:tcW w:w="140" w:type="dxa"/>
            <w:vAlign w:val="bottom"/>
            <w:tcBorders>
              <w:bottom w:val="single" w:sz="8" w:color="auto"/>
            </w:tcBorders>
          </w:tcPr>
          <w:p>
            <w:pPr>
              <w:spacing w:after="0"/>
              <w:rPr>
                <w:sz w:val="21"/>
                <w:szCs w:val="21"/>
                <w:color w:val="auto"/>
              </w:rPr>
            </w:pPr>
          </w:p>
        </w:tc>
        <w:tc>
          <w:tcPr>
            <w:tcW w:w="13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11,607</w:t>
            </w:r>
          </w:p>
        </w:tc>
        <w:tc>
          <w:tcPr>
            <w:tcW w:w="120" w:type="dxa"/>
            <w:vAlign w:val="bottom"/>
            <w:tcBorders>
              <w:bottom w:val="single" w:sz="8" w:color="CCEEFF"/>
            </w:tcBorders>
          </w:tcPr>
          <w:p>
            <w:pPr>
              <w:spacing w:after="0"/>
              <w:rPr>
                <w:sz w:val="21"/>
                <w:szCs w:val="21"/>
                <w:color w:val="auto"/>
              </w:rPr>
            </w:pPr>
          </w:p>
        </w:tc>
        <w:tc>
          <w:tcPr>
            <w:tcW w:w="48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21"/>
                <w:szCs w:val="21"/>
                <w:color w:val="auto"/>
              </w:rPr>
            </w:pPr>
          </w:p>
        </w:tc>
        <w:tc>
          <w:tcPr>
            <w:tcW w:w="1080" w:type="dxa"/>
            <w:vAlign w:val="bottom"/>
            <w:tcBorders>
              <w:bottom w:val="single" w:sz="8" w:color="auto"/>
            </w:tcBorders>
          </w:tcPr>
          <w:p>
            <w:pPr>
              <w:spacing w:after="0"/>
              <w:rPr>
                <w:sz w:val="21"/>
                <w:szCs w:val="21"/>
                <w:color w:val="auto"/>
              </w:rPr>
            </w:pPr>
          </w:p>
        </w:tc>
        <w:tc>
          <w:tcPr>
            <w:tcW w:w="4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11,607</w:t>
            </w:r>
          </w:p>
        </w:tc>
      </w:tr>
      <w:tr>
        <w:trPr>
          <w:trHeight w:val="251"/>
        </w:trPr>
        <w:tc>
          <w:tcPr>
            <w:tcW w:w="4380" w:type="dxa"/>
            <w:vAlign w:val="bottom"/>
            <w:shd w:val="clear" w:color="auto" w:fill="CCEEFF"/>
          </w:tcPr>
          <w:p>
            <w:pPr>
              <w:ind w:left="20"/>
              <w:spacing w:after="0"/>
              <w:rPr>
                <w:sz w:val="20"/>
                <w:szCs w:val="20"/>
                <w:color w:val="auto"/>
              </w:rPr>
            </w:pPr>
            <w:r>
              <w:rPr>
                <w:rFonts w:ascii="Arial" w:cs="Arial" w:eastAsia="Arial" w:hAnsi="Arial"/>
                <w:sz w:val="14"/>
                <w:szCs w:val="14"/>
                <w:color w:val="auto"/>
              </w:rPr>
              <w:t>Customer relationships</w:t>
            </w:r>
          </w:p>
        </w:tc>
        <w:tc>
          <w:tcPr>
            <w:tcW w:w="140" w:type="dxa"/>
            <w:vAlign w:val="bottom"/>
            <w:shd w:val="clear" w:color="auto" w:fill="CCEEFF"/>
          </w:tcPr>
          <w:p>
            <w:pPr>
              <w:spacing w:after="0"/>
              <w:rPr>
                <w:sz w:val="21"/>
                <w:szCs w:val="21"/>
                <w:color w:val="auto"/>
              </w:rPr>
            </w:pPr>
          </w:p>
        </w:tc>
        <w:tc>
          <w:tcPr>
            <w:tcW w:w="15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480" w:type="dxa"/>
            <w:vAlign w:val="bottom"/>
            <w:shd w:val="clear" w:color="auto" w:fill="CCEEFF"/>
          </w:tcPr>
          <w:p>
            <w:pPr>
              <w:spacing w:after="0"/>
              <w:rPr>
                <w:sz w:val="21"/>
                <w:szCs w:val="21"/>
                <w:color w:val="auto"/>
              </w:rPr>
            </w:pPr>
          </w:p>
        </w:tc>
        <w:tc>
          <w:tcPr>
            <w:tcW w:w="10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35,513</w:t>
            </w:r>
          </w:p>
        </w:tc>
        <w:tc>
          <w:tcPr>
            <w:tcW w:w="100" w:type="dxa"/>
            <w:vAlign w:val="bottom"/>
            <w:shd w:val="clear" w:color="auto" w:fill="CCEEFF"/>
          </w:tcPr>
          <w:p>
            <w:pPr>
              <w:spacing w:after="0"/>
              <w:rPr>
                <w:sz w:val="21"/>
                <w:szCs w:val="21"/>
                <w:color w:val="auto"/>
              </w:rPr>
            </w:pPr>
          </w:p>
        </w:tc>
        <w:tc>
          <w:tcPr>
            <w:tcW w:w="1080" w:type="dxa"/>
            <w:vAlign w:val="bottom"/>
            <w:shd w:val="clear" w:color="auto" w:fill="CCEEFF"/>
          </w:tcPr>
          <w:p>
            <w:pPr>
              <w:spacing w:after="0"/>
              <w:rPr>
                <w:sz w:val="21"/>
                <w:szCs w:val="21"/>
                <w:color w:val="auto"/>
              </w:rPr>
            </w:pPr>
          </w:p>
        </w:tc>
        <w:tc>
          <w:tcPr>
            <w:tcW w:w="4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225</w:t>
            </w: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35,738</w:t>
            </w:r>
          </w:p>
        </w:tc>
      </w:tr>
      <w:tr>
        <w:trPr>
          <w:trHeight w:val="266"/>
        </w:trPr>
        <w:tc>
          <w:tcPr>
            <w:tcW w:w="438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Less: Accumulated amortization</w:t>
            </w:r>
          </w:p>
        </w:tc>
        <w:tc>
          <w:tcPr>
            <w:tcW w:w="140" w:type="dxa"/>
            <w:vAlign w:val="bottom"/>
            <w:tcBorders>
              <w:bottom w:val="single" w:sz="8" w:color="auto"/>
            </w:tcBorders>
          </w:tcPr>
          <w:p>
            <w:pPr>
              <w:spacing w:after="0"/>
              <w:rPr>
                <w:sz w:val="23"/>
                <w:szCs w:val="23"/>
                <w:color w:val="auto"/>
              </w:rPr>
            </w:pPr>
          </w:p>
        </w:tc>
        <w:tc>
          <w:tcPr>
            <w:tcW w:w="13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tcPr>
          <w:p>
            <w:pPr>
              <w:spacing w:after="0"/>
              <w:rPr>
                <w:sz w:val="23"/>
                <w:szCs w:val="23"/>
                <w:color w:val="auto"/>
              </w:rPr>
            </w:pPr>
          </w:p>
        </w:tc>
        <w:tc>
          <w:tcPr>
            <w:tcW w:w="480" w:type="dxa"/>
            <w:vAlign w:val="bottom"/>
            <w:tcBorders>
              <w:bottom w:val="single" w:sz="8" w:color="auto"/>
            </w:tcBorders>
          </w:tcPr>
          <w:p>
            <w:pPr>
              <w:spacing w:after="0"/>
              <w:rPr>
                <w:sz w:val="23"/>
                <w:szCs w:val="23"/>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(8,271)</w:t>
            </w:r>
          </w:p>
        </w:tc>
        <w:tc>
          <w:tcPr>
            <w:tcW w:w="100" w:type="dxa"/>
            <w:vAlign w:val="bottom"/>
            <w:tcBorders>
              <w:bottom w:val="single" w:sz="8" w:color="CCEEFF"/>
            </w:tcBorders>
          </w:tcPr>
          <w:p>
            <w:pPr>
              <w:spacing w:after="0"/>
              <w:rPr>
                <w:sz w:val="23"/>
                <w:szCs w:val="23"/>
                <w:color w:val="auto"/>
              </w:rPr>
            </w:pPr>
          </w:p>
        </w:tc>
        <w:tc>
          <w:tcPr>
            <w:tcW w:w="1080" w:type="dxa"/>
            <w:vAlign w:val="bottom"/>
            <w:tcBorders>
              <w:bottom w:val="single" w:sz="8" w:color="auto"/>
            </w:tcBorders>
          </w:tcPr>
          <w:p>
            <w:pPr>
              <w:spacing w:after="0"/>
              <w:rPr>
                <w:sz w:val="23"/>
                <w:szCs w:val="23"/>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(120)</w:t>
            </w:r>
          </w:p>
        </w:tc>
        <w:tc>
          <w:tcPr>
            <w:tcW w:w="100" w:type="dxa"/>
            <w:vAlign w:val="bottom"/>
            <w:tcBorders>
              <w:bottom w:val="single" w:sz="8" w:color="CCEEFF"/>
            </w:tcBorders>
          </w:tcPr>
          <w:p>
            <w:pPr>
              <w:spacing w:after="0"/>
              <w:rPr>
                <w:sz w:val="23"/>
                <w:szCs w:val="23"/>
                <w:color w:val="auto"/>
              </w:rPr>
            </w:pPr>
          </w:p>
        </w:tc>
        <w:tc>
          <w:tcPr>
            <w:tcW w:w="340" w:type="dxa"/>
            <w:vAlign w:val="bottom"/>
            <w:tcBorders>
              <w:bottom w:val="single" w:sz="8" w:color="auto"/>
            </w:tcBorders>
          </w:tcPr>
          <w:p>
            <w:pPr>
              <w:spacing w:after="0"/>
              <w:rPr>
                <w:sz w:val="23"/>
                <w:szCs w:val="23"/>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(8,391)</w:t>
            </w:r>
          </w:p>
        </w:tc>
      </w:tr>
      <w:tr>
        <w:trPr>
          <w:trHeight w:val="253"/>
        </w:trPr>
        <w:tc>
          <w:tcPr>
            <w:tcW w:w="438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Acquired customer relationships, net</w:t>
            </w:r>
          </w:p>
        </w:tc>
        <w:tc>
          <w:tcPr>
            <w:tcW w:w="140" w:type="dxa"/>
            <w:vAlign w:val="bottom"/>
            <w:shd w:val="clear" w:color="auto" w:fill="CCEEFF"/>
          </w:tcPr>
          <w:p>
            <w:pPr>
              <w:spacing w:after="0"/>
              <w:rPr>
                <w:sz w:val="22"/>
                <w:szCs w:val="22"/>
                <w:color w:val="auto"/>
              </w:rPr>
            </w:pPr>
          </w:p>
        </w:tc>
        <w:tc>
          <w:tcPr>
            <w:tcW w:w="15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480" w:type="dxa"/>
            <w:vAlign w:val="bottom"/>
            <w:shd w:val="clear" w:color="auto" w:fill="CCEEFF"/>
          </w:tcPr>
          <w:p>
            <w:pPr>
              <w:spacing w:after="0"/>
              <w:rPr>
                <w:sz w:val="22"/>
                <w:szCs w:val="22"/>
                <w:color w:val="auto"/>
              </w:rPr>
            </w:pPr>
          </w:p>
        </w:tc>
        <w:tc>
          <w:tcPr>
            <w:tcW w:w="10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27,242</w:t>
            </w:r>
          </w:p>
        </w:tc>
        <w:tc>
          <w:tcPr>
            <w:tcW w:w="100" w:type="dxa"/>
            <w:vAlign w:val="bottom"/>
            <w:shd w:val="clear" w:color="auto" w:fill="CCEEFF"/>
          </w:tcPr>
          <w:p>
            <w:pPr>
              <w:spacing w:after="0"/>
              <w:rPr>
                <w:sz w:val="22"/>
                <w:szCs w:val="22"/>
                <w:color w:val="auto"/>
              </w:rPr>
            </w:pPr>
          </w:p>
        </w:tc>
        <w:tc>
          <w:tcPr>
            <w:tcW w:w="1080" w:type="dxa"/>
            <w:vAlign w:val="bottom"/>
            <w:shd w:val="clear" w:color="auto" w:fill="CCEEFF"/>
          </w:tcPr>
          <w:p>
            <w:pPr>
              <w:spacing w:after="0"/>
              <w:rPr>
                <w:sz w:val="22"/>
                <w:szCs w:val="22"/>
                <w:color w:val="auto"/>
              </w:rPr>
            </w:pPr>
          </w:p>
        </w:tc>
        <w:tc>
          <w:tcPr>
            <w:tcW w:w="4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105</w:t>
            </w: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27,347</w:t>
            </w:r>
          </w:p>
        </w:tc>
      </w:tr>
      <w:tr>
        <w:trPr>
          <w:trHeight w:val="278"/>
        </w:trPr>
        <w:tc>
          <w:tcPr>
            <w:tcW w:w="438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Total intangible assets, net</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38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11,607</w:t>
            </w:r>
          </w:p>
        </w:tc>
        <w:tc>
          <w:tcPr>
            <w:tcW w:w="120" w:type="dxa"/>
            <w:vAlign w:val="bottom"/>
            <w:tcBorders>
              <w:bottom w:val="single" w:sz="8" w:color="CCEEFF"/>
            </w:tcBorders>
          </w:tcPr>
          <w:p>
            <w:pPr>
              <w:spacing w:after="0"/>
              <w:rPr>
                <w:sz w:val="24"/>
                <w:szCs w:val="24"/>
                <w:color w:val="auto"/>
              </w:rPr>
            </w:pPr>
          </w:p>
        </w:tc>
        <w:tc>
          <w:tcPr>
            <w:tcW w:w="480" w:type="dxa"/>
            <w:vAlign w:val="bottom"/>
            <w:tcBorders>
              <w:top w:val="single" w:sz="8" w:color="auto"/>
              <w:bottom w:val="single" w:sz="8" w:color="auto"/>
            </w:tcBorders>
          </w:tcPr>
          <w:p>
            <w:pPr>
              <w:jc w:val="right"/>
              <w:ind w:right="308"/>
              <w:spacing w:after="0"/>
              <w:rPr>
                <w:sz w:val="20"/>
                <w:szCs w:val="20"/>
                <w:color w:val="auto"/>
              </w:rPr>
            </w:pPr>
            <w:r>
              <w:rPr>
                <w:rFonts w:ascii="Arial" w:cs="Arial" w:eastAsia="Arial" w:hAnsi="Arial"/>
                <w:sz w:val="14"/>
                <w:szCs w:val="14"/>
                <w:color w:val="auto"/>
              </w:rPr>
              <w:t>$</w:t>
            </w:r>
          </w:p>
        </w:tc>
        <w:tc>
          <w:tcPr>
            <w:tcW w:w="100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27,242</w:t>
            </w:r>
          </w:p>
        </w:tc>
        <w:tc>
          <w:tcPr>
            <w:tcW w:w="100" w:type="dxa"/>
            <w:vAlign w:val="bottom"/>
            <w:tcBorders>
              <w:bottom w:val="single" w:sz="8" w:color="CCEEFF"/>
            </w:tcBorders>
          </w:tcPr>
          <w:p>
            <w:pPr>
              <w:spacing w:after="0"/>
              <w:rPr>
                <w:sz w:val="24"/>
                <w:szCs w:val="24"/>
                <w:color w:val="auto"/>
              </w:rPr>
            </w:pPr>
          </w:p>
        </w:tc>
        <w:tc>
          <w:tcPr>
            <w:tcW w:w="1080" w:type="dxa"/>
            <w:vAlign w:val="bottom"/>
            <w:tcBorders>
              <w:top w:val="single" w:sz="8" w:color="auto"/>
              <w:bottom w:val="single" w:sz="8" w:color="auto"/>
            </w:tcBorders>
          </w:tcPr>
          <w:p>
            <w:pPr>
              <w:jc w:val="right"/>
              <w:ind w:right="888"/>
              <w:spacing w:after="0"/>
              <w:rPr>
                <w:sz w:val="20"/>
                <w:szCs w:val="20"/>
                <w:color w:val="auto"/>
              </w:rPr>
            </w:pPr>
            <w:r>
              <w:rPr>
                <w:rFonts w:ascii="Arial" w:cs="Arial" w:eastAsia="Arial" w:hAnsi="Arial"/>
                <w:sz w:val="14"/>
                <w:szCs w:val="14"/>
                <w:color w:val="auto"/>
              </w:rPr>
              <w:t>$</w:t>
            </w:r>
          </w:p>
        </w:tc>
        <w:tc>
          <w:tcPr>
            <w:tcW w:w="42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105</w:t>
            </w:r>
          </w:p>
        </w:tc>
        <w:tc>
          <w:tcPr>
            <w:tcW w:w="100" w:type="dxa"/>
            <w:vAlign w:val="bottom"/>
            <w:tcBorders>
              <w:bottom w:val="single" w:sz="8" w:color="CCEEFF"/>
            </w:tcBorders>
          </w:tcPr>
          <w:p>
            <w:pPr>
              <w:spacing w:after="0"/>
              <w:rPr>
                <w:sz w:val="24"/>
                <w:szCs w:val="24"/>
                <w:color w:val="auto"/>
              </w:rPr>
            </w:pPr>
          </w:p>
        </w:tc>
        <w:tc>
          <w:tcPr>
            <w:tcW w:w="340" w:type="dxa"/>
            <w:vAlign w:val="bottom"/>
            <w:tcBorders>
              <w:top w:val="single" w:sz="8" w:color="auto"/>
              <w:bottom w:val="single" w:sz="8" w:color="auto"/>
            </w:tcBorders>
          </w:tcPr>
          <w:p>
            <w:pPr>
              <w:jc w:val="right"/>
              <w:ind w:right="168"/>
              <w:spacing w:after="0"/>
              <w:rPr>
                <w:sz w:val="20"/>
                <w:szCs w:val="20"/>
                <w:color w:val="auto"/>
              </w:rPr>
            </w:pPr>
            <w:r>
              <w:rPr>
                <w:rFonts w:ascii="Arial" w:cs="Arial" w:eastAsia="Arial" w:hAnsi="Arial"/>
                <w:sz w:val="14"/>
                <w:szCs w:val="14"/>
                <w:color w:val="auto"/>
              </w:rPr>
              <w:t>$</w:t>
            </w:r>
          </w:p>
        </w:tc>
        <w:tc>
          <w:tcPr>
            <w:tcW w:w="114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rPr>
              <w:t>38,954</w:t>
            </w:r>
          </w:p>
        </w:tc>
      </w:tr>
      <w:tr>
        <w:trPr>
          <w:trHeight w:val="278"/>
        </w:trPr>
        <w:tc>
          <w:tcPr>
            <w:tcW w:w="438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3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48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08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r>
      <w:tr>
        <w:trPr>
          <w:trHeight w:val="269"/>
        </w:trPr>
        <w:tc>
          <w:tcPr>
            <w:tcW w:w="4380" w:type="dxa"/>
            <w:vAlign w:val="bottom"/>
          </w:tcPr>
          <w:p>
            <w:pPr>
              <w:ind w:left="20"/>
              <w:spacing w:after="0"/>
              <w:rPr>
                <w:sz w:val="20"/>
                <w:szCs w:val="20"/>
                <w:color w:val="auto"/>
              </w:rPr>
            </w:pPr>
            <w:r>
              <w:rPr>
                <w:rFonts w:ascii="Arial" w:cs="Arial" w:eastAsia="Arial" w:hAnsi="Arial"/>
                <w:sz w:val="14"/>
                <w:szCs w:val="14"/>
                <w:b w:val="1"/>
                <w:bCs w:val="1"/>
                <w:color w:val="auto"/>
              </w:rPr>
              <w:t>Intangible liabilities</w:t>
            </w:r>
          </w:p>
        </w:tc>
        <w:tc>
          <w:tcPr>
            <w:tcW w:w="140" w:type="dxa"/>
            <w:vAlign w:val="bottom"/>
          </w:tcPr>
          <w:p>
            <w:pPr>
              <w:spacing w:after="0"/>
              <w:rPr>
                <w:sz w:val="23"/>
                <w:szCs w:val="23"/>
                <w:color w:val="auto"/>
              </w:rPr>
            </w:pPr>
          </w:p>
        </w:tc>
        <w:tc>
          <w:tcPr>
            <w:tcW w:w="13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40" w:type="dxa"/>
            <w:vAlign w:val="bottom"/>
          </w:tcPr>
          <w:p>
            <w:pPr>
              <w:spacing w:after="0"/>
              <w:rPr>
                <w:sz w:val="23"/>
                <w:szCs w:val="23"/>
                <w:color w:val="auto"/>
              </w:rPr>
            </w:pPr>
          </w:p>
        </w:tc>
      </w:tr>
      <w:tr>
        <w:trPr>
          <w:trHeight w:val="271"/>
        </w:trPr>
        <w:tc>
          <w:tcPr>
            <w:tcW w:w="4380" w:type="dxa"/>
            <w:vAlign w:val="bottom"/>
            <w:shd w:val="clear" w:color="auto" w:fill="CCEEFF"/>
          </w:tcPr>
          <w:p>
            <w:pPr>
              <w:ind w:left="20"/>
              <w:spacing w:after="0"/>
              <w:rPr>
                <w:sz w:val="20"/>
                <w:szCs w:val="20"/>
                <w:color w:val="auto"/>
              </w:rPr>
            </w:pPr>
            <w:r>
              <w:rPr>
                <w:rFonts w:ascii="Arial" w:cs="Arial" w:eastAsia="Arial" w:hAnsi="Arial"/>
                <w:sz w:val="14"/>
                <w:szCs w:val="14"/>
                <w:color w:val="auto"/>
              </w:rPr>
              <w:t>Acquired unfavorable lease intangibles</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3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1,506</w:t>
            </w:r>
          </w:p>
        </w:tc>
        <w:tc>
          <w:tcPr>
            <w:tcW w:w="120" w:type="dxa"/>
            <w:vAlign w:val="bottom"/>
            <w:shd w:val="clear" w:color="auto" w:fill="CCEEFF"/>
          </w:tcPr>
          <w:p>
            <w:pPr>
              <w:spacing w:after="0"/>
              <w:rPr>
                <w:sz w:val="23"/>
                <w:szCs w:val="23"/>
                <w:color w:val="auto"/>
              </w:rPr>
            </w:pPr>
          </w:p>
        </w:tc>
        <w:tc>
          <w:tcPr>
            <w:tcW w:w="480" w:type="dxa"/>
            <w:vAlign w:val="bottom"/>
            <w:shd w:val="clear" w:color="auto" w:fill="CCEEFF"/>
          </w:tcPr>
          <w:p>
            <w:pPr>
              <w:jc w:val="right"/>
              <w:ind w:right="308"/>
              <w:spacing w:after="0"/>
              <w:rPr>
                <w:sz w:val="20"/>
                <w:szCs w:val="20"/>
                <w:color w:val="auto"/>
              </w:rPr>
            </w:pPr>
            <w:r>
              <w:rPr>
                <w:rFonts w:ascii="Arial" w:cs="Arial" w:eastAsia="Arial" w:hAnsi="Arial"/>
                <w:sz w:val="14"/>
                <w:szCs w:val="14"/>
                <w:color w:val="auto"/>
              </w:rPr>
              <w:t>$</w:t>
            </w: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080" w:type="dxa"/>
            <w:vAlign w:val="bottom"/>
            <w:shd w:val="clear" w:color="auto" w:fill="CCEEFF"/>
          </w:tcPr>
          <w:p>
            <w:pPr>
              <w:jc w:val="right"/>
              <w:ind w:right="888"/>
              <w:spacing w:after="0"/>
              <w:rPr>
                <w:sz w:val="20"/>
                <w:szCs w:val="20"/>
                <w:color w:val="auto"/>
              </w:rPr>
            </w:pPr>
            <w:r>
              <w:rPr>
                <w:rFonts w:ascii="Arial" w:cs="Arial" w:eastAsia="Arial" w:hAnsi="Arial"/>
                <w:sz w:val="14"/>
                <w:szCs w:val="14"/>
                <w:color w:val="auto"/>
              </w:rPr>
              <w:t>$</w:t>
            </w:r>
          </w:p>
        </w:tc>
        <w:tc>
          <w:tcPr>
            <w:tcW w:w="5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34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11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1,506</w:t>
            </w:r>
          </w:p>
        </w:tc>
      </w:tr>
      <w:tr>
        <w:trPr>
          <w:trHeight w:val="266"/>
        </w:trPr>
        <w:tc>
          <w:tcPr>
            <w:tcW w:w="438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Less: Accumulated amortization</w:t>
            </w:r>
          </w:p>
        </w:tc>
        <w:tc>
          <w:tcPr>
            <w:tcW w:w="140" w:type="dxa"/>
            <w:vAlign w:val="bottom"/>
            <w:tcBorders>
              <w:bottom w:val="single" w:sz="8" w:color="auto"/>
            </w:tcBorders>
          </w:tcPr>
          <w:p>
            <w:pPr>
              <w:spacing w:after="0"/>
              <w:rPr>
                <w:sz w:val="23"/>
                <w:szCs w:val="23"/>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(627)</w:t>
            </w:r>
          </w:p>
        </w:tc>
        <w:tc>
          <w:tcPr>
            <w:tcW w:w="120" w:type="dxa"/>
            <w:vAlign w:val="bottom"/>
            <w:tcBorders>
              <w:bottom w:val="single" w:sz="8" w:color="CCEEFF"/>
            </w:tcBorders>
          </w:tcPr>
          <w:p>
            <w:pPr>
              <w:spacing w:after="0"/>
              <w:rPr>
                <w:sz w:val="23"/>
                <w:szCs w:val="23"/>
                <w:color w:val="auto"/>
              </w:rPr>
            </w:pPr>
          </w:p>
        </w:tc>
        <w:tc>
          <w:tcPr>
            <w:tcW w:w="480" w:type="dxa"/>
            <w:vAlign w:val="bottom"/>
            <w:tcBorders>
              <w:bottom w:val="single" w:sz="8" w:color="auto"/>
            </w:tcBorders>
          </w:tcPr>
          <w:p>
            <w:pPr>
              <w:spacing w:after="0"/>
              <w:rPr>
                <w:sz w:val="23"/>
                <w:szCs w:val="23"/>
                <w:color w:val="auto"/>
              </w:rPr>
            </w:pPr>
          </w:p>
        </w:tc>
        <w:tc>
          <w:tcPr>
            <w:tcW w:w="10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23"/>
                <w:szCs w:val="23"/>
                <w:color w:val="auto"/>
              </w:rPr>
            </w:pPr>
          </w:p>
        </w:tc>
        <w:tc>
          <w:tcPr>
            <w:tcW w:w="1080" w:type="dxa"/>
            <w:vAlign w:val="bottom"/>
            <w:tcBorders>
              <w:bottom w:val="single" w:sz="8" w:color="auto"/>
            </w:tcBorders>
          </w:tcPr>
          <w:p>
            <w:pPr>
              <w:spacing w:after="0"/>
              <w:rPr>
                <w:sz w:val="23"/>
                <w:szCs w:val="23"/>
                <w:color w:val="auto"/>
              </w:rPr>
            </w:pPr>
          </w:p>
        </w:tc>
        <w:tc>
          <w:tcPr>
            <w:tcW w:w="4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23"/>
                <w:szCs w:val="23"/>
                <w:color w:val="auto"/>
              </w:rPr>
            </w:pPr>
          </w:p>
        </w:tc>
        <w:tc>
          <w:tcPr>
            <w:tcW w:w="340" w:type="dxa"/>
            <w:vAlign w:val="bottom"/>
            <w:tcBorders>
              <w:bottom w:val="single" w:sz="8" w:color="auto"/>
            </w:tcBorders>
          </w:tcPr>
          <w:p>
            <w:pPr>
              <w:spacing w:after="0"/>
              <w:rPr>
                <w:sz w:val="23"/>
                <w:szCs w:val="23"/>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(627)</w:t>
            </w:r>
          </w:p>
        </w:tc>
      </w:tr>
      <w:tr>
        <w:trPr>
          <w:trHeight w:val="241"/>
        </w:trPr>
        <w:tc>
          <w:tcPr>
            <w:tcW w:w="438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Acquired unfavorable lease intangibles, net</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3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879</w:t>
            </w:r>
          </w:p>
        </w:tc>
        <w:tc>
          <w:tcPr>
            <w:tcW w:w="120" w:type="dxa"/>
            <w:vAlign w:val="bottom"/>
            <w:shd w:val="clear" w:color="auto" w:fill="CCEEFF"/>
          </w:tcPr>
          <w:p>
            <w:pPr>
              <w:spacing w:after="0"/>
              <w:rPr>
                <w:sz w:val="20"/>
                <w:szCs w:val="20"/>
                <w:color w:val="auto"/>
              </w:rPr>
            </w:pPr>
          </w:p>
        </w:tc>
        <w:tc>
          <w:tcPr>
            <w:tcW w:w="480" w:type="dxa"/>
            <w:vAlign w:val="bottom"/>
            <w:shd w:val="clear" w:color="auto" w:fill="CCEEFF"/>
          </w:tcPr>
          <w:p>
            <w:pPr>
              <w:jc w:val="right"/>
              <w:ind w:right="308"/>
              <w:spacing w:after="0"/>
              <w:rPr>
                <w:sz w:val="20"/>
                <w:szCs w:val="20"/>
                <w:color w:val="auto"/>
              </w:rPr>
            </w:pPr>
            <w:r>
              <w:rPr>
                <w:rFonts w:ascii="Arial" w:cs="Arial" w:eastAsia="Arial" w:hAnsi="Arial"/>
                <w:sz w:val="14"/>
                <w:szCs w:val="14"/>
                <w:color w:val="auto"/>
              </w:rPr>
              <w:t>$</w:t>
            </w: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080" w:type="dxa"/>
            <w:vAlign w:val="bottom"/>
            <w:shd w:val="clear" w:color="auto" w:fill="CCEEFF"/>
          </w:tcPr>
          <w:p>
            <w:pPr>
              <w:jc w:val="right"/>
              <w:ind w:right="888"/>
              <w:spacing w:after="0"/>
              <w:rPr>
                <w:sz w:val="20"/>
                <w:szCs w:val="20"/>
                <w:color w:val="auto"/>
              </w:rPr>
            </w:pPr>
            <w:r>
              <w:rPr>
                <w:rFonts w:ascii="Arial" w:cs="Arial" w:eastAsia="Arial" w:hAnsi="Arial"/>
                <w:sz w:val="14"/>
                <w:szCs w:val="14"/>
                <w:color w:val="auto"/>
              </w:rPr>
              <w:t>$</w:t>
            </w:r>
          </w:p>
        </w:tc>
        <w:tc>
          <w:tcPr>
            <w:tcW w:w="5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34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11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879</w:t>
            </w:r>
          </w:p>
        </w:tc>
      </w:tr>
      <w:tr>
        <w:trPr>
          <w:trHeight w:val="20"/>
        </w:trPr>
        <w:tc>
          <w:tcPr>
            <w:tcW w:w="43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r>
    </w:tbl>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19</w:t>
      </w:r>
    </w:p>
    <w:p>
      <w:pPr>
        <w:sectPr>
          <w:pgSz w:w="11900" w:h="16838" w:orient="portrait"/>
          <w:cols w:equalWidth="0" w:num="1">
            <w:col w:w="11420"/>
          </w:cols>
          <w:pgMar w:left="240" w:top="117" w:right="239" w:bottom="1440" w:gutter="0" w:footer="0" w:header="0"/>
        </w:sectPr>
      </w:pPr>
    </w:p>
    <w:bookmarkStart w:id="19" w:name="page20"/>
    <w:bookmarkEnd w:id="19"/>
    <w:p>
      <w:pPr>
        <w:ind w:right="3820"/>
        <w:spacing w:after="0" w:line="305" w:lineRule="auto"/>
        <w:rPr>
          <w:sz w:val="20"/>
          <w:szCs w:val="20"/>
          <w:color w:val="auto"/>
        </w:rPr>
      </w:pPr>
      <w:r>
        <w:rPr>
          <w:rFonts w:ascii="Arial" w:cs="Arial" w:eastAsia="Arial" w:hAnsi="Arial"/>
          <w:sz w:val="22"/>
          <w:szCs w:val="22"/>
          <w:b w:val="1"/>
          <w:bCs w:val="1"/>
          <w:color w:val="00497F"/>
        </w:rPr>
        <w:t xml:space="preserve">FORTRESS TRANSPORTATION AND INFRASTRUCTURE INVESTORS LLC NOTES TO CONSOLIDATED FINANCIAL STATEMENTS </w:t>
      </w:r>
      <w:r>
        <w:rPr>
          <w:rFonts w:ascii="Arial" w:cs="Arial" w:eastAsia="Arial" w:hAnsi="Arial"/>
          <w:sz w:val="22"/>
          <w:szCs w:val="22"/>
          <w:b w:val="1"/>
          <w:bCs w:val="1"/>
          <w:i w:val="1"/>
          <w:iCs w:val="1"/>
          <w:color w:val="00497F"/>
        </w:rPr>
        <w:t>(unaudited)</w:t>
      </w:r>
    </w:p>
    <w:p>
      <w:pPr>
        <w:spacing w:after="0"/>
        <w:rPr>
          <w:sz w:val="20"/>
          <w:szCs w:val="20"/>
          <w:color w:val="auto"/>
        </w:rPr>
      </w:pPr>
      <w:r>
        <w:rPr>
          <w:rFonts w:ascii="Arial" w:cs="Arial" w:eastAsia="Arial" w:hAnsi="Arial"/>
          <w:sz w:val="18"/>
          <w:szCs w:val="18"/>
          <w:i w:val="1"/>
          <w:iCs w:val="1"/>
          <w:color w:val="00497F"/>
        </w:rPr>
        <w:t>(Dollar amounts in thousands, unless otherwise noted)</w:t>
      </w:r>
    </w:p>
    <w:p>
      <w:pPr>
        <w:spacing w:after="0" w:line="397" w:lineRule="exact"/>
        <w:rPr>
          <w:sz w:val="20"/>
          <w:szCs w:val="20"/>
          <w:color w:val="auto"/>
        </w:rPr>
      </w:pPr>
    </w:p>
    <w:p>
      <w:pPr>
        <w:ind w:left="340" w:right="20"/>
        <w:spacing w:after="0" w:line="291" w:lineRule="auto"/>
        <w:rPr>
          <w:sz w:val="20"/>
          <w:szCs w:val="20"/>
          <w:color w:val="auto"/>
        </w:rPr>
      </w:pPr>
      <w:r>
        <w:rPr>
          <w:rFonts w:ascii="Arial" w:cs="Arial" w:eastAsia="Arial" w:hAnsi="Arial"/>
          <w:sz w:val="16"/>
          <w:szCs w:val="16"/>
          <w:color w:val="auto"/>
        </w:rPr>
        <w:t>Intangible liabilities relate to unfavorable lease intangibles and are included as a component of other liabilities in the accompanying Consolidated Balance Sheets.</w:t>
      </w:r>
    </w:p>
    <w:p>
      <w:pPr>
        <w:spacing w:after="0" w:line="94" w:lineRule="exact"/>
        <w:rPr>
          <w:sz w:val="20"/>
          <w:szCs w:val="20"/>
          <w:color w:val="auto"/>
        </w:rPr>
      </w:pPr>
    </w:p>
    <w:p>
      <w:pPr>
        <w:ind w:left="340"/>
        <w:spacing w:after="0"/>
        <w:rPr>
          <w:sz w:val="20"/>
          <w:szCs w:val="20"/>
          <w:color w:val="auto"/>
        </w:rPr>
      </w:pPr>
      <w:r>
        <w:rPr>
          <w:rFonts w:ascii="Arial" w:cs="Arial" w:eastAsia="Arial" w:hAnsi="Arial"/>
          <w:sz w:val="16"/>
          <w:szCs w:val="16"/>
          <w:color w:val="auto"/>
        </w:rPr>
        <w:t>Amortization of intangible assets and liabilities is recorded in the Consolidated Statements of Operations as follows:</w:t>
      </w:r>
    </w:p>
    <w:p>
      <w:pPr>
        <w:spacing w:after="0" w:line="332" w:lineRule="exact"/>
        <w:rPr>
          <w:sz w:val="20"/>
          <w:szCs w:val="20"/>
          <w:color w:val="auto"/>
        </w:rPr>
      </w:pPr>
    </w:p>
    <w:tbl>
      <w:tblPr>
        <w:tblLayout w:type="fixed"/>
        <w:tblInd w:w="340" w:type="dxa"/>
        <w:tblCellMar>
          <w:top w:w="0" w:type="dxa"/>
          <w:left w:w="0" w:type="dxa"/>
          <w:bottom w:w="0" w:type="dxa"/>
          <w:right w:w="0" w:type="dxa"/>
        </w:tblCellMar>
      </w:tblPr>
      <w:tr>
        <w:trPr>
          <w:trHeight w:val="162"/>
        </w:trPr>
        <w:tc>
          <w:tcPr>
            <w:tcW w:w="2100" w:type="dxa"/>
            <w:vAlign w:val="bottom"/>
          </w:tcPr>
          <w:p>
            <w:pPr>
              <w:spacing w:after="0"/>
              <w:rPr>
                <w:sz w:val="14"/>
                <w:szCs w:val="14"/>
                <w:color w:val="auto"/>
              </w:rPr>
            </w:pPr>
          </w:p>
        </w:tc>
        <w:tc>
          <w:tcPr>
            <w:tcW w:w="33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rPr>
              <w:t>Classification in Consolidated Statements of</w:t>
            </w:r>
          </w:p>
        </w:tc>
        <w:tc>
          <w:tcPr>
            <w:tcW w:w="1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203"/>
        </w:trPr>
        <w:tc>
          <w:tcPr>
            <w:tcW w:w="2100" w:type="dxa"/>
            <w:vAlign w:val="bottom"/>
          </w:tcPr>
          <w:p>
            <w:pPr>
              <w:spacing w:after="0"/>
              <w:rPr>
                <w:sz w:val="17"/>
                <w:szCs w:val="17"/>
                <w:color w:val="auto"/>
              </w:rPr>
            </w:pPr>
          </w:p>
        </w:tc>
        <w:tc>
          <w:tcPr>
            <w:tcW w:w="33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Operations</w:t>
            </w:r>
          </w:p>
        </w:tc>
        <w:tc>
          <w:tcPr>
            <w:tcW w:w="140" w:type="dxa"/>
            <w:vAlign w:val="bottom"/>
          </w:tcPr>
          <w:p>
            <w:pPr>
              <w:spacing w:after="0"/>
              <w:rPr>
                <w:sz w:val="17"/>
                <w:szCs w:val="17"/>
                <w:color w:val="auto"/>
              </w:rPr>
            </w:pPr>
          </w:p>
        </w:tc>
        <w:tc>
          <w:tcPr>
            <w:tcW w:w="2740" w:type="dxa"/>
            <w:vAlign w:val="bottom"/>
            <w:gridSpan w:val="5"/>
          </w:tcPr>
          <w:p>
            <w:pPr>
              <w:ind w:left="40"/>
              <w:spacing w:after="0"/>
              <w:rPr>
                <w:sz w:val="20"/>
                <w:szCs w:val="20"/>
                <w:color w:val="auto"/>
              </w:rPr>
            </w:pPr>
            <w:r>
              <w:rPr>
                <w:rFonts w:ascii="Arial" w:cs="Arial" w:eastAsia="Arial" w:hAnsi="Arial"/>
                <w:sz w:val="14"/>
                <w:szCs w:val="14"/>
                <w:b w:val="1"/>
                <w:bCs w:val="1"/>
                <w:color w:val="auto"/>
              </w:rPr>
              <w:t>Three Months Ended September 30,</w:t>
            </w:r>
          </w:p>
        </w:tc>
        <w:tc>
          <w:tcPr>
            <w:tcW w:w="160" w:type="dxa"/>
            <w:vAlign w:val="bottom"/>
          </w:tcPr>
          <w:p>
            <w:pPr>
              <w:spacing w:after="0"/>
              <w:rPr>
                <w:sz w:val="17"/>
                <w:szCs w:val="17"/>
                <w:color w:val="auto"/>
              </w:rPr>
            </w:pPr>
          </w:p>
        </w:tc>
        <w:tc>
          <w:tcPr>
            <w:tcW w:w="2600" w:type="dxa"/>
            <w:vAlign w:val="bottom"/>
            <w:gridSpan w:val="4"/>
          </w:tcPr>
          <w:p>
            <w:pPr>
              <w:jc w:val="right"/>
              <w:ind w:right="108"/>
              <w:spacing w:after="0"/>
              <w:rPr>
                <w:sz w:val="20"/>
                <w:szCs w:val="20"/>
                <w:color w:val="auto"/>
              </w:rPr>
            </w:pPr>
            <w:r>
              <w:rPr>
                <w:rFonts w:ascii="Arial" w:cs="Arial" w:eastAsia="Arial" w:hAnsi="Arial"/>
                <w:sz w:val="14"/>
                <w:szCs w:val="14"/>
                <w:b w:val="1"/>
                <w:bCs w:val="1"/>
                <w:color w:val="auto"/>
              </w:rPr>
              <w:t>Nine Months Ended September 30,</w:t>
            </w:r>
          </w:p>
        </w:tc>
      </w:tr>
      <w:tr>
        <w:trPr>
          <w:trHeight w:val="264"/>
        </w:trPr>
        <w:tc>
          <w:tcPr>
            <w:tcW w:w="2100" w:type="dxa"/>
            <w:vAlign w:val="bottom"/>
            <w:tcBorders>
              <w:bottom w:val="single" w:sz="8" w:color="CCEEFF"/>
            </w:tcBorders>
          </w:tcPr>
          <w:p>
            <w:pPr>
              <w:spacing w:after="0"/>
              <w:rPr>
                <w:sz w:val="22"/>
                <w:szCs w:val="22"/>
                <w:color w:val="auto"/>
              </w:rPr>
            </w:pPr>
          </w:p>
        </w:tc>
        <w:tc>
          <w:tcPr>
            <w:tcW w:w="3220" w:type="dxa"/>
            <w:vAlign w:val="bottom"/>
            <w:tcBorders>
              <w:top w:val="single" w:sz="8" w:color="auto"/>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40" w:type="dxa"/>
            <w:vAlign w:val="bottom"/>
            <w:tcBorders>
              <w:top w:val="single" w:sz="8" w:color="auto"/>
              <w:bottom w:val="single" w:sz="8" w:color="auto"/>
            </w:tcBorders>
          </w:tcPr>
          <w:p>
            <w:pPr>
              <w:spacing w:after="0"/>
              <w:rPr>
                <w:sz w:val="22"/>
                <w:szCs w:val="22"/>
                <w:color w:val="auto"/>
              </w:rPr>
            </w:pPr>
          </w:p>
        </w:tc>
        <w:tc>
          <w:tcPr>
            <w:tcW w:w="1200" w:type="dxa"/>
            <w:vAlign w:val="bottom"/>
            <w:tcBorders>
              <w:top w:val="single" w:sz="8" w:color="auto"/>
              <w:bottom w:val="single" w:sz="8" w:color="auto"/>
            </w:tcBorders>
          </w:tcPr>
          <w:p>
            <w:pPr>
              <w:jc w:val="right"/>
              <w:ind w:right="428"/>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top w:val="single" w:sz="8" w:color="auto"/>
              <w:bottom w:val="single" w:sz="8" w:color="CCEEFF"/>
            </w:tcBorders>
          </w:tcPr>
          <w:p>
            <w:pPr>
              <w:spacing w:after="0"/>
              <w:rPr>
                <w:sz w:val="22"/>
                <w:szCs w:val="22"/>
                <w:color w:val="auto"/>
              </w:rPr>
            </w:pPr>
          </w:p>
        </w:tc>
        <w:tc>
          <w:tcPr>
            <w:tcW w:w="300" w:type="dxa"/>
            <w:vAlign w:val="bottom"/>
            <w:tcBorders>
              <w:top w:val="single" w:sz="8" w:color="auto"/>
              <w:bottom w:val="single" w:sz="8" w:color="auto"/>
            </w:tcBorders>
          </w:tcPr>
          <w:p>
            <w:pPr>
              <w:spacing w:after="0"/>
              <w:rPr>
                <w:sz w:val="22"/>
                <w:szCs w:val="22"/>
                <w:color w:val="auto"/>
              </w:rPr>
            </w:pPr>
          </w:p>
        </w:tc>
        <w:tc>
          <w:tcPr>
            <w:tcW w:w="1020" w:type="dxa"/>
            <w:vAlign w:val="bottom"/>
            <w:tcBorders>
              <w:top w:val="single" w:sz="8" w:color="auto"/>
              <w:bottom w:val="single" w:sz="8" w:color="auto"/>
            </w:tcBorders>
          </w:tcPr>
          <w:p>
            <w:pPr>
              <w:jc w:val="right"/>
              <w:ind w:right="428"/>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CCEEFF"/>
            </w:tcBorders>
          </w:tcPr>
          <w:p>
            <w:pPr>
              <w:spacing w:after="0"/>
              <w:rPr>
                <w:sz w:val="22"/>
                <w:szCs w:val="22"/>
                <w:color w:val="auto"/>
              </w:rPr>
            </w:pPr>
          </w:p>
        </w:tc>
        <w:tc>
          <w:tcPr>
            <w:tcW w:w="160" w:type="dxa"/>
            <w:vAlign w:val="bottom"/>
            <w:tcBorders>
              <w:top w:val="single" w:sz="8" w:color="auto"/>
              <w:bottom w:val="single" w:sz="8" w:color="auto"/>
            </w:tcBorders>
          </w:tcPr>
          <w:p>
            <w:pPr>
              <w:spacing w:after="0"/>
              <w:rPr>
                <w:sz w:val="22"/>
                <w:szCs w:val="22"/>
                <w:color w:val="auto"/>
              </w:rPr>
            </w:pPr>
          </w:p>
        </w:tc>
        <w:tc>
          <w:tcPr>
            <w:tcW w:w="1160" w:type="dxa"/>
            <w:vAlign w:val="bottom"/>
            <w:tcBorders>
              <w:top w:val="single" w:sz="8" w:color="auto"/>
              <w:bottom w:val="single" w:sz="8" w:color="auto"/>
            </w:tcBorders>
          </w:tcPr>
          <w:p>
            <w:pPr>
              <w:jc w:val="right"/>
              <w:ind w:right="428"/>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top w:val="single" w:sz="8" w:color="auto"/>
              <w:bottom w:val="single" w:sz="8" w:color="CCEEFF"/>
            </w:tcBorders>
          </w:tcPr>
          <w:p>
            <w:pPr>
              <w:spacing w:after="0"/>
              <w:rPr>
                <w:sz w:val="22"/>
                <w:szCs w:val="22"/>
                <w:color w:val="auto"/>
              </w:rPr>
            </w:pPr>
          </w:p>
        </w:tc>
        <w:tc>
          <w:tcPr>
            <w:tcW w:w="300" w:type="dxa"/>
            <w:vAlign w:val="bottom"/>
            <w:tcBorders>
              <w:top w:val="single" w:sz="8" w:color="auto"/>
              <w:bottom w:val="single" w:sz="8" w:color="auto"/>
            </w:tcBorders>
          </w:tcPr>
          <w:p>
            <w:pPr>
              <w:spacing w:after="0"/>
              <w:rPr>
                <w:sz w:val="22"/>
                <w:szCs w:val="22"/>
                <w:color w:val="auto"/>
              </w:rPr>
            </w:pPr>
          </w:p>
        </w:tc>
        <w:tc>
          <w:tcPr>
            <w:tcW w:w="1020" w:type="dxa"/>
            <w:vAlign w:val="bottom"/>
            <w:tcBorders>
              <w:top w:val="single" w:sz="8" w:color="auto"/>
              <w:bottom w:val="single" w:sz="8" w:color="auto"/>
            </w:tcBorders>
          </w:tcPr>
          <w:p>
            <w:pPr>
              <w:jc w:val="right"/>
              <w:ind w:right="428"/>
              <w:spacing w:after="0"/>
              <w:rPr>
                <w:sz w:val="20"/>
                <w:szCs w:val="20"/>
                <w:color w:val="auto"/>
              </w:rPr>
            </w:pPr>
            <w:r>
              <w:rPr>
                <w:rFonts w:ascii="Arial" w:cs="Arial" w:eastAsia="Arial" w:hAnsi="Arial"/>
                <w:sz w:val="14"/>
                <w:szCs w:val="14"/>
                <w:color w:val="auto"/>
              </w:rPr>
              <w:t>2016</w:t>
            </w:r>
          </w:p>
        </w:tc>
      </w:tr>
      <w:tr>
        <w:trPr>
          <w:trHeight w:val="251"/>
        </w:trPr>
        <w:tc>
          <w:tcPr>
            <w:tcW w:w="2100" w:type="dxa"/>
            <w:vAlign w:val="bottom"/>
            <w:shd w:val="clear" w:color="auto" w:fill="CCEEFF"/>
          </w:tcPr>
          <w:p>
            <w:pPr>
              <w:ind w:left="20"/>
              <w:spacing w:after="0"/>
              <w:rPr>
                <w:sz w:val="20"/>
                <w:szCs w:val="20"/>
                <w:color w:val="auto"/>
              </w:rPr>
            </w:pPr>
            <w:r>
              <w:rPr>
                <w:rFonts w:ascii="Arial" w:cs="Arial" w:eastAsia="Arial" w:hAnsi="Arial"/>
                <w:sz w:val="14"/>
                <w:szCs w:val="14"/>
                <w:color w:val="auto"/>
              </w:rPr>
              <w:t>Lease intangibles</w:t>
            </w:r>
          </w:p>
        </w:tc>
        <w:tc>
          <w:tcPr>
            <w:tcW w:w="334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Equipment leasing revenues</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20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1,147</w:t>
            </w:r>
          </w:p>
        </w:tc>
        <w:tc>
          <w:tcPr>
            <w:tcW w:w="120" w:type="dxa"/>
            <w:vAlign w:val="bottom"/>
            <w:shd w:val="clear" w:color="auto" w:fill="CCEEFF"/>
          </w:tcPr>
          <w:p>
            <w:pPr>
              <w:spacing w:after="0"/>
              <w:rPr>
                <w:sz w:val="21"/>
                <w:szCs w:val="21"/>
                <w:color w:val="auto"/>
              </w:rPr>
            </w:pPr>
          </w:p>
        </w:tc>
        <w:tc>
          <w:tcPr>
            <w:tcW w:w="30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10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1,403</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16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3,494</w:t>
            </w:r>
          </w:p>
        </w:tc>
        <w:tc>
          <w:tcPr>
            <w:tcW w:w="120" w:type="dxa"/>
            <w:vAlign w:val="bottom"/>
            <w:shd w:val="clear" w:color="auto" w:fill="CCEEFF"/>
          </w:tcPr>
          <w:p>
            <w:pPr>
              <w:spacing w:after="0"/>
              <w:rPr>
                <w:sz w:val="21"/>
                <w:szCs w:val="21"/>
                <w:color w:val="auto"/>
              </w:rPr>
            </w:pPr>
          </w:p>
        </w:tc>
        <w:tc>
          <w:tcPr>
            <w:tcW w:w="30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10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4,557</w:t>
            </w:r>
          </w:p>
        </w:tc>
      </w:tr>
      <w:tr>
        <w:trPr>
          <w:trHeight w:val="269"/>
        </w:trPr>
        <w:tc>
          <w:tcPr>
            <w:tcW w:w="210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Customer relationships</w:t>
            </w:r>
          </w:p>
        </w:tc>
        <w:tc>
          <w:tcPr>
            <w:tcW w:w="3340" w:type="dxa"/>
            <w:vAlign w:val="bottom"/>
            <w:tcBorders>
              <w:bottom w:val="single" w:sz="8" w:color="CCEEFF"/>
            </w:tcBorders>
            <w:gridSpan w:val="2"/>
          </w:tcPr>
          <w:p>
            <w:pPr>
              <w:ind w:left="20"/>
              <w:spacing w:after="0"/>
              <w:rPr>
                <w:sz w:val="20"/>
                <w:szCs w:val="20"/>
                <w:color w:val="auto"/>
              </w:rPr>
            </w:pPr>
            <w:r>
              <w:rPr>
                <w:rFonts w:ascii="Arial" w:cs="Arial" w:eastAsia="Arial" w:hAnsi="Arial"/>
                <w:sz w:val="14"/>
                <w:szCs w:val="14"/>
                <w:color w:val="auto"/>
              </w:rPr>
              <w:t>Depreciation and amortization</w:t>
            </w:r>
          </w:p>
        </w:tc>
        <w:tc>
          <w:tcPr>
            <w:tcW w:w="140" w:type="dxa"/>
            <w:vAlign w:val="bottom"/>
            <w:tcBorders>
              <w:bottom w:val="single" w:sz="8" w:color="auto"/>
            </w:tcBorders>
          </w:tcPr>
          <w:p>
            <w:pPr>
              <w:spacing w:after="0"/>
              <w:rPr>
                <w:sz w:val="23"/>
                <w:szCs w:val="23"/>
                <w:color w:val="auto"/>
              </w:rPr>
            </w:pPr>
          </w:p>
        </w:tc>
        <w:tc>
          <w:tcPr>
            <w:tcW w:w="12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900</w:t>
            </w:r>
          </w:p>
        </w:tc>
        <w:tc>
          <w:tcPr>
            <w:tcW w:w="120" w:type="dxa"/>
            <w:vAlign w:val="bottom"/>
            <w:tcBorders>
              <w:bottom w:val="single" w:sz="8" w:color="CCEEFF"/>
            </w:tcBorders>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10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900</w:t>
            </w:r>
          </w:p>
        </w:tc>
        <w:tc>
          <w:tcPr>
            <w:tcW w:w="100" w:type="dxa"/>
            <w:vAlign w:val="bottom"/>
            <w:tcBorders>
              <w:bottom w:val="single" w:sz="8" w:color="CCEEFF"/>
            </w:tcBorders>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11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2,699</w:t>
            </w:r>
          </w:p>
        </w:tc>
        <w:tc>
          <w:tcPr>
            <w:tcW w:w="120" w:type="dxa"/>
            <w:vAlign w:val="bottom"/>
            <w:tcBorders>
              <w:bottom w:val="single" w:sz="8" w:color="CCEEFF"/>
            </w:tcBorders>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10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2,699</w:t>
            </w:r>
          </w:p>
        </w:tc>
      </w:tr>
      <w:tr>
        <w:trPr>
          <w:trHeight w:val="238"/>
        </w:trPr>
        <w:tc>
          <w:tcPr>
            <w:tcW w:w="2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Total</w:t>
            </w:r>
          </w:p>
        </w:tc>
        <w:tc>
          <w:tcPr>
            <w:tcW w:w="32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2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2,047</w:t>
            </w: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10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2,303</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1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6,193</w:t>
            </w: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10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7,256</w:t>
            </w:r>
          </w:p>
        </w:tc>
      </w:tr>
      <w:tr>
        <w:trPr>
          <w:trHeight w:val="20"/>
        </w:trPr>
        <w:tc>
          <w:tcPr>
            <w:tcW w:w="2100" w:type="dxa"/>
            <w:vAlign w:val="bottom"/>
          </w:tcPr>
          <w:p>
            <w:pPr>
              <w:spacing w:after="0" w:line="20" w:lineRule="exact"/>
              <w:rPr>
                <w:sz w:val="1"/>
                <w:szCs w:val="1"/>
                <w:color w:val="auto"/>
              </w:rPr>
            </w:pPr>
          </w:p>
        </w:tc>
        <w:tc>
          <w:tcPr>
            <w:tcW w:w="3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144" w:lineRule="exact"/>
        <w:rPr>
          <w:sz w:val="20"/>
          <w:szCs w:val="20"/>
          <w:color w:val="auto"/>
        </w:rPr>
      </w:pPr>
    </w:p>
    <w:p>
      <w:pPr>
        <w:ind w:left="340"/>
        <w:spacing w:after="0"/>
        <w:rPr>
          <w:sz w:val="20"/>
          <w:szCs w:val="20"/>
          <w:color w:val="auto"/>
        </w:rPr>
      </w:pPr>
      <w:r>
        <w:rPr>
          <w:rFonts w:ascii="Arial" w:cs="Arial" w:eastAsia="Arial" w:hAnsi="Arial"/>
          <w:sz w:val="16"/>
          <w:szCs w:val="16"/>
          <w:color w:val="auto"/>
        </w:rPr>
        <w:t>As of September 30, 2017, estimated net annual amortization of intangibles is as follows:</w:t>
      </w:r>
    </w:p>
    <w:p>
      <w:pPr>
        <w:spacing w:after="0" w:line="386" w:lineRule="exact"/>
        <w:rPr>
          <w:sz w:val="20"/>
          <w:szCs w:val="20"/>
          <w:color w:val="auto"/>
        </w:rPr>
      </w:pPr>
    </w:p>
    <w:tbl>
      <w:tblPr>
        <w:tblLayout w:type="fixed"/>
        <w:tblInd w:w="340" w:type="dxa"/>
        <w:tblCellMar>
          <w:top w:w="0" w:type="dxa"/>
          <w:left w:w="0" w:type="dxa"/>
          <w:bottom w:w="0" w:type="dxa"/>
          <w:right w:w="0" w:type="dxa"/>
        </w:tblCellMar>
      </w:tblPr>
      <w:tr>
        <w:trPr>
          <w:trHeight w:val="203"/>
        </w:trPr>
        <w:tc>
          <w:tcPr>
            <w:tcW w:w="9320" w:type="dxa"/>
            <w:vAlign w:val="bottom"/>
            <w:tcBorders>
              <w:bottom w:val="single" w:sz="8" w:color="CCEEFF"/>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jc w:val="right"/>
              <w:ind w:right="648"/>
              <w:spacing w:after="0"/>
              <w:rPr>
                <w:sz w:val="20"/>
                <w:szCs w:val="20"/>
                <w:color w:val="auto"/>
              </w:rPr>
            </w:pPr>
            <w:r>
              <w:rPr>
                <w:rFonts w:ascii="Arial" w:cs="Arial" w:eastAsia="Arial" w:hAnsi="Arial"/>
                <w:sz w:val="14"/>
                <w:szCs w:val="14"/>
                <w:b w:val="1"/>
                <w:bCs w:val="1"/>
                <w:color w:val="auto"/>
              </w:rPr>
              <w:t>Total</w:t>
            </w:r>
          </w:p>
        </w:tc>
      </w:tr>
      <w:tr>
        <w:trPr>
          <w:trHeight w:val="211"/>
        </w:trPr>
        <w:tc>
          <w:tcPr>
            <w:tcW w:w="9320" w:type="dxa"/>
            <w:vAlign w:val="bottom"/>
            <w:shd w:val="clear" w:color="auto" w:fill="CCEEFF"/>
          </w:tcPr>
          <w:p>
            <w:pPr>
              <w:ind w:left="20"/>
              <w:spacing w:after="0"/>
              <w:rPr>
                <w:sz w:val="20"/>
                <w:szCs w:val="20"/>
                <w:color w:val="auto"/>
              </w:rPr>
            </w:pPr>
            <w:r>
              <w:rPr>
                <w:rFonts w:ascii="Arial" w:cs="Arial" w:eastAsia="Arial" w:hAnsi="Arial"/>
                <w:sz w:val="14"/>
                <w:szCs w:val="14"/>
                <w:color w:val="auto"/>
              </w:rPr>
              <w:t>2017</w:t>
            </w:r>
          </w:p>
        </w:tc>
        <w:tc>
          <w:tcPr>
            <w:tcW w:w="400" w:type="dxa"/>
            <w:vAlign w:val="bottom"/>
            <w:shd w:val="clear" w:color="auto" w:fill="CCEEFF"/>
          </w:tcPr>
          <w:p>
            <w:pPr>
              <w:jc w:val="right"/>
              <w:ind w:right="228"/>
              <w:spacing w:after="0"/>
              <w:rPr>
                <w:sz w:val="20"/>
                <w:szCs w:val="20"/>
                <w:color w:val="auto"/>
              </w:rPr>
            </w:pPr>
            <w:r>
              <w:rPr>
                <w:rFonts w:ascii="Arial" w:cs="Arial" w:eastAsia="Arial" w:hAnsi="Arial"/>
                <w:sz w:val="14"/>
                <w:szCs w:val="14"/>
                <w:color w:val="auto"/>
              </w:rPr>
              <w:t>$</w:t>
            </w:r>
          </w:p>
        </w:tc>
        <w:tc>
          <w:tcPr>
            <w:tcW w:w="13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1,899</w:t>
            </w:r>
          </w:p>
        </w:tc>
      </w:tr>
      <w:tr>
        <w:trPr>
          <w:trHeight w:val="212"/>
        </w:trPr>
        <w:tc>
          <w:tcPr>
            <w:tcW w:w="9320" w:type="dxa"/>
            <w:vAlign w:val="bottom"/>
          </w:tcPr>
          <w:p>
            <w:pPr>
              <w:ind w:left="20"/>
              <w:spacing w:after="0"/>
              <w:rPr>
                <w:sz w:val="20"/>
                <w:szCs w:val="20"/>
                <w:color w:val="auto"/>
              </w:rPr>
            </w:pPr>
            <w:r>
              <w:rPr>
                <w:rFonts w:ascii="Arial" w:cs="Arial" w:eastAsia="Arial" w:hAnsi="Arial"/>
                <w:sz w:val="14"/>
                <w:szCs w:val="14"/>
                <w:color w:val="auto"/>
              </w:rPr>
              <w:t>2018</w:t>
            </w:r>
          </w:p>
        </w:tc>
        <w:tc>
          <w:tcPr>
            <w:tcW w:w="400" w:type="dxa"/>
            <w:vAlign w:val="bottom"/>
          </w:tcPr>
          <w:p>
            <w:pPr>
              <w:spacing w:after="0"/>
              <w:rPr>
                <w:sz w:val="18"/>
                <w:szCs w:val="18"/>
                <w:color w:val="auto"/>
              </w:rPr>
            </w:pPr>
          </w:p>
        </w:tc>
        <w:tc>
          <w:tcPr>
            <w:tcW w:w="1360" w:type="dxa"/>
            <w:vAlign w:val="bottom"/>
          </w:tcPr>
          <w:p>
            <w:pPr>
              <w:jc w:val="right"/>
              <w:ind w:right="28"/>
              <w:spacing w:after="0"/>
              <w:rPr>
                <w:sz w:val="20"/>
                <w:szCs w:val="20"/>
                <w:color w:val="auto"/>
              </w:rPr>
            </w:pPr>
            <w:r>
              <w:rPr>
                <w:rFonts w:ascii="Arial" w:cs="Arial" w:eastAsia="Arial" w:hAnsi="Arial"/>
                <w:sz w:val="14"/>
                <w:szCs w:val="14"/>
                <w:color w:val="auto"/>
              </w:rPr>
              <w:t>7,301</w:t>
            </w:r>
          </w:p>
        </w:tc>
      </w:tr>
      <w:tr>
        <w:trPr>
          <w:trHeight w:val="220"/>
        </w:trPr>
        <w:tc>
          <w:tcPr>
            <w:tcW w:w="9320" w:type="dxa"/>
            <w:vAlign w:val="bottom"/>
            <w:shd w:val="clear" w:color="auto" w:fill="CCEEFF"/>
          </w:tcPr>
          <w:p>
            <w:pPr>
              <w:ind w:left="20"/>
              <w:spacing w:after="0"/>
              <w:rPr>
                <w:sz w:val="20"/>
                <w:szCs w:val="20"/>
                <w:color w:val="auto"/>
              </w:rPr>
            </w:pPr>
            <w:r>
              <w:rPr>
                <w:rFonts w:ascii="Arial" w:cs="Arial" w:eastAsia="Arial" w:hAnsi="Arial"/>
                <w:sz w:val="14"/>
                <w:szCs w:val="14"/>
                <w:color w:val="auto"/>
              </w:rPr>
              <w:t>2019</w:t>
            </w:r>
          </w:p>
        </w:tc>
        <w:tc>
          <w:tcPr>
            <w:tcW w:w="400" w:type="dxa"/>
            <w:vAlign w:val="bottom"/>
            <w:shd w:val="clear" w:color="auto" w:fill="CCEEFF"/>
          </w:tcPr>
          <w:p>
            <w:pPr>
              <w:spacing w:after="0"/>
              <w:rPr>
                <w:sz w:val="19"/>
                <w:szCs w:val="19"/>
                <w:color w:val="auto"/>
              </w:rPr>
            </w:pPr>
          </w:p>
        </w:tc>
        <w:tc>
          <w:tcPr>
            <w:tcW w:w="13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5,625</w:t>
            </w:r>
          </w:p>
        </w:tc>
      </w:tr>
      <w:tr>
        <w:trPr>
          <w:trHeight w:val="212"/>
        </w:trPr>
        <w:tc>
          <w:tcPr>
            <w:tcW w:w="9320" w:type="dxa"/>
            <w:vAlign w:val="bottom"/>
          </w:tcPr>
          <w:p>
            <w:pPr>
              <w:ind w:left="20"/>
              <w:spacing w:after="0"/>
              <w:rPr>
                <w:sz w:val="20"/>
                <w:szCs w:val="20"/>
                <w:color w:val="auto"/>
              </w:rPr>
            </w:pPr>
            <w:r>
              <w:rPr>
                <w:rFonts w:ascii="Arial" w:cs="Arial" w:eastAsia="Arial" w:hAnsi="Arial"/>
                <w:sz w:val="14"/>
                <w:szCs w:val="14"/>
                <w:color w:val="auto"/>
              </w:rPr>
              <w:t>2020</w:t>
            </w:r>
          </w:p>
        </w:tc>
        <w:tc>
          <w:tcPr>
            <w:tcW w:w="400" w:type="dxa"/>
            <w:vAlign w:val="bottom"/>
          </w:tcPr>
          <w:p>
            <w:pPr>
              <w:spacing w:after="0"/>
              <w:rPr>
                <w:sz w:val="18"/>
                <w:szCs w:val="18"/>
                <w:color w:val="auto"/>
              </w:rPr>
            </w:pPr>
          </w:p>
        </w:tc>
        <w:tc>
          <w:tcPr>
            <w:tcW w:w="1360" w:type="dxa"/>
            <w:vAlign w:val="bottom"/>
          </w:tcPr>
          <w:p>
            <w:pPr>
              <w:jc w:val="right"/>
              <w:ind w:right="28"/>
              <w:spacing w:after="0"/>
              <w:rPr>
                <w:sz w:val="20"/>
                <w:szCs w:val="20"/>
                <w:color w:val="auto"/>
              </w:rPr>
            </w:pPr>
            <w:r>
              <w:rPr>
                <w:rFonts w:ascii="Arial" w:cs="Arial" w:eastAsia="Arial" w:hAnsi="Arial"/>
                <w:sz w:val="14"/>
                <w:szCs w:val="14"/>
                <w:color w:val="auto"/>
              </w:rPr>
              <w:t>4,331</w:t>
            </w:r>
          </w:p>
        </w:tc>
      </w:tr>
      <w:tr>
        <w:trPr>
          <w:trHeight w:val="220"/>
        </w:trPr>
        <w:tc>
          <w:tcPr>
            <w:tcW w:w="9320" w:type="dxa"/>
            <w:vAlign w:val="bottom"/>
            <w:shd w:val="clear" w:color="auto" w:fill="CCEEFF"/>
          </w:tcPr>
          <w:p>
            <w:pPr>
              <w:ind w:left="20"/>
              <w:spacing w:after="0"/>
              <w:rPr>
                <w:sz w:val="20"/>
                <w:szCs w:val="20"/>
                <w:color w:val="auto"/>
              </w:rPr>
            </w:pPr>
            <w:r>
              <w:rPr>
                <w:rFonts w:ascii="Arial" w:cs="Arial" w:eastAsia="Arial" w:hAnsi="Arial"/>
                <w:sz w:val="14"/>
                <w:szCs w:val="14"/>
                <w:color w:val="auto"/>
              </w:rPr>
              <w:t>2021</w:t>
            </w:r>
          </w:p>
        </w:tc>
        <w:tc>
          <w:tcPr>
            <w:tcW w:w="400" w:type="dxa"/>
            <w:vAlign w:val="bottom"/>
            <w:shd w:val="clear" w:color="auto" w:fill="CCEEFF"/>
          </w:tcPr>
          <w:p>
            <w:pPr>
              <w:spacing w:after="0"/>
              <w:rPr>
                <w:sz w:val="19"/>
                <w:szCs w:val="19"/>
                <w:color w:val="auto"/>
              </w:rPr>
            </w:pPr>
          </w:p>
        </w:tc>
        <w:tc>
          <w:tcPr>
            <w:tcW w:w="13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3,847</w:t>
            </w:r>
          </w:p>
        </w:tc>
      </w:tr>
      <w:tr>
        <w:trPr>
          <w:trHeight w:val="212"/>
        </w:trPr>
        <w:tc>
          <w:tcPr>
            <w:tcW w:w="932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Thereafter</w:t>
            </w:r>
          </w:p>
        </w:tc>
        <w:tc>
          <w:tcPr>
            <w:tcW w:w="40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9,529</w:t>
            </w:r>
          </w:p>
        </w:tc>
      </w:tr>
      <w:tr>
        <w:trPr>
          <w:trHeight w:val="214"/>
        </w:trPr>
        <w:tc>
          <w:tcPr>
            <w:tcW w:w="9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Total</w:t>
            </w:r>
          </w:p>
        </w:tc>
        <w:tc>
          <w:tcPr>
            <w:tcW w:w="400" w:type="dxa"/>
            <w:vAlign w:val="bottom"/>
            <w:tcBorders>
              <w:bottom w:val="single" w:sz="8" w:color="auto"/>
            </w:tcBorders>
            <w:shd w:val="clear" w:color="auto" w:fill="CCEEFF"/>
          </w:tcPr>
          <w:p>
            <w:pPr>
              <w:jc w:val="right"/>
              <w:ind w:right="228"/>
              <w:spacing w:after="0"/>
              <w:rPr>
                <w:sz w:val="20"/>
                <w:szCs w:val="20"/>
                <w:color w:val="auto"/>
              </w:rPr>
            </w:pPr>
            <w:r>
              <w:rPr>
                <w:rFonts w:ascii="Arial" w:cs="Arial" w:eastAsia="Arial" w:hAnsi="Arial"/>
                <w:sz w:val="14"/>
                <w:szCs w:val="14"/>
                <w:b w:val="1"/>
                <w:bCs w:val="1"/>
                <w:color w:val="auto"/>
              </w:rPr>
              <w:t>$</w:t>
            </w:r>
          </w:p>
        </w:tc>
        <w:tc>
          <w:tcPr>
            <w:tcW w:w="13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32,532</w:t>
            </w:r>
          </w:p>
        </w:tc>
      </w:tr>
      <w:tr>
        <w:trPr>
          <w:trHeight w:val="20"/>
        </w:trPr>
        <w:tc>
          <w:tcPr>
            <w:tcW w:w="93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bl>
    <w:p>
      <w:pPr>
        <w:spacing w:after="0" w:line="139" w:lineRule="exact"/>
        <w:rPr>
          <w:sz w:val="20"/>
          <w:szCs w:val="20"/>
          <w:color w:val="auto"/>
        </w:rPr>
      </w:pPr>
    </w:p>
    <w:p>
      <w:pPr>
        <w:spacing w:after="0"/>
        <w:rPr>
          <w:sz w:val="20"/>
          <w:szCs w:val="20"/>
          <w:color w:val="auto"/>
        </w:rPr>
      </w:pPr>
      <w:r>
        <w:rPr>
          <w:rFonts w:ascii="Arial" w:cs="Arial" w:eastAsia="Arial" w:hAnsi="Arial"/>
          <w:sz w:val="22"/>
          <w:szCs w:val="22"/>
          <w:b w:val="1"/>
          <w:bCs w:val="1"/>
          <w:color w:val="00497F"/>
        </w:rPr>
        <w:t>8. DEBT, NET</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The Company’s debt, net is summarized as follows:</w:t>
      </w:r>
    </w:p>
    <w:p>
      <w:pPr>
        <w:spacing w:after="0" w:line="386" w:lineRule="exact"/>
        <w:rPr>
          <w:sz w:val="20"/>
          <w:szCs w:val="20"/>
          <w:color w:val="auto"/>
        </w:rPr>
      </w:pPr>
    </w:p>
    <w:tbl>
      <w:tblPr>
        <w:tblLayout w:type="fixed"/>
        <w:tblInd w:w="340" w:type="dxa"/>
        <w:tblCellMar>
          <w:top w:w="0" w:type="dxa"/>
          <w:left w:w="0" w:type="dxa"/>
          <w:bottom w:w="0" w:type="dxa"/>
          <w:right w:w="0" w:type="dxa"/>
        </w:tblCellMar>
      </w:tblPr>
      <w:tr>
        <w:trPr>
          <w:trHeight w:val="202"/>
        </w:trPr>
        <w:tc>
          <w:tcPr>
            <w:tcW w:w="67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40" w:type="dxa"/>
            <w:vAlign w:val="bottom"/>
            <w:gridSpan w:val="2"/>
          </w:tcPr>
          <w:p>
            <w:pPr>
              <w:ind w:left="100"/>
              <w:spacing w:after="0"/>
              <w:rPr>
                <w:sz w:val="20"/>
                <w:szCs w:val="20"/>
                <w:color w:val="auto"/>
              </w:rPr>
            </w:pPr>
            <w:r>
              <w:rPr>
                <w:rFonts w:ascii="Arial" w:cs="Arial" w:eastAsia="Arial" w:hAnsi="Arial"/>
                <w:sz w:val="14"/>
                <w:szCs w:val="14"/>
                <w:b w:val="1"/>
                <w:bCs w:val="1"/>
                <w:color w:val="auto"/>
              </w:rPr>
              <w:t>September 30, 2017</w:t>
            </w:r>
          </w:p>
        </w:tc>
        <w:tc>
          <w:tcPr>
            <w:tcW w:w="200" w:type="dxa"/>
            <w:vAlign w:val="bottom"/>
          </w:tcPr>
          <w:p>
            <w:pPr>
              <w:spacing w:after="0"/>
              <w:rPr>
                <w:sz w:val="17"/>
                <w:szCs w:val="17"/>
                <w:color w:val="auto"/>
              </w:rPr>
            </w:pPr>
          </w:p>
        </w:tc>
        <w:tc>
          <w:tcPr>
            <w:tcW w:w="1700" w:type="dxa"/>
            <w:vAlign w:val="bottom"/>
          </w:tcPr>
          <w:p>
            <w:pPr>
              <w:jc w:val="right"/>
              <w:ind w:right="228"/>
              <w:spacing w:after="0"/>
              <w:rPr>
                <w:sz w:val="20"/>
                <w:szCs w:val="20"/>
                <w:color w:val="auto"/>
              </w:rPr>
            </w:pPr>
            <w:r>
              <w:rPr>
                <w:rFonts w:ascii="Arial" w:cs="Arial" w:eastAsia="Arial" w:hAnsi="Arial"/>
                <w:sz w:val="14"/>
                <w:szCs w:val="14"/>
                <w:b w:val="1"/>
                <w:bCs w:val="1"/>
                <w:color w:val="auto"/>
              </w:rPr>
              <w:t>December 31, 2016</w:t>
            </w:r>
          </w:p>
        </w:tc>
        <w:tc>
          <w:tcPr>
            <w:tcW w:w="0" w:type="dxa"/>
            <w:vAlign w:val="bottom"/>
          </w:tcPr>
          <w:p>
            <w:pPr>
              <w:spacing w:after="0"/>
              <w:rPr>
                <w:sz w:val="1"/>
                <w:szCs w:val="1"/>
                <w:color w:val="auto"/>
              </w:rPr>
            </w:pPr>
          </w:p>
        </w:tc>
      </w:tr>
      <w:tr>
        <w:trPr>
          <w:trHeight w:val="265"/>
        </w:trPr>
        <w:tc>
          <w:tcPr>
            <w:tcW w:w="6740" w:type="dxa"/>
            <w:vAlign w:val="bottom"/>
          </w:tcPr>
          <w:p>
            <w:pPr>
              <w:ind w:left="20"/>
              <w:spacing w:after="0"/>
              <w:rPr>
                <w:sz w:val="20"/>
                <w:szCs w:val="20"/>
                <w:color w:val="auto"/>
              </w:rPr>
            </w:pPr>
            <w:r>
              <w:rPr>
                <w:rFonts w:ascii="Arial" w:cs="Arial" w:eastAsia="Arial" w:hAnsi="Arial"/>
                <w:sz w:val="14"/>
                <w:szCs w:val="14"/>
                <w:b w:val="1"/>
                <w:bCs w:val="1"/>
                <w:color w:val="auto"/>
              </w:rPr>
              <w:t>Loans payable</w:t>
            </w:r>
          </w:p>
        </w:tc>
        <w:tc>
          <w:tcPr>
            <w:tcW w:w="200" w:type="dxa"/>
            <w:vAlign w:val="bottom"/>
            <w:tcBorders>
              <w:top w:val="single" w:sz="8" w:color="auto"/>
            </w:tcBorders>
          </w:tcPr>
          <w:p>
            <w:pPr>
              <w:spacing w:after="0"/>
              <w:rPr>
                <w:sz w:val="23"/>
                <w:szCs w:val="23"/>
                <w:color w:val="auto"/>
              </w:rPr>
            </w:pPr>
          </w:p>
        </w:tc>
        <w:tc>
          <w:tcPr>
            <w:tcW w:w="1740" w:type="dxa"/>
            <w:vAlign w:val="bottom"/>
            <w:tcBorders>
              <w:top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Borders>
              <w:top w:val="single" w:sz="8" w:color="auto"/>
            </w:tcBorders>
          </w:tcPr>
          <w:p>
            <w:pPr>
              <w:spacing w:after="0"/>
              <w:rPr>
                <w:sz w:val="23"/>
                <w:szCs w:val="23"/>
                <w:color w:val="auto"/>
              </w:rPr>
            </w:pPr>
          </w:p>
        </w:tc>
        <w:tc>
          <w:tcPr>
            <w:tcW w:w="1700" w:type="dxa"/>
            <w:vAlign w:val="bottom"/>
            <w:tcBorders>
              <w:top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71"/>
        </w:trPr>
        <w:tc>
          <w:tcPr>
            <w:tcW w:w="6740" w:type="dxa"/>
            <w:vAlign w:val="bottom"/>
            <w:shd w:val="clear" w:color="auto" w:fill="CCEEFF"/>
          </w:tcPr>
          <w:p>
            <w:pPr>
              <w:ind w:left="480"/>
              <w:spacing w:after="0"/>
              <w:rPr>
                <w:sz w:val="20"/>
                <w:szCs w:val="20"/>
                <w:color w:val="auto"/>
              </w:rPr>
            </w:pPr>
            <w:r>
              <w:rPr>
                <w:rFonts w:ascii="Arial" w:cs="Arial" w:eastAsia="Arial" w:hAnsi="Arial"/>
                <w:sz w:val="14"/>
                <w:szCs w:val="14"/>
                <w:color w:val="auto"/>
              </w:rPr>
              <w:t>FTAI Pride Credit Agreement</w:t>
            </w:r>
          </w:p>
        </w:tc>
        <w:tc>
          <w:tcPr>
            <w:tcW w:w="20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w:t>
            </w:r>
          </w:p>
        </w:tc>
        <w:tc>
          <w:tcPr>
            <w:tcW w:w="174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53,993</w:t>
            </w: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7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60,937</w:t>
            </w:r>
          </w:p>
        </w:tc>
        <w:tc>
          <w:tcPr>
            <w:tcW w:w="0" w:type="dxa"/>
            <w:vAlign w:val="bottom"/>
          </w:tcPr>
          <w:p>
            <w:pPr>
              <w:spacing w:after="0"/>
              <w:rPr>
                <w:sz w:val="1"/>
                <w:szCs w:val="1"/>
                <w:color w:val="auto"/>
              </w:rPr>
            </w:pPr>
          </w:p>
        </w:tc>
      </w:tr>
      <w:tr>
        <w:trPr>
          <w:trHeight w:val="269"/>
        </w:trPr>
        <w:tc>
          <w:tcPr>
            <w:tcW w:w="6740" w:type="dxa"/>
            <w:vAlign w:val="bottom"/>
          </w:tcPr>
          <w:p>
            <w:pPr>
              <w:ind w:left="480"/>
              <w:spacing w:after="0"/>
              <w:rPr>
                <w:sz w:val="20"/>
                <w:szCs w:val="20"/>
                <w:color w:val="auto"/>
              </w:rPr>
            </w:pPr>
            <w:r>
              <w:rPr>
                <w:rFonts w:ascii="Arial" w:cs="Arial" w:eastAsia="Arial" w:hAnsi="Arial"/>
                <w:sz w:val="14"/>
                <w:szCs w:val="14"/>
                <w:color w:val="auto"/>
              </w:rPr>
              <w:t>CMQR Credit Agreement</w:t>
            </w:r>
          </w:p>
        </w:tc>
        <w:tc>
          <w:tcPr>
            <w:tcW w:w="200" w:type="dxa"/>
            <w:vAlign w:val="bottom"/>
          </w:tcPr>
          <w:p>
            <w:pPr>
              <w:spacing w:after="0"/>
              <w:rPr>
                <w:sz w:val="23"/>
                <w:szCs w:val="23"/>
                <w:color w:val="auto"/>
              </w:rPr>
            </w:pPr>
          </w:p>
        </w:tc>
        <w:tc>
          <w:tcPr>
            <w:tcW w:w="1740" w:type="dxa"/>
            <w:vAlign w:val="bottom"/>
          </w:tcPr>
          <w:p>
            <w:pPr>
              <w:jc w:val="right"/>
              <w:ind w:right="48"/>
              <w:spacing w:after="0"/>
              <w:rPr>
                <w:sz w:val="20"/>
                <w:szCs w:val="20"/>
                <w:color w:val="auto"/>
              </w:rPr>
            </w:pPr>
            <w:r>
              <w:rPr>
                <w:rFonts w:ascii="Arial" w:cs="Arial" w:eastAsia="Arial" w:hAnsi="Arial"/>
                <w:sz w:val="14"/>
                <w:szCs w:val="14"/>
                <w:b w:val="1"/>
                <w:bCs w:val="1"/>
                <w:color w:val="auto"/>
              </w:rPr>
              <w:t>18,400</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700" w:type="dxa"/>
            <w:vAlign w:val="bottom"/>
          </w:tcPr>
          <w:p>
            <w:pPr>
              <w:jc w:val="right"/>
              <w:ind w:right="8"/>
              <w:spacing w:after="0"/>
              <w:rPr>
                <w:sz w:val="20"/>
                <w:szCs w:val="20"/>
                <w:color w:val="auto"/>
              </w:rPr>
            </w:pPr>
            <w:r>
              <w:rPr>
                <w:rFonts w:ascii="Arial" w:cs="Arial" w:eastAsia="Arial" w:hAnsi="Arial"/>
                <w:sz w:val="14"/>
                <w:szCs w:val="14"/>
                <w:color w:val="auto"/>
              </w:rPr>
              <w:t>12,625</w:t>
            </w:r>
          </w:p>
        </w:tc>
        <w:tc>
          <w:tcPr>
            <w:tcW w:w="0" w:type="dxa"/>
            <w:vAlign w:val="bottom"/>
          </w:tcPr>
          <w:p>
            <w:pPr>
              <w:spacing w:after="0"/>
              <w:rPr>
                <w:sz w:val="1"/>
                <w:szCs w:val="1"/>
                <w:color w:val="auto"/>
              </w:rPr>
            </w:pPr>
          </w:p>
        </w:tc>
      </w:tr>
      <w:tr>
        <w:trPr>
          <w:trHeight w:val="270"/>
        </w:trPr>
        <w:tc>
          <w:tcPr>
            <w:tcW w:w="6740" w:type="dxa"/>
            <w:vAlign w:val="bottom"/>
            <w:shd w:val="clear" w:color="auto" w:fill="CCEEFF"/>
          </w:tcPr>
          <w:p>
            <w:pPr>
              <w:ind w:left="480"/>
              <w:spacing w:after="0"/>
              <w:rPr>
                <w:sz w:val="20"/>
                <w:szCs w:val="20"/>
                <w:color w:val="auto"/>
              </w:rPr>
            </w:pPr>
            <w:r>
              <w:rPr>
                <w:rFonts w:ascii="Arial" w:cs="Arial" w:eastAsia="Arial" w:hAnsi="Arial"/>
                <w:sz w:val="14"/>
                <w:szCs w:val="14"/>
                <w:color w:val="auto"/>
              </w:rPr>
              <w:t>Revolving Credit Facility</w:t>
            </w:r>
          </w:p>
        </w:tc>
        <w:tc>
          <w:tcPr>
            <w:tcW w:w="200" w:type="dxa"/>
            <w:vAlign w:val="bottom"/>
            <w:tcBorders>
              <w:bottom w:val="single" w:sz="8" w:color="auto"/>
            </w:tcBorders>
            <w:shd w:val="clear" w:color="auto" w:fill="CCEEFF"/>
          </w:tcPr>
          <w:p>
            <w:pPr>
              <w:spacing w:after="0"/>
              <w:rPr>
                <w:sz w:val="23"/>
                <w:szCs w:val="23"/>
                <w:color w:val="auto"/>
              </w:rPr>
            </w:pPr>
          </w:p>
        </w:tc>
        <w:tc>
          <w:tcPr>
            <w:tcW w:w="174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60,000</w:t>
            </w:r>
          </w:p>
        </w:tc>
        <w:tc>
          <w:tcPr>
            <w:tcW w:w="10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170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50"/>
        </w:trPr>
        <w:tc>
          <w:tcPr>
            <w:tcW w:w="6740" w:type="dxa"/>
            <w:vAlign w:val="bottom"/>
          </w:tcPr>
          <w:p>
            <w:pPr>
              <w:ind w:left="480"/>
              <w:spacing w:after="0"/>
              <w:rPr>
                <w:sz w:val="20"/>
                <w:szCs w:val="20"/>
                <w:color w:val="auto"/>
              </w:rPr>
            </w:pPr>
            <w:r>
              <w:rPr>
                <w:rFonts w:ascii="Arial" w:cs="Arial" w:eastAsia="Arial" w:hAnsi="Arial"/>
                <w:sz w:val="14"/>
                <w:szCs w:val="14"/>
                <w:color w:val="auto"/>
              </w:rPr>
              <w:t>Total loans payable</w:t>
            </w:r>
          </w:p>
        </w:tc>
        <w:tc>
          <w:tcPr>
            <w:tcW w:w="200" w:type="dxa"/>
            <w:vAlign w:val="bottom"/>
          </w:tcPr>
          <w:p>
            <w:pPr>
              <w:spacing w:after="0"/>
              <w:rPr>
                <w:sz w:val="21"/>
                <w:szCs w:val="21"/>
                <w:color w:val="auto"/>
              </w:rPr>
            </w:pPr>
          </w:p>
        </w:tc>
        <w:tc>
          <w:tcPr>
            <w:tcW w:w="1740" w:type="dxa"/>
            <w:vAlign w:val="bottom"/>
          </w:tcPr>
          <w:p>
            <w:pPr>
              <w:jc w:val="right"/>
              <w:ind w:right="48"/>
              <w:spacing w:after="0"/>
              <w:rPr>
                <w:sz w:val="20"/>
                <w:szCs w:val="20"/>
                <w:color w:val="auto"/>
              </w:rPr>
            </w:pPr>
            <w:r>
              <w:rPr>
                <w:rFonts w:ascii="Arial" w:cs="Arial" w:eastAsia="Arial" w:hAnsi="Arial"/>
                <w:sz w:val="14"/>
                <w:szCs w:val="14"/>
                <w:b w:val="1"/>
                <w:bCs w:val="1"/>
                <w:color w:val="auto"/>
              </w:rPr>
              <w:t>132,393</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700" w:type="dxa"/>
            <w:vAlign w:val="bottom"/>
          </w:tcPr>
          <w:p>
            <w:pPr>
              <w:jc w:val="right"/>
              <w:ind w:right="8"/>
              <w:spacing w:after="0"/>
              <w:rPr>
                <w:sz w:val="20"/>
                <w:szCs w:val="20"/>
                <w:color w:val="auto"/>
              </w:rPr>
            </w:pPr>
            <w:r>
              <w:rPr>
                <w:rFonts w:ascii="Arial" w:cs="Arial" w:eastAsia="Arial" w:hAnsi="Arial"/>
                <w:sz w:val="14"/>
                <w:szCs w:val="14"/>
                <w:color w:val="auto"/>
              </w:rPr>
              <w:t>73,562</w:t>
            </w:r>
          </w:p>
        </w:tc>
        <w:tc>
          <w:tcPr>
            <w:tcW w:w="0" w:type="dxa"/>
            <w:vAlign w:val="bottom"/>
          </w:tcPr>
          <w:p>
            <w:pPr>
              <w:spacing w:after="0"/>
              <w:rPr>
                <w:sz w:val="1"/>
                <w:szCs w:val="1"/>
                <w:color w:val="auto"/>
              </w:rPr>
            </w:pPr>
          </w:p>
        </w:tc>
      </w:tr>
      <w:tr>
        <w:trPr>
          <w:trHeight w:val="271"/>
        </w:trPr>
        <w:tc>
          <w:tcPr>
            <w:tcW w:w="674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Bonds payable</w:t>
            </w:r>
          </w:p>
        </w:tc>
        <w:tc>
          <w:tcPr>
            <w:tcW w:w="200" w:type="dxa"/>
            <w:vAlign w:val="bottom"/>
            <w:shd w:val="clear" w:color="auto" w:fill="CCEEFF"/>
          </w:tcPr>
          <w:p>
            <w:pPr>
              <w:spacing w:after="0"/>
              <w:rPr>
                <w:sz w:val="23"/>
                <w:szCs w:val="23"/>
                <w:color w:val="auto"/>
              </w:rPr>
            </w:pPr>
          </w:p>
        </w:tc>
        <w:tc>
          <w:tcPr>
            <w:tcW w:w="17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70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176"/>
        </w:trPr>
        <w:tc>
          <w:tcPr>
            <w:tcW w:w="6740" w:type="dxa"/>
            <w:vAlign w:val="bottom"/>
          </w:tcPr>
          <w:p>
            <w:pPr>
              <w:ind w:left="480"/>
              <w:spacing w:after="0"/>
              <w:rPr>
                <w:sz w:val="20"/>
                <w:szCs w:val="20"/>
                <w:color w:val="auto"/>
              </w:rPr>
            </w:pPr>
            <w:r>
              <w:rPr>
                <w:rFonts w:ascii="Arial" w:cs="Arial" w:eastAsia="Arial" w:hAnsi="Arial"/>
                <w:sz w:val="14"/>
                <w:szCs w:val="14"/>
                <w:color w:val="auto"/>
              </w:rPr>
              <w:t>Series 2012 Bonds (including unamortized premium of $1,654 and $1,697 at September 30, 2017</w:t>
            </w:r>
          </w:p>
        </w:tc>
        <w:tc>
          <w:tcPr>
            <w:tcW w:w="200" w:type="dxa"/>
            <w:vAlign w:val="bottom"/>
          </w:tcPr>
          <w:p>
            <w:pPr>
              <w:spacing w:after="0"/>
              <w:rPr>
                <w:sz w:val="15"/>
                <w:szCs w:val="15"/>
                <w:color w:val="auto"/>
              </w:rPr>
            </w:pPr>
          </w:p>
        </w:tc>
        <w:tc>
          <w:tcPr>
            <w:tcW w:w="1740" w:type="dxa"/>
            <w:vAlign w:val="bottom"/>
            <w:vMerge w:val="restart"/>
          </w:tcPr>
          <w:p>
            <w:pPr>
              <w:jc w:val="right"/>
              <w:ind w:right="48"/>
              <w:spacing w:after="0"/>
              <w:rPr>
                <w:sz w:val="20"/>
                <w:szCs w:val="20"/>
                <w:color w:val="auto"/>
              </w:rPr>
            </w:pPr>
            <w:r>
              <w:rPr>
                <w:rFonts w:ascii="Arial" w:cs="Arial" w:eastAsia="Arial" w:hAnsi="Arial"/>
                <w:sz w:val="14"/>
                <w:szCs w:val="14"/>
                <w:b w:val="1"/>
                <w:bCs w:val="1"/>
                <w:color w:val="auto"/>
              </w:rPr>
              <w:t>44,419</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7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1"/>
        </w:trPr>
        <w:tc>
          <w:tcPr>
            <w:tcW w:w="6740" w:type="dxa"/>
            <w:vAlign w:val="bottom"/>
          </w:tcPr>
          <w:p>
            <w:pPr>
              <w:ind w:left="480"/>
              <w:spacing w:after="0"/>
              <w:rPr>
                <w:sz w:val="20"/>
                <w:szCs w:val="20"/>
                <w:color w:val="auto"/>
              </w:rPr>
            </w:pPr>
            <w:r>
              <w:rPr>
                <w:rFonts w:ascii="Arial" w:cs="Arial" w:eastAsia="Arial" w:hAnsi="Arial"/>
                <w:sz w:val="14"/>
                <w:szCs w:val="14"/>
                <w:color w:val="auto"/>
              </w:rPr>
              <w:t>and December 31, 2016, respectively)</w:t>
            </w:r>
          </w:p>
        </w:tc>
        <w:tc>
          <w:tcPr>
            <w:tcW w:w="200" w:type="dxa"/>
            <w:vAlign w:val="bottom"/>
          </w:tcPr>
          <w:p>
            <w:pPr>
              <w:spacing w:after="0"/>
              <w:rPr>
                <w:sz w:val="17"/>
                <w:szCs w:val="17"/>
                <w:color w:val="auto"/>
              </w:rPr>
            </w:pPr>
          </w:p>
        </w:tc>
        <w:tc>
          <w:tcPr>
            <w:tcW w:w="174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700" w:type="dxa"/>
            <w:vAlign w:val="bottom"/>
          </w:tcPr>
          <w:p>
            <w:pPr>
              <w:jc w:val="right"/>
              <w:ind w:right="8"/>
              <w:spacing w:after="0"/>
              <w:rPr>
                <w:sz w:val="20"/>
                <w:szCs w:val="20"/>
                <w:color w:val="auto"/>
              </w:rPr>
            </w:pPr>
            <w:r>
              <w:rPr>
                <w:rFonts w:ascii="Arial" w:cs="Arial" w:eastAsia="Arial" w:hAnsi="Arial"/>
                <w:sz w:val="14"/>
                <w:szCs w:val="14"/>
                <w:color w:val="auto"/>
              </w:rPr>
              <w:t>45,887</w:t>
            </w:r>
          </w:p>
        </w:tc>
        <w:tc>
          <w:tcPr>
            <w:tcW w:w="0" w:type="dxa"/>
            <w:vAlign w:val="bottom"/>
          </w:tcPr>
          <w:p>
            <w:pPr>
              <w:spacing w:after="0"/>
              <w:rPr>
                <w:sz w:val="1"/>
                <w:szCs w:val="1"/>
                <w:color w:val="auto"/>
              </w:rPr>
            </w:pPr>
          </w:p>
        </w:tc>
      </w:tr>
      <w:tr>
        <w:trPr>
          <w:trHeight w:val="271"/>
        </w:trPr>
        <w:tc>
          <w:tcPr>
            <w:tcW w:w="6740" w:type="dxa"/>
            <w:vAlign w:val="bottom"/>
            <w:shd w:val="clear" w:color="auto" w:fill="CCEEFF"/>
          </w:tcPr>
          <w:p>
            <w:pPr>
              <w:ind w:left="480"/>
              <w:spacing w:after="0"/>
              <w:rPr>
                <w:sz w:val="20"/>
                <w:szCs w:val="20"/>
                <w:color w:val="auto"/>
              </w:rPr>
            </w:pPr>
            <w:r>
              <w:rPr>
                <w:rFonts w:ascii="Arial" w:cs="Arial" w:eastAsia="Arial" w:hAnsi="Arial"/>
                <w:sz w:val="14"/>
                <w:szCs w:val="14"/>
                <w:color w:val="auto"/>
              </w:rPr>
              <w:t>Series 2016 Bonds</w:t>
            </w:r>
          </w:p>
        </w:tc>
        <w:tc>
          <w:tcPr>
            <w:tcW w:w="200" w:type="dxa"/>
            <w:vAlign w:val="bottom"/>
            <w:shd w:val="clear" w:color="auto" w:fill="CCEEFF"/>
          </w:tcPr>
          <w:p>
            <w:pPr>
              <w:spacing w:after="0"/>
              <w:rPr>
                <w:sz w:val="23"/>
                <w:szCs w:val="23"/>
                <w:color w:val="auto"/>
              </w:rPr>
            </w:pPr>
          </w:p>
        </w:tc>
        <w:tc>
          <w:tcPr>
            <w:tcW w:w="174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144,200</w:t>
            </w: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7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144,200</w:t>
            </w:r>
          </w:p>
        </w:tc>
        <w:tc>
          <w:tcPr>
            <w:tcW w:w="0" w:type="dxa"/>
            <w:vAlign w:val="bottom"/>
          </w:tcPr>
          <w:p>
            <w:pPr>
              <w:spacing w:after="0"/>
              <w:rPr>
                <w:sz w:val="1"/>
                <w:szCs w:val="1"/>
                <w:color w:val="auto"/>
              </w:rPr>
            </w:pPr>
          </w:p>
        </w:tc>
      </w:tr>
      <w:tr>
        <w:trPr>
          <w:trHeight w:val="176"/>
        </w:trPr>
        <w:tc>
          <w:tcPr>
            <w:tcW w:w="6740" w:type="dxa"/>
            <w:vAlign w:val="bottom"/>
          </w:tcPr>
          <w:p>
            <w:pPr>
              <w:ind w:left="480"/>
              <w:spacing w:after="0"/>
              <w:rPr>
                <w:sz w:val="20"/>
                <w:szCs w:val="20"/>
                <w:color w:val="auto"/>
              </w:rPr>
            </w:pPr>
            <w:r>
              <w:rPr>
                <w:rFonts w:ascii="Arial" w:cs="Arial" w:eastAsia="Arial" w:hAnsi="Arial"/>
                <w:sz w:val="14"/>
                <w:szCs w:val="14"/>
                <w:color w:val="auto"/>
              </w:rPr>
              <w:t>Senior Notes (including unamortized discount of $6,826 and unamortized premium of $2,686 at</w:t>
            </w:r>
          </w:p>
        </w:tc>
        <w:tc>
          <w:tcPr>
            <w:tcW w:w="200" w:type="dxa"/>
            <w:vAlign w:val="bottom"/>
          </w:tcPr>
          <w:p>
            <w:pPr>
              <w:spacing w:after="0"/>
              <w:rPr>
                <w:sz w:val="15"/>
                <w:szCs w:val="15"/>
                <w:color w:val="auto"/>
              </w:rPr>
            </w:pPr>
          </w:p>
        </w:tc>
        <w:tc>
          <w:tcPr>
            <w:tcW w:w="1740" w:type="dxa"/>
            <w:vAlign w:val="bottom"/>
            <w:vMerge w:val="restart"/>
          </w:tcPr>
          <w:p>
            <w:pPr>
              <w:jc w:val="right"/>
              <w:ind w:right="48"/>
              <w:spacing w:after="0"/>
              <w:rPr>
                <w:sz w:val="20"/>
                <w:szCs w:val="20"/>
                <w:color w:val="auto"/>
              </w:rPr>
            </w:pPr>
            <w:r>
              <w:rPr>
                <w:rFonts w:ascii="Arial" w:cs="Arial" w:eastAsia="Arial" w:hAnsi="Arial"/>
                <w:sz w:val="14"/>
                <w:szCs w:val="14"/>
                <w:b w:val="1"/>
                <w:bCs w:val="1"/>
                <w:color w:val="auto"/>
              </w:rPr>
              <w:t>345,859</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7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1"/>
        </w:trPr>
        <w:tc>
          <w:tcPr>
            <w:tcW w:w="6740" w:type="dxa"/>
            <w:vAlign w:val="bottom"/>
            <w:tcBorders>
              <w:bottom w:val="single" w:sz="8" w:color="CCEEFF"/>
            </w:tcBorders>
          </w:tcPr>
          <w:p>
            <w:pPr>
              <w:ind w:left="480"/>
              <w:spacing w:after="0"/>
              <w:rPr>
                <w:sz w:val="20"/>
                <w:szCs w:val="20"/>
                <w:color w:val="auto"/>
              </w:rPr>
            </w:pPr>
            <w:r>
              <w:rPr>
                <w:rFonts w:ascii="Arial" w:cs="Arial" w:eastAsia="Arial" w:hAnsi="Arial"/>
                <w:sz w:val="14"/>
                <w:szCs w:val="14"/>
                <w:color w:val="auto"/>
              </w:rPr>
              <w:t>September 30, 2017)</w:t>
            </w:r>
          </w:p>
        </w:tc>
        <w:tc>
          <w:tcPr>
            <w:tcW w:w="200" w:type="dxa"/>
            <w:vAlign w:val="bottom"/>
            <w:tcBorders>
              <w:bottom w:val="single" w:sz="8" w:color="auto"/>
            </w:tcBorders>
          </w:tcPr>
          <w:p>
            <w:pPr>
              <w:spacing w:after="0"/>
              <w:rPr>
                <w:sz w:val="17"/>
                <w:szCs w:val="17"/>
                <w:color w:val="auto"/>
              </w:rPr>
            </w:pPr>
          </w:p>
        </w:tc>
        <w:tc>
          <w:tcPr>
            <w:tcW w:w="1740" w:type="dxa"/>
            <w:vAlign w:val="bottom"/>
            <w:tcBorders>
              <w:bottom w:val="single" w:sz="8" w:color="auto"/>
            </w:tcBorders>
            <w:vMerge w:val="continue"/>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7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51"/>
        </w:trPr>
        <w:tc>
          <w:tcPr>
            <w:tcW w:w="6740" w:type="dxa"/>
            <w:vAlign w:val="bottom"/>
            <w:shd w:val="clear" w:color="auto" w:fill="CCEEFF"/>
          </w:tcPr>
          <w:p>
            <w:pPr>
              <w:ind w:left="480"/>
              <w:spacing w:after="0"/>
              <w:rPr>
                <w:sz w:val="20"/>
                <w:szCs w:val="20"/>
                <w:color w:val="auto"/>
              </w:rPr>
            </w:pPr>
            <w:r>
              <w:rPr>
                <w:rFonts w:ascii="Arial" w:cs="Arial" w:eastAsia="Arial" w:hAnsi="Arial"/>
                <w:sz w:val="14"/>
                <w:szCs w:val="14"/>
                <w:color w:val="auto"/>
              </w:rPr>
              <w:t>Total bonds payable</w:t>
            </w:r>
          </w:p>
        </w:tc>
        <w:tc>
          <w:tcPr>
            <w:tcW w:w="200" w:type="dxa"/>
            <w:vAlign w:val="bottom"/>
            <w:shd w:val="clear" w:color="auto" w:fill="CCEEFF"/>
          </w:tcPr>
          <w:p>
            <w:pPr>
              <w:spacing w:after="0"/>
              <w:rPr>
                <w:sz w:val="21"/>
                <w:szCs w:val="21"/>
                <w:color w:val="auto"/>
              </w:rPr>
            </w:pPr>
          </w:p>
        </w:tc>
        <w:tc>
          <w:tcPr>
            <w:tcW w:w="174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534,478</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7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190,087</w:t>
            </w:r>
          </w:p>
        </w:tc>
        <w:tc>
          <w:tcPr>
            <w:tcW w:w="0" w:type="dxa"/>
            <w:vAlign w:val="bottom"/>
          </w:tcPr>
          <w:p>
            <w:pPr>
              <w:spacing w:after="0"/>
              <w:rPr>
                <w:sz w:val="1"/>
                <w:szCs w:val="1"/>
                <w:color w:val="auto"/>
              </w:rPr>
            </w:pPr>
          </w:p>
        </w:tc>
      </w:tr>
      <w:tr>
        <w:trPr>
          <w:trHeight w:val="269"/>
        </w:trPr>
        <w:tc>
          <w:tcPr>
            <w:tcW w:w="6740" w:type="dxa"/>
            <w:vAlign w:val="bottom"/>
          </w:tcPr>
          <w:p>
            <w:pPr>
              <w:ind w:left="20"/>
              <w:spacing w:after="0"/>
              <w:rPr>
                <w:sz w:val="20"/>
                <w:szCs w:val="20"/>
                <w:color w:val="auto"/>
              </w:rPr>
            </w:pPr>
            <w:r>
              <w:rPr>
                <w:rFonts w:ascii="Arial" w:cs="Arial" w:eastAsia="Arial" w:hAnsi="Arial"/>
                <w:sz w:val="14"/>
                <w:szCs w:val="14"/>
                <w:b w:val="1"/>
                <w:bCs w:val="1"/>
                <w:color w:val="auto"/>
              </w:rPr>
              <w:t>Note payable to non-controlling interest</w:t>
            </w:r>
          </w:p>
        </w:tc>
        <w:tc>
          <w:tcPr>
            <w:tcW w:w="200" w:type="dxa"/>
            <w:vAlign w:val="bottom"/>
          </w:tcPr>
          <w:p>
            <w:pPr>
              <w:spacing w:after="0"/>
              <w:rPr>
                <w:sz w:val="23"/>
                <w:szCs w:val="23"/>
                <w:color w:val="auto"/>
              </w:rPr>
            </w:pPr>
          </w:p>
        </w:tc>
        <w:tc>
          <w:tcPr>
            <w:tcW w:w="17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7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6740" w:type="dxa"/>
            <w:vAlign w:val="bottom"/>
            <w:shd w:val="clear" w:color="auto" w:fill="CCEEFF"/>
          </w:tcPr>
          <w:p>
            <w:pPr>
              <w:ind w:left="480"/>
              <w:spacing w:after="0"/>
              <w:rPr>
                <w:sz w:val="20"/>
                <w:szCs w:val="20"/>
                <w:color w:val="auto"/>
              </w:rPr>
            </w:pPr>
            <w:r>
              <w:rPr>
                <w:rFonts w:ascii="Arial" w:cs="Arial" w:eastAsia="Arial" w:hAnsi="Arial"/>
                <w:sz w:val="14"/>
                <w:szCs w:val="14"/>
                <w:color w:val="auto"/>
              </w:rPr>
              <w:t>Note payable to non-controlling interest</w:t>
            </w:r>
          </w:p>
        </w:tc>
        <w:tc>
          <w:tcPr>
            <w:tcW w:w="200" w:type="dxa"/>
            <w:vAlign w:val="bottom"/>
            <w:tcBorders>
              <w:bottom w:val="single" w:sz="8" w:color="auto"/>
            </w:tcBorders>
            <w:shd w:val="clear" w:color="auto" w:fill="CCEEFF"/>
          </w:tcPr>
          <w:p>
            <w:pPr>
              <w:spacing w:after="0"/>
              <w:rPr>
                <w:sz w:val="23"/>
                <w:szCs w:val="23"/>
                <w:color w:val="auto"/>
              </w:rPr>
            </w:pPr>
          </w:p>
        </w:tc>
        <w:tc>
          <w:tcPr>
            <w:tcW w:w="174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w:t>
            </w:r>
          </w:p>
        </w:tc>
        <w:tc>
          <w:tcPr>
            <w:tcW w:w="10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170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2,352</w:t>
            </w:r>
          </w:p>
        </w:tc>
        <w:tc>
          <w:tcPr>
            <w:tcW w:w="0" w:type="dxa"/>
            <w:vAlign w:val="bottom"/>
          </w:tcPr>
          <w:p>
            <w:pPr>
              <w:spacing w:after="0"/>
              <w:rPr>
                <w:sz w:val="1"/>
                <w:szCs w:val="1"/>
                <w:color w:val="auto"/>
              </w:rPr>
            </w:pPr>
          </w:p>
        </w:tc>
      </w:tr>
      <w:tr>
        <w:trPr>
          <w:trHeight w:val="250"/>
        </w:trPr>
        <w:tc>
          <w:tcPr>
            <w:tcW w:w="6740" w:type="dxa"/>
            <w:vAlign w:val="bottom"/>
          </w:tcPr>
          <w:p>
            <w:pPr>
              <w:ind w:left="480"/>
              <w:spacing w:after="0"/>
              <w:rPr>
                <w:sz w:val="20"/>
                <w:szCs w:val="20"/>
                <w:color w:val="auto"/>
              </w:rPr>
            </w:pPr>
            <w:r>
              <w:rPr>
                <w:rFonts w:ascii="Arial" w:cs="Arial" w:eastAsia="Arial" w:hAnsi="Arial"/>
                <w:sz w:val="14"/>
                <w:szCs w:val="14"/>
                <w:color w:val="auto"/>
              </w:rPr>
              <w:t>Total note payable to non-controlling interest</w:t>
            </w:r>
          </w:p>
        </w:tc>
        <w:tc>
          <w:tcPr>
            <w:tcW w:w="200" w:type="dxa"/>
            <w:vAlign w:val="bottom"/>
          </w:tcPr>
          <w:p>
            <w:pPr>
              <w:spacing w:after="0"/>
              <w:rPr>
                <w:sz w:val="21"/>
                <w:szCs w:val="21"/>
                <w:color w:val="auto"/>
              </w:rPr>
            </w:pPr>
          </w:p>
        </w:tc>
        <w:tc>
          <w:tcPr>
            <w:tcW w:w="184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rPr>
              <w:t>—</w:t>
            </w:r>
          </w:p>
        </w:tc>
        <w:tc>
          <w:tcPr>
            <w:tcW w:w="200" w:type="dxa"/>
            <w:vAlign w:val="bottom"/>
          </w:tcPr>
          <w:p>
            <w:pPr>
              <w:spacing w:after="0"/>
              <w:rPr>
                <w:sz w:val="21"/>
                <w:szCs w:val="21"/>
                <w:color w:val="auto"/>
              </w:rPr>
            </w:pPr>
          </w:p>
        </w:tc>
        <w:tc>
          <w:tcPr>
            <w:tcW w:w="1700" w:type="dxa"/>
            <w:vAlign w:val="bottom"/>
          </w:tcPr>
          <w:p>
            <w:pPr>
              <w:jc w:val="right"/>
              <w:ind w:right="8"/>
              <w:spacing w:after="0"/>
              <w:rPr>
                <w:sz w:val="20"/>
                <w:szCs w:val="20"/>
                <w:color w:val="auto"/>
              </w:rPr>
            </w:pPr>
            <w:r>
              <w:rPr>
                <w:rFonts w:ascii="Arial" w:cs="Arial" w:eastAsia="Arial" w:hAnsi="Arial"/>
                <w:sz w:val="14"/>
                <w:szCs w:val="14"/>
                <w:color w:val="auto"/>
              </w:rPr>
              <w:t>2,352</w:t>
            </w:r>
          </w:p>
        </w:tc>
        <w:tc>
          <w:tcPr>
            <w:tcW w:w="0" w:type="dxa"/>
            <w:vAlign w:val="bottom"/>
          </w:tcPr>
          <w:p>
            <w:pPr>
              <w:spacing w:after="0"/>
              <w:rPr>
                <w:sz w:val="1"/>
                <w:szCs w:val="1"/>
                <w:color w:val="auto"/>
              </w:rPr>
            </w:pPr>
          </w:p>
        </w:tc>
      </w:tr>
      <w:tr>
        <w:trPr>
          <w:trHeight w:val="271"/>
        </w:trPr>
        <w:tc>
          <w:tcPr>
            <w:tcW w:w="674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1740" w:type="dxa"/>
            <w:vAlign w:val="bottom"/>
            <w:tcBorders>
              <w:bottom w:val="single" w:sz="8" w:color="auto"/>
            </w:tcBorders>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1700" w:type="dxa"/>
            <w:vAlign w:val="bottom"/>
            <w:tcBorders>
              <w:bottom w:val="single" w:sz="8" w:color="auto"/>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49"/>
        </w:trPr>
        <w:tc>
          <w:tcPr>
            <w:tcW w:w="6740" w:type="dxa"/>
            <w:vAlign w:val="bottom"/>
          </w:tcPr>
          <w:p>
            <w:pPr>
              <w:ind w:left="20"/>
              <w:spacing w:after="0"/>
              <w:rPr>
                <w:sz w:val="20"/>
                <w:szCs w:val="20"/>
                <w:color w:val="auto"/>
              </w:rPr>
            </w:pPr>
            <w:r>
              <w:rPr>
                <w:rFonts w:ascii="Arial" w:cs="Arial" w:eastAsia="Arial" w:hAnsi="Arial"/>
                <w:sz w:val="14"/>
                <w:szCs w:val="14"/>
                <w:b w:val="1"/>
                <w:bCs w:val="1"/>
                <w:color w:val="auto"/>
              </w:rPr>
              <w:t>Debt</w:t>
            </w:r>
          </w:p>
        </w:tc>
        <w:tc>
          <w:tcPr>
            <w:tcW w:w="200" w:type="dxa"/>
            <w:vAlign w:val="bottom"/>
          </w:tcPr>
          <w:p>
            <w:pPr>
              <w:spacing w:after="0"/>
              <w:rPr>
                <w:sz w:val="21"/>
                <w:szCs w:val="21"/>
                <w:color w:val="auto"/>
              </w:rPr>
            </w:pPr>
          </w:p>
        </w:tc>
        <w:tc>
          <w:tcPr>
            <w:tcW w:w="1740" w:type="dxa"/>
            <w:vAlign w:val="bottom"/>
          </w:tcPr>
          <w:p>
            <w:pPr>
              <w:jc w:val="right"/>
              <w:ind w:right="48"/>
              <w:spacing w:after="0"/>
              <w:rPr>
                <w:sz w:val="20"/>
                <w:szCs w:val="20"/>
                <w:color w:val="auto"/>
              </w:rPr>
            </w:pPr>
            <w:r>
              <w:rPr>
                <w:rFonts w:ascii="Arial" w:cs="Arial" w:eastAsia="Arial" w:hAnsi="Arial"/>
                <w:sz w:val="14"/>
                <w:szCs w:val="14"/>
                <w:b w:val="1"/>
                <w:bCs w:val="1"/>
                <w:color w:val="auto"/>
              </w:rPr>
              <w:t>666,871</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700" w:type="dxa"/>
            <w:vAlign w:val="bottom"/>
          </w:tcPr>
          <w:p>
            <w:pPr>
              <w:jc w:val="right"/>
              <w:ind w:right="8"/>
              <w:spacing w:after="0"/>
              <w:rPr>
                <w:sz w:val="20"/>
                <w:szCs w:val="20"/>
                <w:color w:val="auto"/>
              </w:rPr>
            </w:pPr>
            <w:r>
              <w:rPr>
                <w:rFonts w:ascii="Arial" w:cs="Arial" w:eastAsia="Arial" w:hAnsi="Arial"/>
                <w:sz w:val="14"/>
                <w:szCs w:val="14"/>
                <w:color w:val="auto"/>
              </w:rPr>
              <w:t>266,001</w:t>
            </w:r>
          </w:p>
        </w:tc>
        <w:tc>
          <w:tcPr>
            <w:tcW w:w="0" w:type="dxa"/>
            <w:vAlign w:val="bottom"/>
          </w:tcPr>
          <w:p>
            <w:pPr>
              <w:spacing w:after="0"/>
              <w:rPr>
                <w:sz w:val="1"/>
                <w:szCs w:val="1"/>
                <w:color w:val="auto"/>
              </w:rPr>
            </w:pPr>
          </w:p>
        </w:tc>
      </w:tr>
      <w:tr>
        <w:trPr>
          <w:trHeight w:val="270"/>
        </w:trPr>
        <w:tc>
          <w:tcPr>
            <w:tcW w:w="6740" w:type="dxa"/>
            <w:vAlign w:val="bottom"/>
            <w:shd w:val="clear" w:color="auto" w:fill="CCEEFF"/>
          </w:tcPr>
          <w:p>
            <w:pPr>
              <w:ind w:left="480"/>
              <w:spacing w:after="0"/>
              <w:rPr>
                <w:sz w:val="20"/>
                <w:szCs w:val="20"/>
                <w:color w:val="auto"/>
              </w:rPr>
            </w:pPr>
            <w:r>
              <w:rPr>
                <w:rFonts w:ascii="Arial" w:cs="Arial" w:eastAsia="Arial" w:hAnsi="Arial"/>
                <w:sz w:val="14"/>
                <w:szCs w:val="14"/>
                <w:color w:val="auto"/>
              </w:rPr>
              <w:t>Less: Debt issuance costs</w:t>
            </w:r>
          </w:p>
        </w:tc>
        <w:tc>
          <w:tcPr>
            <w:tcW w:w="200" w:type="dxa"/>
            <w:vAlign w:val="bottom"/>
            <w:tcBorders>
              <w:bottom w:val="single" w:sz="8" w:color="auto"/>
            </w:tcBorders>
            <w:shd w:val="clear" w:color="auto" w:fill="CCEEFF"/>
          </w:tcPr>
          <w:p>
            <w:pPr>
              <w:spacing w:after="0"/>
              <w:rPr>
                <w:sz w:val="23"/>
                <w:szCs w:val="23"/>
                <w:color w:val="auto"/>
              </w:rPr>
            </w:pPr>
          </w:p>
        </w:tc>
        <w:tc>
          <w:tcPr>
            <w:tcW w:w="1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(11,291)</w:t>
            </w:r>
          </w:p>
        </w:tc>
        <w:tc>
          <w:tcPr>
            <w:tcW w:w="10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1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(6,489)</w:t>
            </w:r>
          </w:p>
        </w:tc>
        <w:tc>
          <w:tcPr>
            <w:tcW w:w="0" w:type="dxa"/>
            <w:vAlign w:val="bottom"/>
          </w:tcPr>
          <w:p>
            <w:pPr>
              <w:spacing w:after="0"/>
              <w:rPr>
                <w:sz w:val="1"/>
                <w:szCs w:val="1"/>
                <w:color w:val="auto"/>
              </w:rPr>
            </w:pPr>
          </w:p>
        </w:tc>
      </w:tr>
      <w:tr>
        <w:trPr>
          <w:trHeight w:val="278"/>
        </w:trPr>
        <w:tc>
          <w:tcPr>
            <w:tcW w:w="674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Total debt, net</w:t>
            </w:r>
          </w:p>
        </w:tc>
        <w:tc>
          <w:tcPr>
            <w:tcW w:w="2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w:t>
            </w:r>
          </w:p>
        </w:tc>
        <w:tc>
          <w:tcPr>
            <w:tcW w:w="17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655,580</w:t>
            </w:r>
          </w:p>
        </w:tc>
        <w:tc>
          <w:tcPr>
            <w:tcW w:w="100" w:type="dxa"/>
            <w:vAlign w:val="bottom"/>
            <w:tcBorders>
              <w:bottom w:val="single" w:sz="8" w:color="CCEEFF"/>
            </w:tcBorders>
          </w:tcPr>
          <w:p>
            <w:pPr>
              <w:spacing w:after="0"/>
              <w:rPr>
                <w:sz w:val="24"/>
                <w:szCs w:val="24"/>
                <w:color w:val="auto"/>
              </w:rPr>
            </w:pPr>
          </w:p>
        </w:tc>
        <w:tc>
          <w:tcPr>
            <w:tcW w:w="2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17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259,512</w:t>
            </w:r>
          </w:p>
        </w:tc>
        <w:tc>
          <w:tcPr>
            <w:tcW w:w="0" w:type="dxa"/>
            <w:vAlign w:val="bottom"/>
          </w:tcPr>
          <w:p>
            <w:pPr>
              <w:spacing w:after="0"/>
              <w:rPr>
                <w:sz w:val="1"/>
                <w:szCs w:val="1"/>
                <w:color w:val="auto"/>
              </w:rPr>
            </w:pPr>
          </w:p>
        </w:tc>
      </w:tr>
      <w:tr>
        <w:trPr>
          <w:trHeight w:val="278"/>
        </w:trPr>
        <w:tc>
          <w:tcPr>
            <w:tcW w:w="674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7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70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6740" w:type="dxa"/>
            <w:vAlign w:val="bottom"/>
          </w:tcPr>
          <w:p>
            <w:pPr>
              <w:ind w:left="20"/>
              <w:spacing w:after="0"/>
              <w:rPr>
                <w:sz w:val="20"/>
                <w:szCs w:val="20"/>
                <w:color w:val="auto"/>
              </w:rPr>
            </w:pPr>
            <w:r>
              <w:rPr>
                <w:rFonts w:ascii="Arial" w:cs="Arial" w:eastAsia="Arial" w:hAnsi="Arial"/>
                <w:sz w:val="14"/>
                <w:szCs w:val="14"/>
                <w:b w:val="1"/>
                <w:bCs w:val="1"/>
                <w:color w:val="auto"/>
              </w:rPr>
              <w:t>Total debt due within one year</w:t>
            </w:r>
          </w:p>
        </w:tc>
        <w:tc>
          <w:tcPr>
            <w:tcW w:w="2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w:t>
            </w:r>
          </w:p>
        </w:tc>
        <w:tc>
          <w:tcPr>
            <w:tcW w:w="17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6,233</w:t>
            </w:r>
          </w:p>
        </w:tc>
        <w:tc>
          <w:tcPr>
            <w:tcW w:w="100" w:type="dxa"/>
            <w:vAlign w:val="bottom"/>
          </w:tcPr>
          <w:p>
            <w:pPr>
              <w:spacing w:after="0"/>
              <w:rPr>
                <w:sz w:val="22"/>
                <w:szCs w:val="22"/>
                <w:color w:val="auto"/>
              </w:rPr>
            </w:pPr>
          </w:p>
        </w:tc>
        <w:tc>
          <w:tcPr>
            <w:tcW w:w="2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17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8,078</w:t>
            </w:r>
          </w:p>
        </w:tc>
        <w:tc>
          <w:tcPr>
            <w:tcW w:w="0" w:type="dxa"/>
            <w:vAlign w:val="bottom"/>
          </w:tcPr>
          <w:p>
            <w:pPr>
              <w:spacing w:after="0"/>
              <w:rPr>
                <w:sz w:val="1"/>
                <w:szCs w:val="1"/>
                <w:color w:val="auto"/>
              </w:rPr>
            </w:pPr>
          </w:p>
        </w:tc>
      </w:tr>
      <w:tr>
        <w:trPr>
          <w:trHeight w:val="20"/>
        </w:trPr>
        <w:tc>
          <w:tcPr>
            <w:tcW w:w="67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16" w:right="239" w:bottom="1440" w:gutter="0" w:footer="0" w:header="0"/>
        </w:sectPr>
      </w:pPr>
    </w:p>
    <w:p>
      <w:pPr>
        <w:spacing w:after="0" w:line="2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20</w:t>
      </w:r>
    </w:p>
    <w:p>
      <w:pPr>
        <w:sectPr>
          <w:pgSz w:w="11900" w:h="16838" w:orient="portrait"/>
          <w:cols w:equalWidth="0" w:num="1">
            <w:col w:w="11420"/>
          </w:cols>
          <w:pgMar w:left="240" w:top="116" w:right="239" w:bottom="1440" w:gutter="0" w:footer="0" w:header="0"/>
          <w:type w:val="continuous"/>
        </w:sectPr>
      </w:pPr>
    </w:p>
    <w:bookmarkStart w:id="20" w:name="page21"/>
    <w:bookmarkEnd w:id="20"/>
    <w:p>
      <w:pPr>
        <w:ind w:right="3820"/>
        <w:spacing w:after="0" w:line="305" w:lineRule="auto"/>
        <w:rPr>
          <w:sz w:val="20"/>
          <w:szCs w:val="20"/>
          <w:color w:val="auto"/>
        </w:rPr>
      </w:pPr>
      <w:r>
        <w:rPr>
          <w:rFonts w:ascii="Arial" w:cs="Arial" w:eastAsia="Arial" w:hAnsi="Arial"/>
          <w:sz w:val="22"/>
          <w:szCs w:val="22"/>
          <w:b w:val="1"/>
          <w:bCs w:val="1"/>
          <w:color w:val="00497F"/>
        </w:rPr>
        <w:t xml:space="preserve">FORTRESS TRANSPORTATION AND INFRASTRUCTURE INVESTORS LLC NOTES TO CONSOLIDATED FINANCIAL STATEMENTS </w:t>
      </w:r>
      <w:r>
        <w:rPr>
          <w:rFonts w:ascii="Arial" w:cs="Arial" w:eastAsia="Arial" w:hAnsi="Arial"/>
          <w:sz w:val="22"/>
          <w:szCs w:val="22"/>
          <w:b w:val="1"/>
          <w:bCs w:val="1"/>
          <w:i w:val="1"/>
          <w:iCs w:val="1"/>
          <w:color w:val="00497F"/>
        </w:rPr>
        <w:t>(unaudited)</w:t>
      </w:r>
    </w:p>
    <w:p>
      <w:pPr>
        <w:spacing w:after="0"/>
        <w:rPr>
          <w:sz w:val="20"/>
          <w:szCs w:val="20"/>
          <w:color w:val="auto"/>
        </w:rPr>
      </w:pPr>
      <w:r>
        <w:rPr>
          <w:rFonts w:ascii="Arial" w:cs="Arial" w:eastAsia="Arial" w:hAnsi="Arial"/>
          <w:sz w:val="18"/>
          <w:szCs w:val="18"/>
          <w:i w:val="1"/>
          <w:iCs w:val="1"/>
          <w:color w:val="00497F"/>
        </w:rPr>
        <w:t>(Dollar amounts in thousands, unless otherwise noted)</w:t>
      </w:r>
    </w:p>
    <w:p>
      <w:pPr>
        <w:spacing w:after="0" w:line="397" w:lineRule="exact"/>
        <w:rPr>
          <w:sz w:val="20"/>
          <w:szCs w:val="20"/>
          <w:color w:val="auto"/>
        </w:rPr>
      </w:pPr>
    </w:p>
    <w:p>
      <w:pPr>
        <w:jc w:val="both"/>
        <w:ind w:left="340"/>
        <w:spacing w:after="0" w:line="255" w:lineRule="auto"/>
        <w:rPr>
          <w:sz w:val="20"/>
          <w:szCs w:val="20"/>
          <w:color w:val="auto"/>
        </w:rPr>
      </w:pPr>
      <w:r>
        <w:rPr>
          <w:rFonts w:ascii="Arial" w:cs="Arial" w:eastAsia="Arial" w:hAnsi="Arial"/>
          <w:sz w:val="16"/>
          <w:szCs w:val="16"/>
          <w:b w:val="1"/>
          <w:bCs w:val="1"/>
          <w:i w:val="1"/>
          <w:iCs w:val="1"/>
          <w:color w:val="00497F"/>
        </w:rPr>
        <w:t>FTAI Pride Credit Agreement</w:t>
      </w:r>
      <w:r>
        <w:rPr>
          <w:rFonts w:ascii="Arial" w:cs="Arial" w:eastAsia="Arial" w:hAnsi="Arial"/>
          <w:sz w:val="16"/>
          <w:szCs w:val="16"/>
          <w:color w:val="00497F"/>
        </w:rPr>
        <w:t>—</w:t>
      </w:r>
      <w:r>
        <w:rPr>
          <w:rFonts w:ascii="Arial" w:cs="Arial" w:eastAsia="Arial" w:hAnsi="Arial"/>
          <w:sz w:val="16"/>
          <w:szCs w:val="16"/>
          <w:color w:val="000000"/>
        </w:rPr>
        <w:t>On September 15, 2014, FTAI Pride, LLC, (“FTAI Pride”) a subsidiary of the Company entered into a credit agreement</w:t>
      </w:r>
      <w:r>
        <w:rPr>
          <w:rFonts w:ascii="Arial" w:cs="Arial" w:eastAsia="Arial" w:hAnsi="Arial"/>
          <w:sz w:val="16"/>
          <w:szCs w:val="16"/>
          <w:b w:val="1"/>
          <w:bCs w:val="1"/>
          <w:i w:val="1"/>
          <w:iCs w:val="1"/>
          <w:color w:val="00497F"/>
        </w:rPr>
        <w:t xml:space="preserve"> </w:t>
      </w:r>
      <w:r>
        <w:rPr>
          <w:rFonts w:ascii="Arial" w:cs="Arial" w:eastAsia="Arial" w:hAnsi="Arial"/>
          <w:sz w:val="16"/>
          <w:szCs w:val="16"/>
          <w:color w:val="000000"/>
        </w:rPr>
        <w:t>(the “FTAI Pride Credit Agreement”) with a financial institution for a term loan in an aggregate amount of $75,000. The loan proceeds were used in connection with the acquisition of an offshore construction vessel. The FTAI Pride Credit Agreement requires quarterly payments of interest and scheduled principal payments of $1,562 beginning in the quarter ending December 31, 2015, through its maturity and can be prepaid without penalty at any time. The FTAI Pride Credit Agreement is secured on a first priority basis by the offshore construction vessel. Borrowings under the FTAI Pride Credit Agreement bear interest at the LIBOR rate plus a spread of 4.50%.</w:t>
      </w:r>
    </w:p>
    <w:p>
      <w:pPr>
        <w:spacing w:after="0" w:line="124" w:lineRule="exact"/>
        <w:rPr>
          <w:sz w:val="20"/>
          <w:szCs w:val="20"/>
          <w:color w:val="auto"/>
        </w:rPr>
      </w:pPr>
    </w:p>
    <w:p>
      <w:pPr>
        <w:jc w:val="both"/>
        <w:ind w:left="340"/>
        <w:spacing w:after="0" w:line="269" w:lineRule="auto"/>
        <w:rPr>
          <w:sz w:val="20"/>
          <w:szCs w:val="20"/>
          <w:color w:val="auto"/>
        </w:rPr>
      </w:pPr>
      <w:r>
        <w:rPr>
          <w:rFonts w:ascii="Arial" w:cs="Arial" w:eastAsia="Arial" w:hAnsi="Arial"/>
          <w:sz w:val="16"/>
          <w:szCs w:val="16"/>
          <w:color w:val="auto"/>
        </w:rPr>
        <w:t>The FTAI Pride Credit Agreement contains affirmative and negative covenants which limit certain actions of the borrower and a financial covenant requiring the borrower to maintain a Fixed Charges Coverage Ratio, as defined, of not less than 1.15:1.00 in any twelve month period ending December 31, 2014, or later.</w:t>
      </w:r>
    </w:p>
    <w:p>
      <w:pPr>
        <w:spacing w:after="0" w:line="111" w:lineRule="exact"/>
        <w:rPr>
          <w:sz w:val="20"/>
          <w:szCs w:val="20"/>
          <w:color w:val="auto"/>
        </w:rPr>
      </w:pPr>
    </w:p>
    <w:p>
      <w:pPr>
        <w:jc w:val="both"/>
        <w:ind w:left="340"/>
        <w:spacing w:after="0" w:line="257" w:lineRule="auto"/>
        <w:rPr>
          <w:sz w:val="20"/>
          <w:szCs w:val="20"/>
          <w:color w:val="auto"/>
        </w:rPr>
      </w:pPr>
      <w:r>
        <w:rPr>
          <w:rFonts w:ascii="Arial" w:cs="Arial" w:eastAsia="Arial" w:hAnsi="Arial"/>
          <w:sz w:val="16"/>
          <w:szCs w:val="16"/>
          <w:b w:val="1"/>
          <w:bCs w:val="1"/>
          <w:i w:val="1"/>
          <w:iCs w:val="1"/>
          <w:color w:val="00497F"/>
        </w:rPr>
        <w:t>CMQR Credit Agreement</w:t>
      </w:r>
      <w:r>
        <w:rPr>
          <w:rFonts w:ascii="Arial" w:cs="Arial" w:eastAsia="Arial" w:hAnsi="Arial"/>
          <w:sz w:val="16"/>
          <w:szCs w:val="16"/>
          <w:color w:val="00497F"/>
        </w:rPr>
        <w:t>—</w:t>
      </w:r>
      <w:r>
        <w:rPr>
          <w:rFonts w:ascii="Arial" w:cs="Arial" w:eastAsia="Arial" w:hAnsi="Arial"/>
          <w:sz w:val="16"/>
          <w:szCs w:val="16"/>
          <w:color w:val="000000"/>
        </w:rPr>
        <w:t>On June 30, 2017, CMQR amended its credit agreement (the “CMQR Credit Agreement”) with a financial institution for a</w:t>
      </w:r>
      <w:r>
        <w:rPr>
          <w:rFonts w:ascii="Arial" w:cs="Arial" w:eastAsia="Arial" w:hAnsi="Arial"/>
          <w:sz w:val="16"/>
          <w:szCs w:val="16"/>
          <w:b w:val="1"/>
          <w:bCs w:val="1"/>
          <w:i w:val="1"/>
          <w:iCs w:val="1"/>
          <w:color w:val="00497F"/>
        </w:rPr>
        <w:t xml:space="preserve"> </w:t>
      </w:r>
      <w:r>
        <w:rPr>
          <w:rFonts w:ascii="Arial" w:cs="Arial" w:eastAsia="Arial" w:hAnsi="Arial"/>
          <w:sz w:val="16"/>
          <w:szCs w:val="16"/>
          <w:color w:val="000000"/>
        </w:rPr>
        <w:t>revolving line of credit to increase the aggregate amount from $20,000 to $25,000 and to extend the maturity date to September 18, 2019. Borrowings under the CMQR Credit Agreement bear interest at either (i) Adjusted LIBOR plus a spread of 2.50% or 4.50%, (ii) the U.S. or Canadian Base Rate plus a spread of 1.50% or 3.50%, or (iii) the Canadian Fixed Rate plus a spread of 2.50% or 4.50%, as defined by the CMQR Credit Agreement. The weighted-average effective interest rate as of September 30, 2017 was 3.61%.</w:t>
      </w:r>
    </w:p>
    <w:p>
      <w:pPr>
        <w:spacing w:after="0" w:line="122" w:lineRule="exact"/>
        <w:rPr>
          <w:sz w:val="20"/>
          <w:szCs w:val="20"/>
          <w:color w:val="auto"/>
        </w:rPr>
      </w:pPr>
    </w:p>
    <w:p>
      <w:pPr>
        <w:jc w:val="both"/>
        <w:ind w:left="340"/>
        <w:spacing w:after="0" w:line="261" w:lineRule="auto"/>
        <w:rPr>
          <w:sz w:val="20"/>
          <w:szCs w:val="20"/>
          <w:color w:val="auto"/>
        </w:rPr>
      </w:pPr>
      <w:r>
        <w:rPr>
          <w:rFonts w:ascii="Arial" w:cs="Arial" w:eastAsia="Arial" w:hAnsi="Arial"/>
          <w:sz w:val="16"/>
          <w:szCs w:val="16"/>
          <w:color w:val="auto"/>
        </w:rPr>
        <w:t>The CMQR Credit Agreement is also indirectly supported by Fortress Transportation and Infrastructure Investors LLC (the “Sponsor”). In the event of a default under the credit agreement, CMQR’s lenders can cause CMQR to call up to a total of $29,000 in capital from the Sponsor, and in the event of CMQR’s bankruptcy, the lenders can put the debt back to the Sponsor. The CMQR Credit Agreement contains affirmative and negative covenants which limit certain actions of CMQR.</w:t>
      </w:r>
    </w:p>
    <w:p>
      <w:pPr>
        <w:spacing w:after="0" w:line="118" w:lineRule="exact"/>
        <w:rPr>
          <w:sz w:val="20"/>
          <w:szCs w:val="20"/>
          <w:color w:val="auto"/>
        </w:rPr>
      </w:pPr>
    </w:p>
    <w:p>
      <w:pPr>
        <w:jc w:val="both"/>
        <w:ind w:left="340"/>
        <w:spacing w:after="0" w:line="255" w:lineRule="auto"/>
        <w:rPr>
          <w:sz w:val="20"/>
          <w:szCs w:val="20"/>
          <w:color w:val="auto"/>
        </w:rPr>
      </w:pPr>
      <w:r>
        <w:rPr>
          <w:rFonts w:ascii="Arial" w:cs="Arial" w:eastAsia="Arial" w:hAnsi="Arial"/>
          <w:sz w:val="16"/>
          <w:szCs w:val="16"/>
          <w:b w:val="1"/>
          <w:bCs w:val="1"/>
          <w:i w:val="1"/>
          <w:iCs w:val="1"/>
          <w:color w:val="00497F"/>
        </w:rPr>
        <w:t>Jefferson Terminal Credit Agreement</w:t>
      </w:r>
      <w:r>
        <w:rPr>
          <w:rFonts w:ascii="Arial" w:cs="Arial" w:eastAsia="Arial" w:hAnsi="Arial"/>
          <w:sz w:val="16"/>
          <w:szCs w:val="16"/>
          <w:color w:val="00497F"/>
        </w:rPr>
        <w:t>—</w:t>
      </w:r>
      <w:r>
        <w:rPr>
          <w:rFonts w:ascii="Arial" w:cs="Arial" w:eastAsia="Arial" w:hAnsi="Arial"/>
          <w:sz w:val="16"/>
          <w:szCs w:val="16"/>
          <w:color w:val="000000"/>
        </w:rPr>
        <w:t>On August 27, 2014, a subsidiary of the Company entered into a credit agreement (the “Jefferson Terminal</w:t>
      </w:r>
      <w:r>
        <w:rPr>
          <w:rFonts w:ascii="Arial" w:cs="Arial" w:eastAsia="Arial" w:hAnsi="Arial"/>
          <w:sz w:val="16"/>
          <w:szCs w:val="16"/>
          <w:b w:val="1"/>
          <w:bCs w:val="1"/>
          <w:i w:val="1"/>
          <w:iCs w:val="1"/>
          <w:color w:val="00497F"/>
        </w:rPr>
        <w:t xml:space="preserve"> </w:t>
      </w:r>
      <w:r>
        <w:rPr>
          <w:rFonts w:ascii="Arial" w:cs="Arial" w:eastAsia="Arial" w:hAnsi="Arial"/>
          <w:sz w:val="16"/>
          <w:szCs w:val="16"/>
          <w:color w:val="000000"/>
        </w:rPr>
        <w:t>Credit Agreement”) with a financial institution for an aggregate amount of $100,000. The Jefferson Terminal Credit Agreement required quarterly payments of $250 beginning with the quarter ending December 31, 2014, with such quarterly payments increasing to $1,250 beginning with the quarter ending December 31, 2016, and could be prepaid or repaid at any time prior to its maturity on February 27, 2018. On March 8, 2016, all amounts outstanding under the Jefferson Terminal Credit Agreement were paid in full and such agreement was terminated. Accordingly, during the first quarter of 2016, the Company recorded a loss on extinguishment of debt of $1,579.</w:t>
      </w:r>
    </w:p>
    <w:p>
      <w:pPr>
        <w:spacing w:after="0" w:line="124" w:lineRule="exact"/>
        <w:rPr>
          <w:sz w:val="20"/>
          <w:szCs w:val="20"/>
          <w:color w:val="auto"/>
        </w:rPr>
      </w:pPr>
    </w:p>
    <w:p>
      <w:pPr>
        <w:jc w:val="both"/>
        <w:ind w:left="340"/>
        <w:spacing w:after="0" w:line="255" w:lineRule="auto"/>
        <w:rPr>
          <w:sz w:val="20"/>
          <w:szCs w:val="20"/>
          <w:color w:val="auto"/>
        </w:rPr>
      </w:pPr>
      <w:r>
        <w:rPr>
          <w:rFonts w:ascii="Arial" w:cs="Arial" w:eastAsia="Arial" w:hAnsi="Arial"/>
          <w:sz w:val="16"/>
          <w:szCs w:val="16"/>
          <w:b w:val="1"/>
          <w:bCs w:val="1"/>
          <w:i w:val="1"/>
          <w:iCs w:val="1"/>
          <w:color w:val="00497F"/>
        </w:rPr>
        <w:t>Series 2012 Bonds</w:t>
      </w:r>
      <w:r>
        <w:rPr>
          <w:rFonts w:ascii="Arial" w:cs="Arial" w:eastAsia="Arial" w:hAnsi="Arial"/>
          <w:sz w:val="16"/>
          <w:szCs w:val="16"/>
          <w:color w:val="00497F"/>
        </w:rPr>
        <w:t>—</w:t>
      </w:r>
      <w:r>
        <w:rPr>
          <w:rFonts w:ascii="Arial" w:cs="Arial" w:eastAsia="Arial" w:hAnsi="Arial"/>
          <w:sz w:val="16"/>
          <w:szCs w:val="16"/>
          <w:color w:val="000000"/>
        </w:rPr>
        <w:t>On August 1, 2012, Jefferson County Development Corporation issued $46,875 of tax-exempt industrial bonds (“Series 2012</w:t>
      </w:r>
      <w:r>
        <w:rPr>
          <w:rFonts w:ascii="Arial" w:cs="Arial" w:eastAsia="Arial" w:hAnsi="Arial"/>
          <w:sz w:val="16"/>
          <w:szCs w:val="16"/>
          <w:b w:val="1"/>
          <w:bCs w:val="1"/>
          <w:i w:val="1"/>
          <w:iCs w:val="1"/>
          <w:color w:val="00497F"/>
        </w:rPr>
        <w:t xml:space="preserve"> </w:t>
      </w:r>
      <w:r>
        <w:rPr>
          <w:rFonts w:ascii="Arial" w:cs="Arial" w:eastAsia="Arial" w:hAnsi="Arial"/>
          <w:sz w:val="16"/>
          <w:szCs w:val="16"/>
          <w:color w:val="000000"/>
        </w:rPr>
        <w:t>Bonds”), to specifically fund construction and operation of an intermodal transfer facility for crude oil and refined petroleum products. The proceeds of this issuance were loaned to Jefferson Terminal, to be held in trust, as restricted cash, to ensure adherence to the restrictions of use of the funds. Use of the proceeds requires approval from a trustee prior to release of funds. Such restricted cash may only be released to us after payment of applicable reserves, including a six-month interest reserve, and expenses, as determined by the trustee. The Series 2012 Bonds have a stated maturity of July 1, 2032, bear interest at 8.25%, and require scheduled principal payments. The principal of the Series 2012 Bonds is payable annually at varying amounts.</w:t>
      </w:r>
    </w:p>
    <w:p>
      <w:pPr>
        <w:spacing w:after="0" w:line="124" w:lineRule="exact"/>
        <w:rPr>
          <w:sz w:val="20"/>
          <w:szCs w:val="20"/>
          <w:color w:val="auto"/>
        </w:rPr>
      </w:pPr>
    </w:p>
    <w:p>
      <w:pPr>
        <w:jc w:val="both"/>
        <w:ind w:left="340"/>
        <w:spacing w:after="0" w:line="269" w:lineRule="auto"/>
        <w:rPr>
          <w:sz w:val="20"/>
          <w:szCs w:val="20"/>
          <w:color w:val="auto"/>
        </w:rPr>
      </w:pPr>
      <w:r>
        <w:rPr>
          <w:rFonts w:ascii="Arial" w:cs="Arial" w:eastAsia="Arial" w:hAnsi="Arial"/>
          <w:sz w:val="16"/>
          <w:szCs w:val="16"/>
          <w:color w:val="auto"/>
        </w:rPr>
        <w:t>In connection with the Company’s acquisition of Jefferson Terminal, the Series 2012 Bonds were recorded at a fair value of $48,554, which represented a premium of $1,823 as compared to their face value at the date of acquisition; such premium is being amortized using the effective interest method over the remaining contractual term of the Series 2012 Bonds.</w:t>
      </w:r>
    </w:p>
    <w:p>
      <w:pPr>
        <w:spacing w:after="0" w:line="111" w:lineRule="exact"/>
        <w:rPr>
          <w:sz w:val="20"/>
          <w:szCs w:val="20"/>
          <w:color w:val="auto"/>
        </w:rPr>
      </w:pPr>
    </w:p>
    <w:p>
      <w:pPr>
        <w:jc w:val="both"/>
        <w:ind w:left="340"/>
        <w:spacing w:after="0" w:line="291" w:lineRule="auto"/>
        <w:rPr>
          <w:sz w:val="20"/>
          <w:szCs w:val="20"/>
          <w:color w:val="auto"/>
        </w:rPr>
      </w:pPr>
      <w:r>
        <w:rPr>
          <w:rFonts w:ascii="Arial" w:cs="Arial" w:eastAsia="Arial" w:hAnsi="Arial"/>
          <w:sz w:val="16"/>
          <w:szCs w:val="16"/>
          <w:color w:val="auto"/>
        </w:rPr>
        <w:t>The Series 2012 Bond agreement contains a financial covenant requiring a subsidiary of the Company to maintain a long-term debt service coverage ratio, as defined in the agreement, of 1.25 to 1, in each fiscal year, beginning with December 31, 2014.</w:t>
      </w:r>
    </w:p>
    <w:p>
      <w:pPr>
        <w:spacing w:after="0" w:line="94" w:lineRule="exact"/>
        <w:rPr>
          <w:sz w:val="20"/>
          <w:szCs w:val="20"/>
          <w:color w:val="auto"/>
        </w:rPr>
      </w:pPr>
    </w:p>
    <w:p>
      <w:pPr>
        <w:jc w:val="both"/>
        <w:ind w:left="340"/>
        <w:spacing w:after="0" w:line="253" w:lineRule="auto"/>
        <w:rPr>
          <w:sz w:val="20"/>
          <w:szCs w:val="20"/>
          <w:color w:val="auto"/>
        </w:rPr>
      </w:pPr>
      <w:r>
        <w:rPr>
          <w:rFonts w:ascii="Arial" w:cs="Arial" w:eastAsia="Arial" w:hAnsi="Arial"/>
          <w:sz w:val="16"/>
          <w:szCs w:val="16"/>
          <w:b w:val="1"/>
          <w:bCs w:val="1"/>
          <w:i w:val="1"/>
          <w:iCs w:val="1"/>
          <w:color w:val="00497F"/>
        </w:rPr>
        <w:t>Series 2016 Bonds</w:t>
      </w:r>
      <w:r>
        <w:rPr>
          <w:rFonts w:ascii="Arial" w:cs="Arial" w:eastAsia="Arial" w:hAnsi="Arial"/>
          <w:sz w:val="16"/>
          <w:szCs w:val="16"/>
          <w:color w:val="00497F"/>
        </w:rPr>
        <w:t>—</w:t>
      </w:r>
      <w:r>
        <w:rPr>
          <w:rFonts w:ascii="Arial" w:cs="Arial" w:eastAsia="Arial" w:hAnsi="Arial"/>
          <w:sz w:val="16"/>
          <w:szCs w:val="16"/>
          <w:color w:val="000000"/>
        </w:rPr>
        <w:t>On March 7, 2016, the Port of Beaumont Navigation District of Jefferson County, Texas (the “District”) issued $144,200 of Dock and</w:t>
      </w:r>
      <w:r>
        <w:rPr>
          <w:rFonts w:ascii="Arial" w:cs="Arial" w:eastAsia="Arial" w:hAnsi="Arial"/>
          <w:sz w:val="16"/>
          <w:szCs w:val="16"/>
          <w:b w:val="1"/>
          <w:bCs w:val="1"/>
          <w:i w:val="1"/>
          <w:iCs w:val="1"/>
          <w:color w:val="00497F"/>
        </w:rPr>
        <w:t xml:space="preserve"> </w:t>
      </w:r>
      <w:r>
        <w:rPr>
          <w:rFonts w:ascii="Arial" w:cs="Arial" w:eastAsia="Arial" w:hAnsi="Arial"/>
          <w:sz w:val="16"/>
          <w:szCs w:val="16"/>
          <w:color w:val="000000"/>
        </w:rPr>
        <w:t>Wharf Facility Revenue Bonds, Series 2016 (Jefferson Energy Companies Project) (the “Series 2016 Bonds”). Proceeds from the issuance of the Series 2016 Bonds were used, in part, to reimburse Jefferson Railport Terminal II, LLC (“Jefferson Railport II”) for certain costs related to the development, construction and acquisition of certain facilities for the transport, loading, unloading, and storage of petroleum products (the “Facilities”) on behalf of the District, and settle the Jefferson Terminal Credit Agreement. Construction of the Facilities has occurred, and will occur, on property leased by the District to Jefferson Railport II pursuant to a First Amended and Restated Ground Lease between Jefferson Railport II, as lessee, and the District, as lessor. All such Facilities will be leased by the District to Jefferson Railport II pursuant to a Lease and Development Agreement between the District and Jefferson Railport II.</w:t>
      </w:r>
    </w:p>
    <w:p>
      <w:pPr>
        <w:spacing w:after="0" w:line="317" w:lineRule="exact"/>
        <w:rPr>
          <w:sz w:val="20"/>
          <w:szCs w:val="20"/>
          <w:color w:val="auto"/>
        </w:rPr>
      </w:pPr>
    </w:p>
    <w:p>
      <w:pPr>
        <w:jc w:val="both"/>
        <w:ind w:left="340"/>
        <w:spacing w:after="0" w:line="255" w:lineRule="auto"/>
        <w:rPr>
          <w:sz w:val="20"/>
          <w:szCs w:val="20"/>
          <w:color w:val="auto"/>
        </w:rPr>
      </w:pPr>
      <w:r>
        <w:rPr>
          <w:rFonts w:ascii="Arial" w:cs="Arial" w:eastAsia="Arial" w:hAnsi="Arial"/>
          <w:sz w:val="16"/>
          <w:szCs w:val="16"/>
          <w:color w:val="auto"/>
        </w:rPr>
        <w:t>The transaction described above did not qualify for sale-leaseback accounting due to the continuing involvement of the Company resulting from the mandatory tender feature and, as a result, the leases were classified as a financing transaction in the Company’s consolidated financial statements. Under the financing method, the assets constructed or to be constructed will remain on the consolidated balance sheet and the net proceeds received by the Company are recorded as financial debt. Payments under these leases are recorded as interest expense and reduction of principal in accordance with the terms of the bond agreement with annual interest payments and a principal repayment at February 13, 2020 barring a remarketing of the bond on new terms.</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21</w:t>
      </w:r>
    </w:p>
    <w:p>
      <w:pPr>
        <w:sectPr>
          <w:pgSz w:w="11900" w:h="16838" w:orient="portrait"/>
          <w:cols w:equalWidth="0" w:num="1">
            <w:col w:w="11420"/>
          </w:cols>
          <w:pgMar w:left="240" w:top="117" w:right="239" w:bottom="1440" w:gutter="0" w:footer="0" w:header="0"/>
        </w:sectPr>
      </w:pPr>
    </w:p>
    <w:bookmarkStart w:id="21" w:name="page22"/>
    <w:bookmarkEnd w:id="21"/>
    <w:p>
      <w:pPr>
        <w:ind w:right="3820"/>
        <w:spacing w:after="0" w:line="305" w:lineRule="auto"/>
        <w:rPr>
          <w:sz w:val="20"/>
          <w:szCs w:val="20"/>
          <w:color w:val="auto"/>
        </w:rPr>
      </w:pPr>
      <w:r>
        <w:rPr>
          <w:rFonts w:ascii="Arial" w:cs="Arial" w:eastAsia="Arial" w:hAnsi="Arial"/>
          <w:sz w:val="22"/>
          <w:szCs w:val="22"/>
          <w:b w:val="1"/>
          <w:bCs w:val="1"/>
          <w:color w:val="00497F"/>
        </w:rPr>
        <w:t xml:space="preserve">FORTRESS TRANSPORTATION AND INFRASTRUCTURE INVESTORS LLC NOTES TO CONSOLIDATED FINANCIAL STATEMENTS </w:t>
      </w:r>
      <w:r>
        <w:rPr>
          <w:rFonts w:ascii="Arial" w:cs="Arial" w:eastAsia="Arial" w:hAnsi="Arial"/>
          <w:sz w:val="22"/>
          <w:szCs w:val="22"/>
          <w:b w:val="1"/>
          <w:bCs w:val="1"/>
          <w:i w:val="1"/>
          <w:iCs w:val="1"/>
          <w:color w:val="00497F"/>
        </w:rPr>
        <w:t>(unaudited)</w:t>
      </w:r>
    </w:p>
    <w:p>
      <w:pPr>
        <w:spacing w:after="0"/>
        <w:rPr>
          <w:sz w:val="20"/>
          <w:szCs w:val="20"/>
          <w:color w:val="auto"/>
        </w:rPr>
      </w:pPr>
      <w:r>
        <w:rPr>
          <w:rFonts w:ascii="Arial" w:cs="Arial" w:eastAsia="Arial" w:hAnsi="Arial"/>
          <w:sz w:val="18"/>
          <w:szCs w:val="18"/>
          <w:i w:val="1"/>
          <w:iCs w:val="1"/>
          <w:color w:val="00497F"/>
        </w:rPr>
        <w:t>(Dollar amounts in thousands, unless otherwise noted)</w:t>
      </w:r>
    </w:p>
    <w:p>
      <w:pPr>
        <w:spacing w:after="0" w:line="397" w:lineRule="exact"/>
        <w:rPr>
          <w:sz w:val="20"/>
          <w:szCs w:val="20"/>
          <w:color w:val="auto"/>
        </w:rPr>
      </w:pPr>
    </w:p>
    <w:p>
      <w:pPr>
        <w:jc w:val="both"/>
        <w:ind w:left="340"/>
        <w:spacing w:after="0" w:line="253" w:lineRule="auto"/>
        <w:rPr>
          <w:sz w:val="20"/>
          <w:szCs w:val="20"/>
          <w:color w:val="auto"/>
        </w:rPr>
      </w:pPr>
      <w:r>
        <w:rPr>
          <w:rFonts w:ascii="Arial" w:cs="Arial" w:eastAsia="Arial" w:hAnsi="Arial"/>
          <w:sz w:val="16"/>
          <w:szCs w:val="16"/>
          <w:color w:val="auto"/>
        </w:rPr>
        <w:t>Under a Capital Call Agreement, the Company has agreed to make funds available to Jefferson Holdings in order to satisfy its obligation under the Standby Bond Purchase Agreement. The Capital Call Agreement contains certain covenants applicable to the Company, including a negative lien covenant regarding Aviation Assets, as defined therein, as well as maintenance of a minimum total asset value of Aviation Assets and minimum total equity of the Company. In connection with the above, and related to the Series 2016 Bonds, a subsidiary of the Company and an affiliate of its Manager entered into a Fee and Support Agreement with FTAI Energy Partners LLC and certain of its subsidiaries. The Fee and Support Agreement provides that both such subsidiary of the Company and affiliate of the Manager will effectively guarantee a pro rata portion of the obligations under the Standby Bond Purchase Agreement in return for a guarantee fee of $6,873 (shared on the same pro rata basis). This fee will be amortized as interest expense to the earlier of the redemption date or February 13, 2020.</w:t>
      </w:r>
    </w:p>
    <w:p>
      <w:pPr>
        <w:spacing w:after="0" w:line="123" w:lineRule="exact"/>
        <w:rPr>
          <w:sz w:val="20"/>
          <w:szCs w:val="20"/>
          <w:color w:val="auto"/>
        </w:rPr>
      </w:pPr>
    </w:p>
    <w:p>
      <w:pPr>
        <w:jc w:val="both"/>
        <w:ind w:left="340"/>
        <w:spacing w:after="0" w:line="253" w:lineRule="auto"/>
        <w:rPr>
          <w:sz w:val="20"/>
          <w:szCs w:val="20"/>
          <w:color w:val="auto"/>
        </w:rPr>
      </w:pPr>
      <w:r>
        <w:rPr>
          <w:rFonts w:ascii="Arial" w:cs="Arial" w:eastAsia="Arial" w:hAnsi="Arial"/>
          <w:sz w:val="16"/>
          <w:szCs w:val="16"/>
          <w:color w:val="auto"/>
        </w:rPr>
        <w:t>The Series 2016 Bonds bear interest at an initial rate of 7.25% and require scheduled interest payments. The Series 2016 Bonds have a stated maturity of February 1, 2036 but are subject to mandatory tender for purchase at par on February 13, 2020 if they have not been repurchased from proceeds of a remarketing of the Series 2016 Bonds or redeemed prior to such date. In the event all of the Series 2016 Bonds are not repurchased from proceeds of a remarketing or redeemed at February 13, 2020, Jefferson Railport and Jefferson Railport Terminal II Holdings LLC (“Jefferson Holdings”), a Delaware limited liability company and parent of Jefferson Railport II, have agreed to purchase the Series 2016 Bonds from the Holders thereof at par pursuant to a Standby Bond Purchase Agreement. In addition, pursuant to the Standby Purchase Agreement, Jefferson Holdings will guarantee the payment of all Rent (as defined in the Facilities Lease), and all principal of and premium and interest on the Series 2016 Bonds payable prior to repurchase or redemption at February 13, 2020.</w:t>
      </w:r>
    </w:p>
    <w:p>
      <w:pPr>
        <w:spacing w:after="0" w:line="123" w:lineRule="exact"/>
        <w:rPr>
          <w:sz w:val="20"/>
          <w:szCs w:val="20"/>
          <w:color w:val="auto"/>
        </w:rPr>
      </w:pPr>
    </w:p>
    <w:p>
      <w:pPr>
        <w:jc w:val="both"/>
        <w:ind w:left="340"/>
        <w:spacing w:after="0" w:line="252" w:lineRule="auto"/>
        <w:rPr>
          <w:sz w:val="20"/>
          <w:szCs w:val="20"/>
          <w:color w:val="auto"/>
        </w:rPr>
      </w:pPr>
      <w:r>
        <w:rPr>
          <w:rFonts w:ascii="Arial" w:cs="Arial" w:eastAsia="Arial" w:hAnsi="Arial"/>
          <w:sz w:val="16"/>
          <w:szCs w:val="16"/>
          <w:b w:val="1"/>
          <w:bCs w:val="1"/>
          <w:i w:val="1"/>
          <w:iCs w:val="1"/>
          <w:color w:val="00497F"/>
        </w:rPr>
        <w:t>Term Loan</w:t>
      </w:r>
      <w:r>
        <w:rPr>
          <w:rFonts w:ascii="Arial" w:cs="Arial" w:eastAsia="Arial" w:hAnsi="Arial"/>
          <w:sz w:val="16"/>
          <w:szCs w:val="16"/>
          <w:color w:val="00497F"/>
        </w:rPr>
        <w:t>—</w:t>
      </w:r>
      <w:r>
        <w:rPr>
          <w:rFonts w:ascii="Arial" w:cs="Arial" w:eastAsia="Arial" w:hAnsi="Arial"/>
          <w:sz w:val="16"/>
          <w:szCs w:val="16"/>
          <w:color w:val="000000"/>
        </w:rPr>
        <w:t>On January 23, 2017, the Company entered into an unsecured credit agreement under which the Company, through its wholly owned</w:t>
      </w:r>
      <w:r>
        <w:rPr>
          <w:rFonts w:ascii="Arial" w:cs="Arial" w:eastAsia="Arial" w:hAnsi="Arial"/>
          <w:sz w:val="16"/>
          <w:szCs w:val="16"/>
          <w:b w:val="1"/>
          <w:bCs w:val="1"/>
          <w:i w:val="1"/>
          <w:iCs w:val="1"/>
          <w:color w:val="00497F"/>
        </w:rPr>
        <w:t xml:space="preserve"> </w:t>
      </w:r>
      <w:r>
        <w:rPr>
          <w:rFonts w:ascii="Arial" w:cs="Arial" w:eastAsia="Arial" w:hAnsi="Arial"/>
          <w:sz w:val="16"/>
          <w:szCs w:val="16"/>
          <w:color w:val="000000"/>
        </w:rPr>
        <w:t>subsidiaries, including the Partnership and WWTAI Finance Ltd., an exempted company incorporated with limited liability under the laws of Bermuda, borrowed $100,000 in term loans denominated in U.S. dollars (the “Term Loans”). The proceeds of the Term Loan are to be used for general corporate purposes, including future acquisitions by the Company and its subsidiaries of certain aviation and infrastructure assets. The Term Loans bear interest at the Base Rate (determined in accordance with the agreement) plus 2.75% per annum, or at the Adjusted Eurodollar Rate (determined in accordance with the agreement) plus 3.75% per annum, if the Company chooses to make Eurodollar Rate borrowings. The Term Loans mature on January 22, 2018, subject to the Company’s right to elect a one year extension, and require amortization payments in the amount of $250 on the last day of each fiscal quarter beginning on March 31, 2017. On March 15, 2017, all amounts outstanding under the Term Loan were repaid in full and the agreement was terminated. Accordingly, during the nine months ended September 30, 2017, the Company recorded a loss on extinguishment of debt of $2,456.</w:t>
      </w:r>
    </w:p>
    <w:p>
      <w:pPr>
        <w:spacing w:after="0" w:line="125" w:lineRule="exact"/>
        <w:rPr>
          <w:sz w:val="20"/>
          <w:szCs w:val="20"/>
          <w:color w:val="auto"/>
        </w:rPr>
      </w:pPr>
    </w:p>
    <w:p>
      <w:pPr>
        <w:jc w:val="both"/>
        <w:ind w:left="340"/>
        <w:spacing w:after="0" w:line="261" w:lineRule="auto"/>
        <w:rPr>
          <w:sz w:val="20"/>
          <w:szCs w:val="20"/>
          <w:color w:val="auto"/>
        </w:rPr>
      </w:pPr>
      <w:r>
        <w:rPr>
          <w:rFonts w:ascii="Arial" w:cs="Arial" w:eastAsia="Arial" w:hAnsi="Arial"/>
          <w:sz w:val="16"/>
          <w:szCs w:val="16"/>
          <w:b w:val="1"/>
          <w:bCs w:val="1"/>
          <w:i w:val="1"/>
          <w:iCs w:val="1"/>
          <w:color w:val="00497F"/>
        </w:rPr>
        <w:t>Senior Notes</w:t>
      </w:r>
      <w:r>
        <w:rPr>
          <w:rFonts w:ascii="Arial" w:cs="Arial" w:eastAsia="Arial" w:hAnsi="Arial"/>
          <w:sz w:val="16"/>
          <w:szCs w:val="16"/>
          <w:color w:val="00497F"/>
        </w:rPr>
        <w:t>—</w:t>
      </w:r>
      <w:r>
        <w:rPr>
          <w:rFonts w:ascii="Arial" w:cs="Arial" w:eastAsia="Arial" w:hAnsi="Arial"/>
          <w:sz w:val="16"/>
          <w:szCs w:val="16"/>
          <w:color w:val="000000"/>
        </w:rPr>
        <w:t>On March 15, 2017, the Company issued $250,000 aggregate principal amount of 6.75% senior unsecured notes due 2022 (the “Senior</w:t>
      </w:r>
      <w:r>
        <w:rPr>
          <w:rFonts w:ascii="Arial" w:cs="Arial" w:eastAsia="Arial" w:hAnsi="Arial"/>
          <w:sz w:val="16"/>
          <w:szCs w:val="16"/>
          <w:b w:val="1"/>
          <w:bCs w:val="1"/>
          <w:i w:val="1"/>
          <w:iCs w:val="1"/>
          <w:color w:val="00497F"/>
        </w:rPr>
        <w:t xml:space="preserve"> </w:t>
      </w:r>
      <w:r>
        <w:rPr>
          <w:rFonts w:ascii="Arial" w:cs="Arial" w:eastAsia="Arial" w:hAnsi="Arial"/>
          <w:sz w:val="16"/>
          <w:szCs w:val="16"/>
          <w:color w:val="000000"/>
        </w:rPr>
        <w:t>Notes”). The Senior Notes were issued pursuant to an indenture, dated as of March 15, 2017, between the Company and U.S. Bank National Association, as trustee. On August 23, 2017, the Company issued an additional $100,000 of Senior Notes. The additional notes were issued at an offering price of 102.75% of the principal amount plus accrued interest from March 15, 2017 to the date of issuance.</w:t>
      </w:r>
    </w:p>
    <w:p>
      <w:pPr>
        <w:spacing w:after="0" w:line="118" w:lineRule="exact"/>
        <w:rPr>
          <w:sz w:val="20"/>
          <w:szCs w:val="20"/>
          <w:color w:val="auto"/>
        </w:rPr>
      </w:pPr>
    </w:p>
    <w:p>
      <w:pPr>
        <w:jc w:val="both"/>
        <w:ind w:left="340"/>
        <w:spacing w:after="0" w:line="291" w:lineRule="auto"/>
        <w:rPr>
          <w:sz w:val="20"/>
          <w:szCs w:val="20"/>
          <w:color w:val="auto"/>
        </w:rPr>
      </w:pPr>
      <w:r>
        <w:rPr>
          <w:rFonts w:ascii="Arial" w:cs="Arial" w:eastAsia="Arial" w:hAnsi="Arial"/>
          <w:sz w:val="16"/>
          <w:szCs w:val="16"/>
          <w:color w:val="auto"/>
        </w:rPr>
        <w:t>The Senior Notes bear interest at a rate of 6.75% per annum, payable semi-annually in arrears on March 15 and September 15 of each year, commencing on September 15, 2017, to persons who are registered holders of the Senior Notes on the immediately preceding March 1 and September 1, respectively.</w:t>
      </w:r>
    </w:p>
    <w:p>
      <w:pPr>
        <w:spacing w:after="0" w:line="94" w:lineRule="exact"/>
        <w:rPr>
          <w:sz w:val="20"/>
          <w:szCs w:val="20"/>
          <w:color w:val="auto"/>
        </w:rPr>
      </w:pPr>
    </w:p>
    <w:p>
      <w:pPr>
        <w:jc w:val="both"/>
        <w:ind w:left="340"/>
        <w:spacing w:after="0" w:line="253" w:lineRule="auto"/>
        <w:rPr>
          <w:sz w:val="20"/>
          <w:szCs w:val="20"/>
          <w:color w:val="auto"/>
        </w:rPr>
      </w:pPr>
      <w:r>
        <w:rPr>
          <w:rFonts w:ascii="Arial" w:cs="Arial" w:eastAsia="Arial" w:hAnsi="Arial"/>
          <w:sz w:val="16"/>
          <w:szCs w:val="16"/>
          <w:color w:val="auto"/>
        </w:rPr>
        <w:t>The Senior Notes mature on March 15, 2022. Prior to March 15, 2020, the Company may redeem some or all of the Senior Notes at a redemption price equal to 100.00% of the principal amount of the Senior Notes redeemed, plus accrued and unpaid interest, if any, to, but not including, the applicable redemption date, plus a “make-whole” premium. On or after March 15, 2020, the Company may redeem some or all of the Senior Notes at any time at declining redemption prices equal to (i) 105.063% beginning on March 15, 2020, and (ii) 100.000% beginning on March 15, 2021 and thereafter, plus, in each case, accrued and unpaid interest, if any, to, but not including, the applicable redemption date. In addition, at any time on or prior to March 15, 2020, the Company may at any time redeem up to 40% of the aggregate principal amount of the Senior Notes using net proceeds from certain equity offerings at a redemption price equal to 106.75% of the principal amount of the Senior Notes redeemed, plus accrued and unpaid interest, if any, to, but not including, the applicable redemption date.</w:t>
      </w:r>
    </w:p>
    <w:p>
      <w:pPr>
        <w:spacing w:after="0" w:line="123" w:lineRule="exact"/>
        <w:rPr>
          <w:sz w:val="20"/>
          <w:szCs w:val="20"/>
          <w:color w:val="auto"/>
        </w:rPr>
      </w:pPr>
    </w:p>
    <w:p>
      <w:pPr>
        <w:jc w:val="both"/>
        <w:ind w:left="340"/>
        <w:spacing w:after="0" w:line="269" w:lineRule="auto"/>
        <w:rPr>
          <w:sz w:val="20"/>
          <w:szCs w:val="20"/>
          <w:color w:val="auto"/>
        </w:rPr>
      </w:pPr>
      <w:r>
        <w:rPr>
          <w:rFonts w:ascii="Arial" w:cs="Arial" w:eastAsia="Arial" w:hAnsi="Arial"/>
          <w:sz w:val="16"/>
          <w:szCs w:val="16"/>
          <w:color w:val="auto"/>
        </w:rPr>
        <w:t>The Company used a portion of the proceeds to fully repay all outstanding indebtedness under the Company’s Term Loan in the amount of $100,000, payment of fees related to the issuance of Senior Notes, and to fund the purchase of additional investments. The Company intends to use the remainder of the proceeds for general corporate purposes, including the funding of future investments.</w:t>
      </w:r>
    </w:p>
    <w:p>
      <w:pPr>
        <w:spacing w:after="0" w:line="111" w:lineRule="exact"/>
        <w:rPr>
          <w:sz w:val="20"/>
          <w:szCs w:val="20"/>
          <w:color w:val="auto"/>
        </w:rPr>
      </w:pPr>
    </w:p>
    <w:p>
      <w:pPr>
        <w:jc w:val="both"/>
        <w:ind w:left="340"/>
        <w:spacing w:after="0" w:line="257" w:lineRule="auto"/>
        <w:rPr>
          <w:sz w:val="20"/>
          <w:szCs w:val="20"/>
          <w:color w:val="auto"/>
        </w:rPr>
      </w:pPr>
      <w:r>
        <w:rPr>
          <w:rFonts w:ascii="Arial" w:cs="Arial" w:eastAsia="Arial" w:hAnsi="Arial"/>
          <w:sz w:val="16"/>
          <w:szCs w:val="16"/>
          <w:b w:val="1"/>
          <w:bCs w:val="1"/>
          <w:i w:val="1"/>
          <w:iCs w:val="1"/>
          <w:color w:val="00497F"/>
        </w:rPr>
        <w:t xml:space="preserve">Revolving Credit Facility- </w:t>
      </w:r>
      <w:r>
        <w:rPr>
          <w:rFonts w:ascii="Arial" w:cs="Arial" w:eastAsia="Arial" w:hAnsi="Arial"/>
          <w:sz w:val="16"/>
          <w:szCs w:val="16"/>
          <w:color w:val="000000"/>
        </w:rPr>
        <w:t>On June 16, 2017, the Company entered into a revolving credit facility (the “Revolving Credit Facility”) with certain lenders and</w:t>
      </w:r>
      <w:r>
        <w:rPr>
          <w:rFonts w:ascii="Arial" w:cs="Arial" w:eastAsia="Arial" w:hAnsi="Arial"/>
          <w:sz w:val="16"/>
          <w:szCs w:val="16"/>
          <w:b w:val="1"/>
          <w:bCs w:val="1"/>
          <w:i w:val="1"/>
          <w:iCs w:val="1"/>
          <w:color w:val="00497F"/>
        </w:rPr>
        <w:t xml:space="preserve"> </w:t>
      </w:r>
      <w:r>
        <w:rPr>
          <w:rFonts w:ascii="Arial" w:cs="Arial" w:eastAsia="Arial" w:hAnsi="Arial"/>
          <w:sz w:val="16"/>
          <w:szCs w:val="16"/>
          <w:color w:val="000000"/>
        </w:rPr>
        <w:t>issuing banks and JPMorgan Chase Bank, N.A., as administrative agent. The Revolving Credit Facility provides for revolving loans in the aggregate principal amount of up to $75,000, of which $25,000 may be utilized for the issuance of letters of credit. The proceeds drawn on this facility will be used for working capital and general corporate purposes, including, without limitation, permitted acquisitions and other investments. The Revolving Credit Facility is secured by the capital stock of certain direct subsidiaries of the Company as defined in the related credit agreement.</w:t>
      </w: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22</w:t>
      </w:r>
    </w:p>
    <w:p>
      <w:pPr>
        <w:sectPr>
          <w:pgSz w:w="11900" w:h="16838" w:orient="portrait"/>
          <w:cols w:equalWidth="0" w:num="1">
            <w:col w:w="11420"/>
          </w:cols>
          <w:pgMar w:left="240" w:top="117" w:right="239" w:bottom="1440" w:gutter="0" w:footer="0" w:header="0"/>
        </w:sectPr>
      </w:pPr>
    </w:p>
    <w:bookmarkStart w:id="22" w:name="page23"/>
    <w:bookmarkEnd w:id="22"/>
    <w:p>
      <w:pPr>
        <w:ind w:right="3820"/>
        <w:spacing w:after="0" w:line="305" w:lineRule="auto"/>
        <w:rPr>
          <w:sz w:val="20"/>
          <w:szCs w:val="20"/>
          <w:color w:val="auto"/>
        </w:rPr>
      </w:pPr>
      <w:r>
        <w:rPr>
          <w:rFonts w:ascii="Arial" w:cs="Arial" w:eastAsia="Arial" w:hAnsi="Arial"/>
          <w:sz w:val="22"/>
          <w:szCs w:val="22"/>
          <w:b w:val="1"/>
          <w:bCs w:val="1"/>
          <w:color w:val="00497F"/>
        </w:rPr>
        <w:t xml:space="preserve">FORTRESS TRANSPORTATION AND INFRASTRUCTURE INVESTORS LLC NOTES TO CONSOLIDATED FINANCIAL STATEMENTS </w:t>
      </w:r>
      <w:r>
        <w:rPr>
          <w:rFonts w:ascii="Arial" w:cs="Arial" w:eastAsia="Arial" w:hAnsi="Arial"/>
          <w:sz w:val="22"/>
          <w:szCs w:val="22"/>
          <w:b w:val="1"/>
          <w:bCs w:val="1"/>
          <w:i w:val="1"/>
          <w:iCs w:val="1"/>
          <w:color w:val="00497F"/>
        </w:rPr>
        <w:t>(unaudited)</w:t>
      </w:r>
    </w:p>
    <w:p>
      <w:pPr>
        <w:spacing w:after="0"/>
        <w:rPr>
          <w:sz w:val="20"/>
          <w:szCs w:val="20"/>
          <w:color w:val="auto"/>
        </w:rPr>
      </w:pPr>
      <w:r>
        <w:rPr>
          <w:rFonts w:ascii="Arial" w:cs="Arial" w:eastAsia="Arial" w:hAnsi="Arial"/>
          <w:sz w:val="18"/>
          <w:szCs w:val="18"/>
          <w:i w:val="1"/>
          <w:iCs w:val="1"/>
          <w:color w:val="00497F"/>
        </w:rPr>
        <w:t>(Dollar amounts in thousands, unless otherwise noted)</w:t>
      </w:r>
    </w:p>
    <w:p>
      <w:pPr>
        <w:spacing w:after="0" w:line="397" w:lineRule="exact"/>
        <w:rPr>
          <w:sz w:val="20"/>
          <w:szCs w:val="20"/>
          <w:color w:val="auto"/>
        </w:rPr>
      </w:pPr>
    </w:p>
    <w:p>
      <w:pPr>
        <w:jc w:val="both"/>
        <w:ind w:left="340"/>
        <w:spacing w:after="0" w:line="261" w:lineRule="auto"/>
        <w:rPr>
          <w:sz w:val="20"/>
          <w:szCs w:val="20"/>
          <w:color w:val="auto"/>
        </w:rPr>
      </w:pPr>
      <w:r>
        <w:rPr>
          <w:rFonts w:ascii="Arial" w:cs="Arial" w:eastAsia="Arial" w:hAnsi="Arial"/>
          <w:sz w:val="16"/>
          <w:szCs w:val="16"/>
          <w:color w:val="auto"/>
        </w:rPr>
        <w:t>Borrowings outstanding under the Revolving Credit Facility bear interest at the Adjusted Eurodollar Rate (determined in accordance with the credit agreement) plus 3.00% per annum, if the Company chooses to make Eurodollar Rate borrowings, or at the Base Rate (determined in accordance with the credit agreement) plus 2.00% per annum. The Company will also be required to pay a quarterly commitment fee at a rate per annum equal to 0.50% on the average daily unused portion of the Revolving Credit Facility, as well as customary letter of credit fees and agency fees.</w:t>
      </w:r>
    </w:p>
    <w:p>
      <w:pPr>
        <w:spacing w:after="0" w:line="118" w:lineRule="exact"/>
        <w:rPr>
          <w:sz w:val="20"/>
          <w:szCs w:val="20"/>
          <w:color w:val="auto"/>
        </w:rPr>
      </w:pPr>
    </w:p>
    <w:p>
      <w:pPr>
        <w:jc w:val="both"/>
        <w:ind w:left="340"/>
        <w:spacing w:after="0" w:line="269" w:lineRule="auto"/>
        <w:rPr>
          <w:sz w:val="20"/>
          <w:szCs w:val="20"/>
          <w:color w:val="auto"/>
        </w:rPr>
      </w:pPr>
      <w:r>
        <w:rPr>
          <w:rFonts w:ascii="Arial" w:cs="Arial" w:eastAsia="Arial" w:hAnsi="Arial"/>
          <w:sz w:val="16"/>
          <w:szCs w:val="16"/>
          <w:color w:val="auto"/>
        </w:rPr>
        <w:t>The Revolving Credit Facility will mature, and commitments in respect of the Revolving Credit Facility will terminate, on June 16, 2020. Any amount borrowed under the Revolving Credit Facility may be voluntarily prepaid without penalty or premium, other than customary breakage costs related to prepayments of Eurodollar Rate borrowings.</w:t>
      </w:r>
    </w:p>
    <w:p>
      <w:pPr>
        <w:spacing w:after="0" w:line="111" w:lineRule="exact"/>
        <w:rPr>
          <w:sz w:val="20"/>
          <w:szCs w:val="20"/>
          <w:color w:val="auto"/>
        </w:rPr>
      </w:pPr>
    </w:p>
    <w:p>
      <w:pPr>
        <w:jc w:val="both"/>
        <w:ind w:left="340"/>
        <w:spacing w:after="0" w:line="269" w:lineRule="auto"/>
        <w:rPr>
          <w:sz w:val="20"/>
          <w:szCs w:val="20"/>
          <w:color w:val="auto"/>
        </w:rPr>
      </w:pPr>
      <w:r>
        <w:rPr>
          <w:rFonts w:ascii="Arial" w:cs="Arial" w:eastAsia="Arial" w:hAnsi="Arial"/>
          <w:sz w:val="16"/>
          <w:szCs w:val="16"/>
          <w:color w:val="auto"/>
        </w:rPr>
        <w:t>The Revolving Credit Facility includes financial covenants requiring the maintenance of (1) a minimum ratio of the appraised value of certain aviation assets to the aggregate commitments under the revolving credit facility of 3.00 to 1.00 and (2) a maximum ratio of debt to total equity (before reduction for minority interests) for the Company and its subsidiaries of 1.65 to 1.00 per the terms of the credit agreement.</w:t>
      </w:r>
    </w:p>
    <w:p>
      <w:pPr>
        <w:spacing w:after="0" w:line="124" w:lineRule="exact"/>
        <w:rPr>
          <w:sz w:val="20"/>
          <w:szCs w:val="20"/>
          <w:color w:val="auto"/>
        </w:rPr>
      </w:pPr>
    </w:p>
    <w:p>
      <w:pPr>
        <w:ind w:left="340"/>
        <w:spacing w:after="0"/>
        <w:rPr>
          <w:sz w:val="20"/>
          <w:szCs w:val="20"/>
          <w:color w:val="auto"/>
        </w:rPr>
      </w:pPr>
      <w:r>
        <w:rPr>
          <w:rFonts w:ascii="Arial" w:cs="Arial" w:eastAsia="Arial" w:hAnsi="Arial"/>
          <w:sz w:val="16"/>
          <w:szCs w:val="16"/>
          <w:color w:val="auto"/>
        </w:rPr>
        <w:t>At September 30, 2017, the Company had $60,000 of borrowings outstanding under the revolving credit facility.</w:t>
      </w:r>
    </w:p>
    <w:p>
      <w:pPr>
        <w:spacing w:after="0" w:line="343" w:lineRule="exact"/>
        <w:rPr>
          <w:sz w:val="20"/>
          <w:szCs w:val="20"/>
          <w:color w:val="auto"/>
        </w:rPr>
      </w:pPr>
    </w:p>
    <w:p>
      <w:pPr>
        <w:jc w:val="both"/>
        <w:ind w:left="340"/>
        <w:spacing w:after="0" w:line="261" w:lineRule="auto"/>
        <w:rPr>
          <w:sz w:val="20"/>
          <w:szCs w:val="20"/>
          <w:color w:val="auto"/>
        </w:rPr>
      </w:pPr>
      <w:r>
        <w:rPr>
          <w:rFonts w:ascii="Arial" w:cs="Arial" w:eastAsia="Arial" w:hAnsi="Arial"/>
          <w:sz w:val="16"/>
          <w:szCs w:val="16"/>
          <w:b w:val="1"/>
          <w:bCs w:val="1"/>
          <w:i w:val="1"/>
          <w:iCs w:val="1"/>
          <w:color w:val="00497F"/>
        </w:rPr>
        <w:t>Note Payable to Non-Controlling Interest</w:t>
      </w:r>
      <w:r>
        <w:rPr>
          <w:rFonts w:ascii="Arial" w:cs="Arial" w:eastAsia="Arial" w:hAnsi="Arial"/>
          <w:sz w:val="16"/>
          <w:szCs w:val="16"/>
          <w:color w:val="00497F"/>
        </w:rPr>
        <w:t>—</w:t>
      </w:r>
      <w:r>
        <w:rPr>
          <w:rFonts w:ascii="Arial" w:cs="Arial" w:eastAsia="Arial" w:hAnsi="Arial"/>
          <w:sz w:val="16"/>
          <w:szCs w:val="16"/>
          <w:color w:val="000000"/>
        </w:rPr>
        <w:t>In May 2013, in connection with the capitalization of a consolidated subsidiary, the Company and the owner</w:t>
      </w:r>
      <w:r>
        <w:rPr>
          <w:rFonts w:ascii="Arial" w:cs="Arial" w:eastAsia="Arial" w:hAnsi="Arial"/>
          <w:sz w:val="16"/>
          <w:szCs w:val="16"/>
          <w:b w:val="1"/>
          <w:bCs w:val="1"/>
          <w:i w:val="1"/>
          <w:iCs w:val="1"/>
          <w:color w:val="00497F"/>
        </w:rPr>
        <w:t xml:space="preserve"> </w:t>
      </w:r>
      <w:r>
        <w:rPr>
          <w:rFonts w:ascii="Arial" w:cs="Arial" w:eastAsia="Arial" w:hAnsi="Arial"/>
          <w:sz w:val="16"/>
          <w:szCs w:val="16"/>
          <w:color w:val="000000"/>
        </w:rPr>
        <w:t>of the non-controlling interest loaned approximately $18,275 and $3,225, respectively, to the entity in proportion to their respective ownership percentages of 85% and 15%. The loans bear interest at an annual rate of 5% and mature in May 2021. The loan amount funded by the Company and related interest have been eliminated in consolidation.</w:t>
      </w:r>
    </w:p>
    <w:p>
      <w:pPr>
        <w:spacing w:after="0" w:line="118" w:lineRule="exact"/>
        <w:rPr>
          <w:sz w:val="20"/>
          <w:szCs w:val="20"/>
          <w:color w:val="auto"/>
        </w:rPr>
      </w:pPr>
    </w:p>
    <w:p>
      <w:pPr>
        <w:jc w:val="both"/>
        <w:ind w:left="340" w:right="20"/>
        <w:spacing w:after="0" w:line="261" w:lineRule="auto"/>
        <w:rPr>
          <w:sz w:val="20"/>
          <w:szCs w:val="20"/>
          <w:color w:val="auto"/>
        </w:rPr>
      </w:pPr>
      <w:r>
        <w:rPr>
          <w:rFonts w:ascii="Arial" w:cs="Arial" w:eastAsia="Arial" w:hAnsi="Arial"/>
          <w:sz w:val="16"/>
          <w:szCs w:val="16"/>
          <w:color w:val="auto"/>
        </w:rPr>
        <w:t>During the third quarter of 2017, the Company entered into a settlement arrangement whereby the holder of the non-controlling interest settled its $3,725 loan due to the Company in conjunction with the MT6015 venture by transferring its 15% interest in a consolidated subsidiary of the Company, and the note payable due to the holder of the non-controlling interest was extinguished. The settlement resulted in a net gain of $1,093 recorded in other income. Refer to Note 2 for further detail.</w:t>
      </w:r>
    </w:p>
    <w:p>
      <w:pPr>
        <w:spacing w:after="0" w:line="118"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The Company was in compliance with all debt covenants as of September 30, 2017.</w:t>
      </w:r>
    </w:p>
    <w:p>
      <w:pPr>
        <w:spacing w:after="0" w:line="162" w:lineRule="exact"/>
        <w:rPr>
          <w:sz w:val="20"/>
          <w:szCs w:val="20"/>
          <w:color w:val="auto"/>
        </w:rPr>
      </w:pPr>
    </w:p>
    <w:p>
      <w:pPr>
        <w:spacing w:after="0"/>
        <w:rPr>
          <w:sz w:val="20"/>
          <w:szCs w:val="20"/>
          <w:color w:val="auto"/>
        </w:rPr>
      </w:pPr>
      <w:r>
        <w:rPr>
          <w:rFonts w:ascii="Arial" w:cs="Arial" w:eastAsia="Arial" w:hAnsi="Arial"/>
          <w:sz w:val="22"/>
          <w:szCs w:val="22"/>
          <w:b w:val="1"/>
          <w:bCs w:val="1"/>
          <w:color w:val="00497F"/>
        </w:rPr>
        <w:t>9. FAIR VALUE MEASUREMENTS</w:t>
      </w:r>
    </w:p>
    <w:p>
      <w:pPr>
        <w:spacing w:after="0" w:line="171" w:lineRule="exact"/>
        <w:rPr>
          <w:sz w:val="20"/>
          <w:szCs w:val="20"/>
          <w:color w:val="auto"/>
        </w:rPr>
      </w:pPr>
    </w:p>
    <w:p>
      <w:pPr>
        <w:jc w:val="both"/>
        <w:ind w:left="340" w:right="20"/>
        <w:spacing w:after="0" w:line="291" w:lineRule="auto"/>
        <w:rPr>
          <w:sz w:val="20"/>
          <w:szCs w:val="20"/>
          <w:color w:val="auto"/>
        </w:rPr>
      </w:pPr>
      <w:r>
        <w:rPr>
          <w:rFonts w:ascii="Arial" w:cs="Arial" w:eastAsia="Arial" w:hAnsi="Arial"/>
          <w:sz w:val="16"/>
          <w:szCs w:val="16"/>
          <w:color w:val="auto"/>
        </w:rPr>
        <w:t>Fair value measurements and disclosures require the use of valuation techniques to measure fair value that maximize the use of observable inputs and minimize use of unobservable inputs. These inputs are prioritized as follows:</w:t>
      </w:r>
    </w:p>
    <w:p>
      <w:pPr>
        <w:spacing w:after="0" w:line="94" w:lineRule="exact"/>
        <w:rPr>
          <w:sz w:val="20"/>
          <w:szCs w:val="20"/>
          <w:color w:val="auto"/>
        </w:rPr>
      </w:pPr>
    </w:p>
    <w:p>
      <w:pPr>
        <w:ind w:left="660" w:hanging="328"/>
        <w:spacing w:after="0"/>
        <w:tabs>
          <w:tab w:leader="none" w:pos="660" w:val="left"/>
        </w:tabs>
        <w:numPr>
          <w:ilvl w:val="0"/>
          <w:numId w:val="6"/>
        </w:numPr>
        <w:rPr>
          <w:rFonts w:ascii="Arial" w:cs="Arial" w:eastAsia="Arial" w:hAnsi="Arial"/>
          <w:sz w:val="16"/>
          <w:szCs w:val="16"/>
          <w:color w:val="auto"/>
        </w:rPr>
      </w:pPr>
      <w:r>
        <w:rPr>
          <w:rFonts w:ascii="Arial" w:cs="Arial" w:eastAsia="Arial" w:hAnsi="Arial"/>
          <w:sz w:val="16"/>
          <w:szCs w:val="16"/>
          <w:color w:val="auto"/>
        </w:rPr>
        <w:t>Level 1: Observable inputs such as quoted prices in active markets for identical assets or liabilities.</w:t>
      </w:r>
    </w:p>
    <w:p>
      <w:pPr>
        <w:spacing w:after="0" w:line="167" w:lineRule="exact"/>
        <w:rPr>
          <w:rFonts w:ascii="Arial" w:cs="Arial" w:eastAsia="Arial" w:hAnsi="Arial"/>
          <w:sz w:val="16"/>
          <w:szCs w:val="16"/>
          <w:color w:val="auto"/>
        </w:rPr>
      </w:pPr>
    </w:p>
    <w:p>
      <w:pPr>
        <w:ind w:left="660" w:hanging="328"/>
        <w:spacing w:after="0" w:line="291" w:lineRule="auto"/>
        <w:tabs>
          <w:tab w:leader="none" w:pos="660" w:val="left"/>
        </w:tabs>
        <w:numPr>
          <w:ilvl w:val="0"/>
          <w:numId w:val="6"/>
        </w:numPr>
        <w:rPr>
          <w:rFonts w:ascii="Arial" w:cs="Arial" w:eastAsia="Arial" w:hAnsi="Arial"/>
          <w:sz w:val="16"/>
          <w:szCs w:val="16"/>
          <w:color w:val="auto"/>
        </w:rPr>
      </w:pPr>
      <w:r>
        <w:rPr>
          <w:rFonts w:ascii="Arial" w:cs="Arial" w:eastAsia="Arial" w:hAnsi="Arial"/>
          <w:sz w:val="16"/>
          <w:szCs w:val="16"/>
          <w:color w:val="auto"/>
        </w:rPr>
        <w:t>Level 2: Inputs other than quoted prices included within Level 1 that are observable, either directly or indirectly, such as quoted prices for similar assets or liabilities or market corroborated inputs.</w:t>
      </w:r>
    </w:p>
    <w:p>
      <w:pPr>
        <w:spacing w:after="0" w:line="94" w:lineRule="exact"/>
        <w:rPr>
          <w:rFonts w:ascii="Arial" w:cs="Arial" w:eastAsia="Arial" w:hAnsi="Arial"/>
          <w:sz w:val="16"/>
          <w:szCs w:val="16"/>
          <w:color w:val="auto"/>
        </w:rPr>
      </w:pPr>
    </w:p>
    <w:p>
      <w:pPr>
        <w:ind w:left="660" w:hanging="328"/>
        <w:spacing w:after="0" w:line="291" w:lineRule="auto"/>
        <w:tabs>
          <w:tab w:leader="none" w:pos="660" w:val="left"/>
        </w:tabs>
        <w:numPr>
          <w:ilvl w:val="0"/>
          <w:numId w:val="6"/>
        </w:numPr>
        <w:rPr>
          <w:rFonts w:ascii="Arial" w:cs="Arial" w:eastAsia="Arial" w:hAnsi="Arial"/>
          <w:sz w:val="16"/>
          <w:szCs w:val="16"/>
          <w:color w:val="auto"/>
        </w:rPr>
      </w:pPr>
      <w:r>
        <w:rPr>
          <w:rFonts w:ascii="Arial" w:cs="Arial" w:eastAsia="Arial" w:hAnsi="Arial"/>
          <w:sz w:val="16"/>
          <w:szCs w:val="16"/>
          <w:color w:val="auto"/>
        </w:rPr>
        <w:t>Level 3: Unobservable inputs for which there is little or no market data and which require the Company to develop its own assumptions about how market participants price the asset or liability.</w:t>
      </w:r>
    </w:p>
    <w:p>
      <w:pPr>
        <w:spacing w:after="0" w:line="94"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The valuation techniques that may be used to measure fair value are as follows:</w:t>
      </w:r>
    </w:p>
    <w:p>
      <w:pPr>
        <w:spacing w:after="0" w:line="167" w:lineRule="exact"/>
        <w:rPr>
          <w:sz w:val="20"/>
          <w:szCs w:val="20"/>
          <w:color w:val="auto"/>
        </w:rPr>
      </w:pPr>
    </w:p>
    <w:p>
      <w:pPr>
        <w:ind w:left="660" w:hanging="328"/>
        <w:spacing w:after="0"/>
        <w:tabs>
          <w:tab w:leader="none" w:pos="660" w:val="left"/>
        </w:tabs>
        <w:numPr>
          <w:ilvl w:val="0"/>
          <w:numId w:val="7"/>
        </w:numPr>
        <w:rPr>
          <w:rFonts w:ascii="Arial" w:cs="Arial" w:eastAsia="Arial" w:hAnsi="Arial"/>
          <w:sz w:val="16"/>
          <w:szCs w:val="16"/>
          <w:color w:val="auto"/>
        </w:rPr>
      </w:pPr>
      <w:r>
        <w:rPr>
          <w:rFonts w:ascii="Arial" w:cs="Arial" w:eastAsia="Arial" w:hAnsi="Arial"/>
          <w:sz w:val="16"/>
          <w:szCs w:val="16"/>
          <w:color w:val="auto"/>
        </w:rPr>
        <w:t>Market approach—Uses prices and other relevant information generated by market transactions involving identical or comparable assets or liabilities.</w:t>
      </w:r>
    </w:p>
    <w:p>
      <w:pPr>
        <w:spacing w:after="0" w:line="167" w:lineRule="exact"/>
        <w:rPr>
          <w:rFonts w:ascii="Arial" w:cs="Arial" w:eastAsia="Arial" w:hAnsi="Arial"/>
          <w:sz w:val="16"/>
          <w:szCs w:val="16"/>
          <w:color w:val="auto"/>
        </w:rPr>
      </w:pPr>
    </w:p>
    <w:p>
      <w:pPr>
        <w:ind w:left="660" w:hanging="328"/>
        <w:spacing w:after="0" w:line="291" w:lineRule="auto"/>
        <w:tabs>
          <w:tab w:leader="none" w:pos="660" w:val="left"/>
        </w:tabs>
        <w:numPr>
          <w:ilvl w:val="0"/>
          <w:numId w:val="7"/>
        </w:numPr>
        <w:rPr>
          <w:rFonts w:ascii="Arial" w:cs="Arial" w:eastAsia="Arial" w:hAnsi="Arial"/>
          <w:sz w:val="16"/>
          <w:szCs w:val="16"/>
          <w:color w:val="auto"/>
        </w:rPr>
      </w:pPr>
      <w:r>
        <w:rPr>
          <w:rFonts w:ascii="Arial" w:cs="Arial" w:eastAsia="Arial" w:hAnsi="Arial"/>
          <w:sz w:val="16"/>
          <w:szCs w:val="16"/>
          <w:color w:val="auto"/>
        </w:rPr>
        <w:t>Income approach—Uses valuation techniques to convert future amounts to a single present amount based on current market expectations about those future amounts.</w:t>
      </w:r>
    </w:p>
    <w:p>
      <w:pPr>
        <w:spacing w:after="0" w:line="94" w:lineRule="exact"/>
        <w:rPr>
          <w:rFonts w:ascii="Arial" w:cs="Arial" w:eastAsia="Arial" w:hAnsi="Arial"/>
          <w:sz w:val="16"/>
          <w:szCs w:val="16"/>
          <w:color w:val="auto"/>
        </w:rPr>
      </w:pPr>
    </w:p>
    <w:p>
      <w:pPr>
        <w:ind w:left="660" w:hanging="328"/>
        <w:spacing w:after="0"/>
        <w:tabs>
          <w:tab w:leader="none" w:pos="660" w:val="left"/>
        </w:tabs>
        <w:numPr>
          <w:ilvl w:val="0"/>
          <w:numId w:val="7"/>
        </w:numPr>
        <w:rPr>
          <w:rFonts w:ascii="Arial" w:cs="Arial" w:eastAsia="Arial" w:hAnsi="Arial"/>
          <w:sz w:val="16"/>
          <w:szCs w:val="16"/>
          <w:color w:val="auto"/>
        </w:rPr>
      </w:pPr>
      <w:r>
        <w:rPr>
          <w:rFonts w:ascii="Arial" w:cs="Arial" w:eastAsia="Arial" w:hAnsi="Arial"/>
          <w:sz w:val="16"/>
          <w:szCs w:val="16"/>
          <w:color w:val="auto"/>
        </w:rPr>
        <w:t>Cost approach—Based on the amount that currently would be required to replace the service capacity of an asset (replacement cost).</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23</w:t>
      </w:r>
    </w:p>
    <w:p>
      <w:pPr>
        <w:sectPr>
          <w:pgSz w:w="11900" w:h="16838" w:orient="portrait"/>
          <w:cols w:equalWidth="0" w:num="1">
            <w:col w:w="11420"/>
          </w:cols>
          <w:pgMar w:left="240" w:top="116" w:right="239" w:bottom="1440" w:gutter="0" w:footer="0" w:header="0"/>
        </w:sectPr>
      </w:pPr>
    </w:p>
    <w:bookmarkStart w:id="23" w:name="page24"/>
    <w:bookmarkEnd w:id="23"/>
    <w:p>
      <w:pPr>
        <w:ind w:right="3820"/>
        <w:spacing w:after="0" w:line="305" w:lineRule="auto"/>
        <w:rPr>
          <w:sz w:val="20"/>
          <w:szCs w:val="20"/>
          <w:color w:val="auto"/>
        </w:rPr>
      </w:pPr>
      <w:r>
        <w:rPr>
          <w:rFonts w:ascii="Arial" w:cs="Arial" w:eastAsia="Arial" w:hAnsi="Arial"/>
          <w:sz w:val="22"/>
          <w:szCs w:val="22"/>
          <w:b w:val="1"/>
          <w:bCs w:val="1"/>
          <w:color w:val="00497F"/>
        </w:rPr>
        <w:t xml:space="preserve">FORTRESS TRANSPORTATION AND INFRASTRUCTURE INVESTORS LLC NOTES TO CONSOLIDATED FINANCIAL STATEMENTS </w:t>
      </w:r>
      <w:r>
        <w:rPr>
          <w:rFonts w:ascii="Arial" w:cs="Arial" w:eastAsia="Arial" w:hAnsi="Arial"/>
          <w:sz w:val="22"/>
          <w:szCs w:val="22"/>
          <w:b w:val="1"/>
          <w:bCs w:val="1"/>
          <w:i w:val="1"/>
          <w:iCs w:val="1"/>
          <w:color w:val="00497F"/>
        </w:rPr>
        <w:t>(unaudited)</w:t>
      </w:r>
    </w:p>
    <w:p>
      <w:pPr>
        <w:spacing w:after="0"/>
        <w:rPr>
          <w:sz w:val="20"/>
          <w:szCs w:val="20"/>
          <w:color w:val="auto"/>
        </w:rPr>
      </w:pPr>
      <w:r>
        <w:rPr>
          <w:rFonts w:ascii="Arial" w:cs="Arial" w:eastAsia="Arial" w:hAnsi="Arial"/>
          <w:sz w:val="18"/>
          <w:szCs w:val="18"/>
          <w:i w:val="1"/>
          <w:iCs w:val="1"/>
          <w:color w:val="00497F"/>
        </w:rPr>
        <w:t>(Dollar amounts in thousands, unless otherwise noted)</w:t>
      </w:r>
    </w:p>
    <w:p>
      <w:pPr>
        <w:spacing w:after="0" w:line="397" w:lineRule="exact"/>
        <w:rPr>
          <w:sz w:val="20"/>
          <w:szCs w:val="20"/>
          <w:color w:val="auto"/>
        </w:rPr>
      </w:pPr>
    </w:p>
    <w:p>
      <w:pPr>
        <w:jc w:val="both"/>
        <w:ind w:left="340"/>
        <w:spacing w:after="0" w:line="269" w:lineRule="auto"/>
        <w:rPr>
          <w:sz w:val="20"/>
          <w:szCs w:val="20"/>
          <w:color w:val="auto"/>
        </w:rPr>
      </w:pPr>
      <w:r>
        <w:rPr>
          <w:rFonts w:ascii="Arial" w:cs="Arial" w:eastAsia="Arial" w:hAnsi="Arial"/>
          <w:sz w:val="16"/>
          <w:szCs w:val="16"/>
          <w:color w:val="auto"/>
        </w:rPr>
        <w:t>The following tables set forth the Company’s financial assets measured at fair value on a recurring basis as of September 30, 2017 and December 31, 2016, by level within the fair value hierarchy. Assets measured at fair value are classified in their entirety based on the lowest level of input that is significant to their fair value measurement.</w:t>
      </w:r>
    </w:p>
    <w:p>
      <w:pPr>
        <w:spacing w:after="0" w:line="330" w:lineRule="exact"/>
        <w:rPr>
          <w:sz w:val="20"/>
          <w:szCs w:val="20"/>
          <w:color w:val="auto"/>
        </w:rPr>
      </w:pPr>
    </w:p>
    <w:tbl>
      <w:tblPr>
        <w:tblLayout w:type="fixed"/>
        <w:tblInd w:w="340" w:type="dxa"/>
        <w:tblCellMar>
          <w:top w:w="0" w:type="dxa"/>
          <w:left w:w="0" w:type="dxa"/>
          <w:bottom w:w="0" w:type="dxa"/>
          <w:right w:w="0" w:type="dxa"/>
        </w:tblCellMar>
      </w:tblPr>
      <w:tr>
        <w:trPr>
          <w:trHeight w:val="202"/>
        </w:trPr>
        <w:tc>
          <w:tcPr>
            <w:tcW w:w="25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7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Fair Value as of</w:t>
            </w:r>
          </w:p>
        </w:tc>
        <w:tc>
          <w:tcPr>
            <w:tcW w:w="160" w:type="dxa"/>
            <w:vAlign w:val="bottom"/>
          </w:tcPr>
          <w:p>
            <w:pPr>
              <w:spacing w:after="0"/>
              <w:rPr>
                <w:sz w:val="17"/>
                <w:szCs w:val="17"/>
                <w:color w:val="auto"/>
              </w:rPr>
            </w:pPr>
          </w:p>
        </w:tc>
        <w:tc>
          <w:tcPr>
            <w:tcW w:w="4200" w:type="dxa"/>
            <w:vAlign w:val="bottom"/>
            <w:gridSpan w:val="7"/>
          </w:tcPr>
          <w:p>
            <w:pPr>
              <w:jc w:val="center"/>
              <w:ind w:right="48"/>
              <w:spacing w:after="0"/>
              <w:rPr>
                <w:sz w:val="20"/>
                <w:szCs w:val="20"/>
                <w:color w:val="auto"/>
              </w:rPr>
            </w:pPr>
            <w:r>
              <w:rPr>
                <w:rFonts w:ascii="Arial" w:cs="Arial" w:eastAsia="Arial" w:hAnsi="Arial"/>
                <w:sz w:val="14"/>
                <w:szCs w:val="14"/>
                <w:b w:val="1"/>
                <w:bCs w:val="1"/>
                <w:color w:val="auto"/>
              </w:rPr>
              <w:t>Fair Value Measurements Using Fair Value Hierarchy as of</w:t>
            </w:r>
          </w:p>
        </w:tc>
        <w:tc>
          <w:tcPr>
            <w:tcW w:w="100" w:type="dxa"/>
            <w:vAlign w:val="bottom"/>
          </w:tcPr>
          <w:p>
            <w:pPr>
              <w:spacing w:after="0"/>
              <w:rPr>
                <w:sz w:val="17"/>
                <w:szCs w:val="17"/>
                <w:color w:val="auto"/>
              </w:rPr>
            </w:pPr>
          </w:p>
        </w:tc>
        <w:tc>
          <w:tcPr>
            <w:tcW w:w="1700" w:type="dxa"/>
            <w:vAlign w:val="bottom"/>
          </w:tcPr>
          <w:p>
            <w:pPr>
              <w:spacing w:after="0"/>
              <w:rPr>
                <w:sz w:val="17"/>
                <w:szCs w:val="17"/>
                <w:color w:val="auto"/>
              </w:rPr>
            </w:pPr>
          </w:p>
        </w:tc>
      </w:tr>
      <w:tr>
        <w:trPr>
          <w:trHeight w:val="270"/>
        </w:trPr>
        <w:tc>
          <w:tcPr>
            <w:tcW w:w="2580" w:type="dxa"/>
            <w:vAlign w:val="bottom"/>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1660" w:type="dxa"/>
            <w:vAlign w:val="bottom"/>
            <w:tcBorders>
              <w:bottom w:val="single" w:sz="8" w:color="auto"/>
            </w:tcBorders>
          </w:tcPr>
          <w:p>
            <w:pPr>
              <w:jc w:val="center"/>
              <w:ind w:right="88"/>
              <w:spacing w:after="0"/>
              <w:rPr>
                <w:sz w:val="20"/>
                <w:szCs w:val="20"/>
                <w:color w:val="auto"/>
              </w:rPr>
            </w:pPr>
            <w:r>
              <w:rPr>
                <w:rFonts w:ascii="Arial" w:cs="Arial" w:eastAsia="Arial" w:hAnsi="Arial"/>
                <w:sz w:val="14"/>
                <w:szCs w:val="14"/>
                <w:b w:val="1"/>
                <w:bCs w:val="1"/>
                <w:color w:val="auto"/>
              </w:rPr>
              <w:t>September 30, 2017</w:t>
            </w:r>
          </w:p>
        </w:tc>
        <w:tc>
          <w:tcPr>
            <w:tcW w:w="120" w:type="dxa"/>
            <w:vAlign w:val="bottom"/>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1220" w:type="dxa"/>
            <w:vAlign w:val="bottom"/>
            <w:tcBorders>
              <w:bottom w:val="single" w:sz="8" w:color="auto"/>
            </w:tcBorders>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1480" w:type="dxa"/>
            <w:vAlign w:val="bottom"/>
            <w:tcBorders>
              <w:bottom w:val="single" w:sz="8" w:color="auto"/>
            </w:tcBorders>
            <w:gridSpan w:val="3"/>
          </w:tcPr>
          <w:p>
            <w:pPr>
              <w:jc w:val="center"/>
              <w:ind w:right="100"/>
              <w:spacing w:after="0"/>
              <w:rPr>
                <w:sz w:val="20"/>
                <w:szCs w:val="20"/>
                <w:color w:val="auto"/>
              </w:rPr>
            </w:pPr>
            <w:r>
              <w:rPr>
                <w:rFonts w:ascii="Arial" w:cs="Arial" w:eastAsia="Arial" w:hAnsi="Arial"/>
                <w:sz w:val="14"/>
                <w:szCs w:val="14"/>
                <w:b w:val="1"/>
                <w:bCs w:val="1"/>
                <w:color w:val="auto"/>
              </w:rPr>
              <w:t>September 30, 2017</w:t>
            </w:r>
          </w:p>
        </w:tc>
        <w:tc>
          <w:tcPr>
            <w:tcW w:w="280" w:type="dxa"/>
            <w:vAlign w:val="bottom"/>
            <w:tcBorders>
              <w:bottom w:val="single" w:sz="8" w:color="auto"/>
            </w:tcBorders>
          </w:tcPr>
          <w:p>
            <w:pPr>
              <w:spacing w:after="0"/>
              <w:rPr>
                <w:sz w:val="23"/>
                <w:szCs w:val="23"/>
                <w:color w:val="auto"/>
              </w:rPr>
            </w:pPr>
          </w:p>
        </w:tc>
        <w:tc>
          <w:tcPr>
            <w:tcW w:w="1100" w:type="dxa"/>
            <w:vAlign w:val="bottom"/>
            <w:tcBorders>
              <w:bottom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1700" w:type="dxa"/>
            <w:vAlign w:val="bottom"/>
          </w:tcPr>
          <w:p>
            <w:pPr>
              <w:spacing w:after="0"/>
              <w:rPr>
                <w:sz w:val="23"/>
                <w:szCs w:val="23"/>
                <w:color w:val="auto"/>
              </w:rPr>
            </w:pPr>
          </w:p>
        </w:tc>
      </w:tr>
      <w:tr>
        <w:trPr>
          <w:trHeight w:val="265"/>
        </w:trPr>
        <w:tc>
          <w:tcPr>
            <w:tcW w:w="25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7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Total</w:t>
            </w:r>
          </w:p>
        </w:tc>
        <w:tc>
          <w:tcPr>
            <w:tcW w:w="160" w:type="dxa"/>
            <w:vAlign w:val="bottom"/>
          </w:tcPr>
          <w:p>
            <w:pPr>
              <w:spacing w:after="0"/>
              <w:rPr>
                <w:sz w:val="23"/>
                <w:szCs w:val="23"/>
                <w:color w:val="auto"/>
              </w:rPr>
            </w:pPr>
          </w:p>
        </w:tc>
        <w:tc>
          <w:tcPr>
            <w:tcW w:w="1340" w:type="dxa"/>
            <w:vAlign w:val="bottom"/>
            <w:gridSpan w:val="2"/>
          </w:tcPr>
          <w:p>
            <w:pPr>
              <w:ind w:left="300"/>
              <w:spacing w:after="0"/>
              <w:rPr>
                <w:sz w:val="20"/>
                <w:szCs w:val="20"/>
                <w:color w:val="auto"/>
              </w:rPr>
            </w:pPr>
            <w:r>
              <w:rPr>
                <w:rFonts w:ascii="Arial" w:cs="Arial" w:eastAsia="Arial" w:hAnsi="Arial"/>
                <w:sz w:val="14"/>
                <w:szCs w:val="14"/>
                <w:b w:val="1"/>
                <w:bCs w:val="1"/>
                <w:color w:val="auto"/>
              </w:rPr>
              <w:t>Level 1</w:t>
            </w:r>
          </w:p>
        </w:tc>
        <w:tc>
          <w:tcPr>
            <w:tcW w:w="280" w:type="dxa"/>
            <w:vAlign w:val="bottom"/>
          </w:tcPr>
          <w:p>
            <w:pPr>
              <w:spacing w:after="0"/>
              <w:rPr>
                <w:sz w:val="23"/>
                <w:szCs w:val="23"/>
                <w:color w:val="auto"/>
              </w:rPr>
            </w:pPr>
          </w:p>
        </w:tc>
        <w:tc>
          <w:tcPr>
            <w:tcW w:w="120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rPr>
              <w:t>Level 2</w:t>
            </w:r>
          </w:p>
        </w:tc>
        <w:tc>
          <w:tcPr>
            <w:tcW w:w="280" w:type="dxa"/>
            <w:vAlign w:val="bottom"/>
          </w:tcPr>
          <w:p>
            <w:pPr>
              <w:spacing w:after="0"/>
              <w:rPr>
                <w:sz w:val="23"/>
                <w:szCs w:val="23"/>
                <w:color w:val="auto"/>
              </w:rPr>
            </w:pPr>
          </w:p>
        </w:tc>
        <w:tc>
          <w:tcPr>
            <w:tcW w:w="1100" w:type="dxa"/>
            <w:vAlign w:val="bottom"/>
          </w:tcPr>
          <w:p>
            <w:pPr>
              <w:ind w:left="160"/>
              <w:spacing w:after="0"/>
              <w:rPr>
                <w:sz w:val="20"/>
                <w:szCs w:val="20"/>
                <w:color w:val="auto"/>
              </w:rPr>
            </w:pPr>
            <w:r>
              <w:rPr>
                <w:rFonts w:ascii="Arial" w:cs="Arial" w:eastAsia="Arial" w:hAnsi="Arial"/>
                <w:sz w:val="14"/>
                <w:szCs w:val="14"/>
                <w:b w:val="1"/>
                <w:bCs w:val="1"/>
                <w:color w:val="auto"/>
              </w:rPr>
              <w:t>Level 3</w:t>
            </w:r>
          </w:p>
        </w:tc>
        <w:tc>
          <w:tcPr>
            <w:tcW w:w="100" w:type="dxa"/>
            <w:vAlign w:val="bottom"/>
          </w:tcPr>
          <w:p>
            <w:pPr>
              <w:spacing w:after="0"/>
              <w:rPr>
                <w:sz w:val="23"/>
                <w:szCs w:val="23"/>
                <w:color w:val="auto"/>
              </w:rPr>
            </w:pPr>
          </w:p>
        </w:tc>
        <w:tc>
          <w:tcPr>
            <w:tcW w:w="1700" w:type="dxa"/>
            <w:vAlign w:val="bottom"/>
          </w:tcPr>
          <w:p>
            <w:pPr>
              <w:jc w:val="center"/>
              <w:spacing w:after="0"/>
              <w:rPr>
                <w:sz w:val="20"/>
                <w:szCs w:val="20"/>
                <w:color w:val="auto"/>
              </w:rPr>
            </w:pPr>
            <w:r>
              <w:rPr>
                <w:rFonts w:ascii="Arial" w:cs="Arial" w:eastAsia="Arial" w:hAnsi="Arial"/>
                <w:sz w:val="14"/>
                <w:szCs w:val="14"/>
                <w:b w:val="1"/>
                <w:bCs w:val="1"/>
                <w:color w:val="auto"/>
              </w:rPr>
              <w:t>Valuation Technique</w:t>
            </w:r>
          </w:p>
        </w:tc>
      </w:tr>
      <w:tr>
        <w:trPr>
          <w:trHeight w:val="265"/>
        </w:trPr>
        <w:tc>
          <w:tcPr>
            <w:tcW w:w="25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Assets</w:t>
            </w:r>
          </w:p>
        </w:tc>
        <w:tc>
          <w:tcPr>
            <w:tcW w:w="160" w:type="dxa"/>
            <w:vAlign w:val="bottom"/>
            <w:tcBorders>
              <w:top w:val="single" w:sz="8" w:color="auto"/>
            </w:tcBorders>
            <w:shd w:val="clear" w:color="auto" w:fill="CCEEFF"/>
          </w:tcPr>
          <w:p>
            <w:pPr>
              <w:spacing w:after="0"/>
              <w:rPr>
                <w:sz w:val="23"/>
                <w:szCs w:val="23"/>
                <w:color w:val="auto"/>
              </w:rPr>
            </w:pPr>
          </w:p>
        </w:tc>
        <w:tc>
          <w:tcPr>
            <w:tcW w:w="166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160" w:type="dxa"/>
            <w:vAlign w:val="bottom"/>
            <w:tcBorders>
              <w:top w:val="single" w:sz="8" w:color="auto"/>
            </w:tcBorders>
            <w:shd w:val="clear" w:color="auto" w:fill="CCEEFF"/>
          </w:tcPr>
          <w:p>
            <w:pPr>
              <w:spacing w:after="0"/>
              <w:rPr>
                <w:sz w:val="23"/>
                <w:szCs w:val="23"/>
                <w:color w:val="auto"/>
              </w:rPr>
            </w:pPr>
          </w:p>
        </w:tc>
        <w:tc>
          <w:tcPr>
            <w:tcW w:w="122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280" w:type="dxa"/>
            <w:vAlign w:val="bottom"/>
            <w:tcBorders>
              <w:top w:val="single" w:sz="8" w:color="auto"/>
            </w:tcBorders>
            <w:shd w:val="clear" w:color="auto" w:fill="CCEEFF"/>
          </w:tcPr>
          <w:p>
            <w:pPr>
              <w:spacing w:after="0"/>
              <w:rPr>
                <w:sz w:val="23"/>
                <w:szCs w:val="23"/>
                <w:color w:val="auto"/>
              </w:rPr>
            </w:pPr>
          </w:p>
        </w:tc>
        <w:tc>
          <w:tcPr>
            <w:tcW w:w="110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280" w:type="dxa"/>
            <w:vAlign w:val="bottom"/>
            <w:tcBorders>
              <w:top w:val="single" w:sz="8" w:color="auto"/>
            </w:tcBorders>
            <w:shd w:val="clear" w:color="auto" w:fill="CCEEFF"/>
          </w:tcPr>
          <w:p>
            <w:pPr>
              <w:spacing w:after="0"/>
              <w:rPr>
                <w:sz w:val="23"/>
                <w:szCs w:val="23"/>
                <w:color w:val="auto"/>
              </w:rPr>
            </w:pPr>
          </w:p>
        </w:tc>
        <w:tc>
          <w:tcPr>
            <w:tcW w:w="110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1700" w:type="dxa"/>
            <w:vAlign w:val="bottom"/>
            <w:tcBorders>
              <w:top w:val="single" w:sz="8" w:color="auto"/>
            </w:tcBorders>
            <w:shd w:val="clear" w:color="auto" w:fill="CCEEFF"/>
          </w:tcPr>
          <w:p>
            <w:pPr>
              <w:spacing w:after="0"/>
              <w:rPr>
                <w:sz w:val="23"/>
                <w:szCs w:val="23"/>
                <w:color w:val="auto"/>
              </w:rPr>
            </w:pPr>
          </w:p>
        </w:tc>
      </w:tr>
      <w:tr>
        <w:trPr>
          <w:trHeight w:val="269"/>
        </w:trPr>
        <w:tc>
          <w:tcPr>
            <w:tcW w:w="2580" w:type="dxa"/>
            <w:vAlign w:val="bottom"/>
          </w:tcPr>
          <w:p>
            <w:pPr>
              <w:ind w:left="260"/>
              <w:spacing w:after="0"/>
              <w:rPr>
                <w:sz w:val="20"/>
                <w:szCs w:val="20"/>
                <w:color w:val="auto"/>
              </w:rPr>
            </w:pPr>
            <w:r>
              <w:rPr>
                <w:rFonts w:ascii="Arial" w:cs="Arial" w:eastAsia="Arial" w:hAnsi="Arial"/>
                <w:sz w:val="14"/>
                <w:szCs w:val="14"/>
                <w:color w:val="auto"/>
              </w:rPr>
              <w:t>Cash and cash equivalents</w:t>
            </w:r>
          </w:p>
        </w:tc>
        <w:tc>
          <w:tcPr>
            <w:tcW w:w="16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660" w:type="dxa"/>
            <w:vAlign w:val="bottom"/>
          </w:tcPr>
          <w:p>
            <w:pPr>
              <w:jc w:val="right"/>
              <w:ind w:right="28"/>
              <w:spacing w:after="0"/>
              <w:rPr>
                <w:sz w:val="20"/>
                <w:szCs w:val="20"/>
                <w:color w:val="auto"/>
              </w:rPr>
            </w:pPr>
            <w:r>
              <w:rPr>
                <w:rFonts w:ascii="Arial" w:cs="Arial" w:eastAsia="Arial" w:hAnsi="Arial"/>
                <w:sz w:val="14"/>
                <w:szCs w:val="14"/>
                <w:b w:val="1"/>
                <w:bCs w:val="1"/>
                <w:color w:val="auto"/>
              </w:rPr>
              <w:t>176,357</w:t>
            </w:r>
          </w:p>
        </w:tc>
        <w:tc>
          <w:tcPr>
            <w:tcW w:w="120" w:type="dxa"/>
            <w:vAlign w:val="bottom"/>
          </w:tcPr>
          <w:p>
            <w:pPr>
              <w:spacing w:after="0"/>
              <w:rPr>
                <w:sz w:val="23"/>
                <w:szCs w:val="23"/>
                <w:color w:val="auto"/>
              </w:rPr>
            </w:pPr>
          </w:p>
        </w:tc>
        <w:tc>
          <w:tcPr>
            <w:tcW w:w="16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220" w:type="dxa"/>
            <w:vAlign w:val="bottom"/>
          </w:tcPr>
          <w:p>
            <w:pPr>
              <w:jc w:val="right"/>
              <w:ind w:right="8"/>
              <w:spacing w:after="0"/>
              <w:rPr>
                <w:sz w:val="20"/>
                <w:szCs w:val="20"/>
                <w:color w:val="auto"/>
              </w:rPr>
            </w:pPr>
            <w:r>
              <w:rPr>
                <w:rFonts w:ascii="Arial" w:cs="Arial" w:eastAsia="Arial" w:hAnsi="Arial"/>
                <w:sz w:val="14"/>
                <w:szCs w:val="14"/>
                <w:b w:val="1"/>
                <w:bCs w:val="1"/>
                <w:color w:val="auto"/>
              </w:rPr>
              <w:t>176,357</w:t>
            </w:r>
          </w:p>
        </w:tc>
        <w:tc>
          <w:tcPr>
            <w:tcW w:w="120" w:type="dxa"/>
            <w:vAlign w:val="bottom"/>
          </w:tcPr>
          <w:p>
            <w:pPr>
              <w:spacing w:after="0"/>
              <w:rPr>
                <w:sz w:val="23"/>
                <w:szCs w:val="23"/>
                <w:color w:val="auto"/>
              </w:rPr>
            </w:pPr>
          </w:p>
        </w:tc>
        <w:tc>
          <w:tcPr>
            <w:tcW w:w="280" w:type="dxa"/>
            <w:vAlign w:val="bottom"/>
          </w:tcPr>
          <w:p>
            <w:pPr>
              <w:jc w:val="right"/>
              <w:ind w:right="108"/>
              <w:spacing w:after="0"/>
              <w:rPr>
                <w:sz w:val="20"/>
                <w:szCs w:val="20"/>
                <w:color w:val="auto"/>
              </w:rPr>
            </w:pPr>
            <w:r>
              <w:rPr>
                <w:rFonts w:ascii="Arial" w:cs="Arial" w:eastAsia="Arial" w:hAnsi="Arial"/>
                <w:sz w:val="14"/>
                <w:szCs w:val="14"/>
                <w:b w:val="1"/>
                <w:bCs w:val="1"/>
                <w:color w:val="auto"/>
              </w:rPr>
              <w:t>$</w:t>
            </w:r>
          </w:p>
        </w:tc>
        <w:tc>
          <w:tcPr>
            <w:tcW w:w="1200" w:type="dxa"/>
            <w:vAlign w:val="bottom"/>
            <w:gridSpan w:val="2"/>
          </w:tcPr>
          <w:p>
            <w:pPr>
              <w:ind w:left="860"/>
              <w:spacing w:after="0"/>
              <w:rPr>
                <w:sz w:val="20"/>
                <w:szCs w:val="20"/>
                <w:color w:val="auto"/>
              </w:rPr>
            </w:pPr>
            <w:r>
              <w:rPr>
                <w:rFonts w:ascii="Arial" w:cs="Arial" w:eastAsia="Arial" w:hAnsi="Arial"/>
                <w:sz w:val="14"/>
                <w:szCs w:val="14"/>
                <w:b w:val="1"/>
                <w:bCs w:val="1"/>
                <w:color w:val="auto"/>
              </w:rPr>
              <w:t>—</w:t>
            </w:r>
          </w:p>
        </w:tc>
        <w:tc>
          <w:tcPr>
            <w:tcW w:w="280" w:type="dxa"/>
            <w:vAlign w:val="bottom"/>
          </w:tcPr>
          <w:p>
            <w:pPr>
              <w:jc w:val="right"/>
              <w:ind w:right="108"/>
              <w:spacing w:after="0"/>
              <w:rPr>
                <w:sz w:val="20"/>
                <w:szCs w:val="20"/>
                <w:color w:val="auto"/>
              </w:rPr>
            </w:pPr>
            <w:r>
              <w:rPr>
                <w:rFonts w:ascii="Arial" w:cs="Arial" w:eastAsia="Arial" w:hAnsi="Arial"/>
                <w:sz w:val="14"/>
                <w:szCs w:val="14"/>
                <w:b w:val="1"/>
                <w:bCs w:val="1"/>
                <w:color w:val="auto"/>
              </w:rPr>
              <w:t>$</w:t>
            </w:r>
          </w:p>
        </w:tc>
        <w:tc>
          <w:tcPr>
            <w:tcW w:w="1100" w:type="dxa"/>
            <w:vAlign w:val="bottom"/>
          </w:tcPr>
          <w:p>
            <w:pPr>
              <w:ind w:left="860"/>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23"/>
                <w:szCs w:val="23"/>
                <w:color w:val="auto"/>
              </w:rPr>
            </w:pPr>
          </w:p>
        </w:tc>
        <w:tc>
          <w:tcPr>
            <w:tcW w:w="1700" w:type="dxa"/>
            <w:vAlign w:val="bottom"/>
          </w:tcPr>
          <w:p>
            <w:pPr>
              <w:jc w:val="center"/>
              <w:spacing w:after="0"/>
              <w:rPr>
                <w:sz w:val="20"/>
                <w:szCs w:val="20"/>
                <w:color w:val="auto"/>
              </w:rPr>
            </w:pPr>
            <w:r>
              <w:rPr>
                <w:rFonts w:ascii="Arial" w:cs="Arial" w:eastAsia="Arial" w:hAnsi="Arial"/>
                <w:sz w:val="14"/>
                <w:szCs w:val="14"/>
                <w:color w:val="auto"/>
              </w:rPr>
              <w:t>Market</w:t>
            </w:r>
          </w:p>
        </w:tc>
      </w:tr>
      <w:tr>
        <w:trPr>
          <w:trHeight w:val="271"/>
        </w:trPr>
        <w:tc>
          <w:tcPr>
            <w:tcW w:w="2580" w:type="dxa"/>
            <w:vAlign w:val="bottom"/>
            <w:shd w:val="clear" w:color="auto" w:fill="CCEEFF"/>
          </w:tcPr>
          <w:p>
            <w:pPr>
              <w:ind w:left="260"/>
              <w:spacing w:after="0"/>
              <w:rPr>
                <w:sz w:val="20"/>
                <w:szCs w:val="20"/>
                <w:color w:val="auto"/>
              </w:rPr>
            </w:pPr>
            <w:r>
              <w:rPr>
                <w:rFonts w:ascii="Arial" w:cs="Arial" w:eastAsia="Arial" w:hAnsi="Arial"/>
                <w:sz w:val="14"/>
                <w:szCs w:val="14"/>
                <w:color w:val="auto"/>
              </w:rPr>
              <w:t>Restricted cash</w:t>
            </w:r>
          </w:p>
        </w:tc>
        <w:tc>
          <w:tcPr>
            <w:tcW w:w="160" w:type="dxa"/>
            <w:vAlign w:val="bottom"/>
            <w:shd w:val="clear" w:color="auto" w:fill="CCEEFF"/>
          </w:tcPr>
          <w:p>
            <w:pPr>
              <w:spacing w:after="0"/>
              <w:rPr>
                <w:sz w:val="23"/>
                <w:szCs w:val="23"/>
                <w:color w:val="auto"/>
              </w:rPr>
            </w:pPr>
          </w:p>
        </w:tc>
        <w:tc>
          <w:tcPr>
            <w:tcW w:w="166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36,458</w:t>
            </w: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220" w:type="dxa"/>
            <w:vAlign w:val="bottom"/>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36,458</w:t>
            </w:r>
          </w:p>
        </w:tc>
        <w:tc>
          <w:tcPr>
            <w:tcW w:w="12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1200" w:type="dxa"/>
            <w:vAlign w:val="bottom"/>
            <w:gridSpan w:val="2"/>
            <w:shd w:val="clear" w:color="auto" w:fill="CCEEFF"/>
          </w:tcPr>
          <w:p>
            <w:pPr>
              <w:ind w:left="860"/>
              <w:spacing w:after="0"/>
              <w:rPr>
                <w:sz w:val="20"/>
                <w:szCs w:val="20"/>
                <w:color w:val="auto"/>
              </w:rPr>
            </w:pPr>
            <w:r>
              <w:rPr>
                <w:rFonts w:ascii="Arial" w:cs="Arial" w:eastAsia="Arial" w:hAnsi="Arial"/>
                <w:sz w:val="14"/>
                <w:szCs w:val="14"/>
                <w:b w:val="1"/>
                <w:bCs w:val="1"/>
                <w:color w:val="auto"/>
              </w:rPr>
              <w:t>—</w:t>
            </w:r>
          </w:p>
        </w:tc>
        <w:tc>
          <w:tcPr>
            <w:tcW w:w="280" w:type="dxa"/>
            <w:vAlign w:val="bottom"/>
            <w:shd w:val="clear" w:color="auto" w:fill="CCEEFF"/>
          </w:tcPr>
          <w:p>
            <w:pPr>
              <w:spacing w:after="0"/>
              <w:rPr>
                <w:sz w:val="23"/>
                <w:szCs w:val="23"/>
                <w:color w:val="auto"/>
              </w:rPr>
            </w:pPr>
          </w:p>
        </w:tc>
        <w:tc>
          <w:tcPr>
            <w:tcW w:w="1100" w:type="dxa"/>
            <w:vAlign w:val="bottom"/>
            <w:shd w:val="clear" w:color="auto" w:fill="CCEEFF"/>
          </w:tcPr>
          <w:p>
            <w:pPr>
              <w:ind w:left="860"/>
              <w:spacing w:after="0"/>
              <w:rPr>
                <w:sz w:val="20"/>
                <w:szCs w:val="20"/>
                <w:color w:val="auto"/>
              </w:rPr>
            </w:pPr>
            <w:r>
              <w:rPr>
                <w:rFonts w:ascii="Arial" w:cs="Arial" w:eastAsia="Arial" w:hAnsi="Arial"/>
                <w:sz w:val="14"/>
                <w:szCs w:val="14"/>
                <w:b w:val="1"/>
                <w:bCs w:val="1"/>
                <w:color w:val="auto"/>
              </w:rPr>
              <w:t>—</w:t>
            </w:r>
          </w:p>
        </w:tc>
        <w:tc>
          <w:tcPr>
            <w:tcW w:w="100" w:type="dxa"/>
            <w:vAlign w:val="bottom"/>
            <w:shd w:val="clear" w:color="auto" w:fill="CCEEFF"/>
          </w:tcPr>
          <w:p>
            <w:pPr>
              <w:spacing w:after="0"/>
              <w:rPr>
                <w:sz w:val="23"/>
                <w:szCs w:val="23"/>
                <w:color w:val="auto"/>
              </w:rPr>
            </w:pPr>
          </w:p>
        </w:tc>
        <w:tc>
          <w:tcPr>
            <w:tcW w:w="170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Market</w:t>
            </w:r>
          </w:p>
        </w:tc>
      </w:tr>
      <w:tr>
        <w:trPr>
          <w:trHeight w:val="269"/>
        </w:trPr>
        <w:tc>
          <w:tcPr>
            <w:tcW w:w="2580" w:type="dxa"/>
            <w:vAlign w:val="bottom"/>
            <w:tcBorders>
              <w:bottom w:val="single" w:sz="8" w:color="CCEEFF"/>
            </w:tcBorders>
          </w:tcPr>
          <w:p>
            <w:pPr>
              <w:ind w:left="260"/>
              <w:spacing w:after="0"/>
              <w:rPr>
                <w:sz w:val="20"/>
                <w:szCs w:val="20"/>
                <w:color w:val="auto"/>
              </w:rPr>
            </w:pPr>
            <w:r>
              <w:rPr>
                <w:rFonts w:ascii="Arial" w:cs="Arial" w:eastAsia="Arial" w:hAnsi="Arial"/>
                <w:sz w:val="14"/>
                <w:szCs w:val="14"/>
                <w:color w:val="auto"/>
              </w:rPr>
              <w:t>Available-for-sale securities</w:t>
            </w:r>
          </w:p>
        </w:tc>
        <w:tc>
          <w:tcPr>
            <w:tcW w:w="160" w:type="dxa"/>
            <w:vAlign w:val="bottom"/>
            <w:tcBorders>
              <w:bottom w:val="single" w:sz="8" w:color="auto"/>
            </w:tcBorders>
          </w:tcPr>
          <w:p>
            <w:pPr>
              <w:spacing w:after="0"/>
              <w:rPr>
                <w:sz w:val="23"/>
                <w:szCs w:val="23"/>
                <w:color w:val="auto"/>
              </w:rPr>
            </w:pPr>
          </w:p>
        </w:tc>
        <w:tc>
          <w:tcPr>
            <w:tcW w:w="16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30,470</w:t>
            </w:r>
          </w:p>
        </w:tc>
        <w:tc>
          <w:tcPr>
            <w:tcW w:w="120" w:type="dxa"/>
            <w:vAlign w:val="bottom"/>
            <w:tcBorders>
              <w:bottom w:val="single" w:sz="8" w:color="CCEEFF"/>
            </w:tcBorders>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12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30,470</w:t>
            </w:r>
          </w:p>
        </w:tc>
        <w:tc>
          <w:tcPr>
            <w:tcW w:w="120" w:type="dxa"/>
            <w:vAlign w:val="bottom"/>
            <w:tcBorders>
              <w:bottom w:val="single" w:sz="8" w:color="CCEEFF"/>
            </w:tcBorders>
          </w:tcPr>
          <w:p>
            <w:pPr>
              <w:spacing w:after="0"/>
              <w:rPr>
                <w:sz w:val="23"/>
                <w:szCs w:val="23"/>
                <w:color w:val="auto"/>
              </w:rPr>
            </w:pPr>
          </w:p>
        </w:tc>
        <w:tc>
          <w:tcPr>
            <w:tcW w:w="280" w:type="dxa"/>
            <w:vAlign w:val="bottom"/>
            <w:tcBorders>
              <w:bottom w:val="single" w:sz="8" w:color="auto"/>
            </w:tcBorders>
          </w:tcPr>
          <w:p>
            <w:pPr>
              <w:spacing w:after="0"/>
              <w:rPr>
                <w:sz w:val="23"/>
                <w:szCs w:val="23"/>
                <w:color w:val="auto"/>
              </w:rPr>
            </w:pPr>
          </w:p>
        </w:tc>
        <w:tc>
          <w:tcPr>
            <w:tcW w:w="1100" w:type="dxa"/>
            <w:vAlign w:val="bottom"/>
            <w:tcBorders>
              <w:bottom w:val="single" w:sz="8" w:color="auto"/>
            </w:tcBorders>
          </w:tcPr>
          <w:p>
            <w:pPr>
              <w:ind w:left="860"/>
              <w:spacing w:after="0"/>
              <w:rPr>
                <w:sz w:val="20"/>
                <w:szCs w:val="20"/>
                <w:color w:val="auto"/>
              </w:rPr>
            </w:pPr>
            <w:r>
              <w:rPr>
                <w:rFonts w:ascii="Arial" w:cs="Arial" w:eastAsia="Arial" w:hAnsi="Arial"/>
                <w:sz w:val="14"/>
                <w:szCs w:val="14"/>
                <w:b w:val="1"/>
                <w:bCs w:val="1"/>
                <w:color w:val="auto"/>
              </w:rPr>
              <w:t>—</w:t>
            </w:r>
          </w:p>
        </w:tc>
        <w:tc>
          <w:tcPr>
            <w:tcW w:w="100" w:type="dxa"/>
            <w:vAlign w:val="bottom"/>
            <w:tcBorders>
              <w:bottom w:val="single" w:sz="8" w:color="CCEEFF"/>
            </w:tcBorders>
          </w:tcPr>
          <w:p>
            <w:pPr>
              <w:spacing w:after="0"/>
              <w:rPr>
                <w:sz w:val="23"/>
                <w:szCs w:val="23"/>
                <w:color w:val="auto"/>
              </w:rPr>
            </w:pPr>
          </w:p>
        </w:tc>
        <w:tc>
          <w:tcPr>
            <w:tcW w:w="280" w:type="dxa"/>
            <w:vAlign w:val="bottom"/>
            <w:tcBorders>
              <w:bottom w:val="single" w:sz="8" w:color="auto"/>
            </w:tcBorders>
          </w:tcPr>
          <w:p>
            <w:pPr>
              <w:spacing w:after="0"/>
              <w:rPr>
                <w:sz w:val="23"/>
                <w:szCs w:val="23"/>
                <w:color w:val="auto"/>
              </w:rPr>
            </w:pPr>
          </w:p>
        </w:tc>
        <w:tc>
          <w:tcPr>
            <w:tcW w:w="1100" w:type="dxa"/>
            <w:vAlign w:val="bottom"/>
            <w:tcBorders>
              <w:bottom w:val="single" w:sz="8" w:color="auto"/>
            </w:tcBorders>
          </w:tcPr>
          <w:p>
            <w:pPr>
              <w:ind w:left="860"/>
              <w:spacing w:after="0"/>
              <w:rPr>
                <w:sz w:val="20"/>
                <w:szCs w:val="20"/>
                <w:color w:val="auto"/>
              </w:rPr>
            </w:pPr>
            <w:r>
              <w:rPr>
                <w:rFonts w:ascii="Arial" w:cs="Arial" w:eastAsia="Arial" w:hAnsi="Arial"/>
                <w:sz w:val="14"/>
                <w:szCs w:val="14"/>
                <w:b w:val="1"/>
                <w:bCs w:val="1"/>
                <w:color w:val="auto"/>
              </w:rPr>
              <w:t>—</w:t>
            </w:r>
          </w:p>
        </w:tc>
        <w:tc>
          <w:tcPr>
            <w:tcW w:w="100" w:type="dxa"/>
            <w:vAlign w:val="bottom"/>
            <w:tcBorders>
              <w:bottom w:val="single" w:sz="8" w:color="CCEEFF"/>
            </w:tcBorders>
          </w:tcPr>
          <w:p>
            <w:pPr>
              <w:spacing w:after="0"/>
              <w:rPr>
                <w:sz w:val="23"/>
                <w:szCs w:val="23"/>
                <w:color w:val="auto"/>
              </w:rPr>
            </w:pPr>
          </w:p>
        </w:tc>
        <w:tc>
          <w:tcPr>
            <w:tcW w:w="1700" w:type="dxa"/>
            <w:vAlign w:val="bottom"/>
            <w:tcBorders>
              <w:bottom w:val="single" w:sz="8" w:color="CCEEFF"/>
            </w:tcBorders>
          </w:tcPr>
          <w:p>
            <w:pPr>
              <w:jc w:val="center"/>
              <w:spacing w:after="0"/>
              <w:rPr>
                <w:sz w:val="20"/>
                <w:szCs w:val="20"/>
                <w:color w:val="auto"/>
              </w:rPr>
            </w:pPr>
            <w:r>
              <w:rPr>
                <w:rFonts w:ascii="Arial" w:cs="Arial" w:eastAsia="Arial" w:hAnsi="Arial"/>
                <w:sz w:val="14"/>
                <w:szCs w:val="14"/>
                <w:color w:val="auto"/>
              </w:rPr>
              <w:t>Market</w:t>
            </w:r>
          </w:p>
        </w:tc>
      </w:tr>
      <w:tr>
        <w:trPr>
          <w:trHeight w:val="238"/>
        </w:trPr>
        <w:tc>
          <w:tcPr>
            <w:tcW w:w="25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Total</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6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243,285</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22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243,285</w:t>
            </w:r>
          </w:p>
        </w:tc>
        <w:tc>
          <w:tcPr>
            <w:tcW w:w="1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b w:val="1"/>
                <w:bCs w:val="1"/>
                <w:color w:val="auto"/>
              </w:rPr>
              <w:t>$</w:t>
            </w:r>
          </w:p>
        </w:tc>
        <w:tc>
          <w:tcPr>
            <w:tcW w:w="1100" w:type="dxa"/>
            <w:vAlign w:val="bottom"/>
            <w:tcBorders>
              <w:bottom w:val="single" w:sz="8" w:color="auto"/>
            </w:tcBorders>
            <w:shd w:val="clear" w:color="auto" w:fill="CCEEFF"/>
          </w:tcPr>
          <w:p>
            <w:pPr>
              <w:ind w:left="860"/>
              <w:spacing w:after="0"/>
              <w:rPr>
                <w:sz w:val="20"/>
                <w:szCs w:val="20"/>
                <w:color w:val="auto"/>
              </w:rPr>
            </w:pPr>
            <w:r>
              <w:rPr>
                <w:rFonts w:ascii="Arial" w:cs="Arial" w:eastAsia="Arial" w:hAnsi="Arial"/>
                <w:sz w:val="14"/>
                <w:szCs w:val="14"/>
                <w:b w:val="1"/>
                <w:bCs w:val="1"/>
                <w:color w:val="auto"/>
              </w:rPr>
              <w:t>—</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b w:val="1"/>
                <w:bCs w:val="1"/>
                <w:color w:val="auto"/>
              </w:rPr>
              <w:t>$</w:t>
            </w:r>
          </w:p>
        </w:tc>
        <w:tc>
          <w:tcPr>
            <w:tcW w:w="1100" w:type="dxa"/>
            <w:vAlign w:val="bottom"/>
            <w:tcBorders>
              <w:bottom w:val="single" w:sz="8" w:color="auto"/>
            </w:tcBorders>
            <w:shd w:val="clear" w:color="auto" w:fill="CCEEFF"/>
          </w:tcPr>
          <w:p>
            <w:pPr>
              <w:ind w:left="860"/>
              <w:spacing w:after="0"/>
              <w:rPr>
                <w:sz w:val="20"/>
                <w:szCs w:val="20"/>
                <w:color w:val="auto"/>
              </w:rPr>
            </w:pPr>
            <w:r>
              <w:rPr>
                <w:rFonts w:ascii="Arial" w:cs="Arial" w:eastAsia="Arial" w:hAnsi="Arial"/>
                <w:sz w:val="14"/>
                <w:szCs w:val="14"/>
                <w:b w:val="1"/>
                <w:bCs w:val="1"/>
                <w:color w:val="auto"/>
              </w:rPr>
              <w:t>—</w:t>
            </w:r>
          </w:p>
        </w:tc>
        <w:tc>
          <w:tcPr>
            <w:tcW w:w="100" w:type="dxa"/>
            <w:vAlign w:val="bottom"/>
            <w:tcBorders>
              <w:bottom w:val="single" w:sz="8" w:color="CCEEFF"/>
            </w:tcBorders>
            <w:shd w:val="clear" w:color="auto" w:fill="CCEEFF"/>
          </w:tcPr>
          <w:p>
            <w:pPr>
              <w:spacing w:after="0"/>
              <w:rPr>
                <w:sz w:val="20"/>
                <w:szCs w:val="20"/>
                <w:color w:val="auto"/>
              </w:rPr>
            </w:pPr>
          </w:p>
        </w:tc>
        <w:tc>
          <w:tcPr>
            <w:tcW w:w="1700" w:type="dxa"/>
            <w:vAlign w:val="bottom"/>
            <w:tcBorders>
              <w:bottom w:val="single" w:sz="8" w:color="CCEEFF"/>
            </w:tcBorders>
            <w:shd w:val="clear" w:color="auto" w:fill="CCEEFF"/>
          </w:tcPr>
          <w:p>
            <w:pPr>
              <w:spacing w:after="0"/>
              <w:rPr>
                <w:sz w:val="20"/>
                <w:szCs w:val="20"/>
                <w:color w:val="auto"/>
              </w:rPr>
            </w:pPr>
          </w:p>
        </w:tc>
      </w:tr>
      <w:tr>
        <w:trPr>
          <w:trHeight w:val="20"/>
        </w:trPr>
        <w:tc>
          <w:tcPr>
            <w:tcW w:w="25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8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8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r>
      <w:tr>
        <w:trPr>
          <w:trHeight w:val="532"/>
        </w:trPr>
        <w:tc>
          <w:tcPr>
            <w:tcW w:w="25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7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Fair Value as of</w:t>
            </w:r>
          </w:p>
        </w:tc>
        <w:tc>
          <w:tcPr>
            <w:tcW w:w="160" w:type="dxa"/>
            <w:vAlign w:val="bottom"/>
          </w:tcPr>
          <w:p>
            <w:pPr>
              <w:spacing w:after="0"/>
              <w:rPr>
                <w:sz w:val="24"/>
                <w:szCs w:val="24"/>
                <w:color w:val="auto"/>
              </w:rPr>
            </w:pPr>
          </w:p>
        </w:tc>
        <w:tc>
          <w:tcPr>
            <w:tcW w:w="4200" w:type="dxa"/>
            <w:vAlign w:val="bottom"/>
            <w:gridSpan w:val="7"/>
          </w:tcPr>
          <w:p>
            <w:pPr>
              <w:jc w:val="center"/>
              <w:ind w:right="48"/>
              <w:spacing w:after="0"/>
              <w:rPr>
                <w:sz w:val="20"/>
                <w:szCs w:val="20"/>
                <w:color w:val="auto"/>
              </w:rPr>
            </w:pPr>
            <w:r>
              <w:rPr>
                <w:rFonts w:ascii="Arial" w:cs="Arial" w:eastAsia="Arial" w:hAnsi="Arial"/>
                <w:sz w:val="14"/>
                <w:szCs w:val="14"/>
                <w:b w:val="1"/>
                <w:bCs w:val="1"/>
                <w:color w:val="auto"/>
              </w:rPr>
              <w:t>Fair Value Measurements Using Fair Value Hierarchy as of</w:t>
            </w:r>
          </w:p>
        </w:tc>
        <w:tc>
          <w:tcPr>
            <w:tcW w:w="100" w:type="dxa"/>
            <w:vAlign w:val="bottom"/>
          </w:tcPr>
          <w:p>
            <w:pPr>
              <w:spacing w:after="0"/>
              <w:rPr>
                <w:sz w:val="24"/>
                <w:szCs w:val="24"/>
                <w:color w:val="auto"/>
              </w:rPr>
            </w:pPr>
          </w:p>
        </w:tc>
        <w:tc>
          <w:tcPr>
            <w:tcW w:w="1700" w:type="dxa"/>
            <w:vAlign w:val="bottom"/>
          </w:tcPr>
          <w:p>
            <w:pPr>
              <w:spacing w:after="0"/>
              <w:rPr>
                <w:sz w:val="24"/>
                <w:szCs w:val="24"/>
                <w:color w:val="auto"/>
              </w:rPr>
            </w:pPr>
          </w:p>
        </w:tc>
      </w:tr>
      <w:tr>
        <w:trPr>
          <w:trHeight w:val="270"/>
        </w:trPr>
        <w:tc>
          <w:tcPr>
            <w:tcW w:w="2580" w:type="dxa"/>
            <w:vAlign w:val="bottom"/>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1660" w:type="dxa"/>
            <w:vAlign w:val="bottom"/>
            <w:tcBorders>
              <w:bottom w:val="single" w:sz="8" w:color="auto"/>
            </w:tcBorders>
          </w:tcPr>
          <w:p>
            <w:pPr>
              <w:jc w:val="center"/>
              <w:ind w:right="88"/>
              <w:spacing w:after="0"/>
              <w:rPr>
                <w:sz w:val="20"/>
                <w:szCs w:val="20"/>
                <w:color w:val="auto"/>
              </w:rPr>
            </w:pPr>
            <w:r>
              <w:rPr>
                <w:rFonts w:ascii="Arial" w:cs="Arial" w:eastAsia="Arial" w:hAnsi="Arial"/>
                <w:sz w:val="14"/>
                <w:szCs w:val="14"/>
                <w:b w:val="1"/>
                <w:bCs w:val="1"/>
                <w:color w:val="auto"/>
              </w:rPr>
              <w:t>December 31, 2016</w:t>
            </w:r>
          </w:p>
        </w:tc>
        <w:tc>
          <w:tcPr>
            <w:tcW w:w="120" w:type="dxa"/>
            <w:vAlign w:val="bottom"/>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1220" w:type="dxa"/>
            <w:vAlign w:val="bottom"/>
            <w:tcBorders>
              <w:bottom w:val="single" w:sz="8" w:color="auto"/>
            </w:tcBorders>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1480" w:type="dxa"/>
            <w:vAlign w:val="bottom"/>
            <w:tcBorders>
              <w:bottom w:val="single" w:sz="8" w:color="auto"/>
            </w:tcBorders>
            <w:gridSpan w:val="3"/>
          </w:tcPr>
          <w:p>
            <w:pPr>
              <w:jc w:val="center"/>
              <w:ind w:right="100"/>
              <w:spacing w:after="0"/>
              <w:rPr>
                <w:sz w:val="20"/>
                <w:szCs w:val="20"/>
                <w:color w:val="auto"/>
              </w:rPr>
            </w:pPr>
            <w:r>
              <w:rPr>
                <w:rFonts w:ascii="Arial" w:cs="Arial" w:eastAsia="Arial" w:hAnsi="Arial"/>
                <w:sz w:val="14"/>
                <w:szCs w:val="14"/>
                <w:b w:val="1"/>
                <w:bCs w:val="1"/>
                <w:color w:val="auto"/>
              </w:rPr>
              <w:t>December 31, 2016</w:t>
            </w:r>
          </w:p>
        </w:tc>
        <w:tc>
          <w:tcPr>
            <w:tcW w:w="280" w:type="dxa"/>
            <w:vAlign w:val="bottom"/>
            <w:tcBorders>
              <w:bottom w:val="single" w:sz="8" w:color="auto"/>
            </w:tcBorders>
          </w:tcPr>
          <w:p>
            <w:pPr>
              <w:spacing w:after="0"/>
              <w:rPr>
                <w:sz w:val="23"/>
                <w:szCs w:val="23"/>
                <w:color w:val="auto"/>
              </w:rPr>
            </w:pPr>
          </w:p>
        </w:tc>
        <w:tc>
          <w:tcPr>
            <w:tcW w:w="1100" w:type="dxa"/>
            <w:vAlign w:val="bottom"/>
            <w:tcBorders>
              <w:bottom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1700" w:type="dxa"/>
            <w:vAlign w:val="bottom"/>
          </w:tcPr>
          <w:p>
            <w:pPr>
              <w:spacing w:after="0"/>
              <w:rPr>
                <w:sz w:val="23"/>
                <w:szCs w:val="23"/>
                <w:color w:val="auto"/>
              </w:rPr>
            </w:pPr>
          </w:p>
        </w:tc>
      </w:tr>
      <w:tr>
        <w:trPr>
          <w:trHeight w:val="265"/>
        </w:trPr>
        <w:tc>
          <w:tcPr>
            <w:tcW w:w="25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7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Total</w:t>
            </w:r>
          </w:p>
        </w:tc>
        <w:tc>
          <w:tcPr>
            <w:tcW w:w="160" w:type="dxa"/>
            <w:vAlign w:val="bottom"/>
          </w:tcPr>
          <w:p>
            <w:pPr>
              <w:spacing w:after="0"/>
              <w:rPr>
                <w:sz w:val="23"/>
                <w:szCs w:val="23"/>
                <w:color w:val="auto"/>
              </w:rPr>
            </w:pPr>
          </w:p>
        </w:tc>
        <w:tc>
          <w:tcPr>
            <w:tcW w:w="1340" w:type="dxa"/>
            <w:vAlign w:val="bottom"/>
            <w:gridSpan w:val="2"/>
          </w:tcPr>
          <w:p>
            <w:pPr>
              <w:ind w:left="300"/>
              <w:spacing w:after="0"/>
              <w:rPr>
                <w:sz w:val="20"/>
                <w:szCs w:val="20"/>
                <w:color w:val="auto"/>
              </w:rPr>
            </w:pPr>
            <w:r>
              <w:rPr>
                <w:rFonts w:ascii="Arial" w:cs="Arial" w:eastAsia="Arial" w:hAnsi="Arial"/>
                <w:sz w:val="14"/>
                <w:szCs w:val="14"/>
                <w:b w:val="1"/>
                <w:bCs w:val="1"/>
                <w:color w:val="auto"/>
              </w:rPr>
              <w:t>Level 1</w:t>
            </w:r>
          </w:p>
        </w:tc>
        <w:tc>
          <w:tcPr>
            <w:tcW w:w="280" w:type="dxa"/>
            <w:vAlign w:val="bottom"/>
          </w:tcPr>
          <w:p>
            <w:pPr>
              <w:spacing w:after="0"/>
              <w:rPr>
                <w:sz w:val="23"/>
                <w:szCs w:val="23"/>
                <w:color w:val="auto"/>
              </w:rPr>
            </w:pPr>
          </w:p>
        </w:tc>
        <w:tc>
          <w:tcPr>
            <w:tcW w:w="120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rPr>
              <w:t>Level 2</w:t>
            </w:r>
          </w:p>
        </w:tc>
        <w:tc>
          <w:tcPr>
            <w:tcW w:w="280" w:type="dxa"/>
            <w:vAlign w:val="bottom"/>
          </w:tcPr>
          <w:p>
            <w:pPr>
              <w:spacing w:after="0"/>
              <w:rPr>
                <w:sz w:val="23"/>
                <w:szCs w:val="23"/>
                <w:color w:val="auto"/>
              </w:rPr>
            </w:pPr>
          </w:p>
        </w:tc>
        <w:tc>
          <w:tcPr>
            <w:tcW w:w="1100" w:type="dxa"/>
            <w:vAlign w:val="bottom"/>
          </w:tcPr>
          <w:p>
            <w:pPr>
              <w:ind w:left="160"/>
              <w:spacing w:after="0"/>
              <w:rPr>
                <w:sz w:val="20"/>
                <w:szCs w:val="20"/>
                <w:color w:val="auto"/>
              </w:rPr>
            </w:pPr>
            <w:r>
              <w:rPr>
                <w:rFonts w:ascii="Arial" w:cs="Arial" w:eastAsia="Arial" w:hAnsi="Arial"/>
                <w:sz w:val="14"/>
                <w:szCs w:val="14"/>
                <w:b w:val="1"/>
                <w:bCs w:val="1"/>
                <w:color w:val="auto"/>
              </w:rPr>
              <w:t>Level 3</w:t>
            </w:r>
          </w:p>
        </w:tc>
        <w:tc>
          <w:tcPr>
            <w:tcW w:w="100" w:type="dxa"/>
            <w:vAlign w:val="bottom"/>
          </w:tcPr>
          <w:p>
            <w:pPr>
              <w:spacing w:after="0"/>
              <w:rPr>
                <w:sz w:val="23"/>
                <w:szCs w:val="23"/>
                <w:color w:val="auto"/>
              </w:rPr>
            </w:pPr>
          </w:p>
        </w:tc>
        <w:tc>
          <w:tcPr>
            <w:tcW w:w="1700" w:type="dxa"/>
            <w:vAlign w:val="bottom"/>
          </w:tcPr>
          <w:p>
            <w:pPr>
              <w:jc w:val="center"/>
              <w:spacing w:after="0"/>
              <w:rPr>
                <w:sz w:val="20"/>
                <w:szCs w:val="20"/>
                <w:color w:val="auto"/>
              </w:rPr>
            </w:pPr>
            <w:r>
              <w:rPr>
                <w:rFonts w:ascii="Arial" w:cs="Arial" w:eastAsia="Arial" w:hAnsi="Arial"/>
                <w:sz w:val="14"/>
                <w:szCs w:val="14"/>
                <w:b w:val="1"/>
                <w:bCs w:val="1"/>
                <w:color w:val="auto"/>
              </w:rPr>
              <w:t>Valuation Technique</w:t>
            </w:r>
          </w:p>
        </w:tc>
      </w:tr>
      <w:tr>
        <w:trPr>
          <w:trHeight w:val="265"/>
        </w:trPr>
        <w:tc>
          <w:tcPr>
            <w:tcW w:w="25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Assets</w:t>
            </w:r>
          </w:p>
        </w:tc>
        <w:tc>
          <w:tcPr>
            <w:tcW w:w="160" w:type="dxa"/>
            <w:vAlign w:val="bottom"/>
            <w:tcBorders>
              <w:top w:val="single" w:sz="8" w:color="auto"/>
            </w:tcBorders>
            <w:shd w:val="clear" w:color="auto" w:fill="CCEEFF"/>
          </w:tcPr>
          <w:p>
            <w:pPr>
              <w:spacing w:after="0"/>
              <w:rPr>
                <w:sz w:val="23"/>
                <w:szCs w:val="23"/>
                <w:color w:val="auto"/>
              </w:rPr>
            </w:pPr>
          </w:p>
        </w:tc>
        <w:tc>
          <w:tcPr>
            <w:tcW w:w="166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160" w:type="dxa"/>
            <w:vAlign w:val="bottom"/>
            <w:tcBorders>
              <w:top w:val="single" w:sz="8" w:color="auto"/>
            </w:tcBorders>
            <w:shd w:val="clear" w:color="auto" w:fill="CCEEFF"/>
          </w:tcPr>
          <w:p>
            <w:pPr>
              <w:spacing w:after="0"/>
              <w:rPr>
                <w:sz w:val="23"/>
                <w:szCs w:val="23"/>
                <w:color w:val="auto"/>
              </w:rPr>
            </w:pPr>
          </w:p>
        </w:tc>
        <w:tc>
          <w:tcPr>
            <w:tcW w:w="122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280" w:type="dxa"/>
            <w:vAlign w:val="bottom"/>
            <w:tcBorders>
              <w:top w:val="single" w:sz="8" w:color="auto"/>
            </w:tcBorders>
            <w:shd w:val="clear" w:color="auto" w:fill="CCEEFF"/>
          </w:tcPr>
          <w:p>
            <w:pPr>
              <w:spacing w:after="0"/>
              <w:rPr>
                <w:sz w:val="23"/>
                <w:szCs w:val="23"/>
                <w:color w:val="auto"/>
              </w:rPr>
            </w:pPr>
          </w:p>
        </w:tc>
        <w:tc>
          <w:tcPr>
            <w:tcW w:w="110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280" w:type="dxa"/>
            <w:vAlign w:val="bottom"/>
            <w:tcBorders>
              <w:top w:val="single" w:sz="8" w:color="auto"/>
            </w:tcBorders>
            <w:shd w:val="clear" w:color="auto" w:fill="CCEEFF"/>
          </w:tcPr>
          <w:p>
            <w:pPr>
              <w:spacing w:after="0"/>
              <w:rPr>
                <w:sz w:val="23"/>
                <w:szCs w:val="23"/>
                <w:color w:val="auto"/>
              </w:rPr>
            </w:pPr>
          </w:p>
        </w:tc>
        <w:tc>
          <w:tcPr>
            <w:tcW w:w="110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1700" w:type="dxa"/>
            <w:vAlign w:val="bottom"/>
            <w:tcBorders>
              <w:top w:val="single" w:sz="8" w:color="auto"/>
            </w:tcBorders>
            <w:shd w:val="clear" w:color="auto" w:fill="CCEEFF"/>
          </w:tcPr>
          <w:p>
            <w:pPr>
              <w:spacing w:after="0"/>
              <w:rPr>
                <w:sz w:val="23"/>
                <w:szCs w:val="23"/>
                <w:color w:val="auto"/>
              </w:rPr>
            </w:pPr>
          </w:p>
        </w:tc>
      </w:tr>
      <w:tr>
        <w:trPr>
          <w:trHeight w:val="266"/>
        </w:trPr>
        <w:tc>
          <w:tcPr>
            <w:tcW w:w="2580" w:type="dxa"/>
            <w:vAlign w:val="bottom"/>
          </w:tcPr>
          <w:p>
            <w:pPr>
              <w:ind w:left="260"/>
              <w:spacing w:after="0"/>
              <w:rPr>
                <w:sz w:val="20"/>
                <w:szCs w:val="20"/>
                <w:color w:val="auto"/>
              </w:rPr>
            </w:pPr>
            <w:r>
              <w:rPr>
                <w:rFonts w:ascii="Arial" w:cs="Arial" w:eastAsia="Arial" w:hAnsi="Arial"/>
                <w:sz w:val="14"/>
                <w:szCs w:val="14"/>
                <w:color w:val="auto"/>
              </w:rPr>
              <w:t>Cash and cash equivalents</w:t>
            </w: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660" w:type="dxa"/>
            <w:vAlign w:val="bottom"/>
          </w:tcPr>
          <w:p>
            <w:pPr>
              <w:jc w:val="right"/>
              <w:ind w:right="28"/>
              <w:spacing w:after="0"/>
              <w:rPr>
                <w:sz w:val="20"/>
                <w:szCs w:val="20"/>
                <w:color w:val="auto"/>
              </w:rPr>
            </w:pPr>
            <w:r>
              <w:rPr>
                <w:rFonts w:ascii="Arial" w:cs="Arial" w:eastAsia="Arial" w:hAnsi="Arial"/>
                <w:sz w:val="14"/>
                <w:szCs w:val="14"/>
                <w:color w:val="auto"/>
              </w:rPr>
              <w:t>68,055</w:t>
            </w:r>
          </w:p>
        </w:tc>
        <w:tc>
          <w:tcPr>
            <w:tcW w:w="120" w:type="dxa"/>
            <w:vAlign w:val="bottom"/>
          </w:tcPr>
          <w:p>
            <w:pPr>
              <w:spacing w:after="0"/>
              <w:rPr>
                <w:sz w:val="23"/>
                <w:szCs w:val="23"/>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220" w:type="dxa"/>
            <w:vAlign w:val="bottom"/>
          </w:tcPr>
          <w:p>
            <w:pPr>
              <w:jc w:val="right"/>
              <w:ind w:right="8"/>
              <w:spacing w:after="0"/>
              <w:rPr>
                <w:sz w:val="20"/>
                <w:szCs w:val="20"/>
                <w:color w:val="auto"/>
              </w:rPr>
            </w:pPr>
            <w:r>
              <w:rPr>
                <w:rFonts w:ascii="Arial" w:cs="Arial" w:eastAsia="Arial" w:hAnsi="Arial"/>
                <w:sz w:val="14"/>
                <w:szCs w:val="14"/>
                <w:color w:val="auto"/>
              </w:rPr>
              <w:t>68,055</w:t>
            </w:r>
          </w:p>
        </w:tc>
        <w:tc>
          <w:tcPr>
            <w:tcW w:w="120" w:type="dxa"/>
            <w:vAlign w:val="bottom"/>
          </w:tcPr>
          <w:p>
            <w:pPr>
              <w:spacing w:after="0"/>
              <w:rPr>
                <w:sz w:val="23"/>
                <w:szCs w:val="23"/>
                <w:color w:val="auto"/>
              </w:rPr>
            </w:pPr>
          </w:p>
        </w:tc>
        <w:tc>
          <w:tcPr>
            <w:tcW w:w="28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1200" w:type="dxa"/>
            <w:vAlign w:val="bottom"/>
            <w:gridSpan w:val="2"/>
          </w:tcPr>
          <w:p>
            <w:pPr>
              <w:ind w:left="860"/>
              <w:spacing w:after="0"/>
              <w:rPr>
                <w:sz w:val="20"/>
                <w:szCs w:val="20"/>
                <w:color w:val="auto"/>
              </w:rPr>
            </w:pPr>
            <w:r>
              <w:rPr>
                <w:rFonts w:ascii="Arial" w:cs="Arial" w:eastAsia="Arial" w:hAnsi="Arial"/>
                <w:sz w:val="14"/>
                <w:szCs w:val="14"/>
                <w:color w:val="auto"/>
              </w:rPr>
              <w:t>—</w:t>
            </w:r>
          </w:p>
        </w:tc>
        <w:tc>
          <w:tcPr>
            <w:tcW w:w="28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1100" w:type="dxa"/>
            <w:vAlign w:val="bottom"/>
          </w:tcPr>
          <w:p>
            <w:pPr>
              <w:ind w:left="8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3"/>
                <w:szCs w:val="23"/>
                <w:color w:val="auto"/>
              </w:rPr>
            </w:pPr>
          </w:p>
        </w:tc>
        <w:tc>
          <w:tcPr>
            <w:tcW w:w="1700" w:type="dxa"/>
            <w:vAlign w:val="bottom"/>
          </w:tcPr>
          <w:p>
            <w:pPr>
              <w:jc w:val="center"/>
              <w:spacing w:after="0"/>
              <w:rPr>
                <w:sz w:val="20"/>
                <w:szCs w:val="20"/>
                <w:color w:val="auto"/>
              </w:rPr>
            </w:pPr>
            <w:r>
              <w:rPr>
                <w:rFonts w:ascii="Arial" w:cs="Arial" w:eastAsia="Arial" w:hAnsi="Arial"/>
                <w:sz w:val="14"/>
                <w:szCs w:val="14"/>
                <w:color w:val="auto"/>
              </w:rPr>
              <w:t>Market</w:t>
            </w:r>
          </w:p>
        </w:tc>
      </w:tr>
      <w:tr>
        <w:trPr>
          <w:trHeight w:val="274"/>
        </w:trPr>
        <w:tc>
          <w:tcPr>
            <w:tcW w:w="2580" w:type="dxa"/>
            <w:vAlign w:val="bottom"/>
            <w:shd w:val="clear" w:color="auto" w:fill="CCEEFF"/>
          </w:tcPr>
          <w:p>
            <w:pPr>
              <w:ind w:left="260"/>
              <w:spacing w:after="0"/>
              <w:rPr>
                <w:sz w:val="20"/>
                <w:szCs w:val="20"/>
                <w:color w:val="auto"/>
              </w:rPr>
            </w:pPr>
            <w:r>
              <w:rPr>
                <w:rFonts w:ascii="Arial" w:cs="Arial" w:eastAsia="Arial" w:hAnsi="Arial"/>
                <w:sz w:val="14"/>
                <w:szCs w:val="14"/>
                <w:color w:val="auto"/>
              </w:rPr>
              <w:t>Restricted cash</w:t>
            </w:r>
          </w:p>
        </w:tc>
        <w:tc>
          <w:tcPr>
            <w:tcW w:w="160" w:type="dxa"/>
            <w:vAlign w:val="bottom"/>
            <w:shd w:val="clear" w:color="auto" w:fill="CCEEFF"/>
          </w:tcPr>
          <w:p>
            <w:pPr>
              <w:spacing w:after="0"/>
              <w:rPr>
                <w:sz w:val="23"/>
                <w:szCs w:val="23"/>
                <w:color w:val="auto"/>
              </w:rPr>
            </w:pPr>
          </w:p>
        </w:tc>
        <w:tc>
          <w:tcPr>
            <w:tcW w:w="16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65,441</w:t>
            </w: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2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65,441</w:t>
            </w:r>
          </w:p>
        </w:tc>
        <w:tc>
          <w:tcPr>
            <w:tcW w:w="12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1200" w:type="dxa"/>
            <w:vAlign w:val="bottom"/>
            <w:gridSpan w:val="2"/>
            <w:shd w:val="clear" w:color="auto" w:fill="CCEEFF"/>
          </w:tcPr>
          <w:p>
            <w:pPr>
              <w:ind w:left="860"/>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23"/>
                <w:szCs w:val="23"/>
                <w:color w:val="auto"/>
              </w:rPr>
            </w:pPr>
          </w:p>
        </w:tc>
        <w:tc>
          <w:tcPr>
            <w:tcW w:w="1100" w:type="dxa"/>
            <w:vAlign w:val="bottom"/>
            <w:shd w:val="clear" w:color="auto" w:fill="CCEEFF"/>
          </w:tcPr>
          <w:p>
            <w:pPr>
              <w:ind w:left="8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3"/>
                <w:szCs w:val="23"/>
                <w:color w:val="auto"/>
              </w:rPr>
            </w:pPr>
          </w:p>
        </w:tc>
        <w:tc>
          <w:tcPr>
            <w:tcW w:w="170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Market</w:t>
            </w:r>
          </w:p>
        </w:tc>
      </w:tr>
      <w:tr>
        <w:trPr>
          <w:trHeight w:val="266"/>
        </w:trPr>
        <w:tc>
          <w:tcPr>
            <w:tcW w:w="2580" w:type="dxa"/>
            <w:vAlign w:val="bottom"/>
            <w:tcBorders>
              <w:bottom w:val="single" w:sz="8" w:color="CCEEFF"/>
            </w:tcBorders>
          </w:tcPr>
          <w:p>
            <w:pPr>
              <w:ind w:left="260"/>
              <w:spacing w:after="0"/>
              <w:rPr>
                <w:sz w:val="20"/>
                <w:szCs w:val="20"/>
                <w:color w:val="auto"/>
              </w:rPr>
            </w:pPr>
            <w:r>
              <w:rPr>
                <w:rFonts w:ascii="Arial" w:cs="Arial" w:eastAsia="Arial" w:hAnsi="Arial"/>
                <w:sz w:val="14"/>
                <w:szCs w:val="14"/>
                <w:color w:val="auto"/>
              </w:rPr>
              <w:t>Available-for-sale securities</w:t>
            </w:r>
          </w:p>
        </w:tc>
        <w:tc>
          <w:tcPr>
            <w:tcW w:w="160" w:type="dxa"/>
            <w:vAlign w:val="bottom"/>
            <w:tcBorders>
              <w:bottom w:val="single" w:sz="8" w:color="auto"/>
            </w:tcBorders>
          </w:tcPr>
          <w:p>
            <w:pPr>
              <w:spacing w:after="0"/>
              <w:rPr>
                <w:sz w:val="23"/>
                <w:szCs w:val="23"/>
                <w:color w:val="auto"/>
              </w:rPr>
            </w:pPr>
          </w:p>
        </w:tc>
        <w:tc>
          <w:tcPr>
            <w:tcW w:w="16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17,630</w:t>
            </w:r>
          </w:p>
        </w:tc>
        <w:tc>
          <w:tcPr>
            <w:tcW w:w="120" w:type="dxa"/>
            <w:vAlign w:val="bottom"/>
            <w:tcBorders>
              <w:bottom w:val="single" w:sz="8" w:color="CCEEFF"/>
            </w:tcBorders>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12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17,630</w:t>
            </w:r>
          </w:p>
        </w:tc>
        <w:tc>
          <w:tcPr>
            <w:tcW w:w="120" w:type="dxa"/>
            <w:vAlign w:val="bottom"/>
            <w:tcBorders>
              <w:bottom w:val="single" w:sz="8" w:color="CCEEFF"/>
            </w:tcBorders>
          </w:tcPr>
          <w:p>
            <w:pPr>
              <w:spacing w:after="0"/>
              <w:rPr>
                <w:sz w:val="23"/>
                <w:szCs w:val="23"/>
                <w:color w:val="auto"/>
              </w:rPr>
            </w:pPr>
          </w:p>
        </w:tc>
        <w:tc>
          <w:tcPr>
            <w:tcW w:w="280" w:type="dxa"/>
            <w:vAlign w:val="bottom"/>
            <w:tcBorders>
              <w:bottom w:val="single" w:sz="8" w:color="auto"/>
            </w:tcBorders>
          </w:tcPr>
          <w:p>
            <w:pPr>
              <w:spacing w:after="0"/>
              <w:rPr>
                <w:sz w:val="23"/>
                <w:szCs w:val="23"/>
                <w:color w:val="auto"/>
              </w:rPr>
            </w:pPr>
          </w:p>
        </w:tc>
        <w:tc>
          <w:tcPr>
            <w:tcW w:w="1100" w:type="dxa"/>
            <w:vAlign w:val="bottom"/>
            <w:tcBorders>
              <w:bottom w:val="single" w:sz="8" w:color="auto"/>
            </w:tcBorders>
          </w:tcPr>
          <w:p>
            <w:pPr>
              <w:ind w:left="86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23"/>
                <w:szCs w:val="23"/>
                <w:color w:val="auto"/>
              </w:rPr>
            </w:pPr>
          </w:p>
        </w:tc>
        <w:tc>
          <w:tcPr>
            <w:tcW w:w="280" w:type="dxa"/>
            <w:vAlign w:val="bottom"/>
            <w:tcBorders>
              <w:bottom w:val="single" w:sz="8" w:color="auto"/>
            </w:tcBorders>
          </w:tcPr>
          <w:p>
            <w:pPr>
              <w:spacing w:after="0"/>
              <w:rPr>
                <w:sz w:val="23"/>
                <w:szCs w:val="23"/>
                <w:color w:val="auto"/>
              </w:rPr>
            </w:pPr>
          </w:p>
        </w:tc>
        <w:tc>
          <w:tcPr>
            <w:tcW w:w="1100" w:type="dxa"/>
            <w:vAlign w:val="bottom"/>
            <w:tcBorders>
              <w:bottom w:val="single" w:sz="8" w:color="auto"/>
            </w:tcBorders>
          </w:tcPr>
          <w:p>
            <w:pPr>
              <w:ind w:left="86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23"/>
                <w:szCs w:val="23"/>
                <w:color w:val="auto"/>
              </w:rPr>
            </w:pPr>
          </w:p>
        </w:tc>
        <w:tc>
          <w:tcPr>
            <w:tcW w:w="1700" w:type="dxa"/>
            <w:vAlign w:val="bottom"/>
            <w:tcBorders>
              <w:bottom w:val="single" w:sz="8" w:color="CCEEFF"/>
            </w:tcBorders>
          </w:tcPr>
          <w:p>
            <w:pPr>
              <w:jc w:val="center"/>
              <w:spacing w:after="0"/>
              <w:rPr>
                <w:sz w:val="20"/>
                <w:szCs w:val="20"/>
                <w:color w:val="auto"/>
              </w:rPr>
            </w:pPr>
            <w:r>
              <w:rPr>
                <w:rFonts w:ascii="Arial" w:cs="Arial" w:eastAsia="Arial" w:hAnsi="Arial"/>
                <w:sz w:val="14"/>
                <w:szCs w:val="14"/>
                <w:color w:val="auto"/>
              </w:rPr>
              <w:t>Market</w:t>
            </w:r>
          </w:p>
        </w:tc>
      </w:tr>
      <w:tr>
        <w:trPr>
          <w:trHeight w:val="241"/>
        </w:trPr>
        <w:tc>
          <w:tcPr>
            <w:tcW w:w="258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Total</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6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151,126</w:t>
            </w: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151,126</w:t>
            </w:r>
          </w:p>
        </w:tc>
        <w:tc>
          <w:tcPr>
            <w:tcW w:w="120" w:type="dxa"/>
            <w:vAlign w:val="bottom"/>
            <w:shd w:val="clear" w:color="auto" w:fill="CCEEFF"/>
          </w:tcPr>
          <w:p>
            <w:pPr>
              <w:spacing w:after="0"/>
              <w:rPr>
                <w:sz w:val="20"/>
                <w:szCs w:val="20"/>
                <w:color w:val="auto"/>
              </w:rPr>
            </w:pPr>
          </w:p>
        </w:tc>
        <w:tc>
          <w:tcPr>
            <w:tcW w:w="28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1200" w:type="dxa"/>
            <w:vAlign w:val="bottom"/>
            <w:gridSpan w:val="2"/>
            <w:shd w:val="clear" w:color="auto" w:fill="CCEEFF"/>
          </w:tcPr>
          <w:p>
            <w:pPr>
              <w:ind w:left="860"/>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1100" w:type="dxa"/>
            <w:vAlign w:val="bottom"/>
            <w:shd w:val="clear" w:color="auto" w:fill="CCEEFF"/>
          </w:tcPr>
          <w:p>
            <w:pPr>
              <w:ind w:left="8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0"/>
                <w:szCs w:val="20"/>
                <w:color w:val="auto"/>
              </w:rPr>
            </w:pPr>
          </w:p>
        </w:tc>
        <w:tc>
          <w:tcPr>
            <w:tcW w:w="1700" w:type="dxa"/>
            <w:vAlign w:val="bottom"/>
            <w:shd w:val="clear" w:color="auto" w:fill="CCEEFF"/>
          </w:tcPr>
          <w:p>
            <w:pPr>
              <w:spacing w:after="0"/>
              <w:rPr>
                <w:sz w:val="20"/>
                <w:szCs w:val="20"/>
                <w:color w:val="auto"/>
              </w:rPr>
            </w:pPr>
          </w:p>
        </w:tc>
      </w:tr>
      <w:tr>
        <w:trPr>
          <w:trHeight w:val="20"/>
        </w:trPr>
        <w:tc>
          <w:tcPr>
            <w:tcW w:w="25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700" w:type="dxa"/>
            <w:vAlign w:val="bottom"/>
            <w:tcBorders>
              <w:top w:val="single" w:sz="8" w:color="CCEEFF"/>
            </w:tcBorders>
          </w:tcPr>
          <w:p>
            <w:pPr>
              <w:spacing w:after="0" w:line="20" w:lineRule="exact"/>
              <w:rPr>
                <w:sz w:val="1"/>
                <w:szCs w:val="1"/>
                <w:color w:val="auto"/>
              </w:rPr>
            </w:pPr>
          </w:p>
        </w:tc>
      </w:tr>
    </w:tbl>
    <w:p>
      <w:pPr>
        <w:spacing w:after="0" w:line="144" w:lineRule="exact"/>
        <w:rPr>
          <w:sz w:val="20"/>
          <w:szCs w:val="20"/>
          <w:color w:val="auto"/>
        </w:rPr>
      </w:pPr>
    </w:p>
    <w:p>
      <w:pPr>
        <w:ind w:left="340"/>
        <w:spacing w:after="0"/>
        <w:rPr>
          <w:sz w:val="20"/>
          <w:szCs w:val="20"/>
          <w:color w:val="auto"/>
        </w:rPr>
      </w:pPr>
      <w:r>
        <w:rPr>
          <w:rFonts w:ascii="Arial" w:cs="Arial" w:eastAsia="Arial" w:hAnsi="Arial"/>
          <w:sz w:val="16"/>
          <w:szCs w:val="16"/>
          <w:color w:val="auto"/>
        </w:rPr>
        <w:t>At September 30, 2017 and December 31, 2016, the Company had no liabilities that were measured at fair value on a recurring basis.</w:t>
      </w:r>
    </w:p>
    <w:p>
      <w:pPr>
        <w:spacing w:after="0" w:line="167" w:lineRule="exact"/>
        <w:rPr>
          <w:sz w:val="20"/>
          <w:szCs w:val="20"/>
          <w:color w:val="auto"/>
        </w:rPr>
      </w:pPr>
    </w:p>
    <w:p>
      <w:pPr>
        <w:jc w:val="both"/>
        <w:ind w:left="340"/>
        <w:spacing w:after="0" w:line="261" w:lineRule="auto"/>
        <w:rPr>
          <w:sz w:val="20"/>
          <w:szCs w:val="20"/>
          <w:color w:val="auto"/>
        </w:rPr>
      </w:pPr>
      <w:r>
        <w:rPr>
          <w:rFonts w:ascii="Arial" w:cs="Arial" w:eastAsia="Arial" w:hAnsi="Arial"/>
          <w:sz w:val="16"/>
          <w:szCs w:val="16"/>
          <w:color w:val="auto"/>
        </w:rPr>
        <w:t>The Company’s cash and cash equivalents and restricted cash consist largely of demand deposit accounts with maturities of 90 days or less when purchased that are considered to be highly liquid. These instruments are valued using inputs observable in active markets for identical instruments and are therefore classified as Level 1 within the fair value hierarchy. Publicly traded securities with sufficient trading volume are fair valued by management using quoted prices for identical instruments in active markets and are therefore classified as Level 1 within the fair value hierarchy.</w:t>
      </w:r>
    </w:p>
    <w:p>
      <w:pPr>
        <w:spacing w:after="0" w:line="118" w:lineRule="exact"/>
        <w:rPr>
          <w:sz w:val="20"/>
          <w:szCs w:val="20"/>
          <w:color w:val="auto"/>
        </w:rPr>
      </w:pPr>
    </w:p>
    <w:p>
      <w:pPr>
        <w:jc w:val="both"/>
        <w:ind w:left="340"/>
        <w:spacing w:after="0" w:line="261" w:lineRule="auto"/>
        <w:rPr>
          <w:sz w:val="20"/>
          <w:szCs w:val="20"/>
          <w:color w:val="auto"/>
        </w:rPr>
      </w:pPr>
      <w:r>
        <w:rPr>
          <w:rFonts w:ascii="Arial" w:cs="Arial" w:eastAsia="Arial" w:hAnsi="Arial"/>
          <w:sz w:val="16"/>
          <w:szCs w:val="16"/>
          <w:color w:val="auto"/>
        </w:rPr>
        <w:t>Except as discussed below, the Company’s financial instruments other than cash and cash equivalents, restricted cash and available-for-sale securities consist principally of accounts receivable, accounts payable and accrued liabilities, loans payable, bonds payable, security deposits, maintenance deposits and management fees payable, whose fair value approximates their carrying value based on an evaluation of pricing data, vendor quotes, and historical trading activity or due to their short maturity profiles.</w:t>
      </w:r>
    </w:p>
    <w:p>
      <w:pPr>
        <w:spacing w:after="0" w:line="132" w:lineRule="exact"/>
        <w:rPr>
          <w:sz w:val="20"/>
          <w:szCs w:val="20"/>
          <w:color w:val="auto"/>
        </w:rPr>
      </w:pPr>
    </w:p>
    <w:p>
      <w:pPr>
        <w:jc w:val="both"/>
        <w:ind w:left="340"/>
        <w:spacing w:after="0" w:line="290" w:lineRule="auto"/>
        <w:rPr>
          <w:sz w:val="20"/>
          <w:szCs w:val="20"/>
          <w:color w:val="auto"/>
        </w:rPr>
      </w:pPr>
      <w:r>
        <w:rPr>
          <w:rFonts w:ascii="Arial" w:cs="Arial" w:eastAsia="Arial" w:hAnsi="Arial"/>
          <w:sz w:val="16"/>
          <w:szCs w:val="16"/>
          <w:color w:val="auto"/>
        </w:rPr>
        <w:t>At September 30, 2017 and December 31, 2016, the Company’s notes receivable included a $0 and $17,935, respectively, loan bearing interest at 10% related to a terminal site under development, collateralized by property at that site, which was settled in the acquisition of Hannibal (Note 5). At December 31, 2016 the Company’s notes receivable included, as a component of other assets on the accompanying Consolidated Balance Sheets, a $3,725 loan bearing interest at 12.0% made to the Company’s joint venture partner in MT 6015 (Note 2) which was collateralized by other property owned by the joint venture partner. During the third quarter of 2017 the Company entered into a settlement agreement for this loan more fully discussed in Note 2. The fair value of these notes receivable approximate carrying value and are classified as Level 2, which is within the fair value hierarchy.</w:t>
      </w:r>
    </w:p>
    <w:p>
      <w:pPr>
        <w:spacing w:after="0" w:line="111" w:lineRule="exact"/>
        <w:rPr>
          <w:sz w:val="20"/>
          <w:szCs w:val="20"/>
          <w:color w:val="auto"/>
        </w:rPr>
      </w:pPr>
    </w:p>
    <w:p>
      <w:pPr>
        <w:jc w:val="both"/>
        <w:ind w:left="340"/>
        <w:spacing w:after="0" w:line="291" w:lineRule="auto"/>
        <w:rPr>
          <w:sz w:val="20"/>
          <w:szCs w:val="20"/>
          <w:color w:val="auto"/>
        </w:rPr>
      </w:pPr>
      <w:r>
        <w:rPr>
          <w:rFonts w:ascii="Arial" w:cs="Arial" w:eastAsia="Arial" w:hAnsi="Arial"/>
          <w:sz w:val="16"/>
          <w:szCs w:val="16"/>
          <w:color w:val="auto"/>
        </w:rPr>
        <w:t>At September 30, 2017, the Company recorded a derivative asset related to short-term forward crude contracts. The fair value of the short-term derivative asset of $1,036, recorded in other assets, is classified as Level 3 within the fair value hierarchy.</w:t>
      </w:r>
    </w:p>
    <w:p>
      <w:pPr>
        <w:spacing w:after="0" w:line="94" w:lineRule="exact"/>
        <w:rPr>
          <w:sz w:val="20"/>
          <w:szCs w:val="20"/>
          <w:color w:val="auto"/>
        </w:rPr>
      </w:pPr>
    </w:p>
    <w:p>
      <w:pPr>
        <w:jc w:val="both"/>
        <w:ind w:left="340"/>
        <w:spacing w:after="0" w:line="255" w:lineRule="auto"/>
        <w:rPr>
          <w:sz w:val="20"/>
          <w:szCs w:val="20"/>
          <w:color w:val="auto"/>
        </w:rPr>
      </w:pPr>
      <w:r>
        <w:rPr>
          <w:rFonts w:ascii="Arial" w:cs="Arial" w:eastAsia="Arial" w:hAnsi="Arial"/>
          <w:sz w:val="16"/>
          <w:szCs w:val="16"/>
          <w:color w:val="auto"/>
        </w:rPr>
        <w:t>The fair value of Series 2012 bonds, reported in debt, net on the Consolidated Balance Sheets, was approximately $44,667 and $46,488, at September 30, 2017 and December 31, 2016, respectively, based upon market prices for similar municipal securities. The fair value of Series 2016 bonds, reported in debt, net on the Consolidated Balance Sheets, was approximately $149,463 and $149,575 at September 30, 2017 and December 31, 2016, respectively, based upon market prices for similar municipal securities. The fair value of Senior Notes, reported in debt, net on the Consolidated Balance Sheets, was approximately $345,859 as of September 30, 2017 as the carrying value approximates the market prices. The fair values of all other items reported as debt, net in the Consolidated Balance Sheet approximate their carrying values due to their bearing market rates</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24</w:t>
      </w:r>
    </w:p>
    <w:p>
      <w:pPr>
        <w:sectPr>
          <w:pgSz w:w="11900" w:h="16838" w:orient="portrait"/>
          <w:cols w:equalWidth="0" w:num="1">
            <w:col w:w="11420"/>
          </w:cols>
          <w:pgMar w:left="240" w:top="117" w:right="239" w:bottom="1440" w:gutter="0" w:footer="0" w:header="0"/>
        </w:sectPr>
      </w:pPr>
    </w:p>
    <w:bookmarkStart w:id="24" w:name="page25"/>
    <w:bookmarkEnd w:id="24"/>
    <w:p>
      <w:pPr>
        <w:ind w:right="3820"/>
        <w:spacing w:after="0" w:line="305" w:lineRule="auto"/>
        <w:rPr>
          <w:sz w:val="20"/>
          <w:szCs w:val="20"/>
          <w:color w:val="auto"/>
        </w:rPr>
      </w:pPr>
      <w:r>
        <w:rPr>
          <w:rFonts w:ascii="Arial" w:cs="Arial" w:eastAsia="Arial" w:hAnsi="Arial"/>
          <w:sz w:val="22"/>
          <w:szCs w:val="22"/>
          <w:b w:val="1"/>
          <w:bCs w:val="1"/>
          <w:color w:val="00497F"/>
        </w:rPr>
        <w:t xml:space="preserve">FORTRESS TRANSPORTATION AND INFRASTRUCTURE INVESTORS LLC NOTES TO CONSOLIDATED FINANCIAL STATEMENTS </w:t>
      </w:r>
      <w:r>
        <w:rPr>
          <w:rFonts w:ascii="Arial" w:cs="Arial" w:eastAsia="Arial" w:hAnsi="Arial"/>
          <w:sz w:val="22"/>
          <w:szCs w:val="22"/>
          <w:b w:val="1"/>
          <w:bCs w:val="1"/>
          <w:i w:val="1"/>
          <w:iCs w:val="1"/>
          <w:color w:val="00497F"/>
        </w:rPr>
        <w:t>(unaudited)</w:t>
      </w:r>
    </w:p>
    <w:p>
      <w:pPr>
        <w:spacing w:after="0"/>
        <w:rPr>
          <w:sz w:val="20"/>
          <w:szCs w:val="20"/>
          <w:color w:val="auto"/>
        </w:rPr>
      </w:pPr>
      <w:r>
        <w:rPr>
          <w:rFonts w:ascii="Arial" w:cs="Arial" w:eastAsia="Arial" w:hAnsi="Arial"/>
          <w:sz w:val="18"/>
          <w:szCs w:val="18"/>
          <w:i w:val="1"/>
          <w:iCs w:val="1"/>
          <w:color w:val="00497F"/>
        </w:rPr>
        <w:t>(Dollar amounts in thousands, unless otherwise noted)</w:t>
      </w:r>
    </w:p>
    <w:p>
      <w:pPr>
        <w:spacing w:after="0" w:line="397" w:lineRule="exact"/>
        <w:rPr>
          <w:sz w:val="20"/>
          <w:szCs w:val="20"/>
          <w:color w:val="auto"/>
        </w:rPr>
      </w:pPr>
    </w:p>
    <w:p>
      <w:pPr>
        <w:ind w:left="340"/>
        <w:spacing w:after="0"/>
        <w:rPr>
          <w:sz w:val="20"/>
          <w:szCs w:val="20"/>
          <w:color w:val="auto"/>
        </w:rPr>
      </w:pPr>
      <w:r>
        <w:rPr>
          <w:rFonts w:ascii="Arial" w:cs="Arial" w:eastAsia="Arial" w:hAnsi="Arial"/>
          <w:sz w:val="16"/>
          <w:szCs w:val="16"/>
          <w:color w:val="auto"/>
        </w:rPr>
        <w:t>of interest, and are classified as Level 2 within the fair value hierarchy.</w:t>
      </w:r>
    </w:p>
    <w:p>
      <w:pPr>
        <w:spacing w:after="0" w:line="167" w:lineRule="exact"/>
        <w:rPr>
          <w:sz w:val="20"/>
          <w:szCs w:val="20"/>
          <w:color w:val="auto"/>
        </w:rPr>
      </w:pPr>
    </w:p>
    <w:p>
      <w:pPr>
        <w:jc w:val="both"/>
        <w:ind w:left="340"/>
        <w:spacing w:after="0" w:line="255" w:lineRule="auto"/>
        <w:rPr>
          <w:sz w:val="20"/>
          <w:szCs w:val="20"/>
          <w:color w:val="auto"/>
        </w:rPr>
      </w:pPr>
      <w:r>
        <w:rPr>
          <w:rFonts w:ascii="Arial" w:cs="Arial" w:eastAsia="Arial" w:hAnsi="Arial"/>
          <w:sz w:val="16"/>
          <w:szCs w:val="16"/>
          <w:color w:val="auto"/>
        </w:rPr>
        <w:t>The Company measures the fair value of certain assets and liabilities on a non-recurring basis when GAAP requires the application of fair value, including events or changes in circumstances that indicate that the carrying amounts of assets may not be recoverable. Assets subject to these measurements include goodwill, intangible assets, property, plant and equipment and leasing equipment. The Company records such assets at fair value when it is determined the carrying value may not be recoverable. Fair value measurements for assets subject to impairment tests are based on an income approach which uses Level 3 inputs, which include the Company’s assumptions as to future cash flows from operation of the underlying businesses and the leasing and eventual sale of assets.</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25</w:t>
      </w:r>
    </w:p>
    <w:p>
      <w:pPr>
        <w:sectPr>
          <w:pgSz w:w="11900" w:h="16838" w:orient="portrait"/>
          <w:cols w:equalWidth="0" w:num="1">
            <w:col w:w="11420"/>
          </w:cols>
          <w:pgMar w:left="240" w:top="117" w:right="239" w:bottom="1440" w:gutter="0" w:footer="0" w:header="0"/>
        </w:sectPr>
      </w:pPr>
    </w:p>
    <w:bookmarkStart w:id="25" w:name="page26"/>
    <w:bookmarkEnd w:id="25"/>
    <w:p>
      <w:pPr>
        <w:ind w:right="3640"/>
        <w:spacing w:after="0" w:line="305" w:lineRule="auto"/>
        <w:rPr>
          <w:sz w:val="20"/>
          <w:szCs w:val="20"/>
          <w:color w:val="auto"/>
        </w:rPr>
      </w:pPr>
      <w:r>
        <w:rPr>
          <w:rFonts w:ascii="Arial" w:cs="Arial" w:eastAsia="Arial" w:hAnsi="Arial"/>
          <w:sz w:val="22"/>
          <w:szCs w:val="22"/>
          <w:b w:val="1"/>
          <w:bCs w:val="1"/>
          <w:color w:val="00497F"/>
        </w:rPr>
        <w:t xml:space="preserve">FORTRESS TRANSPORTATION AND INFRASTRUCTURE INVESTORS LLC NOTES TO CONSOLIDATED FINANCIAL STATEMENTS </w:t>
      </w:r>
      <w:r>
        <w:rPr>
          <w:rFonts w:ascii="Arial" w:cs="Arial" w:eastAsia="Arial" w:hAnsi="Arial"/>
          <w:sz w:val="22"/>
          <w:szCs w:val="22"/>
          <w:b w:val="1"/>
          <w:bCs w:val="1"/>
          <w:i w:val="1"/>
          <w:iCs w:val="1"/>
          <w:color w:val="00497F"/>
        </w:rPr>
        <w:t>(unaudited)</w:t>
      </w:r>
    </w:p>
    <w:p>
      <w:pPr>
        <w:spacing w:after="0"/>
        <w:rPr>
          <w:sz w:val="20"/>
          <w:szCs w:val="20"/>
          <w:color w:val="auto"/>
        </w:rPr>
      </w:pPr>
      <w:r>
        <w:rPr>
          <w:rFonts w:ascii="Arial" w:cs="Arial" w:eastAsia="Arial" w:hAnsi="Arial"/>
          <w:sz w:val="18"/>
          <w:szCs w:val="18"/>
          <w:i w:val="1"/>
          <w:iCs w:val="1"/>
          <w:color w:val="00497F"/>
        </w:rPr>
        <w:t>(Dollar amounts in thousands, unless otherwise noted)</w:t>
      </w:r>
    </w:p>
    <w:p>
      <w:pPr>
        <w:spacing w:after="0" w:line="392" w:lineRule="exact"/>
        <w:rPr>
          <w:sz w:val="20"/>
          <w:szCs w:val="20"/>
          <w:color w:val="auto"/>
        </w:rPr>
      </w:pPr>
    </w:p>
    <w:p>
      <w:pPr>
        <w:spacing w:after="0"/>
        <w:rPr>
          <w:sz w:val="20"/>
          <w:szCs w:val="20"/>
          <w:color w:val="auto"/>
        </w:rPr>
      </w:pPr>
      <w:r>
        <w:rPr>
          <w:rFonts w:ascii="Arial" w:cs="Arial" w:eastAsia="Arial" w:hAnsi="Arial"/>
          <w:sz w:val="22"/>
          <w:szCs w:val="22"/>
          <w:b w:val="1"/>
          <w:bCs w:val="1"/>
          <w:color w:val="00497F"/>
        </w:rPr>
        <w:t>10. REVENUES</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6"/>
          <w:szCs w:val="16"/>
          <w:color w:val="auto"/>
        </w:rPr>
        <w:t>Components of revenue are as follows:</w:t>
      </w:r>
    </w:p>
    <w:p>
      <w:pPr>
        <w:spacing w:after="0" w:line="386" w:lineRule="exact"/>
        <w:rPr>
          <w:sz w:val="20"/>
          <w:szCs w:val="20"/>
          <w:color w:val="auto"/>
        </w:rPr>
      </w:pPr>
    </w:p>
    <w:tbl>
      <w:tblPr>
        <w:tblLayout w:type="fixed"/>
        <w:tblInd w:w="520" w:type="dxa"/>
        <w:tblCellMar>
          <w:top w:w="0" w:type="dxa"/>
          <w:left w:w="0" w:type="dxa"/>
          <w:bottom w:w="0" w:type="dxa"/>
          <w:right w:w="0" w:type="dxa"/>
        </w:tblCellMar>
      </w:tblPr>
      <w:tr>
        <w:trPr>
          <w:trHeight w:val="203"/>
        </w:trPr>
        <w:tc>
          <w:tcPr>
            <w:tcW w:w="258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3360" w:type="dxa"/>
            <w:vAlign w:val="bottom"/>
            <w:tcBorders>
              <w:bottom w:val="single" w:sz="8" w:color="auto"/>
            </w:tcBorders>
            <w:gridSpan w:val="8"/>
          </w:tcPr>
          <w:p>
            <w:pPr>
              <w:ind w:left="120"/>
              <w:spacing w:after="0"/>
              <w:rPr>
                <w:sz w:val="20"/>
                <w:szCs w:val="20"/>
                <w:color w:val="auto"/>
              </w:rPr>
            </w:pPr>
            <w:r>
              <w:rPr>
                <w:rFonts w:ascii="Arial" w:cs="Arial" w:eastAsia="Arial" w:hAnsi="Arial"/>
                <w:sz w:val="14"/>
                <w:szCs w:val="14"/>
                <w:b w:val="1"/>
                <w:bCs w:val="1"/>
                <w:color w:val="auto"/>
              </w:rPr>
              <w:t>Three Months Ended September 30, 2017</w:t>
            </w:r>
          </w:p>
        </w:tc>
        <w:tc>
          <w:tcPr>
            <w:tcW w:w="14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64"/>
        </w:trPr>
        <w:tc>
          <w:tcPr>
            <w:tcW w:w="258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spacing w:after="0"/>
              <w:rPr>
                <w:sz w:val="22"/>
                <w:szCs w:val="22"/>
                <w:color w:val="auto"/>
              </w:rPr>
            </w:pPr>
          </w:p>
        </w:tc>
        <w:tc>
          <w:tcPr>
            <w:tcW w:w="1400" w:type="dxa"/>
            <w:vAlign w:val="bottom"/>
            <w:tcBorders>
              <w:bottom w:val="single" w:sz="8" w:color="auto"/>
            </w:tcBorders>
            <w:gridSpan w:val="5"/>
          </w:tcPr>
          <w:p>
            <w:pPr>
              <w:jc w:val="center"/>
              <w:spacing w:after="0"/>
              <w:rPr>
                <w:sz w:val="20"/>
                <w:szCs w:val="20"/>
                <w:color w:val="auto"/>
              </w:rPr>
            </w:pPr>
            <w:r>
              <w:rPr>
                <w:rFonts w:ascii="Arial" w:cs="Arial" w:eastAsia="Arial" w:hAnsi="Arial"/>
                <w:sz w:val="14"/>
                <w:szCs w:val="14"/>
                <w:b w:val="1"/>
                <w:bCs w:val="1"/>
                <w:color w:val="auto"/>
              </w:rPr>
              <w:t>Equipment Leasing</w:t>
            </w:r>
          </w:p>
        </w:tc>
        <w:tc>
          <w:tcPr>
            <w:tcW w:w="12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gridSpan w:val="3"/>
          </w:tcPr>
          <w:p>
            <w:pPr>
              <w:jc w:val="center"/>
              <w:ind w:right="100"/>
              <w:spacing w:after="0"/>
              <w:rPr>
                <w:sz w:val="20"/>
                <w:szCs w:val="20"/>
                <w:color w:val="auto"/>
              </w:rPr>
            </w:pPr>
            <w:r>
              <w:rPr>
                <w:rFonts w:ascii="Arial" w:cs="Arial" w:eastAsia="Arial" w:hAnsi="Arial"/>
                <w:sz w:val="14"/>
                <w:szCs w:val="14"/>
                <w:b w:val="1"/>
                <w:bCs w:val="1"/>
                <w:color w:val="auto"/>
              </w:rPr>
              <w:t>Infrastructure</w:t>
            </w:r>
          </w:p>
        </w:tc>
        <w:tc>
          <w:tcPr>
            <w:tcW w:w="14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68"/>
        </w:trPr>
        <w:tc>
          <w:tcPr>
            <w:tcW w:w="25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60" w:type="dxa"/>
            <w:vAlign w:val="bottom"/>
          </w:tcPr>
          <w:p>
            <w:pPr>
              <w:ind w:left="80"/>
              <w:spacing w:after="0"/>
              <w:rPr>
                <w:sz w:val="20"/>
                <w:szCs w:val="20"/>
                <w:color w:val="auto"/>
              </w:rPr>
            </w:pPr>
            <w:r>
              <w:rPr>
                <w:rFonts w:ascii="Arial" w:cs="Arial" w:eastAsia="Arial" w:hAnsi="Arial"/>
                <w:sz w:val="14"/>
                <w:szCs w:val="14"/>
                <w:b w:val="1"/>
                <w:bCs w:val="1"/>
                <w:color w:val="auto"/>
              </w:rPr>
              <w:t>Aviation</w:t>
            </w: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4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rPr>
              <w:t>Offshore</w:t>
            </w:r>
          </w:p>
        </w:tc>
        <w:tc>
          <w:tcPr>
            <w:tcW w:w="120" w:type="dxa"/>
            <w:vAlign w:val="bottom"/>
          </w:tcPr>
          <w:p>
            <w:pPr>
              <w:spacing w:after="0"/>
              <w:rPr>
                <w:sz w:val="14"/>
                <w:szCs w:val="14"/>
                <w:color w:val="auto"/>
              </w:rPr>
            </w:pPr>
          </w:p>
        </w:tc>
        <w:tc>
          <w:tcPr>
            <w:tcW w:w="10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Shipping</w:t>
            </w:r>
          </w:p>
        </w:tc>
        <w:tc>
          <w:tcPr>
            <w:tcW w:w="140" w:type="dxa"/>
            <w:vAlign w:val="bottom"/>
          </w:tcPr>
          <w:p>
            <w:pPr>
              <w:spacing w:after="0"/>
              <w:rPr>
                <w:sz w:val="14"/>
                <w:szCs w:val="14"/>
                <w:color w:val="auto"/>
              </w:rPr>
            </w:pPr>
          </w:p>
        </w:tc>
        <w:tc>
          <w:tcPr>
            <w:tcW w:w="10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Jefferson</w:t>
            </w:r>
          </w:p>
        </w:tc>
        <w:tc>
          <w:tcPr>
            <w:tcW w:w="1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gridSpan w:val="2"/>
          </w:tcPr>
          <w:p>
            <w:pPr>
              <w:ind w:left="60"/>
              <w:spacing w:after="0"/>
              <w:rPr>
                <w:sz w:val="20"/>
                <w:szCs w:val="20"/>
                <w:color w:val="auto"/>
              </w:rPr>
            </w:pPr>
            <w:r>
              <w:rPr>
                <w:rFonts w:ascii="Arial" w:cs="Arial" w:eastAsia="Arial" w:hAnsi="Arial"/>
                <w:sz w:val="14"/>
                <w:szCs w:val="14"/>
                <w:b w:val="1"/>
                <w:bCs w:val="1"/>
                <w:color w:val="auto"/>
              </w:rPr>
              <w:t>Ports and</w:t>
            </w:r>
          </w:p>
        </w:tc>
        <w:tc>
          <w:tcPr>
            <w:tcW w:w="2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2580" w:type="dxa"/>
            <w:vAlign w:val="bottom"/>
          </w:tcPr>
          <w:p>
            <w:pPr>
              <w:ind w:left="20"/>
              <w:spacing w:after="0"/>
              <w:rPr>
                <w:sz w:val="20"/>
                <w:szCs w:val="20"/>
                <w:color w:val="auto"/>
              </w:rPr>
            </w:pPr>
            <w:r>
              <w:rPr>
                <w:rFonts w:ascii="Arial" w:cs="Arial" w:eastAsia="Arial" w:hAnsi="Arial"/>
                <w:sz w:val="14"/>
                <w:szCs w:val="14"/>
                <w:b w:val="1"/>
                <w:bCs w:val="1"/>
                <w:color w:val="auto"/>
              </w:rPr>
              <w:t>Revenues</w:t>
            </w:r>
          </w:p>
        </w:tc>
        <w:tc>
          <w:tcPr>
            <w:tcW w:w="180" w:type="dxa"/>
            <w:vAlign w:val="bottom"/>
          </w:tcPr>
          <w:p>
            <w:pPr>
              <w:spacing w:after="0"/>
              <w:rPr>
                <w:sz w:val="17"/>
                <w:szCs w:val="17"/>
                <w:color w:val="auto"/>
              </w:rPr>
            </w:pPr>
          </w:p>
        </w:tc>
        <w:tc>
          <w:tcPr>
            <w:tcW w:w="860" w:type="dxa"/>
            <w:vAlign w:val="bottom"/>
          </w:tcPr>
          <w:p>
            <w:pPr>
              <w:ind w:left="100"/>
              <w:spacing w:after="0"/>
              <w:rPr>
                <w:sz w:val="20"/>
                <w:szCs w:val="20"/>
                <w:color w:val="auto"/>
              </w:rPr>
            </w:pPr>
            <w:r>
              <w:rPr>
                <w:rFonts w:ascii="Arial" w:cs="Arial" w:eastAsia="Arial" w:hAnsi="Arial"/>
                <w:sz w:val="14"/>
                <w:szCs w:val="14"/>
                <w:b w:val="1"/>
                <w:bCs w:val="1"/>
                <w:color w:val="auto"/>
              </w:rPr>
              <w:t>Leasing</w:t>
            </w: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4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rPr>
              <w:t>Energy</w:t>
            </w:r>
          </w:p>
        </w:tc>
        <w:tc>
          <w:tcPr>
            <w:tcW w:w="120" w:type="dxa"/>
            <w:vAlign w:val="bottom"/>
          </w:tcPr>
          <w:p>
            <w:pPr>
              <w:spacing w:after="0"/>
              <w:rPr>
                <w:sz w:val="17"/>
                <w:szCs w:val="17"/>
                <w:color w:val="auto"/>
              </w:rPr>
            </w:pPr>
          </w:p>
        </w:tc>
        <w:tc>
          <w:tcPr>
            <w:tcW w:w="10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Containers</w:t>
            </w:r>
          </w:p>
        </w:tc>
        <w:tc>
          <w:tcPr>
            <w:tcW w:w="140" w:type="dxa"/>
            <w:vAlign w:val="bottom"/>
          </w:tcPr>
          <w:p>
            <w:pPr>
              <w:spacing w:after="0"/>
              <w:rPr>
                <w:sz w:val="17"/>
                <w:szCs w:val="17"/>
                <w:color w:val="auto"/>
              </w:rPr>
            </w:pPr>
          </w:p>
        </w:tc>
        <w:tc>
          <w:tcPr>
            <w:tcW w:w="10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Terminal</w:t>
            </w:r>
          </w:p>
        </w:tc>
        <w:tc>
          <w:tcPr>
            <w:tcW w:w="160" w:type="dxa"/>
            <w:vAlign w:val="bottom"/>
          </w:tcPr>
          <w:p>
            <w:pPr>
              <w:spacing w:after="0"/>
              <w:rPr>
                <w:sz w:val="17"/>
                <w:szCs w:val="17"/>
                <w:color w:val="auto"/>
              </w:rPr>
            </w:pPr>
          </w:p>
        </w:tc>
        <w:tc>
          <w:tcPr>
            <w:tcW w:w="10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9"/>
              </w:rPr>
              <w:t>Railroad</w:t>
            </w:r>
          </w:p>
        </w:tc>
        <w:tc>
          <w:tcPr>
            <w:tcW w:w="140" w:type="dxa"/>
            <w:vAlign w:val="bottom"/>
          </w:tcPr>
          <w:p>
            <w:pPr>
              <w:spacing w:after="0"/>
              <w:rPr>
                <w:sz w:val="17"/>
                <w:szCs w:val="17"/>
                <w:color w:val="auto"/>
              </w:rPr>
            </w:pPr>
          </w:p>
        </w:tc>
        <w:tc>
          <w:tcPr>
            <w:tcW w:w="1020" w:type="dxa"/>
            <w:vAlign w:val="bottom"/>
            <w:gridSpan w:val="2"/>
          </w:tcPr>
          <w:p>
            <w:pPr>
              <w:ind w:left="40"/>
              <w:spacing w:after="0"/>
              <w:rPr>
                <w:sz w:val="20"/>
                <w:szCs w:val="20"/>
                <w:color w:val="auto"/>
              </w:rPr>
            </w:pPr>
            <w:r>
              <w:rPr>
                <w:rFonts w:ascii="Arial" w:cs="Arial" w:eastAsia="Arial" w:hAnsi="Arial"/>
                <w:sz w:val="14"/>
                <w:szCs w:val="14"/>
                <w:b w:val="1"/>
                <w:bCs w:val="1"/>
                <w:color w:val="auto"/>
              </w:rPr>
              <w:t>Terminals</w:t>
            </w:r>
          </w:p>
        </w:tc>
        <w:tc>
          <w:tcPr>
            <w:tcW w:w="240" w:type="dxa"/>
            <w:vAlign w:val="bottom"/>
          </w:tcPr>
          <w:p>
            <w:pPr>
              <w:spacing w:after="0"/>
              <w:rPr>
                <w:sz w:val="17"/>
                <w:szCs w:val="17"/>
                <w:color w:val="auto"/>
              </w:rPr>
            </w:pPr>
          </w:p>
        </w:tc>
        <w:tc>
          <w:tcPr>
            <w:tcW w:w="820" w:type="dxa"/>
            <w:vAlign w:val="bottom"/>
          </w:tcPr>
          <w:p>
            <w:pPr>
              <w:jc w:val="right"/>
              <w:ind w:right="288"/>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65"/>
        </w:trPr>
        <w:tc>
          <w:tcPr>
            <w:tcW w:w="25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Equipment leasing revenues</w:t>
            </w:r>
          </w:p>
        </w:tc>
        <w:tc>
          <w:tcPr>
            <w:tcW w:w="180" w:type="dxa"/>
            <w:vAlign w:val="bottom"/>
            <w:tcBorders>
              <w:top w:val="single" w:sz="8" w:color="auto"/>
            </w:tcBorders>
            <w:shd w:val="clear" w:color="auto" w:fill="CCEEFF"/>
          </w:tcPr>
          <w:p>
            <w:pPr>
              <w:spacing w:after="0"/>
              <w:rPr>
                <w:sz w:val="23"/>
                <w:szCs w:val="23"/>
                <w:color w:val="auto"/>
              </w:rPr>
            </w:pPr>
          </w:p>
        </w:tc>
        <w:tc>
          <w:tcPr>
            <w:tcW w:w="860" w:type="dxa"/>
            <w:vAlign w:val="bottom"/>
            <w:tcBorders>
              <w:top w:val="single" w:sz="8" w:color="auto"/>
            </w:tcBorders>
            <w:shd w:val="clear" w:color="auto" w:fill="CCEEFF"/>
          </w:tcPr>
          <w:p>
            <w:pPr>
              <w:spacing w:after="0"/>
              <w:rPr>
                <w:sz w:val="23"/>
                <w:szCs w:val="23"/>
                <w:color w:val="auto"/>
              </w:rPr>
            </w:pPr>
          </w:p>
        </w:tc>
        <w:tc>
          <w:tcPr>
            <w:tcW w:w="6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180" w:type="dxa"/>
            <w:vAlign w:val="bottom"/>
            <w:tcBorders>
              <w:top w:val="single" w:sz="8" w:color="auto"/>
            </w:tcBorders>
            <w:shd w:val="clear" w:color="auto" w:fill="CCEEFF"/>
          </w:tcPr>
          <w:p>
            <w:pPr>
              <w:spacing w:after="0"/>
              <w:rPr>
                <w:sz w:val="23"/>
                <w:szCs w:val="23"/>
                <w:color w:val="auto"/>
              </w:rPr>
            </w:pPr>
          </w:p>
        </w:tc>
        <w:tc>
          <w:tcPr>
            <w:tcW w:w="92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120" w:type="dxa"/>
            <w:vAlign w:val="bottom"/>
            <w:tcBorders>
              <w:top w:val="single" w:sz="8" w:color="auto"/>
            </w:tcBorders>
            <w:shd w:val="clear" w:color="auto" w:fill="CCEEFF"/>
          </w:tcPr>
          <w:p>
            <w:pPr>
              <w:spacing w:after="0"/>
              <w:rPr>
                <w:sz w:val="23"/>
                <w:szCs w:val="23"/>
                <w:color w:val="auto"/>
              </w:rPr>
            </w:pPr>
          </w:p>
        </w:tc>
        <w:tc>
          <w:tcPr>
            <w:tcW w:w="92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140" w:type="dxa"/>
            <w:vAlign w:val="bottom"/>
            <w:tcBorders>
              <w:top w:val="single" w:sz="8" w:color="auto"/>
            </w:tcBorders>
            <w:shd w:val="clear" w:color="auto" w:fill="CCEEFF"/>
          </w:tcPr>
          <w:p>
            <w:pPr>
              <w:spacing w:after="0"/>
              <w:rPr>
                <w:sz w:val="23"/>
                <w:szCs w:val="23"/>
                <w:color w:val="auto"/>
              </w:rPr>
            </w:pPr>
          </w:p>
        </w:tc>
        <w:tc>
          <w:tcPr>
            <w:tcW w:w="90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160" w:type="dxa"/>
            <w:vAlign w:val="bottom"/>
            <w:tcBorders>
              <w:top w:val="single" w:sz="8" w:color="auto"/>
            </w:tcBorders>
            <w:shd w:val="clear" w:color="auto" w:fill="CCEEFF"/>
          </w:tcPr>
          <w:p>
            <w:pPr>
              <w:spacing w:after="0"/>
              <w:rPr>
                <w:sz w:val="23"/>
                <w:szCs w:val="23"/>
                <w:color w:val="auto"/>
              </w:rPr>
            </w:pPr>
          </w:p>
        </w:tc>
        <w:tc>
          <w:tcPr>
            <w:tcW w:w="88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140" w:type="dxa"/>
            <w:vAlign w:val="bottom"/>
            <w:tcBorders>
              <w:top w:val="single" w:sz="8" w:color="auto"/>
            </w:tcBorders>
            <w:shd w:val="clear" w:color="auto" w:fill="CCEEFF"/>
          </w:tcPr>
          <w:p>
            <w:pPr>
              <w:spacing w:after="0"/>
              <w:rPr>
                <w:sz w:val="23"/>
                <w:szCs w:val="23"/>
                <w:color w:val="auto"/>
              </w:rPr>
            </w:pPr>
          </w:p>
        </w:tc>
        <w:tc>
          <w:tcPr>
            <w:tcW w:w="90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240" w:type="dxa"/>
            <w:vAlign w:val="bottom"/>
            <w:tcBorders>
              <w:top w:val="single" w:sz="8" w:color="auto"/>
            </w:tcBorders>
            <w:shd w:val="clear" w:color="auto" w:fill="CCEEFF"/>
          </w:tcPr>
          <w:p>
            <w:pPr>
              <w:spacing w:after="0"/>
              <w:rPr>
                <w:sz w:val="23"/>
                <w:szCs w:val="23"/>
                <w:color w:val="auto"/>
              </w:rPr>
            </w:pPr>
          </w:p>
        </w:tc>
        <w:tc>
          <w:tcPr>
            <w:tcW w:w="820" w:type="dxa"/>
            <w:vAlign w:val="bottom"/>
            <w:tcBorders>
              <w:top w:val="single" w:sz="8" w:color="auto"/>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9"/>
        </w:trPr>
        <w:tc>
          <w:tcPr>
            <w:tcW w:w="2580" w:type="dxa"/>
            <w:vAlign w:val="bottom"/>
          </w:tcPr>
          <w:p>
            <w:pPr>
              <w:ind w:left="380"/>
              <w:spacing w:after="0"/>
              <w:rPr>
                <w:sz w:val="20"/>
                <w:szCs w:val="20"/>
                <w:color w:val="auto"/>
              </w:rPr>
            </w:pPr>
            <w:r>
              <w:rPr>
                <w:rFonts w:ascii="Arial" w:cs="Arial" w:eastAsia="Arial" w:hAnsi="Arial"/>
                <w:sz w:val="14"/>
                <w:szCs w:val="14"/>
                <w:color w:val="auto"/>
              </w:rPr>
              <w:t>Lease income</w:t>
            </w:r>
          </w:p>
        </w:tc>
        <w:tc>
          <w:tcPr>
            <w:tcW w:w="180" w:type="dxa"/>
            <w:vAlign w:val="bottom"/>
          </w:tcPr>
          <w:p>
            <w:pPr>
              <w:jc w:val="right"/>
              <w:ind w:right="8"/>
              <w:spacing w:after="0"/>
              <w:rPr>
                <w:sz w:val="20"/>
                <w:szCs w:val="20"/>
                <w:color w:val="auto"/>
              </w:rPr>
            </w:pPr>
            <w:r>
              <w:rPr>
                <w:rFonts w:ascii="Arial" w:cs="Arial" w:eastAsia="Arial" w:hAnsi="Arial"/>
                <w:sz w:val="14"/>
                <w:szCs w:val="14"/>
                <w:b w:val="1"/>
                <w:bCs w:val="1"/>
                <w:color w:val="auto"/>
              </w:rPr>
              <w:t>$</w:t>
            </w:r>
          </w:p>
        </w:tc>
        <w:tc>
          <w:tcPr>
            <w:tcW w:w="860" w:type="dxa"/>
            <w:vAlign w:val="bottom"/>
          </w:tcPr>
          <w:p>
            <w:pPr>
              <w:jc w:val="right"/>
              <w:spacing w:after="0"/>
              <w:rPr>
                <w:sz w:val="20"/>
                <w:szCs w:val="20"/>
                <w:color w:val="auto"/>
              </w:rPr>
            </w:pPr>
            <w:r>
              <w:rPr>
                <w:rFonts w:ascii="Arial" w:cs="Arial" w:eastAsia="Arial" w:hAnsi="Arial"/>
                <w:sz w:val="14"/>
                <w:szCs w:val="14"/>
                <w:b w:val="1"/>
                <w:bCs w:val="1"/>
                <w:color w:val="auto"/>
              </w:rPr>
              <w:t>25,941</w:t>
            </w:r>
          </w:p>
        </w:tc>
        <w:tc>
          <w:tcPr>
            <w:tcW w:w="360" w:type="dxa"/>
            <w:vAlign w:val="bottom"/>
            <w:gridSpan w:val="3"/>
          </w:tcPr>
          <w:p>
            <w:pPr>
              <w:jc w:val="right"/>
              <w:ind w:right="8"/>
              <w:spacing w:after="0"/>
              <w:rPr>
                <w:sz w:val="20"/>
                <w:szCs w:val="20"/>
                <w:color w:val="auto"/>
              </w:rPr>
            </w:pPr>
            <w:r>
              <w:rPr>
                <w:rFonts w:ascii="Arial" w:cs="Arial" w:eastAsia="Arial" w:hAnsi="Arial"/>
                <w:sz w:val="14"/>
                <w:szCs w:val="14"/>
                <w:b w:val="1"/>
                <w:bCs w:val="1"/>
                <w:color w:val="auto"/>
              </w:rPr>
              <w:t>$</w:t>
            </w:r>
          </w:p>
        </w:tc>
        <w:tc>
          <w:tcPr>
            <w:tcW w:w="920" w:type="dxa"/>
            <w:vAlign w:val="bottom"/>
          </w:tcPr>
          <w:p>
            <w:pPr>
              <w:jc w:val="right"/>
              <w:ind w:right="48"/>
              <w:spacing w:after="0"/>
              <w:rPr>
                <w:sz w:val="20"/>
                <w:szCs w:val="20"/>
                <w:color w:val="auto"/>
              </w:rPr>
            </w:pPr>
            <w:r>
              <w:rPr>
                <w:rFonts w:ascii="Arial" w:cs="Arial" w:eastAsia="Arial" w:hAnsi="Arial"/>
                <w:sz w:val="14"/>
                <w:szCs w:val="14"/>
                <w:b w:val="1"/>
                <w:bCs w:val="1"/>
                <w:color w:val="auto"/>
              </w:rPr>
              <w:t>3,800</w:t>
            </w:r>
          </w:p>
        </w:tc>
        <w:tc>
          <w:tcPr>
            <w:tcW w:w="120" w:type="dxa"/>
            <w:vAlign w:val="bottom"/>
          </w:tcPr>
          <w:p>
            <w:pPr>
              <w:spacing w:after="0"/>
              <w:rPr>
                <w:sz w:val="23"/>
                <w:szCs w:val="23"/>
                <w:color w:val="auto"/>
              </w:rPr>
            </w:pPr>
          </w:p>
        </w:tc>
        <w:tc>
          <w:tcPr>
            <w:tcW w:w="12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04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rPr>
              <w:t>—</w:t>
            </w:r>
          </w:p>
        </w:tc>
        <w:tc>
          <w:tcPr>
            <w:tcW w:w="14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02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rPr>
              <w:t>—</w:t>
            </w:r>
          </w:p>
        </w:tc>
        <w:tc>
          <w:tcPr>
            <w:tcW w:w="16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00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rPr>
              <w:t>—</w:t>
            </w:r>
          </w:p>
        </w:tc>
        <w:tc>
          <w:tcPr>
            <w:tcW w:w="14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02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rPr>
              <w:t>—</w:t>
            </w:r>
          </w:p>
        </w:tc>
        <w:tc>
          <w:tcPr>
            <w:tcW w:w="240" w:type="dxa"/>
            <w:vAlign w:val="bottom"/>
          </w:tcPr>
          <w:p>
            <w:pPr>
              <w:jc w:val="right"/>
              <w:ind w:right="68"/>
              <w:spacing w:after="0"/>
              <w:rPr>
                <w:sz w:val="20"/>
                <w:szCs w:val="20"/>
                <w:color w:val="auto"/>
              </w:rPr>
            </w:pPr>
            <w:r>
              <w:rPr>
                <w:rFonts w:ascii="Arial" w:cs="Arial" w:eastAsia="Arial" w:hAnsi="Arial"/>
                <w:sz w:val="14"/>
                <w:szCs w:val="14"/>
                <w:b w:val="1"/>
                <w:bCs w:val="1"/>
                <w:color w:val="auto"/>
              </w:rPr>
              <w:t>$</w:t>
            </w:r>
          </w:p>
        </w:tc>
        <w:tc>
          <w:tcPr>
            <w:tcW w:w="820" w:type="dxa"/>
            <w:vAlign w:val="bottom"/>
          </w:tcPr>
          <w:p>
            <w:pPr>
              <w:jc w:val="right"/>
              <w:ind w:right="28"/>
              <w:spacing w:after="0"/>
              <w:rPr>
                <w:sz w:val="20"/>
                <w:szCs w:val="20"/>
                <w:color w:val="auto"/>
              </w:rPr>
            </w:pPr>
            <w:r>
              <w:rPr>
                <w:rFonts w:ascii="Arial" w:cs="Arial" w:eastAsia="Arial" w:hAnsi="Arial"/>
                <w:sz w:val="14"/>
                <w:szCs w:val="14"/>
                <w:b w:val="1"/>
                <w:bCs w:val="1"/>
                <w:color w:val="auto"/>
              </w:rPr>
              <w:t>29,741</w:t>
            </w:r>
          </w:p>
        </w:tc>
        <w:tc>
          <w:tcPr>
            <w:tcW w:w="0" w:type="dxa"/>
            <w:vAlign w:val="bottom"/>
          </w:tcPr>
          <w:p>
            <w:pPr>
              <w:spacing w:after="0"/>
              <w:rPr>
                <w:sz w:val="1"/>
                <w:szCs w:val="1"/>
                <w:color w:val="auto"/>
              </w:rPr>
            </w:pPr>
          </w:p>
        </w:tc>
      </w:tr>
      <w:tr>
        <w:trPr>
          <w:trHeight w:val="271"/>
        </w:trPr>
        <w:tc>
          <w:tcPr>
            <w:tcW w:w="2580" w:type="dxa"/>
            <w:vAlign w:val="bottom"/>
            <w:shd w:val="clear" w:color="auto" w:fill="CCEEFF"/>
          </w:tcPr>
          <w:p>
            <w:pPr>
              <w:ind w:left="380"/>
              <w:spacing w:after="0"/>
              <w:rPr>
                <w:sz w:val="20"/>
                <w:szCs w:val="20"/>
                <w:color w:val="auto"/>
              </w:rPr>
            </w:pPr>
            <w:r>
              <w:rPr>
                <w:rFonts w:ascii="Arial" w:cs="Arial" w:eastAsia="Arial" w:hAnsi="Arial"/>
                <w:sz w:val="14"/>
                <w:szCs w:val="14"/>
                <w:color w:val="auto"/>
              </w:rPr>
              <w:t>Maintenance revenue</w:t>
            </w:r>
          </w:p>
        </w:tc>
        <w:tc>
          <w:tcPr>
            <w:tcW w:w="180" w:type="dxa"/>
            <w:vAlign w:val="bottom"/>
            <w:shd w:val="clear" w:color="auto" w:fill="CCEEFF"/>
          </w:tcPr>
          <w:p>
            <w:pPr>
              <w:spacing w:after="0"/>
              <w:rPr>
                <w:sz w:val="23"/>
                <w:szCs w:val="23"/>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17,533</w:t>
            </w:r>
          </w:p>
        </w:tc>
        <w:tc>
          <w:tcPr>
            <w:tcW w:w="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0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b w:val="1"/>
                <w:bCs w:val="1"/>
                <w:color w:val="auto"/>
              </w:rPr>
              <w:t>—</w:t>
            </w:r>
          </w:p>
        </w:tc>
        <w:tc>
          <w:tcPr>
            <w:tcW w:w="120" w:type="dxa"/>
            <w:vAlign w:val="bottom"/>
            <w:shd w:val="clear" w:color="auto" w:fill="CCEEFF"/>
          </w:tcPr>
          <w:p>
            <w:pPr>
              <w:spacing w:after="0"/>
              <w:rPr>
                <w:sz w:val="23"/>
                <w:szCs w:val="23"/>
                <w:color w:val="auto"/>
              </w:rPr>
            </w:pPr>
          </w:p>
        </w:tc>
        <w:tc>
          <w:tcPr>
            <w:tcW w:w="10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b w:val="1"/>
                <w:bCs w:val="1"/>
                <w:color w:val="auto"/>
              </w:rPr>
              <w:t>—</w:t>
            </w:r>
          </w:p>
        </w:tc>
        <w:tc>
          <w:tcPr>
            <w:tcW w:w="140" w:type="dxa"/>
            <w:vAlign w:val="bottom"/>
            <w:shd w:val="clear" w:color="auto" w:fill="CCEEFF"/>
          </w:tcPr>
          <w:p>
            <w:pPr>
              <w:spacing w:after="0"/>
              <w:rPr>
                <w:sz w:val="23"/>
                <w:szCs w:val="23"/>
                <w:color w:val="auto"/>
              </w:rPr>
            </w:pP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b w:val="1"/>
                <w:bCs w:val="1"/>
                <w:color w:val="auto"/>
              </w:rPr>
              <w:t>—</w:t>
            </w:r>
          </w:p>
        </w:tc>
        <w:tc>
          <w:tcPr>
            <w:tcW w:w="160" w:type="dxa"/>
            <w:vAlign w:val="bottom"/>
            <w:shd w:val="clear" w:color="auto" w:fill="CCEEFF"/>
          </w:tcPr>
          <w:p>
            <w:pPr>
              <w:spacing w:after="0"/>
              <w:rPr>
                <w:sz w:val="23"/>
                <w:szCs w:val="23"/>
                <w:color w:val="auto"/>
              </w:rPr>
            </w:pP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b w:val="1"/>
                <w:bCs w:val="1"/>
                <w:color w:val="auto"/>
              </w:rPr>
              <w:t>—</w:t>
            </w:r>
          </w:p>
        </w:tc>
        <w:tc>
          <w:tcPr>
            <w:tcW w:w="140" w:type="dxa"/>
            <w:vAlign w:val="bottom"/>
            <w:shd w:val="clear" w:color="auto" w:fill="CCEEFF"/>
          </w:tcPr>
          <w:p>
            <w:pPr>
              <w:spacing w:after="0"/>
              <w:rPr>
                <w:sz w:val="23"/>
                <w:szCs w:val="23"/>
                <w:color w:val="auto"/>
              </w:rPr>
            </w:pP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b w:val="1"/>
                <w:bCs w:val="1"/>
                <w:color w:val="auto"/>
              </w:rPr>
              <w:t>—</w:t>
            </w:r>
          </w:p>
        </w:tc>
        <w:tc>
          <w:tcPr>
            <w:tcW w:w="240" w:type="dxa"/>
            <w:vAlign w:val="bottom"/>
            <w:shd w:val="clear" w:color="auto" w:fill="CCEEFF"/>
          </w:tcPr>
          <w:p>
            <w:pPr>
              <w:spacing w:after="0"/>
              <w:rPr>
                <w:sz w:val="23"/>
                <w:szCs w:val="23"/>
                <w:color w:val="auto"/>
              </w:rPr>
            </w:pPr>
          </w:p>
        </w:tc>
        <w:tc>
          <w:tcPr>
            <w:tcW w:w="82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17,533</w:t>
            </w:r>
          </w:p>
        </w:tc>
        <w:tc>
          <w:tcPr>
            <w:tcW w:w="0" w:type="dxa"/>
            <w:vAlign w:val="bottom"/>
          </w:tcPr>
          <w:p>
            <w:pPr>
              <w:spacing w:after="0"/>
              <w:rPr>
                <w:sz w:val="1"/>
                <w:szCs w:val="1"/>
                <w:color w:val="auto"/>
              </w:rPr>
            </w:pPr>
          </w:p>
        </w:tc>
      </w:tr>
      <w:tr>
        <w:trPr>
          <w:trHeight w:val="269"/>
        </w:trPr>
        <w:tc>
          <w:tcPr>
            <w:tcW w:w="2580" w:type="dxa"/>
            <w:vAlign w:val="bottom"/>
          </w:tcPr>
          <w:p>
            <w:pPr>
              <w:ind w:left="380"/>
              <w:spacing w:after="0"/>
              <w:rPr>
                <w:sz w:val="20"/>
                <w:szCs w:val="20"/>
                <w:color w:val="auto"/>
              </w:rPr>
            </w:pPr>
            <w:r>
              <w:rPr>
                <w:rFonts w:ascii="Arial" w:cs="Arial" w:eastAsia="Arial" w:hAnsi="Arial"/>
                <w:sz w:val="14"/>
                <w:szCs w:val="14"/>
                <w:color w:val="auto"/>
              </w:rPr>
              <w:t>Finance lease income</w:t>
            </w:r>
          </w:p>
        </w:tc>
        <w:tc>
          <w:tcPr>
            <w:tcW w:w="18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920" w:type="dxa"/>
            <w:vAlign w:val="bottom"/>
          </w:tcPr>
          <w:p>
            <w:pPr>
              <w:jc w:val="right"/>
              <w:ind w:right="48"/>
              <w:spacing w:after="0"/>
              <w:rPr>
                <w:sz w:val="20"/>
                <w:szCs w:val="20"/>
                <w:color w:val="auto"/>
              </w:rPr>
            </w:pPr>
            <w:r>
              <w:rPr>
                <w:rFonts w:ascii="Arial" w:cs="Arial" w:eastAsia="Arial" w:hAnsi="Arial"/>
                <w:sz w:val="14"/>
                <w:szCs w:val="14"/>
                <w:b w:val="1"/>
                <w:bCs w:val="1"/>
                <w:color w:val="auto"/>
              </w:rPr>
              <w:t>385</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4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rPr>
              <w:t>—</w:t>
            </w:r>
          </w:p>
        </w:tc>
        <w:tc>
          <w:tcPr>
            <w:tcW w:w="140" w:type="dxa"/>
            <w:vAlign w:val="bottom"/>
          </w:tcPr>
          <w:p>
            <w:pPr>
              <w:spacing w:after="0"/>
              <w:rPr>
                <w:sz w:val="23"/>
                <w:szCs w:val="23"/>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23"/>
                <w:szCs w:val="23"/>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rPr>
              <w:t>—</w:t>
            </w:r>
          </w:p>
        </w:tc>
        <w:tc>
          <w:tcPr>
            <w:tcW w:w="140" w:type="dxa"/>
            <w:vAlign w:val="bottom"/>
          </w:tcPr>
          <w:p>
            <w:pPr>
              <w:spacing w:after="0"/>
              <w:rPr>
                <w:sz w:val="23"/>
                <w:szCs w:val="23"/>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rPr>
              <w:t>—</w:t>
            </w:r>
          </w:p>
        </w:tc>
        <w:tc>
          <w:tcPr>
            <w:tcW w:w="240" w:type="dxa"/>
            <w:vAlign w:val="bottom"/>
          </w:tcPr>
          <w:p>
            <w:pPr>
              <w:spacing w:after="0"/>
              <w:rPr>
                <w:sz w:val="23"/>
                <w:szCs w:val="23"/>
                <w:color w:val="auto"/>
              </w:rPr>
            </w:pPr>
          </w:p>
        </w:tc>
        <w:tc>
          <w:tcPr>
            <w:tcW w:w="820" w:type="dxa"/>
            <w:vAlign w:val="bottom"/>
          </w:tcPr>
          <w:p>
            <w:pPr>
              <w:jc w:val="right"/>
              <w:ind w:right="28"/>
              <w:spacing w:after="0"/>
              <w:rPr>
                <w:sz w:val="20"/>
                <w:szCs w:val="20"/>
                <w:color w:val="auto"/>
              </w:rPr>
            </w:pPr>
            <w:r>
              <w:rPr>
                <w:rFonts w:ascii="Arial" w:cs="Arial" w:eastAsia="Arial" w:hAnsi="Arial"/>
                <w:sz w:val="14"/>
                <w:szCs w:val="14"/>
                <w:b w:val="1"/>
                <w:bCs w:val="1"/>
                <w:color w:val="auto"/>
              </w:rPr>
              <w:t>385</w:t>
            </w:r>
          </w:p>
        </w:tc>
        <w:tc>
          <w:tcPr>
            <w:tcW w:w="0" w:type="dxa"/>
            <w:vAlign w:val="bottom"/>
          </w:tcPr>
          <w:p>
            <w:pPr>
              <w:spacing w:after="0"/>
              <w:rPr>
                <w:sz w:val="1"/>
                <w:szCs w:val="1"/>
                <w:color w:val="auto"/>
              </w:rPr>
            </w:pPr>
          </w:p>
        </w:tc>
      </w:tr>
      <w:tr>
        <w:trPr>
          <w:trHeight w:val="271"/>
        </w:trPr>
        <w:tc>
          <w:tcPr>
            <w:tcW w:w="2580" w:type="dxa"/>
            <w:vAlign w:val="bottom"/>
            <w:shd w:val="clear" w:color="auto" w:fill="CCEEFF"/>
          </w:tcPr>
          <w:p>
            <w:pPr>
              <w:ind w:left="380"/>
              <w:spacing w:after="0"/>
              <w:rPr>
                <w:sz w:val="20"/>
                <w:szCs w:val="20"/>
                <w:color w:val="auto"/>
              </w:rPr>
            </w:pPr>
            <w:r>
              <w:rPr>
                <w:rFonts w:ascii="Arial" w:cs="Arial" w:eastAsia="Arial" w:hAnsi="Arial"/>
                <w:sz w:val="14"/>
                <w:szCs w:val="14"/>
                <w:color w:val="auto"/>
              </w:rPr>
              <w:t>Other revenue</w:t>
            </w:r>
          </w:p>
        </w:tc>
        <w:tc>
          <w:tcPr>
            <w:tcW w:w="180" w:type="dxa"/>
            <w:vAlign w:val="bottom"/>
            <w:shd w:val="clear" w:color="auto" w:fill="CCEEFF"/>
          </w:tcPr>
          <w:p>
            <w:pPr>
              <w:spacing w:after="0"/>
              <w:rPr>
                <w:sz w:val="23"/>
                <w:szCs w:val="23"/>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92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1,932</w:t>
            </w: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920" w:type="dxa"/>
            <w:vAlign w:val="bottom"/>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25</w:t>
            </w: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b w:val="1"/>
                <w:bCs w:val="1"/>
                <w:color w:val="auto"/>
              </w:rPr>
              <w:t>—</w:t>
            </w:r>
          </w:p>
        </w:tc>
        <w:tc>
          <w:tcPr>
            <w:tcW w:w="160" w:type="dxa"/>
            <w:vAlign w:val="bottom"/>
            <w:shd w:val="clear" w:color="auto" w:fill="CCEEFF"/>
          </w:tcPr>
          <w:p>
            <w:pPr>
              <w:spacing w:after="0"/>
              <w:rPr>
                <w:sz w:val="23"/>
                <w:szCs w:val="23"/>
                <w:color w:val="auto"/>
              </w:rPr>
            </w:pP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b w:val="1"/>
                <w:bCs w:val="1"/>
                <w:color w:val="auto"/>
              </w:rPr>
              <w:t>—</w:t>
            </w:r>
          </w:p>
        </w:tc>
        <w:tc>
          <w:tcPr>
            <w:tcW w:w="140" w:type="dxa"/>
            <w:vAlign w:val="bottom"/>
            <w:shd w:val="clear" w:color="auto" w:fill="CCEEFF"/>
          </w:tcPr>
          <w:p>
            <w:pPr>
              <w:spacing w:after="0"/>
              <w:rPr>
                <w:sz w:val="23"/>
                <w:szCs w:val="23"/>
                <w:color w:val="auto"/>
              </w:rPr>
            </w:pP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b w:val="1"/>
                <w:bCs w:val="1"/>
                <w:color w:val="auto"/>
              </w:rPr>
              <w:t>—</w:t>
            </w:r>
          </w:p>
        </w:tc>
        <w:tc>
          <w:tcPr>
            <w:tcW w:w="240" w:type="dxa"/>
            <w:vAlign w:val="bottom"/>
            <w:shd w:val="clear" w:color="auto" w:fill="CCEEFF"/>
          </w:tcPr>
          <w:p>
            <w:pPr>
              <w:spacing w:after="0"/>
              <w:rPr>
                <w:sz w:val="23"/>
                <w:szCs w:val="23"/>
                <w:color w:val="auto"/>
              </w:rPr>
            </w:pPr>
          </w:p>
        </w:tc>
        <w:tc>
          <w:tcPr>
            <w:tcW w:w="82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1,957</w:t>
            </w:r>
          </w:p>
        </w:tc>
        <w:tc>
          <w:tcPr>
            <w:tcW w:w="0" w:type="dxa"/>
            <w:vAlign w:val="bottom"/>
          </w:tcPr>
          <w:p>
            <w:pPr>
              <w:spacing w:after="0"/>
              <w:rPr>
                <w:sz w:val="1"/>
                <w:szCs w:val="1"/>
                <w:color w:val="auto"/>
              </w:rPr>
            </w:pPr>
          </w:p>
        </w:tc>
      </w:tr>
      <w:tr>
        <w:trPr>
          <w:trHeight w:val="154"/>
        </w:trPr>
        <w:tc>
          <w:tcPr>
            <w:tcW w:w="2580" w:type="dxa"/>
            <w:vAlign w:val="bottom"/>
          </w:tcPr>
          <w:p>
            <w:pPr>
              <w:ind w:left="380"/>
              <w:spacing w:after="0" w:line="154" w:lineRule="exact"/>
              <w:rPr>
                <w:sz w:val="20"/>
                <w:szCs w:val="20"/>
                <w:color w:val="auto"/>
              </w:rPr>
            </w:pPr>
            <w:r>
              <w:rPr>
                <w:rFonts w:ascii="Arial" w:cs="Arial" w:eastAsia="Arial" w:hAnsi="Arial"/>
                <w:sz w:val="14"/>
                <w:szCs w:val="14"/>
                <w:b w:val="1"/>
                <w:bCs w:val="1"/>
                <w:color w:val="auto"/>
              </w:rPr>
              <w:t>Total equipment leasing</w:t>
            </w:r>
          </w:p>
        </w:tc>
        <w:tc>
          <w:tcPr>
            <w:tcW w:w="180" w:type="dxa"/>
            <w:vAlign w:val="bottom"/>
            <w:tcBorders>
              <w:top w:val="single" w:sz="8" w:color="auto"/>
            </w:tcBorders>
          </w:tcPr>
          <w:p>
            <w:pPr>
              <w:spacing w:after="0"/>
              <w:rPr>
                <w:sz w:val="13"/>
                <w:szCs w:val="13"/>
                <w:color w:val="auto"/>
              </w:rPr>
            </w:pPr>
          </w:p>
        </w:tc>
        <w:tc>
          <w:tcPr>
            <w:tcW w:w="860" w:type="dxa"/>
            <w:vAlign w:val="bottom"/>
            <w:tcBorders>
              <w:top w:val="single" w:sz="8" w:color="auto"/>
            </w:tcBorders>
          </w:tcPr>
          <w:p>
            <w:pPr>
              <w:spacing w:after="0"/>
              <w:rPr>
                <w:sz w:val="13"/>
                <w:szCs w:val="13"/>
                <w:color w:val="auto"/>
              </w:rPr>
            </w:pPr>
          </w:p>
        </w:tc>
        <w:tc>
          <w:tcPr>
            <w:tcW w:w="6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92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92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90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88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90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820" w:type="dxa"/>
            <w:vAlign w:val="bottom"/>
            <w:tcBorders>
              <w:top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203"/>
        </w:trPr>
        <w:tc>
          <w:tcPr>
            <w:tcW w:w="2580" w:type="dxa"/>
            <w:vAlign w:val="bottom"/>
          </w:tcPr>
          <w:p>
            <w:pPr>
              <w:ind w:left="380"/>
              <w:spacing w:after="0"/>
              <w:rPr>
                <w:sz w:val="20"/>
                <w:szCs w:val="20"/>
                <w:color w:val="auto"/>
              </w:rPr>
            </w:pPr>
            <w:r>
              <w:rPr>
                <w:rFonts w:ascii="Arial" w:cs="Arial" w:eastAsia="Arial" w:hAnsi="Arial"/>
                <w:sz w:val="14"/>
                <w:szCs w:val="14"/>
                <w:b w:val="1"/>
                <w:bCs w:val="1"/>
                <w:color w:val="auto"/>
              </w:rPr>
              <w:t>revenues</w:t>
            </w:r>
          </w:p>
        </w:tc>
        <w:tc>
          <w:tcPr>
            <w:tcW w:w="18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4"/>
                <w:szCs w:val="14"/>
                <w:b w:val="1"/>
                <w:bCs w:val="1"/>
                <w:color w:val="auto"/>
              </w:rPr>
              <w:t>43,474</w:t>
            </w: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20" w:type="dxa"/>
            <w:vAlign w:val="bottom"/>
          </w:tcPr>
          <w:p>
            <w:pPr>
              <w:jc w:val="right"/>
              <w:ind w:right="48"/>
              <w:spacing w:after="0"/>
              <w:rPr>
                <w:sz w:val="20"/>
                <w:szCs w:val="20"/>
                <w:color w:val="auto"/>
              </w:rPr>
            </w:pPr>
            <w:r>
              <w:rPr>
                <w:rFonts w:ascii="Arial" w:cs="Arial" w:eastAsia="Arial" w:hAnsi="Arial"/>
                <w:sz w:val="14"/>
                <w:szCs w:val="14"/>
                <w:b w:val="1"/>
                <w:bCs w:val="1"/>
                <w:color w:val="auto"/>
              </w:rPr>
              <w:t>6,117</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jc w:val="right"/>
              <w:ind w:right="8"/>
              <w:spacing w:after="0"/>
              <w:rPr>
                <w:sz w:val="20"/>
                <w:szCs w:val="20"/>
                <w:color w:val="auto"/>
              </w:rPr>
            </w:pPr>
            <w:r>
              <w:rPr>
                <w:rFonts w:ascii="Arial" w:cs="Arial" w:eastAsia="Arial" w:hAnsi="Arial"/>
                <w:sz w:val="14"/>
                <w:szCs w:val="14"/>
                <w:b w:val="1"/>
                <w:bCs w:val="1"/>
                <w:color w:val="auto"/>
              </w:rPr>
              <w:t>25</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7"/>
                <w:szCs w:val="17"/>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rPr>
              <w:t>—</w:t>
            </w:r>
          </w:p>
        </w:tc>
        <w:tc>
          <w:tcPr>
            <w:tcW w:w="140" w:type="dxa"/>
            <w:vAlign w:val="bottom"/>
          </w:tcPr>
          <w:p>
            <w:pPr>
              <w:spacing w:after="0"/>
              <w:rPr>
                <w:sz w:val="17"/>
                <w:szCs w:val="17"/>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rPr>
              <w:t>—</w:t>
            </w:r>
          </w:p>
        </w:tc>
        <w:tc>
          <w:tcPr>
            <w:tcW w:w="240" w:type="dxa"/>
            <w:vAlign w:val="bottom"/>
          </w:tcPr>
          <w:p>
            <w:pPr>
              <w:spacing w:after="0"/>
              <w:rPr>
                <w:sz w:val="17"/>
                <w:szCs w:val="17"/>
                <w:color w:val="auto"/>
              </w:rPr>
            </w:pPr>
          </w:p>
        </w:tc>
        <w:tc>
          <w:tcPr>
            <w:tcW w:w="820" w:type="dxa"/>
            <w:vAlign w:val="bottom"/>
          </w:tcPr>
          <w:p>
            <w:pPr>
              <w:jc w:val="right"/>
              <w:ind w:right="28"/>
              <w:spacing w:after="0"/>
              <w:rPr>
                <w:sz w:val="20"/>
                <w:szCs w:val="20"/>
                <w:color w:val="auto"/>
              </w:rPr>
            </w:pPr>
            <w:r>
              <w:rPr>
                <w:rFonts w:ascii="Arial" w:cs="Arial" w:eastAsia="Arial" w:hAnsi="Arial"/>
                <w:sz w:val="14"/>
                <w:szCs w:val="14"/>
                <w:b w:val="1"/>
                <w:bCs w:val="1"/>
                <w:color w:val="auto"/>
              </w:rPr>
              <w:t>49,616</w:t>
            </w:r>
          </w:p>
        </w:tc>
        <w:tc>
          <w:tcPr>
            <w:tcW w:w="0" w:type="dxa"/>
            <w:vAlign w:val="bottom"/>
          </w:tcPr>
          <w:p>
            <w:pPr>
              <w:spacing w:after="0"/>
              <w:rPr>
                <w:sz w:val="1"/>
                <w:szCs w:val="1"/>
                <w:color w:val="auto"/>
              </w:rPr>
            </w:pPr>
          </w:p>
        </w:tc>
      </w:tr>
      <w:tr>
        <w:trPr>
          <w:trHeight w:val="265"/>
        </w:trPr>
        <w:tc>
          <w:tcPr>
            <w:tcW w:w="25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Infrastructure revenues</w:t>
            </w:r>
          </w:p>
        </w:tc>
        <w:tc>
          <w:tcPr>
            <w:tcW w:w="180" w:type="dxa"/>
            <w:vAlign w:val="bottom"/>
            <w:tcBorders>
              <w:top w:val="single" w:sz="8" w:color="auto"/>
            </w:tcBorders>
            <w:shd w:val="clear" w:color="auto" w:fill="CCEEFF"/>
          </w:tcPr>
          <w:p>
            <w:pPr>
              <w:spacing w:after="0"/>
              <w:rPr>
                <w:sz w:val="23"/>
                <w:szCs w:val="23"/>
                <w:color w:val="auto"/>
              </w:rPr>
            </w:pPr>
          </w:p>
        </w:tc>
        <w:tc>
          <w:tcPr>
            <w:tcW w:w="860" w:type="dxa"/>
            <w:vAlign w:val="bottom"/>
            <w:tcBorders>
              <w:top w:val="single" w:sz="8" w:color="auto"/>
            </w:tcBorders>
            <w:shd w:val="clear" w:color="auto" w:fill="CCEEFF"/>
          </w:tcPr>
          <w:p>
            <w:pPr>
              <w:spacing w:after="0"/>
              <w:rPr>
                <w:sz w:val="23"/>
                <w:szCs w:val="23"/>
                <w:color w:val="auto"/>
              </w:rPr>
            </w:pPr>
          </w:p>
        </w:tc>
        <w:tc>
          <w:tcPr>
            <w:tcW w:w="6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180" w:type="dxa"/>
            <w:vAlign w:val="bottom"/>
            <w:tcBorders>
              <w:top w:val="single" w:sz="8" w:color="auto"/>
            </w:tcBorders>
            <w:shd w:val="clear" w:color="auto" w:fill="CCEEFF"/>
          </w:tcPr>
          <w:p>
            <w:pPr>
              <w:spacing w:after="0"/>
              <w:rPr>
                <w:sz w:val="23"/>
                <w:szCs w:val="23"/>
                <w:color w:val="auto"/>
              </w:rPr>
            </w:pPr>
          </w:p>
        </w:tc>
        <w:tc>
          <w:tcPr>
            <w:tcW w:w="92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120" w:type="dxa"/>
            <w:vAlign w:val="bottom"/>
            <w:tcBorders>
              <w:top w:val="single" w:sz="8" w:color="auto"/>
            </w:tcBorders>
            <w:shd w:val="clear" w:color="auto" w:fill="CCEEFF"/>
          </w:tcPr>
          <w:p>
            <w:pPr>
              <w:spacing w:after="0"/>
              <w:rPr>
                <w:sz w:val="23"/>
                <w:szCs w:val="23"/>
                <w:color w:val="auto"/>
              </w:rPr>
            </w:pPr>
          </w:p>
        </w:tc>
        <w:tc>
          <w:tcPr>
            <w:tcW w:w="92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140" w:type="dxa"/>
            <w:vAlign w:val="bottom"/>
            <w:tcBorders>
              <w:top w:val="single" w:sz="8" w:color="auto"/>
            </w:tcBorders>
            <w:shd w:val="clear" w:color="auto" w:fill="CCEEFF"/>
          </w:tcPr>
          <w:p>
            <w:pPr>
              <w:spacing w:after="0"/>
              <w:rPr>
                <w:sz w:val="23"/>
                <w:szCs w:val="23"/>
                <w:color w:val="auto"/>
              </w:rPr>
            </w:pPr>
          </w:p>
        </w:tc>
        <w:tc>
          <w:tcPr>
            <w:tcW w:w="90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160" w:type="dxa"/>
            <w:vAlign w:val="bottom"/>
            <w:tcBorders>
              <w:top w:val="single" w:sz="8" w:color="auto"/>
            </w:tcBorders>
            <w:shd w:val="clear" w:color="auto" w:fill="CCEEFF"/>
          </w:tcPr>
          <w:p>
            <w:pPr>
              <w:spacing w:after="0"/>
              <w:rPr>
                <w:sz w:val="23"/>
                <w:szCs w:val="23"/>
                <w:color w:val="auto"/>
              </w:rPr>
            </w:pPr>
          </w:p>
        </w:tc>
        <w:tc>
          <w:tcPr>
            <w:tcW w:w="88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140" w:type="dxa"/>
            <w:vAlign w:val="bottom"/>
            <w:tcBorders>
              <w:top w:val="single" w:sz="8" w:color="auto"/>
            </w:tcBorders>
            <w:shd w:val="clear" w:color="auto" w:fill="CCEEFF"/>
          </w:tcPr>
          <w:p>
            <w:pPr>
              <w:spacing w:after="0"/>
              <w:rPr>
                <w:sz w:val="23"/>
                <w:szCs w:val="23"/>
                <w:color w:val="auto"/>
              </w:rPr>
            </w:pPr>
          </w:p>
        </w:tc>
        <w:tc>
          <w:tcPr>
            <w:tcW w:w="90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240" w:type="dxa"/>
            <w:vAlign w:val="bottom"/>
            <w:tcBorders>
              <w:top w:val="single" w:sz="8" w:color="auto"/>
            </w:tcBorders>
            <w:shd w:val="clear" w:color="auto" w:fill="CCEEFF"/>
          </w:tcPr>
          <w:p>
            <w:pPr>
              <w:spacing w:after="0"/>
              <w:rPr>
                <w:sz w:val="23"/>
                <w:szCs w:val="23"/>
                <w:color w:val="auto"/>
              </w:rPr>
            </w:pPr>
          </w:p>
        </w:tc>
        <w:tc>
          <w:tcPr>
            <w:tcW w:w="820" w:type="dxa"/>
            <w:vAlign w:val="bottom"/>
            <w:tcBorders>
              <w:top w:val="single" w:sz="8" w:color="auto"/>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9"/>
        </w:trPr>
        <w:tc>
          <w:tcPr>
            <w:tcW w:w="2580" w:type="dxa"/>
            <w:vAlign w:val="bottom"/>
          </w:tcPr>
          <w:p>
            <w:pPr>
              <w:ind w:left="380"/>
              <w:spacing w:after="0"/>
              <w:rPr>
                <w:sz w:val="20"/>
                <w:szCs w:val="20"/>
                <w:color w:val="auto"/>
              </w:rPr>
            </w:pPr>
            <w:r>
              <w:rPr>
                <w:rFonts w:ascii="Arial" w:cs="Arial" w:eastAsia="Arial" w:hAnsi="Arial"/>
                <w:sz w:val="14"/>
                <w:szCs w:val="14"/>
                <w:color w:val="auto"/>
              </w:rPr>
              <w:t>Lease income</w:t>
            </w:r>
          </w:p>
        </w:tc>
        <w:tc>
          <w:tcPr>
            <w:tcW w:w="18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4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rPr>
              <w:t>—</w:t>
            </w:r>
          </w:p>
        </w:tc>
        <w:tc>
          <w:tcPr>
            <w:tcW w:w="120" w:type="dxa"/>
            <w:vAlign w:val="bottom"/>
          </w:tcPr>
          <w:p>
            <w:pPr>
              <w:spacing w:after="0"/>
              <w:rPr>
                <w:sz w:val="23"/>
                <w:szCs w:val="23"/>
                <w:color w:val="auto"/>
              </w:rPr>
            </w:pPr>
          </w:p>
        </w:tc>
        <w:tc>
          <w:tcPr>
            <w:tcW w:w="104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rPr>
              <w:t>—</w:t>
            </w:r>
          </w:p>
        </w:tc>
        <w:tc>
          <w:tcPr>
            <w:tcW w:w="140" w:type="dxa"/>
            <w:vAlign w:val="bottom"/>
          </w:tcPr>
          <w:p>
            <w:pPr>
              <w:spacing w:after="0"/>
              <w:rPr>
                <w:sz w:val="23"/>
                <w:szCs w:val="23"/>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23"/>
                <w:szCs w:val="23"/>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rPr>
              <w:t>—</w:t>
            </w:r>
          </w:p>
        </w:tc>
        <w:tc>
          <w:tcPr>
            <w:tcW w:w="140" w:type="dxa"/>
            <w:vAlign w:val="bottom"/>
          </w:tcPr>
          <w:p>
            <w:pPr>
              <w:spacing w:after="0"/>
              <w:rPr>
                <w:sz w:val="23"/>
                <w:szCs w:val="23"/>
                <w:color w:val="auto"/>
              </w:rPr>
            </w:pPr>
          </w:p>
        </w:tc>
        <w:tc>
          <w:tcPr>
            <w:tcW w:w="900" w:type="dxa"/>
            <w:vAlign w:val="bottom"/>
          </w:tcPr>
          <w:p>
            <w:pPr>
              <w:jc w:val="right"/>
              <w:ind w:right="8"/>
              <w:spacing w:after="0"/>
              <w:rPr>
                <w:sz w:val="20"/>
                <w:szCs w:val="20"/>
                <w:color w:val="auto"/>
              </w:rPr>
            </w:pPr>
            <w:r>
              <w:rPr>
                <w:rFonts w:ascii="Arial" w:cs="Arial" w:eastAsia="Arial" w:hAnsi="Arial"/>
                <w:sz w:val="14"/>
                <w:szCs w:val="14"/>
                <w:b w:val="1"/>
                <w:bCs w:val="1"/>
                <w:color w:val="auto"/>
              </w:rPr>
              <w:t>455</w:t>
            </w: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20" w:type="dxa"/>
            <w:vAlign w:val="bottom"/>
          </w:tcPr>
          <w:p>
            <w:pPr>
              <w:jc w:val="right"/>
              <w:ind w:right="28"/>
              <w:spacing w:after="0"/>
              <w:rPr>
                <w:sz w:val="20"/>
                <w:szCs w:val="20"/>
                <w:color w:val="auto"/>
              </w:rPr>
            </w:pPr>
            <w:r>
              <w:rPr>
                <w:rFonts w:ascii="Arial" w:cs="Arial" w:eastAsia="Arial" w:hAnsi="Arial"/>
                <w:sz w:val="14"/>
                <w:szCs w:val="14"/>
                <w:b w:val="1"/>
                <w:bCs w:val="1"/>
                <w:color w:val="auto"/>
              </w:rPr>
              <w:t>455</w:t>
            </w:r>
          </w:p>
        </w:tc>
        <w:tc>
          <w:tcPr>
            <w:tcW w:w="0" w:type="dxa"/>
            <w:vAlign w:val="bottom"/>
          </w:tcPr>
          <w:p>
            <w:pPr>
              <w:spacing w:after="0"/>
              <w:rPr>
                <w:sz w:val="1"/>
                <w:szCs w:val="1"/>
                <w:color w:val="auto"/>
              </w:rPr>
            </w:pPr>
          </w:p>
        </w:tc>
      </w:tr>
      <w:tr>
        <w:trPr>
          <w:trHeight w:val="271"/>
        </w:trPr>
        <w:tc>
          <w:tcPr>
            <w:tcW w:w="2580" w:type="dxa"/>
            <w:vAlign w:val="bottom"/>
            <w:shd w:val="clear" w:color="auto" w:fill="CCEEFF"/>
          </w:tcPr>
          <w:p>
            <w:pPr>
              <w:ind w:left="380"/>
              <w:spacing w:after="0"/>
              <w:rPr>
                <w:sz w:val="20"/>
                <w:szCs w:val="20"/>
                <w:color w:val="auto"/>
              </w:rPr>
            </w:pPr>
            <w:r>
              <w:rPr>
                <w:rFonts w:ascii="Arial" w:cs="Arial" w:eastAsia="Arial" w:hAnsi="Arial"/>
                <w:sz w:val="14"/>
                <w:szCs w:val="14"/>
                <w:color w:val="auto"/>
              </w:rPr>
              <w:t>Rail revenues</w:t>
            </w:r>
          </w:p>
        </w:tc>
        <w:tc>
          <w:tcPr>
            <w:tcW w:w="180" w:type="dxa"/>
            <w:vAlign w:val="bottom"/>
            <w:shd w:val="clear" w:color="auto" w:fill="CCEEFF"/>
          </w:tcPr>
          <w:p>
            <w:pPr>
              <w:spacing w:after="0"/>
              <w:rPr>
                <w:sz w:val="23"/>
                <w:szCs w:val="23"/>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0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b w:val="1"/>
                <w:bCs w:val="1"/>
                <w:color w:val="auto"/>
              </w:rPr>
              <w:t>—</w:t>
            </w:r>
          </w:p>
        </w:tc>
        <w:tc>
          <w:tcPr>
            <w:tcW w:w="120" w:type="dxa"/>
            <w:vAlign w:val="bottom"/>
            <w:shd w:val="clear" w:color="auto" w:fill="CCEEFF"/>
          </w:tcPr>
          <w:p>
            <w:pPr>
              <w:spacing w:after="0"/>
              <w:rPr>
                <w:sz w:val="23"/>
                <w:szCs w:val="23"/>
                <w:color w:val="auto"/>
              </w:rPr>
            </w:pPr>
          </w:p>
        </w:tc>
        <w:tc>
          <w:tcPr>
            <w:tcW w:w="10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b w:val="1"/>
                <w:bCs w:val="1"/>
                <w:color w:val="auto"/>
              </w:rPr>
              <w:t>—</w:t>
            </w:r>
          </w:p>
        </w:tc>
        <w:tc>
          <w:tcPr>
            <w:tcW w:w="140" w:type="dxa"/>
            <w:vAlign w:val="bottom"/>
            <w:shd w:val="clear" w:color="auto" w:fill="CCEEFF"/>
          </w:tcPr>
          <w:p>
            <w:pPr>
              <w:spacing w:after="0"/>
              <w:rPr>
                <w:sz w:val="23"/>
                <w:szCs w:val="23"/>
                <w:color w:val="auto"/>
              </w:rPr>
            </w:pP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b w:val="1"/>
                <w:bCs w:val="1"/>
                <w:color w:val="auto"/>
              </w:rPr>
              <w:t>—</w:t>
            </w:r>
          </w:p>
        </w:tc>
        <w:tc>
          <w:tcPr>
            <w:tcW w:w="160" w:type="dxa"/>
            <w:vAlign w:val="bottom"/>
            <w:shd w:val="clear" w:color="auto" w:fill="CCEEFF"/>
          </w:tcPr>
          <w:p>
            <w:pPr>
              <w:spacing w:after="0"/>
              <w:rPr>
                <w:sz w:val="23"/>
                <w:szCs w:val="23"/>
                <w:color w:val="auto"/>
              </w:rPr>
            </w:pPr>
          </w:p>
        </w:tc>
        <w:tc>
          <w:tcPr>
            <w:tcW w:w="880" w:type="dxa"/>
            <w:vAlign w:val="bottom"/>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8,258</w:t>
            </w: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b w:val="1"/>
                <w:bCs w:val="1"/>
                <w:color w:val="auto"/>
              </w:rPr>
              <w:t>—</w:t>
            </w:r>
          </w:p>
        </w:tc>
        <w:tc>
          <w:tcPr>
            <w:tcW w:w="240" w:type="dxa"/>
            <w:vAlign w:val="bottom"/>
            <w:shd w:val="clear" w:color="auto" w:fill="CCEEFF"/>
          </w:tcPr>
          <w:p>
            <w:pPr>
              <w:spacing w:after="0"/>
              <w:rPr>
                <w:sz w:val="23"/>
                <w:szCs w:val="23"/>
                <w:color w:val="auto"/>
              </w:rPr>
            </w:pPr>
          </w:p>
        </w:tc>
        <w:tc>
          <w:tcPr>
            <w:tcW w:w="82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8,258</w:t>
            </w:r>
          </w:p>
        </w:tc>
        <w:tc>
          <w:tcPr>
            <w:tcW w:w="0" w:type="dxa"/>
            <w:vAlign w:val="bottom"/>
          </w:tcPr>
          <w:p>
            <w:pPr>
              <w:spacing w:after="0"/>
              <w:rPr>
                <w:sz w:val="1"/>
                <w:szCs w:val="1"/>
                <w:color w:val="auto"/>
              </w:rPr>
            </w:pPr>
          </w:p>
        </w:tc>
      </w:tr>
      <w:tr>
        <w:trPr>
          <w:trHeight w:val="269"/>
        </w:trPr>
        <w:tc>
          <w:tcPr>
            <w:tcW w:w="2580" w:type="dxa"/>
            <w:vAlign w:val="bottom"/>
          </w:tcPr>
          <w:p>
            <w:pPr>
              <w:ind w:left="380"/>
              <w:spacing w:after="0"/>
              <w:rPr>
                <w:sz w:val="20"/>
                <w:szCs w:val="20"/>
                <w:color w:val="auto"/>
              </w:rPr>
            </w:pPr>
            <w:r>
              <w:rPr>
                <w:rFonts w:ascii="Arial" w:cs="Arial" w:eastAsia="Arial" w:hAnsi="Arial"/>
                <w:sz w:val="14"/>
                <w:szCs w:val="14"/>
                <w:color w:val="auto"/>
              </w:rPr>
              <w:t>Terminal services revenues</w:t>
            </w:r>
          </w:p>
        </w:tc>
        <w:tc>
          <w:tcPr>
            <w:tcW w:w="18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4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rPr>
              <w:t>—</w:t>
            </w:r>
          </w:p>
        </w:tc>
        <w:tc>
          <w:tcPr>
            <w:tcW w:w="120" w:type="dxa"/>
            <w:vAlign w:val="bottom"/>
          </w:tcPr>
          <w:p>
            <w:pPr>
              <w:spacing w:after="0"/>
              <w:rPr>
                <w:sz w:val="23"/>
                <w:szCs w:val="23"/>
                <w:color w:val="auto"/>
              </w:rPr>
            </w:pPr>
          </w:p>
        </w:tc>
        <w:tc>
          <w:tcPr>
            <w:tcW w:w="104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rPr>
              <w:t>—</w:t>
            </w:r>
          </w:p>
        </w:tc>
        <w:tc>
          <w:tcPr>
            <w:tcW w:w="140" w:type="dxa"/>
            <w:vAlign w:val="bottom"/>
          </w:tcPr>
          <w:p>
            <w:pPr>
              <w:spacing w:after="0"/>
              <w:rPr>
                <w:sz w:val="23"/>
                <w:szCs w:val="23"/>
                <w:color w:val="auto"/>
              </w:rPr>
            </w:pPr>
          </w:p>
        </w:tc>
        <w:tc>
          <w:tcPr>
            <w:tcW w:w="900" w:type="dxa"/>
            <w:vAlign w:val="bottom"/>
          </w:tcPr>
          <w:p>
            <w:pPr>
              <w:jc w:val="right"/>
              <w:ind w:right="8"/>
              <w:spacing w:after="0"/>
              <w:rPr>
                <w:sz w:val="20"/>
                <w:szCs w:val="20"/>
                <w:color w:val="auto"/>
              </w:rPr>
            </w:pPr>
            <w:r>
              <w:rPr>
                <w:rFonts w:ascii="Arial" w:cs="Arial" w:eastAsia="Arial" w:hAnsi="Arial"/>
                <w:sz w:val="14"/>
                <w:szCs w:val="14"/>
                <w:b w:val="1"/>
                <w:bCs w:val="1"/>
                <w:color w:val="auto"/>
              </w:rPr>
              <w:t>1,730</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rPr>
              <w:t>—</w:t>
            </w:r>
          </w:p>
        </w:tc>
        <w:tc>
          <w:tcPr>
            <w:tcW w:w="140" w:type="dxa"/>
            <w:vAlign w:val="bottom"/>
          </w:tcPr>
          <w:p>
            <w:pPr>
              <w:spacing w:after="0"/>
              <w:rPr>
                <w:sz w:val="23"/>
                <w:szCs w:val="23"/>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rPr>
              <w:t>—</w:t>
            </w:r>
          </w:p>
        </w:tc>
        <w:tc>
          <w:tcPr>
            <w:tcW w:w="240" w:type="dxa"/>
            <w:vAlign w:val="bottom"/>
          </w:tcPr>
          <w:p>
            <w:pPr>
              <w:spacing w:after="0"/>
              <w:rPr>
                <w:sz w:val="23"/>
                <w:szCs w:val="23"/>
                <w:color w:val="auto"/>
              </w:rPr>
            </w:pPr>
          </w:p>
        </w:tc>
        <w:tc>
          <w:tcPr>
            <w:tcW w:w="820" w:type="dxa"/>
            <w:vAlign w:val="bottom"/>
          </w:tcPr>
          <w:p>
            <w:pPr>
              <w:jc w:val="right"/>
              <w:ind w:right="28"/>
              <w:spacing w:after="0"/>
              <w:rPr>
                <w:sz w:val="20"/>
                <w:szCs w:val="20"/>
                <w:color w:val="auto"/>
              </w:rPr>
            </w:pPr>
            <w:r>
              <w:rPr>
                <w:rFonts w:ascii="Arial" w:cs="Arial" w:eastAsia="Arial" w:hAnsi="Arial"/>
                <w:sz w:val="14"/>
                <w:szCs w:val="14"/>
                <w:b w:val="1"/>
                <w:bCs w:val="1"/>
                <w:color w:val="auto"/>
              </w:rPr>
              <w:t>1,730</w:t>
            </w:r>
          </w:p>
        </w:tc>
        <w:tc>
          <w:tcPr>
            <w:tcW w:w="0" w:type="dxa"/>
            <w:vAlign w:val="bottom"/>
          </w:tcPr>
          <w:p>
            <w:pPr>
              <w:spacing w:after="0"/>
              <w:rPr>
                <w:sz w:val="1"/>
                <w:szCs w:val="1"/>
                <w:color w:val="auto"/>
              </w:rPr>
            </w:pPr>
          </w:p>
        </w:tc>
      </w:tr>
      <w:tr>
        <w:trPr>
          <w:trHeight w:val="270"/>
        </w:trPr>
        <w:tc>
          <w:tcPr>
            <w:tcW w:w="2580" w:type="dxa"/>
            <w:vAlign w:val="bottom"/>
            <w:shd w:val="clear" w:color="auto" w:fill="CCEEFF"/>
          </w:tcPr>
          <w:p>
            <w:pPr>
              <w:ind w:left="380"/>
              <w:spacing w:after="0"/>
              <w:rPr>
                <w:sz w:val="20"/>
                <w:szCs w:val="20"/>
                <w:color w:val="auto"/>
              </w:rPr>
            </w:pPr>
            <w:r>
              <w:rPr>
                <w:rFonts w:ascii="Arial" w:cs="Arial" w:eastAsia="Arial" w:hAnsi="Arial"/>
                <w:sz w:val="14"/>
                <w:szCs w:val="14"/>
                <w:color w:val="auto"/>
              </w:rPr>
              <w:t>Other revenue</w:t>
            </w:r>
          </w:p>
        </w:tc>
        <w:tc>
          <w:tcPr>
            <w:tcW w:w="180" w:type="dxa"/>
            <w:vAlign w:val="bottom"/>
            <w:tcBorders>
              <w:bottom w:val="single" w:sz="8" w:color="auto"/>
            </w:tcBorders>
            <w:shd w:val="clear" w:color="auto" w:fill="CCEEFF"/>
          </w:tcPr>
          <w:p>
            <w:pPr>
              <w:spacing w:after="0"/>
              <w:rPr>
                <w:sz w:val="23"/>
                <w:szCs w:val="23"/>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60" w:type="dxa"/>
            <w:vAlign w:val="bottom"/>
            <w:tcBorders>
              <w:bottom w:val="single" w:sz="8" w:color="auto"/>
            </w:tcBorders>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9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w:t>
            </w:r>
          </w:p>
        </w:tc>
        <w:tc>
          <w:tcPr>
            <w:tcW w:w="12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92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w:t>
            </w:r>
          </w:p>
        </w:tc>
        <w:tc>
          <w:tcPr>
            <w:tcW w:w="12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90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w:t>
            </w:r>
          </w:p>
        </w:tc>
        <w:tc>
          <w:tcPr>
            <w:tcW w:w="12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8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w:t>
            </w:r>
          </w:p>
        </w:tc>
        <w:tc>
          <w:tcPr>
            <w:tcW w:w="12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90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303</w:t>
            </w:r>
          </w:p>
        </w:tc>
        <w:tc>
          <w:tcPr>
            <w:tcW w:w="120" w:type="dxa"/>
            <w:vAlign w:val="bottom"/>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spacing w:after="0"/>
              <w:rPr>
                <w:sz w:val="23"/>
                <w:szCs w:val="23"/>
                <w:color w:val="auto"/>
              </w:rPr>
            </w:pPr>
          </w:p>
        </w:tc>
        <w:tc>
          <w:tcPr>
            <w:tcW w:w="8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303</w:t>
            </w:r>
          </w:p>
        </w:tc>
        <w:tc>
          <w:tcPr>
            <w:tcW w:w="0" w:type="dxa"/>
            <w:vAlign w:val="bottom"/>
          </w:tcPr>
          <w:p>
            <w:pPr>
              <w:spacing w:after="0"/>
              <w:rPr>
                <w:sz w:val="1"/>
                <w:szCs w:val="1"/>
                <w:color w:val="auto"/>
              </w:rPr>
            </w:pPr>
          </w:p>
        </w:tc>
      </w:tr>
      <w:tr>
        <w:trPr>
          <w:trHeight w:val="250"/>
        </w:trPr>
        <w:tc>
          <w:tcPr>
            <w:tcW w:w="2580" w:type="dxa"/>
            <w:vAlign w:val="bottom"/>
            <w:tcBorders>
              <w:bottom w:val="single" w:sz="8" w:color="CCEEFF"/>
            </w:tcBorders>
          </w:tcPr>
          <w:p>
            <w:pPr>
              <w:ind w:left="380"/>
              <w:spacing w:after="0"/>
              <w:rPr>
                <w:sz w:val="20"/>
                <w:szCs w:val="20"/>
                <w:color w:val="auto"/>
              </w:rPr>
            </w:pPr>
            <w:r>
              <w:rPr>
                <w:rFonts w:ascii="Arial" w:cs="Arial" w:eastAsia="Arial" w:hAnsi="Arial"/>
                <w:sz w:val="14"/>
                <w:szCs w:val="14"/>
                <w:b w:val="1"/>
                <w:bCs w:val="1"/>
                <w:color w:val="auto"/>
              </w:rPr>
              <w:t>Total infrastructure revenues</w:t>
            </w:r>
          </w:p>
        </w:tc>
        <w:tc>
          <w:tcPr>
            <w:tcW w:w="18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60" w:type="dxa"/>
            <w:vAlign w:val="bottom"/>
            <w:tcBorders>
              <w:bottom w:val="single" w:sz="8" w:color="auto"/>
            </w:tcBorders>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w:t>
            </w:r>
          </w:p>
        </w:tc>
        <w:tc>
          <w:tcPr>
            <w:tcW w:w="12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w:t>
            </w:r>
          </w:p>
        </w:tc>
        <w:tc>
          <w:tcPr>
            <w:tcW w:w="12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1,730</w:t>
            </w:r>
          </w:p>
        </w:tc>
        <w:tc>
          <w:tcPr>
            <w:tcW w:w="12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8,258</w:t>
            </w:r>
          </w:p>
        </w:tc>
        <w:tc>
          <w:tcPr>
            <w:tcW w:w="12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758</w:t>
            </w:r>
          </w:p>
        </w:tc>
        <w:tc>
          <w:tcPr>
            <w:tcW w:w="12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10,746</w:t>
            </w:r>
          </w:p>
        </w:tc>
        <w:tc>
          <w:tcPr>
            <w:tcW w:w="0" w:type="dxa"/>
            <w:vAlign w:val="bottom"/>
          </w:tcPr>
          <w:p>
            <w:pPr>
              <w:spacing w:after="0"/>
              <w:rPr>
                <w:sz w:val="1"/>
                <w:szCs w:val="1"/>
                <w:color w:val="auto"/>
              </w:rPr>
            </w:pPr>
          </w:p>
        </w:tc>
      </w:tr>
      <w:tr>
        <w:trPr>
          <w:trHeight w:val="238"/>
        </w:trPr>
        <w:tc>
          <w:tcPr>
            <w:tcW w:w="25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Total revenues</w:t>
            </w:r>
          </w:p>
        </w:tc>
        <w:tc>
          <w:tcPr>
            <w:tcW w:w="1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43,474</w:t>
            </w:r>
          </w:p>
        </w:tc>
        <w:tc>
          <w:tcPr>
            <w:tcW w:w="60" w:type="dxa"/>
            <w:vAlign w:val="bottom"/>
            <w:tcBorders>
              <w:bottom w:val="single" w:sz="8" w:color="auto"/>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w:t>
            </w:r>
          </w:p>
        </w:tc>
        <w:tc>
          <w:tcPr>
            <w:tcW w:w="9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6,117</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92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25</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90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1,730</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8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8,258</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90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758</w:t>
            </w: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b w:val="1"/>
                <w:bCs w:val="1"/>
                <w:color w:val="auto"/>
              </w:rPr>
              <w:t>$</w:t>
            </w:r>
          </w:p>
        </w:tc>
        <w:tc>
          <w:tcPr>
            <w:tcW w:w="8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60,362</w:t>
            </w:r>
          </w:p>
        </w:tc>
        <w:tc>
          <w:tcPr>
            <w:tcW w:w="0" w:type="dxa"/>
            <w:vAlign w:val="bottom"/>
          </w:tcPr>
          <w:p>
            <w:pPr>
              <w:spacing w:after="0"/>
              <w:rPr>
                <w:sz w:val="1"/>
                <w:szCs w:val="1"/>
                <w:color w:val="auto"/>
              </w:rPr>
            </w:pPr>
          </w:p>
        </w:tc>
      </w:tr>
      <w:tr>
        <w:trPr>
          <w:trHeight w:val="20"/>
        </w:trPr>
        <w:tc>
          <w:tcPr>
            <w:tcW w:w="25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4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4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47"/>
        </w:trPr>
        <w:tc>
          <w:tcPr>
            <w:tcW w:w="258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360" w:type="dxa"/>
            <w:vAlign w:val="bottom"/>
            <w:tcBorders>
              <w:bottom w:val="single" w:sz="8" w:color="auto"/>
            </w:tcBorders>
            <w:gridSpan w:val="8"/>
          </w:tcPr>
          <w:p>
            <w:pPr>
              <w:ind w:left="120"/>
              <w:spacing w:after="0"/>
              <w:rPr>
                <w:sz w:val="20"/>
                <w:szCs w:val="20"/>
                <w:color w:val="auto"/>
              </w:rPr>
            </w:pPr>
            <w:r>
              <w:rPr>
                <w:rFonts w:ascii="Arial" w:cs="Arial" w:eastAsia="Arial" w:hAnsi="Arial"/>
                <w:sz w:val="14"/>
                <w:szCs w:val="14"/>
                <w:b w:val="1"/>
                <w:bCs w:val="1"/>
                <w:color w:val="auto"/>
              </w:rPr>
              <w:t>Three Months Ended September 30, 2016</w:t>
            </w:r>
          </w:p>
        </w:tc>
        <w:tc>
          <w:tcPr>
            <w:tcW w:w="1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63"/>
        </w:trPr>
        <w:tc>
          <w:tcPr>
            <w:tcW w:w="258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spacing w:after="0"/>
              <w:rPr>
                <w:sz w:val="22"/>
                <w:szCs w:val="22"/>
                <w:color w:val="auto"/>
              </w:rPr>
            </w:pPr>
          </w:p>
        </w:tc>
        <w:tc>
          <w:tcPr>
            <w:tcW w:w="1400" w:type="dxa"/>
            <w:vAlign w:val="bottom"/>
            <w:tcBorders>
              <w:bottom w:val="single" w:sz="8" w:color="auto"/>
            </w:tcBorders>
            <w:gridSpan w:val="5"/>
          </w:tcPr>
          <w:p>
            <w:pPr>
              <w:jc w:val="center"/>
              <w:spacing w:after="0"/>
              <w:rPr>
                <w:sz w:val="20"/>
                <w:szCs w:val="20"/>
                <w:color w:val="auto"/>
              </w:rPr>
            </w:pPr>
            <w:r>
              <w:rPr>
                <w:rFonts w:ascii="Arial" w:cs="Arial" w:eastAsia="Arial" w:hAnsi="Arial"/>
                <w:sz w:val="14"/>
                <w:szCs w:val="14"/>
                <w:b w:val="1"/>
                <w:bCs w:val="1"/>
                <w:color w:val="auto"/>
              </w:rPr>
              <w:t>Equipment Leasing</w:t>
            </w:r>
          </w:p>
        </w:tc>
        <w:tc>
          <w:tcPr>
            <w:tcW w:w="12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gridSpan w:val="3"/>
          </w:tcPr>
          <w:p>
            <w:pPr>
              <w:jc w:val="center"/>
              <w:ind w:right="100"/>
              <w:spacing w:after="0"/>
              <w:rPr>
                <w:sz w:val="20"/>
                <w:szCs w:val="20"/>
                <w:color w:val="auto"/>
              </w:rPr>
            </w:pPr>
            <w:r>
              <w:rPr>
                <w:rFonts w:ascii="Arial" w:cs="Arial" w:eastAsia="Arial" w:hAnsi="Arial"/>
                <w:sz w:val="14"/>
                <w:szCs w:val="14"/>
                <w:b w:val="1"/>
                <w:bCs w:val="1"/>
                <w:color w:val="auto"/>
              </w:rPr>
              <w:t>Infrastructure</w:t>
            </w:r>
          </w:p>
        </w:tc>
        <w:tc>
          <w:tcPr>
            <w:tcW w:w="14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69"/>
        </w:trPr>
        <w:tc>
          <w:tcPr>
            <w:tcW w:w="2580" w:type="dxa"/>
            <w:vAlign w:val="bottom"/>
          </w:tcPr>
          <w:p>
            <w:pPr>
              <w:ind w:left="20"/>
              <w:spacing w:after="0"/>
              <w:rPr>
                <w:sz w:val="20"/>
                <w:szCs w:val="20"/>
                <w:color w:val="auto"/>
              </w:rPr>
            </w:pPr>
            <w:r>
              <w:rPr>
                <w:rFonts w:ascii="Arial" w:cs="Arial" w:eastAsia="Arial" w:hAnsi="Arial"/>
                <w:sz w:val="14"/>
                <w:szCs w:val="14"/>
                <w:b w:val="1"/>
                <w:bCs w:val="1"/>
                <w:color w:val="auto"/>
              </w:rPr>
              <w:t>Revenues</w:t>
            </w:r>
          </w:p>
        </w:tc>
        <w:tc>
          <w:tcPr>
            <w:tcW w:w="180" w:type="dxa"/>
            <w:vAlign w:val="bottom"/>
          </w:tcPr>
          <w:p>
            <w:pPr>
              <w:spacing w:after="0"/>
              <w:rPr>
                <w:sz w:val="14"/>
                <w:szCs w:val="14"/>
                <w:color w:val="auto"/>
              </w:rPr>
            </w:pPr>
          </w:p>
        </w:tc>
        <w:tc>
          <w:tcPr>
            <w:tcW w:w="860" w:type="dxa"/>
            <w:vAlign w:val="bottom"/>
          </w:tcPr>
          <w:p>
            <w:pPr>
              <w:ind w:left="80"/>
              <w:spacing w:after="0"/>
              <w:rPr>
                <w:sz w:val="20"/>
                <w:szCs w:val="20"/>
                <w:color w:val="auto"/>
              </w:rPr>
            </w:pPr>
            <w:r>
              <w:rPr>
                <w:rFonts w:ascii="Arial" w:cs="Arial" w:eastAsia="Arial" w:hAnsi="Arial"/>
                <w:sz w:val="14"/>
                <w:szCs w:val="14"/>
                <w:b w:val="1"/>
                <w:bCs w:val="1"/>
                <w:color w:val="auto"/>
              </w:rPr>
              <w:t>Aviation</w:t>
            </w: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4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rPr>
              <w:t>Offshore</w:t>
            </w:r>
          </w:p>
        </w:tc>
        <w:tc>
          <w:tcPr>
            <w:tcW w:w="120" w:type="dxa"/>
            <w:vAlign w:val="bottom"/>
          </w:tcPr>
          <w:p>
            <w:pPr>
              <w:spacing w:after="0"/>
              <w:rPr>
                <w:sz w:val="14"/>
                <w:szCs w:val="14"/>
                <w:color w:val="auto"/>
              </w:rPr>
            </w:pPr>
          </w:p>
        </w:tc>
        <w:tc>
          <w:tcPr>
            <w:tcW w:w="10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Shipping</w:t>
            </w:r>
          </w:p>
        </w:tc>
        <w:tc>
          <w:tcPr>
            <w:tcW w:w="140" w:type="dxa"/>
            <w:vAlign w:val="bottom"/>
          </w:tcPr>
          <w:p>
            <w:pPr>
              <w:spacing w:after="0"/>
              <w:rPr>
                <w:sz w:val="14"/>
                <w:szCs w:val="14"/>
                <w:color w:val="auto"/>
              </w:rPr>
            </w:pPr>
          </w:p>
        </w:tc>
        <w:tc>
          <w:tcPr>
            <w:tcW w:w="10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Jefferson</w:t>
            </w:r>
          </w:p>
        </w:tc>
        <w:tc>
          <w:tcPr>
            <w:tcW w:w="1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gridSpan w:val="2"/>
          </w:tcPr>
          <w:p>
            <w:pPr>
              <w:ind w:left="60"/>
              <w:spacing w:after="0"/>
              <w:rPr>
                <w:sz w:val="20"/>
                <w:szCs w:val="20"/>
                <w:color w:val="auto"/>
              </w:rPr>
            </w:pPr>
            <w:r>
              <w:rPr>
                <w:rFonts w:ascii="Arial" w:cs="Arial" w:eastAsia="Arial" w:hAnsi="Arial"/>
                <w:sz w:val="14"/>
                <w:szCs w:val="14"/>
                <w:b w:val="1"/>
                <w:bCs w:val="1"/>
                <w:color w:val="auto"/>
              </w:rPr>
              <w:t>Ports and</w:t>
            </w:r>
          </w:p>
        </w:tc>
        <w:tc>
          <w:tcPr>
            <w:tcW w:w="2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25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tcPr>
          <w:p>
            <w:pPr>
              <w:ind w:left="100"/>
              <w:spacing w:after="0"/>
              <w:rPr>
                <w:sz w:val="20"/>
                <w:szCs w:val="20"/>
                <w:color w:val="auto"/>
              </w:rPr>
            </w:pPr>
            <w:r>
              <w:rPr>
                <w:rFonts w:ascii="Arial" w:cs="Arial" w:eastAsia="Arial" w:hAnsi="Arial"/>
                <w:sz w:val="14"/>
                <w:szCs w:val="14"/>
                <w:b w:val="1"/>
                <w:bCs w:val="1"/>
                <w:color w:val="auto"/>
              </w:rPr>
              <w:t>Leasing</w:t>
            </w: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4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rPr>
              <w:t>Energy</w:t>
            </w:r>
          </w:p>
        </w:tc>
        <w:tc>
          <w:tcPr>
            <w:tcW w:w="120" w:type="dxa"/>
            <w:vAlign w:val="bottom"/>
          </w:tcPr>
          <w:p>
            <w:pPr>
              <w:spacing w:after="0"/>
              <w:rPr>
                <w:sz w:val="17"/>
                <w:szCs w:val="17"/>
                <w:color w:val="auto"/>
              </w:rPr>
            </w:pPr>
          </w:p>
        </w:tc>
        <w:tc>
          <w:tcPr>
            <w:tcW w:w="10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Containers</w:t>
            </w:r>
          </w:p>
        </w:tc>
        <w:tc>
          <w:tcPr>
            <w:tcW w:w="140" w:type="dxa"/>
            <w:vAlign w:val="bottom"/>
          </w:tcPr>
          <w:p>
            <w:pPr>
              <w:spacing w:after="0"/>
              <w:rPr>
                <w:sz w:val="17"/>
                <w:szCs w:val="17"/>
                <w:color w:val="auto"/>
              </w:rPr>
            </w:pPr>
          </w:p>
        </w:tc>
        <w:tc>
          <w:tcPr>
            <w:tcW w:w="10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Terminal</w:t>
            </w:r>
          </w:p>
        </w:tc>
        <w:tc>
          <w:tcPr>
            <w:tcW w:w="160" w:type="dxa"/>
            <w:vAlign w:val="bottom"/>
          </w:tcPr>
          <w:p>
            <w:pPr>
              <w:spacing w:after="0"/>
              <w:rPr>
                <w:sz w:val="17"/>
                <w:szCs w:val="17"/>
                <w:color w:val="auto"/>
              </w:rPr>
            </w:pPr>
          </w:p>
        </w:tc>
        <w:tc>
          <w:tcPr>
            <w:tcW w:w="10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9"/>
              </w:rPr>
              <w:t>Railroad</w:t>
            </w:r>
          </w:p>
        </w:tc>
        <w:tc>
          <w:tcPr>
            <w:tcW w:w="140" w:type="dxa"/>
            <w:vAlign w:val="bottom"/>
          </w:tcPr>
          <w:p>
            <w:pPr>
              <w:spacing w:after="0"/>
              <w:rPr>
                <w:sz w:val="17"/>
                <w:szCs w:val="17"/>
                <w:color w:val="auto"/>
              </w:rPr>
            </w:pPr>
          </w:p>
        </w:tc>
        <w:tc>
          <w:tcPr>
            <w:tcW w:w="1020" w:type="dxa"/>
            <w:vAlign w:val="bottom"/>
            <w:gridSpan w:val="2"/>
          </w:tcPr>
          <w:p>
            <w:pPr>
              <w:ind w:left="40"/>
              <w:spacing w:after="0"/>
              <w:rPr>
                <w:sz w:val="20"/>
                <w:szCs w:val="20"/>
                <w:color w:val="auto"/>
              </w:rPr>
            </w:pPr>
            <w:r>
              <w:rPr>
                <w:rFonts w:ascii="Arial" w:cs="Arial" w:eastAsia="Arial" w:hAnsi="Arial"/>
                <w:sz w:val="14"/>
                <w:szCs w:val="14"/>
                <w:b w:val="1"/>
                <w:bCs w:val="1"/>
                <w:color w:val="auto"/>
              </w:rPr>
              <w:t>Terminals</w:t>
            </w:r>
          </w:p>
        </w:tc>
        <w:tc>
          <w:tcPr>
            <w:tcW w:w="240" w:type="dxa"/>
            <w:vAlign w:val="bottom"/>
          </w:tcPr>
          <w:p>
            <w:pPr>
              <w:spacing w:after="0"/>
              <w:rPr>
                <w:sz w:val="17"/>
                <w:szCs w:val="17"/>
                <w:color w:val="auto"/>
              </w:rPr>
            </w:pPr>
          </w:p>
        </w:tc>
        <w:tc>
          <w:tcPr>
            <w:tcW w:w="820" w:type="dxa"/>
            <w:vAlign w:val="bottom"/>
          </w:tcPr>
          <w:p>
            <w:pPr>
              <w:jc w:val="right"/>
              <w:ind w:right="288"/>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5"/>
        </w:trPr>
        <w:tc>
          <w:tcPr>
            <w:tcW w:w="25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Equipment leasing revenues</w:t>
            </w:r>
          </w:p>
        </w:tc>
        <w:tc>
          <w:tcPr>
            <w:tcW w:w="180" w:type="dxa"/>
            <w:vAlign w:val="bottom"/>
            <w:tcBorders>
              <w:top w:val="single" w:sz="8" w:color="auto"/>
            </w:tcBorders>
            <w:shd w:val="clear" w:color="auto" w:fill="CCEEFF"/>
          </w:tcPr>
          <w:p>
            <w:pPr>
              <w:spacing w:after="0"/>
              <w:rPr>
                <w:sz w:val="16"/>
                <w:szCs w:val="16"/>
                <w:color w:val="auto"/>
              </w:rPr>
            </w:pPr>
          </w:p>
        </w:tc>
        <w:tc>
          <w:tcPr>
            <w:tcW w:w="860" w:type="dxa"/>
            <w:vAlign w:val="bottom"/>
            <w:tcBorders>
              <w:top w:val="single" w:sz="8" w:color="auto"/>
            </w:tcBorders>
            <w:shd w:val="clear" w:color="auto" w:fill="CCEEFF"/>
          </w:tcPr>
          <w:p>
            <w:pPr>
              <w:spacing w:after="0"/>
              <w:rPr>
                <w:sz w:val="16"/>
                <w:szCs w:val="16"/>
                <w:color w:val="auto"/>
              </w:rPr>
            </w:pPr>
          </w:p>
        </w:tc>
        <w:tc>
          <w:tcPr>
            <w:tcW w:w="6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spacing w:after="0"/>
              <w:rPr>
                <w:sz w:val="16"/>
                <w:szCs w:val="16"/>
                <w:color w:val="auto"/>
              </w:rPr>
            </w:pPr>
          </w:p>
        </w:tc>
        <w:tc>
          <w:tcPr>
            <w:tcW w:w="92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92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90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spacing w:after="0"/>
              <w:rPr>
                <w:sz w:val="16"/>
                <w:szCs w:val="16"/>
                <w:color w:val="auto"/>
              </w:rPr>
            </w:pPr>
          </w:p>
        </w:tc>
        <w:tc>
          <w:tcPr>
            <w:tcW w:w="88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90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240" w:type="dxa"/>
            <w:vAlign w:val="bottom"/>
            <w:tcBorders>
              <w:top w:val="single" w:sz="8" w:color="auto"/>
            </w:tcBorders>
            <w:shd w:val="clear" w:color="auto" w:fill="CCEEFF"/>
          </w:tcPr>
          <w:p>
            <w:pPr>
              <w:spacing w:after="0"/>
              <w:rPr>
                <w:sz w:val="16"/>
                <w:szCs w:val="16"/>
                <w:color w:val="auto"/>
              </w:rPr>
            </w:pPr>
          </w:p>
        </w:tc>
        <w:tc>
          <w:tcPr>
            <w:tcW w:w="820" w:type="dxa"/>
            <w:vAlign w:val="bottom"/>
            <w:tcBorders>
              <w:top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70"/>
        </w:trPr>
        <w:tc>
          <w:tcPr>
            <w:tcW w:w="2580" w:type="dxa"/>
            <w:vAlign w:val="bottom"/>
            <w:shd w:val="clear" w:color="auto" w:fill="CCEEFF"/>
          </w:tcPr>
          <w:p>
            <w:pPr>
              <w:spacing w:after="0"/>
              <w:rPr>
                <w:sz w:val="6"/>
                <w:szCs w:val="6"/>
                <w:color w:val="auto"/>
              </w:rPr>
            </w:pPr>
          </w:p>
        </w:tc>
        <w:tc>
          <w:tcPr>
            <w:tcW w:w="180" w:type="dxa"/>
            <w:vAlign w:val="bottom"/>
            <w:shd w:val="clear" w:color="auto" w:fill="CCEEFF"/>
          </w:tcPr>
          <w:p>
            <w:pPr>
              <w:spacing w:after="0"/>
              <w:rPr>
                <w:sz w:val="6"/>
                <w:szCs w:val="6"/>
                <w:color w:val="auto"/>
              </w:rPr>
            </w:pPr>
          </w:p>
        </w:tc>
        <w:tc>
          <w:tcPr>
            <w:tcW w:w="860" w:type="dxa"/>
            <w:vAlign w:val="bottom"/>
            <w:shd w:val="clear" w:color="auto" w:fill="CCEEFF"/>
          </w:tcPr>
          <w:p>
            <w:pPr>
              <w:spacing w:after="0"/>
              <w:rPr>
                <w:sz w:val="6"/>
                <w:szCs w:val="6"/>
                <w:color w:val="auto"/>
              </w:rPr>
            </w:pPr>
          </w:p>
        </w:tc>
        <w:tc>
          <w:tcPr>
            <w:tcW w:w="6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80" w:type="dxa"/>
            <w:vAlign w:val="bottom"/>
            <w:shd w:val="clear" w:color="auto" w:fill="CCEEFF"/>
          </w:tcPr>
          <w:p>
            <w:pPr>
              <w:spacing w:after="0"/>
              <w:rPr>
                <w:sz w:val="6"/>
                <w:szCs w:val="6"/>
                <w:color w:val="auto"/>
              </w:rPr>
            </w:pPr>
          </w:p>
        </w:tc>
        <w:tc>
          <w:tcPr>
            <w:tcW w:w="92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92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90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88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90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240" w:type="dxa"/>
            <w:vAlign w:val="bottom"/>
            <w:shd w:val="clear" w:color="auto" w:fill="CCEEFF"/>
          </w:tcPr>
          <w:p>
            <w:pPr>
              <w:spacing w:after="0"/>
              <w:rPr>
                <w:sz w:val="6"/>
                <w:szCs w:val="6"/>
                <w:color w:val="auto"/>
              </w:rPr>
            </w:pPr>
          </w:p>
        </w:tc>
        <w:tc>
          <w:tcPr>
            <w:tcW w:w="82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208"/>
        </w:trPr>
        <w:tc>
          <w:tcPr>
            <w:tcW w:w="2580" w:type="dxa"/>
            <w:vAlign w:val="bottom"/>
          </w:tcPr>
          <w:p>
            <w:pPr>
              <w:ind w:left="380"/>
              <w:spacing w:after="0"/>
              <w:rPr>
                <w:sz w:val="20"/>
                <w:szCs w:val="20"/>
                <w:color w:val="auto"/>
              </w:rPr>
            </w:pPr>
            <w:r>
              <w:rPr>
                <w:rFonts w:ascii="Arial" w:cs="Arial" w:eastAsia="Arial" w:hAnsi="Arial"/>
                <w:sz w:val="14"/>
                <w:szCs w:val="14"/>
                <w:color w:val="auto"/>
              </w:rPr>
              <w:t>Lease income</w:t>
            </w:r>
          </w:p>
        </w:tc>
        <w:tc>
          <w:tcPr>
            <w:tcW w:w="180" w:type="dxa"/>
            <w:vAlign w:val="bottom"/>
            <w:vMerge w:val="restart"/>
          </w:tcPr>
          <w:p>
            <w:pPr>
              <w:jc w:val="right"/>
              <w:ind w:right="8"/>
              <w:spacing w:after="0"/>
              <w:rPr>
                <w:sz w:val="20"/>
                <w:szCs w:val="20"/>
                <w:color w:val="auto"/>
              </w:rPr>
            </w:pPr>
            <w:r>
              <w:rPr>
                <w:rFonts w:ascii="Arial" w:cs="Arial" w:eastAsia="Arial" w:hAnsi="Arial"/>
                <w:sz w:val="14"/>
                <w:szCs w:val="14"/>
                <w:color w:val="auto"/>
              </w:rPr>
              <w:t>$</w:t>
            </w:r>
          </w:p>
        </w:tc>
        <w:tc>
          <w:tcPr>
            <w:tcW w:w="860" w:type="dxa"/>
            <w:vAlign w:val="bottom"/>
            <w:vMerge w:val="restart"/>
          </w:tcPr>
          <w:p>
            <w:pPr>
              <w:jc w:val="right"/>
              <w:spacing w:after="0"/>
              <w:rPr>
                <w:sz w:val="20"/>
                <w:szCs w:val="20"/>
                <w:color w:val="auto"/>
              </w:rPr>
            </w:pPr>
            <w:r>
              <w:rPr>
                <w:rFonts w:ascii="Arial" w:cs="Arial" w:eastAsia="Arial" w:hAnsi="Arial"/>
                <w:sz w:val="14"/>
                <w:szCs w:val="14"/>
                <w:color w:val="auto"/>
              </w:rPr>
              <w:t>19,039</w:t>
            </w:r>
          </w:p>
        </w:tc>
        <w:tc>
          <w:tcPr>
            <w:tcW w:w="360" w:type="dxa"/>
            <w:vAlign w:val="bottom"/>
            <w:gridSpan w:val="3"/>
            <w:vMerge w:val="restart"/>
          </w:tcPr>
          <w:p>
            <w:pPr>
              <w:jc w:val="right"/>
              <w:ind w:right="8"/>
              <w:spacing w:after="0"/>
              <w:rPr>
                <w:sz w:val="20"/>
                <w:szCs w:val="20"/>
                <w:color w:val="auto"/>
              </w:rPr>
            </w:pPr>
            <w:r>
              <w:rPr>
                <w:rFonts w:ascii="Arial" w:cs="Arial" w:eastAsia="Arial" w:hAnsi="Arial"/>
                <w:sz w:val="14"/>
                <w:szCs w:val="14"/>
                <w:color w:val="auto"/>
              </w:rPr>
              <w:t>$</w:t>
            </w:r>
          </w:p>
        </w:tc>
        <w:tc>
          <w:tcPr>
            <w:tcW w:w="920" w:type="dxa"/>
            <w:vAlign w:val="bottom"/>
            <w:vMerge w:val="restart"/>
          </w:tcPr>
          <w:p>
            <w:pPr>
              <w:jc w:val="right"/>
              <w:ind w:right="48"/>
              <w:spacing w:after="0"/>
              <w:rPr>
                <w:sz w:val="20"/>
                <w:szCs w:val="20"/>
                <w:color w:val="auto"/>
              </w:rPr>
            </w:pPr>
            <w:r>
              <w:rPr>
                <w:rFonts w:ascii="Arial" w:cs="Arial" w:eastAsia="Arial" w:hAnsi="Arial"/>
                <w:sz w:val="14"/>
                <w:szCs w:val="14"/>
                <w:color w:val="auto"/>
              </w:rPr>
              <w:t>2,561</w:t>
            </w:r>
          </w:p>
        </w:tc>
        <w:tc>
          <w:tcPr>
            <w:tcW w:w="120" w:type="dxa"/>
            <w:vAlign w:val="bottom"/>
          </w:tcPr>
          <w:p>
            <w:pPr>
              <w:spacing w:after="0"/>
              <w:rPr>
                <w:sz w:val="18"/>
                <w:szCs w:val="18"/>
                <w:color w:val="auto"/>
              </w:rPr>
            </w:pPr>
          </w:p>
        </w:tc>
        <w:tc>
          <w:tcPr>
            <w:tcW w:w="12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040" w:type="dxa"/>
            <w:vAlign w:val="bottom"/>
            <w:gridSpan w:val="2"/>
            <w:vMerge w:val="restart"/>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020" w:type="dxa"/>
            <w:vAlign w:val="bottom"/>
            <w:gridSpan w:val="2"/>
            <w:vMerge w:val="restart"/>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000" w:type="dxa"/>
            <w:vAlign w:val="bottom"/>
            <w:gridSpan w:val="2"/>
            <w:vMerge w:val="restart"/>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020" w:type="dxa"/>
            <w:vAlign w:val="bottom"/>
            <w:gridSpan w:val="2"/>
            <w:vMerge w:val="restart"/>
          </w:tcPr>
          <w:p>
            <w:pPr>
              <w:jc w:val="right"/>
              <w:ind w:right="200"/>
              <w:spacing w:after="0"/>
              <w:rPr>
                <w:sz w:val="20"/>
                <w:szCs w:val="20"/>
                <w:color w:val="auto"/>
              </w:rPr>
            </w:pPr>
            <w:r>
              <w:rPr>
                <w:rFonts w:ascii="Arial" w:cs="Arial" w:eastAsia="Arial" w:hAnsi="Arial"/>
                <w:sz w:val="14"/>
                <w:szCs w:val="14"/>
                <w:color w:val="auto"/>
              </w:rPr>
              <w:t>—</w:t>
            </w:r>
          </w:p>
        </w:tc>
        <w:tc>
          <w:tcPr>
            <w:tcW w:w="240" w:type="dxa"/>
            <w:vAlign w:val="bottom"/>
            <w:vMerge w:val="restart"/>
          </w:tcPr>
          <w:p>
            <w:pPr>
              <w:jc w:val="right"/>
              <w:ind w:right="68"/>
              <w:spacing w:after="0"/>
              <w:rPr>
                <w:sz w:val="20"/>
                <w:szCs w:val="20"/>
                <w:color w:val="auto"/>
              </w:rPr>
            </w:pPr>
            <w:r>
              <w:rPr>
                <w:rFonts w:ascii="Arial" w:cs="Arial" w:eastAsia="Arial" w:hAnsi="Arial"/>
                <w:sz w:val="14"/>
                <w:szCs w:val="14"/>
                <w:color w:val="auto"/>
              </w:rPr>
              <w:t>$</w:t>
            </w:r>
          </w:p>
        </w:tc>
        <w:tc>
          <w:tcPr>
            <w:tcW w:w="820" w:type="dxa"/>
            <w:vAlign w:val="bottom"/>
            <w:vMerge w:val="restart"/>
          </w:tcPr>
          <w:p>
            <w:pPr>
              <w:jc w:val="right"/>
              <w:ind w:right="28"/>
              <w:spacing w:after="0"/>
              <w:rPr>
                <w:sz w:val="20"/>
                <w:szCs w:val="20"/>
                <w:color w:val="auto"/>
              </w:rPr>
            </w:pPr>
            <w:r>
              <w:rPr>
                <w:rFonts w:ascii="Arial" w:cs="Arial" w:eastAsia="Arial" w:hAnsi="Arial"/>
                <w:sz w:val="14"/>
                <w:szCs w:val="14"/>
                <w:color w:val="auto"/>
              </w:rPr>
              <w:t>21,600</w:t>
            </w:r>
          </w:p>
        </w:tc>
        <w:tc>
          <w:tcPr>
            <w:tcW w:w="0" w:type="dxa"/>
            <w:vAlign w:val="bottom"/>
          </w:tcPr>
          <w:p>
            <w:pPr>
              <w:spacing w:after="0"/>
              <w:rPr>
                <w:sz w:val="1"/>
                <w:szCs w:val="1"/>
                <w:color w:val="auto"/>
              </w:rPr>
            </w:pPr>
          </w:p>
        </w:tc>
      </w:tr>
      <w:tr>
        <w:trPr>
          <w:trHeight w:val="58"/>
        </w:trPr>
        <w:tc>
          <w:tcPr>
            <w:tcW w:w="2580" w:type="dxa"/>
            <w:vAlign w:val="bottom"/>
          </w:tcPr>
          <w:p>
            <w:pPr>
              <w:spacing w:after="0"/>
              <w:rPr>
                <w:sz w:val="5"/>
                <w:szCs w:val="5"/>
                <w:color w:val="auto"/>
              </w:rPr>
            </w:pPr>
          </w:p>
        </w:tc>
        <w:tc>
          <w:tcPr>
            <w:tcW w:w="180" w:type="dxa"/>
            <w:vAlign w:val="bottom"/>
            <w:vMerge w:val="continue"/>
          </w:tcPr>
          <w:p>
            <w:pPr>
              <w:spacing w:after="0"/>
              <w:rPr>
                <w:sz w:val="5"/>
                <w:szCs w:val="5"/>
                <w:color w:val="auto"/>
              </w:rPr>
            </w:pPr>
          </w:p>
        </w:tc>
        <w:tc>
          <w:tcPr>
            <w:tcW w:w="860" w:type="dxa"/>
            <w:vAlign w:val="bottom"/>
            <w:vMerge w:val="continue"/>
          </w:tcPr>
          <w:p>
            <w:pPr>
              <w:spacing w:after="0"/>
              <w:rPr>
                <w:sz w:val="5"/>
                <w:szCs w:val="5"/>
                <w:color w:val="auto"/>
              </w:rPr>
            </w:pPr>
          </w:p>
        </w:tc>
        <w:tc>
          <w:tcPr>
            <w:tcW w:w="360" w:type="dxa"/>
            <w:vAlign w:val="bottom"/>
            <w:gridSpan w:val="3"/>
            <w:vMerge w:val="continue"/>
          </w:tcPr>
          <w:p>
            <w:pPr>
              <w:spacing w:after="0"/>
              <w:rPr>
                <w:sz w:val="5"/>
                <w:szCs w:val="5"/>
                <w:color w:val="auto"/>
              </w:rPr>
            </w:pPr>
          </w:p>
        </w:tc>
        <w:tc>
          <w:tcPr>
            <w:tcW w:w="92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120" w:type="dxa"/>
            <w:vAlign w:val="bottom"/>
            <w:vMerge w:val="continue"/>
          </w:tcPr>
          <w:p>
            <w:pPr>
              <w:spacing w:after="0"/>
              <w:rPr>
                <w:sz w:val="5"/>
                <w:szCs w:val="5"/>
                <w:color w:val="auto"/>
              </w:rPr>
            </w:pPr>
          </w:p>
        </w:tc>
        <w:tc>
          <w:tcPr>
            <w:tcW w:w="1040" w:type="dxa"/>
            <w:vAlign w:val="bottom"/>
            <w:gridSpan w:val="2"/>
            <w:vMerge w:val="continue"/>
          </w:tcPr>
          <w:p>
            <w:pPr>
              <w:spacing w:after="0"/>
              <w:rPr>
                <w:sz w:val="5"/>
                <w:szCs w:val="5"/>
                <w:color w:val="auto"/>
              </w:rPr>
            </w:pPr>
          </w:p>
        </w:tc>
        <w:tc>
          <w:tcPr>
            <w:tcW w:w="140" w:type="dxa"/>
            <w:vAlign w:val="bottom"/>
            <w:vMerge w:val="continue"/>
          </w:tcPr>
          <w:p>
            <w:pPr>
              <w:spacing w:after="0"/>
              <w:rPr>
                <w:sz w:val="5"/>
                <w:szCs w:val="5"/>
                <w:color w:val="auto"/>
              </w:rPr>
            </w:pPr>
          </w:p>
        </w:tc>
        <w:tc>
          <w:tcPr>
            <w:tcW w:w="1020" w:type="dxa"/>
            <w:vAlign w:val="bottom"/>
            <w:gridSpan w:val="2"/>
            <w:vMerge w:val="continue"/>
          </w:tcPr>
          <w:p>
            <w:pPr>
              <w:spacing w:after="0"/>
              <w:rPr>
                <w:sz w:val="5"/>
                <w:szCs w:val="5"/>
                <w:color w:val="auto"/>
              </w:rPr>
            </w:pPr>
          </w:p>
        </w:tc>
        <w:tc>
          <w:tcPr>
            <w:tcW w:w="160" w:type="dxa"/>
            <w:vAlign w:val="bottom"/>
            <w:vMerge w:val="continue"/>
          </w:tcPr>
          <w:p>
            <w:pPr>
              <w:spacing w:after="0"/>
              <w:rPr>
                <w:sz w:val="5"/>
                <w:szCs w:val="5"/>
                <w:color w:val="auto"/>
              </w:rPr>
            </w:pPr>
          </w:p>
        </w:tc>
        <w:tc>
          <w:tcPr>
            <w:tcW w:w="1000" w:type="dxa"/>
            <w:vAlign w:val="bottom"/>
            <w:gridSpan w:val="2"/>
            <w:vMerge w:val="continue"/>
          </w:tcPr>
          <w:p>
            <w:pPr>
              <w:spacing w:after="0"/>
              <w:rPr>
                <w:sz w:val="5"/>
                <w:szCs w:val="5"/>
                <w:color w:val="auto"/>
              </w:rPr>
            </w:pPr>
          </w:p>
        </w:tc>
        <w:tc>
          <w:tcPr>
            <w:tcW w:w="140" w:type="dxa"/>
            <w:vAlign w:val="bottom"/>
            <w:vMerge w:val="continue"/>
          </w:tcPr>
          <w:p>
            <w:pPr>
              <w:spacing w:after="0"/>
              <w:rPr>
                <w:sz w:val="5"/>
                <w:szCs w:val="5"/>
                <w:color w:val="auto"/>
              </w:rPr>
            </w:pPr>
          </w:p>
        </w:tc>
        <w:tc>
          <w:tcPr>
            <w:tcW w:w="1020" w:type="dxa"/>
            <w:vAlign w:val="bottom"/>
            <w:gridSpan w:val="2"/>
            <w:vMerge w:val="continue"/>
          </w:tcPr>
          <w:p>
            <w:pPr>
              <w:spacing w:after="0"/>
              <w:rPr>
                <w:sz w:val="5"/>
                <w:szCs w:val="5"/>
                <w:color w:val="auto"/>
              </w:rPr>
            </w:pPr>
          </w:p>
        </w:tc>
        <w:tc>
          <w:tcPr>
            <w:tcW w:w="240" w:type="dxa"/>
            <w:vAlign w:val="bottom"/>
            <w:vMerge w:val="continue"/>
          </w:tcPr>
          <w:p>
            <w:pPr>
              <w:spacing w:after="0"/>
              <w:rPr>
                <w:sz w:val="5"/>
                <w:szCs w:val="5"/>
                <w:color w:val="auto"/>
              </w:rPr>
            </w:pPr>
          </w:p>
        </w:tc>
        <w:tc>
          <w:tcPr>
            <w:tcW w:w="8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12"/>
        </w:trPr>
        <w:tc>
          <w:tcPr>
            <w:tcW w:w="2580" w:type="dxa"/>
            <w:vAlign w:val="bottom"/>
            <w:shd w:val="clear" w:color="auto" w:fill="CCEEFF"/>
          </w:tcPr>
          <w:p>
            <w:pPr>
              <w:ind w:left="380"/>
              <w:spacing w:after="0"/>
              <w:rPr>
                <w:sz w:val="20"/>
                <w:szCs w:val="20"/>
                <w:color w:val="auto"/>
              </w:rPr>
            </w:pPr>
            <w:r>
              <w:rPr>
                <w:rFonts w:ascii="Arial" w:cs="Arial" w:eastAsia="Arial" w:hAnsi="Arial"/>
                <w:sz w:val="14"/>
                <w:szCs w:val="14"/>
                <w:color w:val="auto"/>
              </w:rPr>
              <w:t>Maintenance revenue</w:t>
            </w:r>
          </w:p>
        </w:tc>
        <w:tc>
          <w:tcPr>
            <w:tcW w:w="180" w:type="dxa"/>
            <w:vAlign w:val="bottom"/>
            <w:shd w:val="clear" w:color="auto" w:fill="CCEEFF"/>
          </w:tcPr>
          <w:p>
            <w:pPr>
              <w:spacing w:after="0"/>
              <w:rPr>
                <w:sz w:val="18"/>
                <w:szCs w:val="18"/>
                <w:color w:val="auto"/>
              </w:rPr>
            </w:pP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7,646</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4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8"/>
                <w:szCs w:val="18"/>
                <w:color w:val="auto"/>
              </w:rPr>
            </w:pPr>
          </w:p>
        </w:tc>
        <w:tc>
          <w:tcPr>
            <w:tcW w:w="104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8"/>
                <w:szCs w:val="18"/>
                <w:color w:val="auto"/>
              </w:rPr>
            </w:pPr>
          </w:p>
        </w:tc>
        <w:tc>
          <w:tcPr>
            <w:tcW w:w="102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8"/>
                <w:szCs w:val="18"/>
                <w:color w:val="auto"/>
              </w:rPr>
            </w:pPr>
          </w:p>
        </w:tc>
        <w:tc>
          <w:tcPr>
            <w:tcW w:w="100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8"/>
                <w:szCs w:val="18"/>
                <w:color w:val="auto"/>
              </w:rPr>
            </w:pPr>
          </w:p>
        </w:tc>
        <w:tc>
          <w:tcPr>
            <w:tcW w:w="102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8"/>
                <w:szCs w:val="18"/>
                <w:color w:val="auto"/>
              </w:rPr>
            </w:pPr>
          </w:p>
        </w:tc>
        <w:tc>
          <w:tcPr>
            <w:tcW w:w="82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7,646</w:t>
            </w:r>
          </w:p>
        </w:tc>
        <w:tc>
          <w:tcPr>
            <w:tcW w:w="0" w:type="dxa"/>
            <w:vAlign w:val="bottom"/>
          </w:tcPr>
          <w:p>
            <w:pPr>
              <w:spacing w:after="0"/>
              <w:rPr>
                <w:sz w:val="1"/>
                <w:szCs w:val="1"/>
                <w:color w:val="auto"/>
              </w:rPr>
            </w:pPr>
          </w:p>
        </w:tc>
      </w:tr>
      <w:tr>
        <w:trPr>
          <w:trHeight w:val="62"/>
        </w:trPr>
        <w:tc>
          <w:tcPr>
            <w:tcW w:w="2580" w:type="dxa"/>
            <w:vAlign w:val="bottom"/>
            <w:shd w:val="clear" w:color="auto" w:fill="CCEEFF"/>
          </w:tcPr>
          <w:p>
            <w:pPr>
              <w:spacing w:after="0"/>
              <w:rPr>
                <w:sz w:val="5"/>
                <w:szCs w:val="5"/>
                <w:color w:val="auto"/>
              </w:rPr>
            </w:pPr>
          </w:p>
        </w:tc>
        <w:tc>
          <w:tcPr>
            <w:tcW w:w="180" w:type="dxa"/>
            <w:vAlign w:val="bottom"/>
            <w:shd w:val="clear" w:color="auto" w:fill="CCEEFF"/>
          </w:tcPr>
          <w:p>
            <w:pPr>
              <w:spacing w:after="0"/>
              <w:rPr>
                <w:sz w:val="5"/>
                <w:szCs w:val="5"/>
                <w:color w:val="auto"/>
              </w:rPr>
            </w:pPr>
          </w:p>
        </w:tc>
        <w:tc>
          <w:tcPr>
            <w:tcW w:w="860" w:type="dxa"/>
            <w:vAlign w:val="bottom"/>
            <w:vMerge w:val="continue"/>
            <w:shd w:val="clear" w:color="auto" w:fill="CCEEFF"/>
          </w:tcPr>
          <w:p>
            <w:pPr>
              <w:spacing w:after="0"/>
              <w:rPr>
                <w:sz w:val="5"/>
                <w:szCs w:val="5"/>
                <w:color w:val="auto"/>
              </w:rPr>
            </w:pPr>
          </w:p>
        </w:tc>
        <w:tc>
          <w:tcPr>
            <w:tcW w:w="6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80" w:type="dxa"/>
            <w:vAlign w:val="bottom"/>
            <w:shd w:val="clear" w:color="auto" w:fill="CCEEFF"/>
          </w:tcPr>
          <w:p>
            <w:pPr>
              <w:spacing w:after="0"/>
              <w:rPr>
                <w:sz w:val="5"/>
                <w:szCs w:val="5"/>
                <w:color w:val="auto"/>
              </w:rPr>
            </w:pPr>
          </w:p>
        </w:tc>
        <w:tc>
          <w:tcPr>
            <w:tcW w:w="1040" w:type="dxa"/>
            <w:vAlign w:val="bottom"/>
            <w:gridSpan w:val="2"/>
            <w:vMerge w:val="continue"/>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040" w:type="dxa"/>
            <w:vAlign w:val="bottom"/>
            <w:gridSpan w:val="2"/>
            <w:vMerge w:val="continue"/>
            <w:shd w:val="clear" w:color="auto" w:fill="CCEEFF"/>
          </w:tcPr>
          <w:p>
            <w:pPr>
              <w:spacing w:after="0"/>
              <w:rPr>
                <w:sz w:val="5"/>
                <w:szCs w:val="5"/>
                <w:color w:val="auto"/>
              </w:rPr>
            </w:pPr>
          </w:p>
        </w:tc>
        <w:tc>
          <w:tcPr>
            <w:tcW w:w="140" w:type="dxa"/>
            <w:vAlign w:val="bottom"/>
            <w:shd w:val="clear" w:color="auto" w:fill="CCEEFF"/>
          </w:tcPr>
          <w:p>
            <w:pPr>
              <w:spacing w:after="0"/>
              <w:rPr>
                <w:sz w:val="5"/>
                <w:szCs w:val="5"/>
                <w:color w:val="auto"/>
              </w:rPr>
            </w:pPr>
          </w:p>
        </w:tc>
        <w:tc>
          <w:tcPr>
            <w:tcW w:w="1020" w:type="dxa"/>
            <w:vAlign w:val="bottom"/>
            <w:gridSpan w:val="2"/>
            <w:vMerge w:val="continue"/>
            <w:shd w:val="clear" w:color="auto" w:fill="CCEEFF"/>
          </w:tcPr>
          <w:p>
            <w:pPr>
              <w:spacing w:after="0"/>
              <w:rPr>
                <w:sz w:val="5"/>
                <w:szCs w:val="5"/>
                <w:color w:val="auto"/>
              </w:rPr>
            </w:pPr>
          </w:p>
        </w:tc>
        <w:tc>
          <w:tcPr>
            <w:tcW w:w="160" w:type="dxa"/>
            <w:vAlign w:val="bottom"/>
            <w:shd w:val="clear" w:color="auto" w:fill="CCEEFF"/>
          </w:tcPr>
          <w:p>
            <w:pPr>
              <w:spacing w:after="0"/>
              <w:rPr>
                <w:sz w:val="5"/>
                <w:szCs w:val="5"/>
                <w:color w:val="auto"/>
              </w:rPr>
            </w:pPr>
          </w:p>
        </w:tc>
        <w:tc>
          <w:tcPr>
            <w:tcW w:w="1000" w:type="dxa"/>
            <w:vAlign w:val="bottom"/>
            <w:gridSpan w:val="2"/>
            <w:vMerge w:val="continue"/>
            <w:shd w:val="clear" w:color="auto" w:fill="CCEEFF"/>
          </w:tcPr>
          <w:p>
            <w:pPr>
              <w:spacing w:after="0"/>
              <w:rPr>
                <w:sz w:val="5"/>
                <w:szCs w:val="5"/>
                <w:color w:val="auto"/>
              </w:rPr>
            </w:pPr>
          </w:p>
        </w:tc>
        <w:tc>
          <w:tcPr>
            <w:tcW w:w="140" w:type="dxa"/>
            <w:vAlign w:val="bottom"/>
            <w:shd w:val="clear" w:color="auto" w:fill="CCEEFF"/>
          </w:tcPr>
          <w:p>
            <w:pPr>
              <w:spacing w:after="0"/>
              <w:rPr>
                <w:sz w:val="5"/>
                <w:szCs w:val="5"/>
                <w:color w:val="auto"/>
              </w:rPr>
            </w:pPr>
          </w:p>
        </w:tc>
        <w:tc>
          <w:tcPr>
            <w:tcW w:w="1020" w:type="dxa"/>
            <w:vAlign w:val="bottom"/>
            <w:gridSpan w:val="2"/>
            <w:vMerge w:val="continue"/>
            <w:shd w:val="clear" w:color="auto" w:fill="CCEEFF"/>
          </w:tcPr>
          <w:p>
            <w:pPr>
              <w:spacing w:after="0"/>
              <w:rPr>
                <w:sz w:val="5"/>
                <w:szCs w:val="5"/>
                <w:color w:val="auto"/>
              </w:rPr>
            </w:pPr>
          </w:p>
        </w:tc>
        <w:tc>
          <w:tcPr>
            <w:tcW w:w="240" w:type="dxa"/>
            <w:vAlign w:val="bottom"/>
            <w:shd w:val="clear" w:color="auto" w:fill="CCEEFF"/>
          </w:tcPr>
          <w:p>
            <w:pPr>
              <w:spacing w:after="0"/>
              <w:rPr>
                <w:sz w:val="5"/>
                <w:szCs w:val="5"/>
                <w:color w:val="auto"/>
              </w:rPr>
            </w:pPr>
          </w:p>
        </w:tc>
        <w:tc>
          <w:tcPr>
            <w:tcW w:w="820" w:type="dxa"/>
            <w:vAlign w:val="bottom"/>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08"/>
        </w:trPr>
        <w:tc>
          <w:tcPr>
            <w:tcW w:w="2580" w:type="dxa"/>
            <w:vAlign w:val="bottom"/>
          </w:tcPr>
          <w:p>
            <w:pPr>
              <w:ind w:left="380"/>
              <w:spacing w:after="0"/>
              <w:rPr>
                <w:sz w:val="20"/>
                <w:szCs w:val="20"/>
                <w:color w:val="auto"/>
              </w:rPr>
            </w:pPr>
            <w:r>
              <w:rPr>
                <w:rFonts w:ascii="Arial" w:cs="Arial" w:eastAsia="Arial" w:hAnsi="Arial"/>
                <w:sz w:val="14"/>
                <w:szCs w:val="14"/>
                <w:color w:val="auto"/>
              </w:rPr>
              <w:t>Finance lease income</w:t>
            </w:r>
          </w:p>
        </w:tc>
        <w:tc>
          <w:tcPr>
            <w:tcW w:w="180" w:type="dxa"/>
            <w:vAlign w:val="bottom"/>
          </w:tcPr>
          <w:p>
            <w:pPr>
              <w:spacing w:after="0"/>
              <w:rPr>
                <w:sz w:val="18"/>
                <w:szCs w:val="18"/>
                <w:color w:val="auto"/>
              </w:rPr>
            </w:pPr>
          </w:p>
        </w:tc>
        <w:tc>
          <w:tcPr>
            <w:tcW w:w="86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vMerge w:val="restart"/>
          </w:tcPr>
          <w:p>
            <w:pPr>
              <w:jc w:val="right"/>
              <w:ind w:right="48"/>
              <w:spacing w:after="0"/>
              <w:rPr>
                <w:sz w:val="20"/>
                <w:szCs w:val="20"/>
                <w:color w:val="auto"/>
              </w:rPr>
            </w:pPr>
            <w:r>
              <w:rPr>
                <w:rFonts w:ascii="Arial" w:cs="Arial" w:eastAsia="Arial" w:hAnsi="Arial"/>
                <w:sz w:val="14"/>
                <w:szCs w:val="14"/>
                <w:color w:val="auto"/>
              </w:rPr>
              <w:t>403</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gridSpan w:val="2"/>
            <w:vMerge w:val="restart"/>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8"/>
                <w:szCs w:val="18"/>
                <w:color w:val="auto"/>
              </w:rPr>
            </w:pPr>
          </w:p>
        </w:tc>
        <w:tc>
          <w:tcPr>
            <w:tcW w:w="1020" w:type="dxa"/>
            <w:vAlign w:val="bottom"/>
            <w:gridSpan w:val="2"/>
            <w:vMerge w:val="restart"/>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8"/>
                <w:szCs w:val="18"/>
                <w:color w:val="auto"/>
              </w:rPr>
            </w:pPr>
          </w:p>
        </w:tc>
        <w:tc>
          <w:tcPr>
            <w:tcW w:w="1000" w:type="dxa"/>
            <w:vAlign w:val="bottom"/>
            <w:gridSpan w:val="2"/>
            <w:vMerge w:val="restart"/>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8"/>
                <w:szCs w:val="18"/>
                <w:color w:val="auto"/>
              </w:rPr>
            </w:pPr>
          </w:p>
        </w:tc>
        <w:tc>
          <w:tcPr>
            <w:tcW w:w="1020" w:type="dxa"/>
            <w:vAlign w:val="bottom"/>
            <w:gridSpan w:val="2"/>
            <w:vMerge w:val="restart"/>
          </w:tcPr>
          <w:p>
            <w:pPr>
              <w:jc w:val="right"/>
              <w:ind w:right="20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8"/>
                <w:szCs w:val="18"/>
                <w:color w:val="auto"/>
              </w:rPr>
            </w:pPr>
          </w:p>
        </w:tc>
        <w:tc>
          <w:tcPr>
            <w:tcW w:w="820" w:type="dxa"/>
            <w:vAlign w:val="bottom"/>
            <w:vMerge w:val="restart"/>
          </w:tcPr>
          <w:p>
            <w:pPr>
              <w:jc w:val="right"/>
              <w:ind w:right="28"/>
              <w:spacing w:after="0"/>
              <w:rPr>
                <w:sz w:val="20"/>
                <w:szCs w:val="20"/>
                <w:color w:val="auto"/>
              </w:rPr>
            </w:pPr>
            <w:r>
              <w:rPr>
                <w:rFonts w:ascii="Arial" w:cs="Arial" w:eastAsia="Arial" w:hAnsi="Arial"/>
                <w:sz w:val="14"/>
                <w:szCs w:val="14"/>
                <w:color w:val="auto"/>
              </w:rPr>
              <w:t>403</w:t>
            </w:r>
          </w:p>
        </w:tc>
        <w:tc>
          <w:tcPr>
            <w:tcW w:w="0" w:type="dxa"/>
            <w:vAlign w:val="bottom"/>
          </w:tcPr>
          <w:p>
            <w:pPr>
              <w:spacing w:after="0"/>
              <w:rPr>
                <w:sz w:val="1"/>
                <w:szCs w:val="1"/>
                <w:color w:val="auto"/>
              </w:rPr>
            </w:pPr>
          </w:p>
        </w:tc>
      </w:tr>
      <w:tr>
        <w:trPr>
          <w:trHeight w:val="58"/>
        </w:trPr>
        <w:tc>
          <w:tcPr>
            <w:tcW w:w="2580" w:type="dxa"/>
            <w:vAlign w:val="bottom"/>
          </w:tcPr>
          <w:p>
            <w:pPr>
              <w:spacing w:after="0"/>
              <w:rPr>
                <w:sz w:val="5"/>
                <w:szCs w:val="5"/>
                <w:color w:val="auto"/>
              </w:rPr>
            </w:pPr>
          </w:p>
        </w:tc>
        <w:tc>
          <w:tcPr>
            <w:tcW w:w="180" w:type="dxa"/>
            <w:vAlign w:val="bottom"/>
          </w:tcPr>
          <w:p>
            <w:pPr>
              <w:spacing w:after="0"/>
              <w:rPr>
                <w:sz w:val="5"/>
                <w:szCs w:val="5"/>
                <w:color w:val="auto"/>
              </w:rPr>
            </w:pPr>
          </w:p>
        </w:tc>
        <w:tc>
          <w:tcPr>
            <w:tcW w:w="860" w:type="dxa"/>
            <w:vAlign w:val="bottom"/>
            <w:vMerge w:val="continue"/>
          </w:tcPr>
          <w:p>
            <w:pPr>
              <w:spacing w:after="0"/>
              <w:rPr>
                <w:sz w:val="5"/>
                <w:szCs w:val="5"/>
                <w:color w:val="auto"/>
              </w:rPr>
            </w:pPr>
          </w:p>
        </w:tc>
        <w:tc>
          <w:tcPr>
            <w:tcW w:w="60" w:type="dxa"/>
            <w:vAlign w:val="bottom"/>
          </w:tcPr>
          <w:p>
            <w:pPr>
              <w:spacing w:after="0"/>
              <w:rPr>
                <w:sz w:val="5"/>
                <w:szCs w:val="5"/>
                <w:color w:val="auto"/>
              </w:rPr>
            </w:pPr>
          </w:p>
        </w:tc>
        <w:tc>
          <w:tcPr>
            <w:tcW w:w="120" w:type="dxa"/>
            <w:vAlign w:val="bottom"/>
          </w:tcPr>
          <w:p>
            <w:pPr>
              <w:spacing w:after="0"/>
              <w:rPr>
                <w:sz w:val="5"/>
                <w:szCs w:val="5"/>
                <w:color w:val="auto"/>
              </w:rPr>
            </w:pPr>
          </w:p>
        </w:tc>
        <w:tc>
          <w:tcPr>
            <w:tcW w:w="180" w:type="dxa"/>
            <w:vAlign w:val="bottom"/>
          </w:tcPr>
          <w:p>
            <w:pPr>
              <w:spacing w:after="0"/>
              <w:rPr>
                <w:sz w:val="5"/>
                <w:szCs w:val="5"/>
                <w:color w:val="auto"/>
              </w:rPr>
            </w:pPr>
          </w:p>
        </w:tc>
        <w:tc>
          <w:tcPr>
            <w:tcW w:w="92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40" w:type="dxa"/>
            <w:vAlign w:val="bottom"/>
            <w:gridSpan w:val="2"/>
            <w:vMerge w:val="continue"/>
          </w:tcPr>
          <w:p>
            <w:pPr>
              <w:spacing w:after="0"/>
              <w:rPr>
                <w:sz w:val="5"/>
                <w:szCs w:val="5"/>
                <w:color w:val="auto"/>
              </w:rPr>
            </w:pPr>
          </w:p>
        </w:tc>
        <w:tc>
          <w:tcPr>
            <w:tcW w:w="140" w:type="dxa"/>
            <w:vAlign w:val="bottom"/>
          </w:tcPr>
          <w:p>
            <w:pPr>
              <w:spacing w:after="0"/>
              <w:rPr>
                <w:sz w:val="5"/>
                <w:szCs w:val="5"/>
                <w:color w:val="auto"/>
              </w:rPr>
            </w:pPr>
          </w:p>
        </w:tc>
        <w:tc>
          <w:tcPr>
            <w:tcW w:w="1020" w:type="dxa"/>
            <w:vAlign w:val="bottom"/>
            <w:gridSpan w:val="2"/>
            <w:vMerge w:val="continue"/>
          </w:tcPr>
          <w:p>
            <w:pPr>
              <w:spacing w:after="0"/>
              <w:rPr>
                <w:sz w:val="5"/>
                <w:szCs w:val="5"/>
                <w:color w:val="auto"/>
              </w:rPr>
            </w:pPr>
          </w:p>
        </w:tc>
        <w:tc>
          <w:tcPr>
            <w:tcW w:w="160" w:type="dxa"/>
            <w:vAlign w:val="bottom"/>
          </w:tcPr>
          <w:p>
            <w:pPr>
              <w:spacing w:after="0"/>
              <w:rPr>
                <w:sz w:val="5"/>
                <w:szCs w:val="5"/>
                <w:color w:val="auto"/>
              </w:rPr>
            </w:pPr>
          </w:p>
        </w:tc>
        <w:tc>
          <w:tcPr>
            <w:tcW w:w="1000" w:type="dxa"/>
            <w:vAlign w:val="bottom"/>
            <w:gridSpan w:val="2"/>
            <w:vMerge w:val="continue"/>
          </w:tcPr>
          <w:p>
            <w:pPr>
              <w:spacing w:after="0"/>
              <w:rPr>
                <w:sz w:val="5"/>
                <w:szCs w:val="5"/>
                <w:color w:val="auto"/>
              </w:rPr>
            </w:pPr>
          </w:p>
        </w:tc>
        <w:tc>
          <w:tcPr>
            <w:tcW w:w="140" w:type="dxa"/>
            <w:vAlign w:val="bottom"/>
          </w:tcPr>
          <w:p>
            <w:pPr>
              <w:spacing w:after="0"/>
              <w:rPr>
                <w:sz w:val="5"/>
                <w:szCs w:val="5"/>
                <w:color w:val="auto"/>
              </w:rPr>
            </w:pPr>
          </w:p>
        </w:tc>
        <w:tc>
          <w:tcPr>
            <w:tcW w:w="1020" w:type="dxa"/>
            <w:vAlign w:val="bottom"/>
            <w:gridSpan w:val="2"/>
            <w:vMerge w:val="continue"/>
          </w:tcPr>
          <w:p>
            <w:pPr>
              <w:spacing w:after="0"/>
              <w:rPr>
                <w:sz w:val="5"/>
                <w:szCs w:val="5"/>
                <w:color w:val="auto"/>
              </w:rPr>
            </w:pPr>
          </w:p>
        </w:tc>
        <w:tc>
          <w:tcPr>
            <w:tcW w:w="240" w:type="dxa"/>
            <w:vAlign w:val="bottom"/>
          </w:tcPr>
          <w:p>
            <w:pPr>
              <w:spacing w:after="0"/>
              <w:rPr>
                <w:sz w:val="5"/>
                <w:szCs w:val="5"/>
                <w:color w:val="auto"/>
              </w:rPr>
            </w:pPr>
          </w:p>
        </w:tc>
        <w:tc>
          <w:tcPr>
            <w:tcW w:w="8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12"/>
        </w:trPr>
        <w:tc>
          <w:tcPr>
            <w:tcW w:w="2580" w:type="dxa"/>
            <w:vAlign w:val="bottom"/>
            <w:shd w:val="clear" w:color="auto" w:fill="CCEEFF"/>
          </w:tcPr>
          <w:p>
            <w:pPr>
              <w:ind w:left="380"/>
              <w:spacing w:after="0"/>
              <w:rPr>
                <w:sz w:val="20"/>
                <w:szCs w:val="20"/>
                <w:color w:val="auto"/>
              </w:rPr>
            </w:pPr>
            <w:r>
              <w:rPr>
                <w:rFonts w:ascii="Arial" w:cs="Arial" w:eastAsia="Arial" w:hAnsi="Arial"/>
                <w:sz w:val="14"/>
                <w:szCs w:val="14"/>
                <w:color w:val="auto"/>
              </w:rPr>
              <w:t>Other revenue</w:t>
            </w:r>
          </w:p>
        </w:tc>
        <w:tc>
          <w:tcPr>
            <w:tcW w:w="180" w:type="dxa"/>
            <w:vAlign w:val="bottom"/>
            <w:shd w:val="clear" w:color="auto" w:fill="CCEEFF"/>
          </w:tcPr>
          <w:p>
            <w:pPr>
              <w:spacing w:after="0"/>
              <w:rPr>
                <w:sz w:val="18"/>
                <w:szCs w:val="18"/>
                <w:color w:val="auto"/>
              </w:rPr>
            </w:pP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375</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5</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25</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8"/>
                <w:szCs w:val="18"/>
                <w:color w:val="auto"/>
              </w:rPr>
            </w:pPr>
          </w:p>
        </w:tc>
        <w:tc>
          <w:tcPr>
            <w:tcW w:w="100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8"/>
                <w:szCs w:val="18"/>
                <w:color w:val="auto"/>
              </w:rPr>
            </w:pPr>
          </w:p>
        </w:tc>
        <w:tc>
          <w:tcPr>
            <w:tcW w:w="102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8"/>
                <w:szCs w:val="18"/>
                <w:color w:val="auto"/>
              </w:rPr>
            </w:pPr>
          </w:p>
        </w:tc>
        <w:tc>
          <w:tcPr>
            <w:tcW w:w="82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405</w:t>
            </w:r>
          </w:p>
        </w:tc>
        <w:tc>
          <w:tcPr>
            <w:tcW w:w="0" w:type="dxa"/>
            <w:vAlign w:val="bottom"/>
          </w:tcPr>
          <w:p>
            <w:pPr>
              <w:spacing w:after="0"/>
              <w:rPr>
                <w:sz w:val="1"/>
                <w:szCs w:val="1"/>
                <w:color w:val="auto"/>
              </w:rPr>
            </w:pPr>
          </w:p>
        </w:tc>
      </w:tr>
      <w:tr>
        <w:trPr>
          <w:trHeight w:val="62"/>
        </w:trPr>
        <w:tc>
          <w:tcPr>
            <w:tcW w:w="2580" w:type="dxa"/>
            <w:vAlign w:val="bottom"/>
            <w:shd w:val="clear" w:color="auto" w:fill="CCEEFF"/>
          </w:tcPr>
          <w:p>
            <w:pPr>
              <w:spacing w:after="0"/>
              <w:rPr>
                <w:sz w:val="5"/>
                <w:szCs w:val="5"/>
                <w:color w:val="auto"/>
              </w:rPr>
            </w:pPr>
          </w:p>
        </w:tc>
        <w:tc>
          <w:tcPr>
            <w:tcW w:w="180" w:type="dxa"/>
            <w:vAlign w:val="bottom"/>
            <w:shd w:val="clear" w:color="auto" w:fill="CCEEFF"/>
          </w:tcPr>
          <w:p>
            <w:pPr>
              <w:spacing w:after="0"/>
              <w:rPr>
                <w:sz w:val="5"/>
                <w:szCs w:val="5"/>
                <w:color w:val="auto"/>
              </w:rPr>
            </w:pPr>
          </w:p>
        </w:tc>
        <w:tc>
          <w:tcPr>
            <w:tcW w:w="860" w:type="dxa"/>
            <w:vAlign w:val="bottom"/>
            <w:vMerge w:val="continue"/>
            <w:shd w:val="clear" w:color="auto" w:fill="CCEEFF"/>
          </w:tcPr>
          <w:p>
            <w:pPr>
              <w:spacing w:after="0"/>
              <w:rPr>
                <w:sz w:val="5"/>
                <w:szCs w:val="5"/>
                <w:color w:val="auto"/>
              </w:rPr>
            </w:pPr>
          </w:p>
        </w:tc>
        <w:tc>
          <w:tcPr>
            <w:tcW w:w="6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80" w:type="dxa"/>
            <w:vAlign w:val="bottom"/>
            <w:shd w:val="clear" w:color="auto" w:fill="CCEEFF"/>
          </w:tcPr>
          <w:p>
            <w:pPr>
              <w:spacing w:after="0"/>
              <w:rPr>
                <w:sz w:val="5"/>
                <w:szCs w:val="5"/>
                <w:color w:val="auto"/>
              </w:rPr>
            </w:pPr>
          </w:p>
        </w:tc>
        <w:tc>
          <w:tcPr>
            <w:tcW w:w="920" w:type="dxa"/>
            <w:vAlign w:val="bottom"/>
            <w:vMerge w:val="continue"/>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920" w:type="dxa"/>
            <w:vAlign w:val="bottom"/>
            <w:vMerge w:val="continue"/>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40" w:type="dxa"/>
            <w:vAlign w:val="bottom"/>
            <w:shd w:val="clear" w:color="auto" w:fill="CCEEFF"/>
          </w:tcPr>
          <w:p>
            <w:pPr>
              <w:spacing w:after="0"/>
              <w:rPr>
                <w:sz w:val="5"/>
                <w:szCs w:val="5"/>
                <w:color w:val="auto"/>
              </w:rPr>
            </w:pPr>
          </w:p>
        </w:tc>
        <w:tc>
          <w:tcPr>
            <w:tcW w:w="1020" w:type="dxa"/>
            <w:vAlign w:val="bottom"/>
            <w:gridSpan w:val="2"/>
            <w:vMerge w:val="continue"/>
            <w:shd w:val="clear" w:color="auto" w:fill="CCEEFF"/>
          </w:tcPr>
          <w:p>
            <w:pPr>
              <w:spacing w:after="0"/>
              <w:rPr>
                <w:sz w:val="5"/>
                <w:szCs w:val="5"/>
                <w:color w:val="auto"/>
              </w:rPr>
            </w:pPr>
          </w:p>
        </w:tc>
        <w:tc>
          <w:tcPr>
            <w:tcW w:w="160" w:type="dxa"/>
            <w:vAlign w:val="bottom"/>
            <w:shd w:val="clear" w:color="auto" w:fill="CCEEFF"/>
          </w:tcPr>
          <w:p>
            <w:pPr>
              <w:spacing w:after="0"/>
              <w:rPr>
                <w:sz w:val="5"/>
                <w:szCs w:val="5"/>
                <w:color w:val="auto"/>
              </w:rPr>
            </w:pPr>
          </w:p>
        </w:tc>
        <w:tc>
          <w:tcPr>
            <w:tcW w:w="1000" w:type="dxa"/>
            <w:vAlign w:val="bottom"/>
            <w:gridSpan w:val="2"/>
            <w:vMerge w:val="continue"/>
            <w:shd w:val="clear" w:color="auto" w:fill="CCEEFF"/>
          </w:tcPr>
          <w:p>
            <w:pPr>
              <w:spacing w:after="0"/>
              <w:rPr>
                <w:sz w:val="5"/>
                <w:szCs w:val="5"/>
                <w:color w:val="auto"/>
              </w:rPr>
            </w:pPr>
          </w:p>
        </w:tc>
        <w:tc>
          <w:tcPr>
            <w:tcW w:w="140" w:type="dxa"/>
            <w:vAlign w:val="bottom"/>
            <w:shd w:val="clear" w:color="auto" w:fill="CCEEFF"/>
          </w:tcPr>
          <w:p>
            <w:pPr>
              <w:spacing w:after="0"/>
              <w:rPr>
                <w:sz w:val="5"/>
                <w:szCs w:val="5"/>
                <w:color w:val="auto"/>
              </w:rPr>
            </w:pPr>
          </w:p>
        </w:tc>
        <w:tc>
          <w:tcPr>
            <w:tcW w:w="1020" w:type="dxa"/>
            <w:vAlign w:val="bottom"/>
            <w:gridSpan w:val="2"/>
            <w:vMerge w:val="continue"/>
            <w:shd w:val="clear" w:color="auto" w:fill="CCEEFF"/>
          </w:tcPr>
          <w:p>
            <w:pPr>
              <w:spacing w:after="0"/>
              <w:rPr>
                <w:sz w:val="5"/>
                <w:szCs w:val="5"/>
                <w:color w:val="auto"/>
              </w:rPr>
            </w:pPr>
          </w:p>
        </w:tc>
        <w:tc>
          <w:tcPr>
            <w:tcW w:w="240" w:type="dxa"/>
            <w:vAlign w:val="bottom"/>
            <w:shd w:val="clear" w:color="auto" w:fill="CCEEFF"/>
          </w:tcPr>
          <w:p>
            <w:pPr>
              <w:spacing w:after="0"/>
              <w:rPr>
                <w:sz w:val="5"/>
                <w:szCs w:val="5"/>
                <w:color w:val="auto"/>
              </w:rPr>
            </w:pPr>
          </w:p>
        </w:tc>
        <w:tc>
          <w:tcPr>
            <w:tcW w:w="820" w:type="dxa"/>
            <w:vAlign w:val="bottom"/>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154"/>
        </w:trPr>
        <w:tc>
          <w:tcPr>
            <w:tcW w:w="2580" w:type="dxa"/>
            <w:vAlign w:val="bottom"/>
          </w:tcPr>
          <w:p>
            <w:pPr>
              <w:ind w:left="380"/>
              <w:spacing w:after="0" w:line="154" w:lineRule="exact"/>
              <w:rPr>
                <w:sz w:val="20"/>
                <w:szCs w:val="20"/>
                <w:color w:val="auto"/>
              </w:rPr>
            </w:pPr>
            <w:r>
              <w:rPr>
                <w:rFonts w:ascii="Arial" w:cs="Arial" w:eastAsia="Arial" w:hAnsi="Arial"/>
                <w:sz w:val="14"/>
                <w:szCs w:val="14"/>
                <w:b w:val="1"/>
                <w:bCs w:val="1"/>
                <w:color w:val="auto"/>
              </w:rPr>
              <w:t>Total equipment leasing</w:t>
            </w:r>
          </w:p>
        </w:tc>
        <w:tc>
          <w:tcPr>
            <w:tcW w:w="180" w:type="dxa"/>
            <w:vAlign w:val="bottom"/>
            <w:tcBorders>
              <w:top w:val="single" w:sz="8" w:color="auto"/>
            </w:tcBorders>
          </w:tcPr>
          <w:p>
            <w:pPr>
              <w:spacing w:after="0"/>
              <w:rPr>
                <w:sz w:val="13"/>
                <w:szCs w:val="13"/>
                <w:color w:val="auto"/>
              </w:rPr>
            </w:pPr>
          </w:p>
        </w:tc>
        <w:tc>
          <w:tcPr>
            <w:tcW w:w="860" w:type="dxa"/>
            <w:vAlign w:val="bottom"/>
            <w:tcBorders>
              <w:top w:val="single" w:sz="8" w:color="auto"/>
            </w:tcBorders>
          </w:tcPr>
          <w:p>
            <w:pPr>
              <w:spacing w:after="0"/>
              <w:rPr>
                <w:sz w:val="13"/>
                <w:szCs w:val="13"/>
                <w:color w:val="auto"/>
              </w:rPr>
            </w:pPr>
          </w:p>
        </w:tc>
        <w:tc>
          <w:tcPr>
            <w:tcW w:w="6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92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92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90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88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90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820" w:type="dxa"/>
            <w:vAlign w:val="bottom"/>
            <w:tcBorders>
              <w:top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203"/>
        </w:trPr>
        <w:tc>
          <w:tcPr>
            <w:tcW w:w="2580" w:type="dxa"/>
            <w:vAlign w:val="bottom"/>
          </w:tcPr>
          <w:p>
            <w:pPr>
              <w:ind w:left="380"/>
              <w:spacing w:after="0"/>
              <w:rPr>
                <w:sz w:val="20"/>
                <w:szCs w:val="20"/>
                <w:color w:val="auto"/>
              </w:rPr>
            </w:pPr>
            <w:r>
              <w:rPr>
                <w:rFonts w:ascii="Arial" w:cs="Arial" w:eastAsia="Arial" w:hAnsi="Arial"/>
                <w:sz w:val="14"/>
                <w:szCs w:val="14"/>
                <w:b w:val="1"/>
                <w:bCs w:val="1"/>
                <w:color w:val="auto"/>
              </w:rPr>
              <w:t>revenues</w:t>
            </w:r>
          </w:p>
        </w:tc>
        <w:tc>
          <w:tcPr>
            <w:tcW w:w="18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27,060</w:t>
            </w: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20" w:type="dxa"/>
            <w:vAlign w:val="bottom"/>
          </w:tcPr>
          <w:p>
            <w:pPr>
              <w:jc w:val="right"/>
              <w:ind w:right="48"/>
              <w:spacing w:after="0"/>
              <w:rPr>
                <w:sz w:val="20"/>
                <w:szCs w:val="20"/>
                <w:color w:val="auto"/>
              </w:rPr>
            </w:pPr>
            <w:r>
              <w:rPr>
                <w:rFonts w:ascii="Arial" w:cs="Arial" w:eastAsia="Arial" w:hAnsi="Arial"/>
                <w:sz w:val="14"/>
                <w:szCs w:val="14"/>
                <w:color w:val="auto"/>
              </w:rPr>
              <w:t>2,969</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jc w:val="right"/>
              <w:ind w:right="8"/>
              <w:spacing w:after="0"/>
              <w:rPr>
                <w:sz w:val="20"/>
                <w:szCs w:val="20"/>
                <w:color w:val="auto"/>
              </w:rPr>
            </w:pPr>
            <w:r>
              <w:rPr>
                <w:rFonts w:ascii="Arial" w:cs="Arial" w:eastAsia="Arial" w:hAnsi="Arial"/>
                <w:sz w:val="14"/>
                <w:szCs w:val="14"/>
                <w:color w:val="auto"/>
              </w:rPr>
              <w:t>25</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7"/>
                <w:szCs w:val="17"/>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7"/>
                <w:szCs w:val="17"/>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7"/>
                <w:szCs w:val="17"/>
                <w:color w:val="auto"/>
              </w:rPr>
            </w:pPr>
          </w:p>
        </w:tc>
        <w:tc>
          <w:tcPr>
            <w:tcW w:w="820" w:type="dxa"/>
            <w:vAlign w:val="bottom"/>
          </w:tcPr>
          <w:p>
            <w:pPr>
              <w:jc w:val="right"/>
              <w:ind w:right="28"/>
              <w:spacing w:after="0"/>
              <w:rPr>
                <w:sz w:val="20"/>
                <w:szCs w:val="20"/>
                <w:color w:val="auto"/>
              </w:rPr>
            </w:pPr>
            <w:r>
              <w:rPr>
                <w:rFonts w:ascii="Arial" w:cs="Arial" w:eastAsia="Arial" w:hAnsi="Arial"/>
                <w:sz w:val="14"/>
                <w:szCs w:val="14"/>
                <w:color w:val="auto"/>
              </w:rPr>
              <w:t>30,054</w:t>
            </w:r>
          </w:p>
        </w:tc>
        <w:tc>
          <w:tcPr>
            <w:tcW w:w="0" w:type="dxa"/>
            <w:vAlign w:val="bottom"/>
          </w:tcPr>
          <w:p>
            <w:pPr>
              <w:spacing w:after="0"/>
              <w:rPr>
                <w:sz w:val="1"/>
                <w:szCs w:val="1"/>
                <w:color w:val="auto"/>
              </w:rPr>
            </w:pPr>
          </w:p>
        </w:tc>
      </w:tr>
      <w:tr>
        <w:trPr>
          <w:trHeight w:val="195"/>
        </w:trPr>
        <w:tc>
          <w:tcPr>
            <w:tcW w:w="25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Infrastructure revenues</w:t>
            </w:r>
          </w:p>
        </w:tc>
        <w:tc>
          <w:tcPr>
            <w:tcW w:w="180" w:type="dxa"/>
            <w:vAlign w:val="bottom"/>
            <w:tcBorders>
              <w:top w:val="single" w:sz="8" w:color="auto"/>
            </w:tcBorders>
            <w:shd w:val="clear" w:color="auto" w:fill="CCEEFF"/>
          </w:tcPr>
          <w:p>
            <w:pPr>
              <w:spacing w:after="0"/>
              <w:rPr>
                <w:sz w:val="16"/>
                <w:szCs w:val="16"/>
                <w:color w:val="auto"/>
              </w:rPr>
            </w:pPr>
          </w:p>
        </w:tc>
        <w:tc>
          <w:tcPr>
            <w:tcW w:w="860" w:type="dxa"/>
            <w:vAlign w:val="bottom"/>
            <w:tcBorders>
              <w:top w:val="single" w:sz="8" w:color="auto"/>
            </w:tcBorders>
            <w:shd w:val="clear" w:color="auto" w:fill="CCEEFF"/>
          </w:tcPr>
          <w:p>
            <w:pPr>
              <w:spacing w:after="0"/>
              <w:rPr>
                <w:sz w:val="16"/>
                <w:szCs w:val="16"/>
                <w:color w:val="auto"/>
              </w:rPr>
            </w:pPr>
          </w:p>
        </w:tc>
        <w:tc>
          <w:tcPr>
            <w:tcW w:w="6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spacing w:after="0"/>
              <w:rPr>
                <w:sz w:val="16"/>
                <w:szCs w:val="16"/>
                <w:color w:val="auto"/>
              </w:rPr>
            </w:pPr>
          </w:p>
        </w:tc>
        <w:tc>
          <w:tcPr>
            <w:tcW w:w="92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92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90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spacing w:after="0"/>
              <w:rPr>
                <w:sz w:val="16"/>
                <w:szCs w:val="16"/>
                <w:color w:val="auto"/>
              </w:rPr>
            </w:pPr>
          </w:p>
        </w:tc>
        <w:tc>
          <w:tcPr>
            <w:tcW w:w="88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90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240" w:type="dxa"/>
            <w:vAlign w:val="bottom"/>
            <w:tcBorders>
              <w:top w:val="single" w:sz="8" w:color="auto"/>
            </w:tcBorders>
            <w:shd w:val="clear" w:color="auto" w:fill="CCEEFF"/>
          </w:tcPr>
          <w:p>
            <w:pPr>
              <w:spacing w:after="0"/>
              <w:rPr>
                <w:sz w:val="16"/>
                <w:szCs w:val="16"/>
                <w:color w:val="auto"/>
              </w:rPr>
            </w:pPr>
          </w:p>
        </w:tc>
        <w:tc>
          <w:tcPr>
            <w:tcW w:w="820" w:type="dxa"/>
            <w:vAlign w:val="bottom"/>
            <w:tcBorders>
              <w:top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70"/>
        </w:trPr>
        <w:tc>
          <w:tcPr>
            <w:tcW w:w="2580" w:type="dxa"/>
            <w:vAlign w:val="bottom"/>
            <w:shd w:val="clear" w:color="auto" w:fill="CCEEFF"/>
          </w:tcPr>
          <w:p>
            <w:pPr>
              <w:spacing w:after="0"/>
              <w:rPr>
                <w:sz w:val="6"/>
                <w:szCs w:val="6"/>
                <w:color w:val="auto"/>
              </w:rPr>
            </w:pPr>
          </w:p>
        </w:tc>
        <w:tc>
          <w:tcPr>
            <w:tcW w:w="180" w:type="dxa"/>
            <w:vAlign w:val="bottom"/>
            <w:shd w:val="clear" w:color="auto" w:fill="CCEEFF"/>
          </w:tcPr>
          <w:p>
            <w:pPr>
              <w:spacing w:after="0"/>
              <w:rPr>
                <w:sz w:val="6"/>
                <w:szCs w:val="6"/>
                <w:color w:val="auto"/>
              </w:rPr>
            </w:pPr>
          </w:p>
        </w:tc>
        <w:tc>
          <w:tcPr>
            <w:tcW w:w="860" w:type="dxa"/>
            <w:vAlign w:val="bottom"/>
            <w:shd w:val="clear" w:color="auto" w:fill="CCEEFF"/>
          </w:tcPr>
          <w:p>
            <w:pPr>
              <w:spacing w:after="0"/>
              <w:rPr>
                <w:sz w:val="6"/>
                <w:szCs w:val="6"/>
                <w:color w:val="auto"/>
              </w:rPr>
            </w:pPr>
          </w:p>
        </w:tc>
        <w:tc>
          <w:tcPr>
            <w:tcW w:w="6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80" w:type="dxa"/>
            <w:vAlign w:val="bottom"/>
            <w:shd w:val="clear" w:color="auto" w:fill="CCEEFF"/>
          </w:tcPr>
          <w:p>
            <w:pPr>
              <w:spacing w:after="0"/>
              <w:rPr>
                <w:sz w:val="6"/>
                <w:szCs w:val="6"/>
                <w:color w:val="auto"/>
              </w:rPr>
            </w:pPr>
          </w:p>
        </w:tc>
        <w:tc>
          <w:tcPr>
            <w:tcW w:w="92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92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90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88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90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240" w:type="dxa"/>
            <w:vAlign w:val="bottom"/>
            <w:shd w:val="clear" w:color="auto" w:fill="CCEEFF"/>
          </w:tcPr>
          <w:p>
            <w:pPr>
              <w:spacing w:after="0"/>
              <w:rPr>
                <w:sz w:val="6"/>
                <w:szCs w:val="6"/>
                <w:color w:val="auto"/>
              </w:rPr>
            </w:pPr>
          </w:p>
        </w:tc>
        <w:tc>
          <w:tcPr>
            <w:tcW w:w="82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208"/>
        </w:trPr>
        <w:tc>
          <w:tcPr>
            <w:tcW w:w="2580" w:type="dxa"/>
            <w:vAlign w:val="bottom"/>
          </w:tcPr>
          <w:p>
            <w:pPr>
              <w:ind w:left="380"/>
              <w:spacing w:after="0"/>
              <w:rPr>
                <w:sz w:val="20"/>
                <w:szCs w:val="20"/>
                <w:color w:val="auto"/>
              </w:rPr>
            </w:pPr>
            <w:r>
              <w:rPr>
                <w:rFonts w:ascii="Arial" w:cs="Arial" w:eastAsia="Arial" w:hAnsi="Arial"/>
                <w:sz w:val="14"/>
                <w:szCs w:val="14"/>
                <w:color w:val="auto"/>
              </w:rPr>
              <w:t>Lease income</w:t>
            </w:r>
          </w:p>
        </w:tc>
        <w:tc>
          <w:tcPr>
            <w:tcW w:w="180" w:type="dxa"/>
            <w:vAlign w:val="bottom"/>
          </w:tcPr>
          <w:p>
            <w:pPr>
              <w:spacing w:after="0"/>
              <w:rPr>
                <w:sz w:val="18"/>
                <w:szCs w:val="18"/>
                <w:color w:val="auto"/>
              </w:rPr>
            </w:pPr>
          </w:p>
        </w:tc>
        <w:tc>
          <w:tcPr>
            <w:tcW w:w="86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8"/>
                <w:szCs w:val="18"/>
                <w:color w:val="auto"/>
              </w:rPr>
            </w:pPr>
          </w:p>
        </w:tc>
        <w:tc>
          <w:tcPr>
            <w:tcW w:w="1040" w:type="dxa"/>
            <w:vAlign w:val="bottom"/>
            <w:gridSpan w:val="2"/>
            <w:vMerge w:val="restart"/>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8"/>
                <w:szCs w:val="18"/>
                <w:color w:val="auto"/>
              </w:rPr>
            </w:pPr>
          </w:p>
        </w:tc>
        <w:tc>
          <w:tcPr>
            <w:tcW w:w="1020" w:type="dxa"/>
            <w:vAlign w:val="bottom"/>
            <w:gridSpan w:val="2"/>
            <w:vMerge w:val="restart"/>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8"/>
                <w:szCs w:val="18"/>
                <w:color w:val="auto"/>
              </w:rPr>
            </w:pPr>
          </w:p>
        </w:tc>
        <w:tc>
          <w:tcPr>
            <w:tcW w:w="1000" w:type="dxa"/>
            <w:vAlign w:val="bottom"/>
            <w:gridSpan w:val="2"/>
            <w:vMerge w:val="restart"/>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8"/>
                <w:szCs w:val="18"/>
                <w:color w:val="auto"/>
              </w:rPr>
            </w:pPr>
          </w:p>
        </w:tc>
        <w:tc>
          <w:tcPr>
            <w:tcW w:w="900" w:type="dxa"/>
            <w:vAlign w:val="bottom"/>
            <w:vMerge w:val="restart"/>
          </w:tcPr>
          <w:p>
            <w:pPr>
              <w:jc w:val="right"/>
              <w:ind w:right="8"/>
              <w:spacing w:after="0"/>
              <w:rPr>
                <w:sz w:val="20"/>
                <w:szCs w:val="20"/>
                <w:color w:val="auto"/>
              </w:rPr>
            </w:pPr>
            <w:r>
              <w:rPr>
                <w:rFonts w:ascii="Arial" w:cs="Arial" w:eastAsia="Arial" w:hAnsi="Arial"/>
                <w:sz w:val="14"/>
                <w:szCs w:val="14"/>
                <w:color w:val="auto"/>
              </w:rPr>
              <w:t>16</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vMerge w:val="restart"/>
          </w:tcPr>
          <w:p>
            <w:pPr>
              <w:jc w:val="right"/>
              <w:ind w:right="28"/>
              <w:spacing w:after="0"/>
              <w:rPr>
                <w:sz w:val="20"/>
                <w:szCs w:val="20"/>
                <w:color w:val="auto"/>
              </w:rPr>
            </w:pPr>
            <w:r>
              <w:rPr>
                <w:rFonts w:ascii="Arial" w:cs="Arial" w:eastAsia="Arial" w:hAnsi="Arial"/>
                <w:sz w:val="14"/>
                <w:szCs w:val="14"/>
                <w:color w:val="auto"/>
              </w:rPr>
              <w:t>16</w:t>
            </w:r>
          </w:p>
        </w:tc>
        <w:tc>
          <w:tcPr>
            <w:tcW w:w="0" w:type="dxa"/>
            <w:vAlign w:val="bottom"/>
          </w:tcPr>
          <w:p>
            <w:pPr>
              <w:spacing w:after="0"/>
              <w:rPr>
                <w:sz w:val="1"/>
                <w:szCs w:val="1"/>
                <w:color w:val="auto"/>
              </w:rPr>
            </w:pPr>
          </w:p>
        </w:tc>
      </w:tr>
      <w:tr>
        <w:trPr>
          <w:trHeight w:val="58"/>
        </w:trPr>
        <w:tc>
          <w:tcPr>
            <w:tcW w:w="2580" w:type="dxa"/>
            <w:vAlign w:val="bottom"/>
          </w:tcPr>
          <w:p>
            <w:pPr>
              <w:spacing w:after="0"/>
              <w:rPr>
                <w:sz w:val="5"/>
                <w:szCs w:val="5"/>
                <w:color w:val="auto"/>
              </w:rPr>
            </w:pPr>
          </w:p>
        </w:tc>
        <w:tc>
          <w:tcPr>
            <w:tcW w:w="180" w:type="dxa"/>
            <w:vAlign w:val="bottom"/>
          </w:tcPr>
          <w:p>
            <w:pPr>
              <w:spacing w:after="0"/>
              <w:rPr>
                <w:sz w:val="5"/>
                <w:szCs w:val="5"/>
                <w:color w:val="auto"/>
              </w:rPr>
            </w:pPr>
          </w:p>
        </w:tc>
        <w:tc>
          <w:tcPr>
            <w:tcW w:w="860" w:type="dxa"/>
            <w:vAlign w:val="bottom"/>
            <w:vMerge w:val="continue"/>
          </w:tcPr>
          <w:p>
            <w:pPr>
              <w:spacing w:after="0"/>
              <w:rPr>
                <w:sz w:val="5"/>
                <w:szCs w:val="5"/>
                <w:color w:val="auto"/>
              </w:rPr>
            </w:pPr>
          </w:p>
        </w:tc>
        <w:tc>
          <w:tcPr>
            <w:tcW w:w="60" w:type="dxa"/>
            <w:vAlign w:val="bottom"/>
          </w:tcPr>
          <w:p>
            <w:pPr>
              <w:spacing w:after="0"/>
              <w:rPr>
                <w:sz w:val="5"/>
                <w:szCs w:val="5"/>
                <w:color w:val="auto"/>
              </w:rPr>
            </w:pPr>
          </w:p>
        </w:tc>
        <w:tc>
          <w:tcPr>
            <w:tcW w:w="120" w:type="dxa"/>
            <w:vAlign w:val="bottom"/>
          </w:tcPr>
          <w:p>
            <w:pPr>
              <w:spacing w:after="0"/>
              <w:rPr>
                <w:sz w:val="5"/>
                <w:szCs w:val="5"/>
                <w:color w:val="auto"/>
              </w:rPr>
            </w:pPr>
          </w:p>
        </w:tc>
        <w:tc>
          <w:tcPr>
            <w:tcW w:w="180" w:type="dxa"/>
            <w:vAlign w:val="bottom"/>
          </w:tcPr>
          <w:p>
            <w:pPr>
              <w:spacing w:after="0"/>
              <w:rPr>
                <w:sz w:val="5"/>
                <w:szCs w:val="5"/>
                <w:color w:val="auto"/>
              </w:rPr>
            </w:pPr>
          </w:p>
        </w:tc>
        <w:tc>
          <w:tcPr>
            <w:tcW w:w="1040" w:type="dxa"/>
            <w:vAlign w:val="bottom"/>
            <w:gridSpan w:val="2"/>
            <w:vMerge w:val="continue"/>
          </w:tcPr>
          <w:p>
            <w:pPr>
              <w:spacing w:after="0"/>
              <w:rPr>
                <w:sz w:val="5"/>
                <w:szCs w:val="5"/>
                <w:color w:val="auto"/>
              </w:rPr>
            </w:pPr>
          </w:p>
        </w:tc>
        <w:tc>
          <w:tcPr>
            <w:tcW w:w="120" w:type="dxa"/>
            <w:vAlign w:val="bottom"/>
          </w:tcPr>
          <w:p>
            <w:pPr>
              <w:spacing w:after="0"/>
              <w:rPr>
                <w:sz w:val="5"/>
                <w:szCs w:val="5"/>
                <w:color w:val="auto"/>
              </w:rPr>
            </w:pPr>
          </w:p>
        </w:tc>
        <w:tc>
          <w:tcPr>
            <w:tcW w:w="1040" w:type="dxa"/>
            <w:vAlign w:val="bottom"/>
            <w:gridSpan w:val="2"/>
            <w:vMerge w:val="continue"/>
          </w:tcPr>
          <w:p>
            <w:pPr>
              <w:spacing w:after="0"/>
              <w:rPr>
                <w:sz w:val="5"/>
                <w:szCs w:val="5"/>
                <w:color w:val="auto"/>
              </w:rPr>
            </w:pPr>
          </w:p>
        </w:tc>
        <w:tc>
          <w:tcPr>
            <w:tcW w:w="140" w:type="dxa"/>
            <w:vAlign w:val="bottom"/>
          </w:tcPr>
          <w:p>
            <w:pPr>
              <w:spacing w:after="0"/>
              <w:rPr>
                <w:sz w:val="5"/>
                <w:szCs w:val="5"/>
                <w:color w:val="auto"/>
              </w:rPr>
            </w:pPr>
          </w:p>
        </w:tc>
        <w:tc>
          <w:tcPr>
            <w:tcW w:w="1020" w:type="dxa"/>
            <w:vAlign w:val="bottom"/>
            <w:gridSpan w:val="2"/>
            <w:vMerge w:val="continue"/>
          </w:tcPr>
          <w:p>
            <w:pPr>
              <w:spacing w:after="0"/>
              <w:rPr>
                <w:sz w:val="5"/>
                <w:szCs w:val="5"/>
                <w:color w:val="auto"/>
              </w:rPr>
            </w:pPr>
          </w:p>
        </w:tc>
        <w:tc>
          <w:tcPr>
            <w:tcW w:w="160" w:type="dxa"/>
            <w:vAlign w:val="bottom"/>
          </w:tcPr>
          <w:p>
            <w:pPr>
              <w:spacing w:after="0"/>
              <w:rPr>
                <w:sz w:val="5"/>
                <w:szCs w:val="5"/>
                <w:color w:val="auto"/>
              </w:rPr>
            </w:pPr>
          </w:p>
        </w:tc>
        <w:tc>
          <w:tcPr>
            <w:tcW w:w="1000" w:type="dxa"/>
            <w:vAlign w:val="bottom"/>
            <w:gridSpan w:val="2"/>
            <w:vMerge w:val="continue"/>
          </w:tcPr>
          <w:p>
            <w:pPr>
              <w:spacing w:after="0"/>
              <w:rPr>
                <w:sz w:val="5"/>
                <w:szCs w:val="5"/>
                <w:color w:val="auto"/>
              </w:rPr>
            </w:pPr>
          </w:p>
        </w:tc>
        <w:tc>
          <w:tcPr>
            <w:tcW w:w="140" w:type="dxa"/>
            <w:vAlign w:val="bottom"/>
          </w:tcPr>
          <w:p>
            <w:pPr>
              <w:spacing w:after="0"/>
              <w:rPr>
                <w:sz w:val="5"/>
                <w:szCs w:val="5"/>
                <w:color w:val="auto"/>
              </w:rPr>
            </w:pPr>
          </w:p>
        </w:tc>
        <w:tc>
          <w:tcPr>
            <w:tcW w:w="90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240" w:type="dxa"/>
            <w:vAlign w:val="bottom"/>
          </w:tcPr>
          <w:p>
            <w:pPr>
              <w:spacing w:after="0"/>
              <w:rPr>
                <w:sz w:val="5"/>
                <w:szCs w:val="5"/>
                <w:color w:val="auto"/>
              </w:rPr>
            </w:pPr>
          </w:p>
        </w:tc>
        <w:tc>
          <w:tcPr>
            <w:tcW w:w="8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12"/>
        </w:trPr>
        <w:tc>
          <w:tcPr>
            <w:tcW w:w="2580" w:type="dxa"/>
            <w:vAlign w:val="bottom"/>
            <w:shd w:val="clear" w:color="auto" w:fill="CCEEFF"/>
          </w:tcPr>
          <w:p>
            <w:pPr>
              <w:ind w:left="380"/>
              <w:spacing w:after="0"/>
              <w:rPr>
                <w:sz w:val="20"/>
                <w:szCs w:val="20"/>
                <w:color w:val="auto"/>
              </w:rPr>
            </w:pPr>
            <w:r>
              <w:rPr>
                <w:rFonts w:ascii="Arial" w:cs="Arial" w:eastAsia="Arial" w:hAnsi="Arial"/>
                <w:sz w:val="14"/>
                <w:szCs w:val="14"/>
                <w:color w:val="auto"/>
              </w:rPr>
              <w:t>Rail revenues</w:t>
            </w:r>
          </w:p>
        </w:tc>
        <w:tc>
          <w:tcPr>
            <w:tcW w:w="180" w:type="dxa"/>
            <w:vAlign w:val="bottom"/>
            <w:shd w:val="clear" w:color="auto" w:fill="CCEEFF"/>
          </w:tcPr>
          <w:p>
            <w:pPr>
              <w:spacing w:after="0"/>
              <w:rPr>
                <w:sz w:val="18"/>
                <w:szCs w:val="18"/>
                <w:color w:val="auto"/>
              </w:rPr>
            </w:pP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4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8"/>
                <w:szCs w:val="18"/>
                <w:color w:val="auto"/>
              </w:rPr>
            </w:pPr>
          </w:p>
        </w:tc>
        <w:tc>
          <w:tcPr>
            <w:tcW w:w="104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8"/>
                <w:szCs w:val="18"/>
                <w:color w:val="auto"/>
              </w:rPr>
            </w:pPr>
          </w:p>
        </w:tc>
        <w:tc>
          <w:tcPr>
            <w:tcW w:w="102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8"/>
                <w:szCs w:val="18"/>
                <w:color w:val="auto"/>
              </w:rPr>
            </w:pPr>
          </w:p>
        </w:tc>
        <w:tc>
          <w:tcPr>
            <w:tcW w:w="88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7,401</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8"/>
                <w:szCs w:val="18"/>
                <w:color w:val="auto"/>
              </w:rPr>
            </w:pPr>
          </w:p>
        </w:tc>
        <w:tc>
          <w:tcPr>
            <w:tcW w:w="82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7,401</w:t>
            </w:r>
          </w:p>
        </w:tc>
        <w:tc>
          <w:tcPr>
            <w:tcW w:w="0" w:type="dxa"/>
            <w:vAlign w:val="bottom"/>
          </w:tcPr>
          <w:p>
            <w:pPr>
              <w:spacing w:after="0"/>
              <w:rPr>
                <w:sz w:val="1"/>
                <w:szCs w:val="1"/>
                <w:color w:val="auto"/>
              </w:rPr>
            </w:pPr>
          </w:p>
        </w:tc>
      </w:tr>
      <w:tr>
        <w:trPr>
          <w:trHeight w:val="62"/>
        </w:trPr>
        <w:tc>
          <w:tcPr>
            <w:tcW w:w="2580" w:type="dxa"/>
            <w:vAlign w:val="bottom"/>
            <w:shd w:val="clear" w:color="auto" w:fill="CCEEFF"/>
          </w:tcPr>
          <w:p>
            <w:pPr>
              <w:spacing w:after="0"/>
              <w:rPr>
                <w:sz w:val="5"/>
                <w:szCs w:val="5"/>
                <w:color w:val="auto"/>
              </w:rPr>
            </w:pPr>
          </w:p>
        </w:tc>
        <w:tc>
          <w:tcPr>
            <w:tcW w:w="180" w:type="dxa"/>
            <w:vAlign w:val="bottom"/>
            <w:shd w:val="clear" w:color="auto" w:fill="CCEEFF"/>
          </w:tcPr>
          <w:p>
            <w:pPr>
              <w:spacing w:after="0"/>
              <w:rPr>
                <w:sz w:val="5"/>
                <w:szCs w:val="5"/>
                <w:color w:val="auto"/>
              </w:rPr>
            </w:pPr>
          </w:p>
        </w:tc>
        <w:tc>
          <w:tcPr>
            <w:tcW w:w="860" w:type="dxa"/>
            <w:vAlign w:val="bottom"/>
            <w:vMerge w:val="continue"/>
            <w:shd w:val="clear" w:color="auto" w:fill="CCEEFF"/>
          </w:tcPr>
          <w:p>
            <w:pPr>
              <w:spacing w:after="0"/>
              <w:rPr>
                <w:sz w:val="5"/>
                <w:szCs w:val="5"/>
                <w:color w:val="auto"/>
              </w:rPr>
            </w:pPr>
          </w:p>
        </w:tc>
        <w:tc>
          <w:tcPr>
            <w:tcW w:w="6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80" w:type="dxa"/>
            <w:vAlign w:val="bottom"/>
            <w:shd w:val="clear" w:color="auto" w:fill="CCEEFF"/>
          </w:tcPr>
          <w:p>
            <w:pPr>
              <w:spacing w:after="0"/>
              <w:rPr>
                <w:sz w:val="5"/>
                <w:szCs w:val="5"/>
                <w:color w:val="auto"/>
              </w:rPr>
            </w:pPr>
          </w:p>
        </w:tc>
        <w:tc>
          <w:tcPr>
            <w:tcW w:w="1040" w:type="dxa"/>
            <w:vAlign w:val="bottom"/>
            <w:gridSpan w:val="2"/>
            <w:vMerge w:val="continue"/>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040" w:type="dxa"/>
            <w:vAlign w:val="bottom"/>
            <w:gridSpan w:val="2"/>
            <w:vMerge w:val="continue"/>
            <w:shd w:val="clear" w:color="auto" w:fill="CCEEFF"/>
          </w:tcPr>
          <w:p>
            <w:pPr>
              <w:spacing w:after="0"/>
              <w:rPr>
                <w:sz w:val="5"/>
                <w:szCs w:val="5"/>
                <w:color w:val="auto"/>
              </w:rPr>
            </w:pPr>
          </w:p>
        </w:tc>
        <w:tc>
          <w:tcPr>
            <w:tcW w:w="140" w:type="dxa"/>
            <w:vAlign w:val="bottom"/>
            <w:shd w:val="clear" w:color="auto" w:fill="CCEEFF"/>
          </w:tcPr>
          <w:p>
            <w:pPr>
              <w:spacing w:after="0"/>
              <w:rPr>
                <w:sz w:val="5"/>
                <w:szCs w:val="5"/>
                <w:color w:val="auto"/>
              </w:rPr>
            </w:pPr>
          </w:p>
        </w:tc>
        <w:tc>
          <w:tcPr>
            <w:tcW w:w="1020" w:type="dxa"/>
            <w:vAlign w:val="bottom"/>
            <w:gridSpan w:val="2"/>
            <w:vMerge w:val="continue"/>
            <w:shd w:val="clear" w:color="auto" w:fill="CCEEFF"/>
          </w:tcPr>
          <w:p>
            <w:pPr>
              <w:spacing w:after="0"/>
              <w:rPr>
                <w:sz w:val="5"/>
                <w:szCs w:val="5"/>
                <w:color w:val="auto"/>
              </w:rPr>
            </w:pPr>
          </w:p>
        </w:tc>
        <w:tc>
          <w:tcPr>
            <w:tcW w:w="160" w:type="dxa"/>
            <w:vAlign w:val="bottom"/>
            <w:shd w:val="clear" w:color="auto" w:fill="CCEEFF"/>
          </w:tcPr>
          <w:p>
            <w:pPr>
              <w:spacing w:after="0"/>
              <w:rPr>
                <w:sz w:val="5"/>
                <w:szCs w:val="5"/>
                <w:color w:val="auto"/>
              </w:rPr>
            </w:pPr>
          </w:p>
        </w:tc>
        <w:tc>
          <w:tcPr>
            <w:tcW w:w="880" w:type="dxa"/>
            <w:vAlign w:val="bottom"/>
            <w:vMerge w:val="continue"/>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40" w:type="dxa"/>
            <w:vAlign w:val="bottom"/>
            <w:shd w:val="clear" w:color="auto" w:fill="CCEEFF"/>
          </w:tcPr>
          <w:p>
            <w:pPr>
              <w:spacing w:after="0"/>
              <w:rPr>
                <w:sz w:val="5"/>
                <w:szCs w:val="5"/>
                <w:color w:val="auto"/>
              </w:rPr>
            </w:pPr>
          </w:p>
        </w:tc>
        <w:tc>
          <w:tcPr>
            <w:tcW w:w="1020" w:type="dxa"/>
            <w:vAlign w:val="bottom"/>
            <w:gridSpan w:val="2"/>
            <w:vMerge w:val="continue"/>
            <w:shd w:val="clear" w:color="auto" w:fill="CCEEFF"/>
          </w:tcPr>
          <w:p>
            <w:pPr>
              <w:spacing w:after="0"/>
              <w:rPr>
                <w:sz w:val="5"/>
                <w:szCs w:val="5"/>
                <w:color w:val="auto"/>
              </w:rPr>
            </w:pPr>
          </w:p>
        </w:tc>
        <w:tc>
          <w:tcPr>
            <w:tcW w:w="240" w:type="dxa"/>
            <w:vAlign w:val="bottom"/>
            <w:shd w:val="clear" w:color="auto" w:fill="CCEEFF"/>
          </w:tcPr>
          <w:p>
            <w:pPr>
              <w:spacing w:after="0"/>
              <w:rPr>
                <w:sz w:val="5"/>
                <w:szCs w:val="5"/>
                <w:color w:val="auto"/>
              </w:rPr>
            </w:pPr>
          </w:p>
        </w:tc>
        <w:tc>
          <w:tcPr>
            <w:tcW w:w="820" w:type="dxa"/>
            <w:vAlign w:val="bottom"/>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08"/>
        </w:trPr>
        <w:tc>
          <w:tcPr>
            <w:tcW w:w="2580" w:type="dxa"/>
            <w:vAlign w:val="bottom"/>
          </w:tcPr>
          <w:p>
            <w:pPr>
              <w:ind w:left="380"/>
              <w:spacing w:after="0"/>
              <w:rPr>
                <w:sz w:val="20"/>
                <w:szCs w:val="20"/>
                <w:color w:val="auto"/>
              </w:rPr>
            </w:pPr>
            <w:r>
              <w:rPr>
                <w:rFonts w:ascii="Arial" w:cs="Arial" w:eastAsia="Arial" w:hAnsi="Arial"/>
                <w:sz w:val="14"/>
                <w:szCs w:val="14"/>
                <w:color w:val="auto"/>
              </w:rPr>
              <w:t>Terminal services revenues</w:t>
            </w:r>
          </w:p>
        </w:tc>
        <w:tc>
          <w:tcPr>
            <w:tcW w:w="180" w:type="dxa"/>
            <w:vAlign w:val="bottom"/>
          </w:tcPr>
          <w:p>
            <w:pPr>
              <w:spacing w:after="0"/>
              <w:rPr>
                <w:sz w:val="18"/>
                <w:szCs w:val="18"/>
                <w:color w:val="auto"/>
              </w:rPr>
            </w:pPr>
          </w:p>
        </w:tc>
        <w:tc>
          <w:tcPr>
            <w:tcW w:w="86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vMerge w:val="restart"/>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vMerge w:val="restart"/>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vMerge w:val="restart"/>
          </w:tcPr>
          <w:p>
            <w:pPr>
              <w:jc w:val="right"/>
              <w:ind w:right="8"/>
              <w:spacing w:after="0"/>
              <w:rPr>
                <w:sz w:val="20"/>
                <w:szCs w:val="20"/>
                <w:color w:val="auto"/>
              </w:rPr>
            </w:pPr>
            <w:r>
              <w:rPr>
                <w:rFonts w:ascii="Arial" w:cs="Arial" w:eastAsia="Arial" w:hAnsi="Arial"/>
                <w:sz w:val="14"/>
                <w:szCs w:val="14"/>
                <w:color w:val="auto"/>
              </w:rPr>
              <w:t>—</w:t>
            </w:r>
          </w:p>
        </w:tc>
        <w:tc>
          <w:tcPr>
            <w:tcW w:w="120" w:type="dxa"/>
            <w:vAlign w:val="bottom"/>
            <w:vMerge w:val="restart"/>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vMerge w:val="restart"/>
          </w:tcPr>
          <w:p>
            <w:pPr>
              <w:jc w:val="right"/>
              <w:ind w:right="8"/>
              <w:spacing w:after="0"/>
              <w:rPr>
                <w:sz w:val="20"/>
                <w:szCs w:val="20"/>
                <w:color w:val="auto"/>
              </w:rPr>
            </w:pPr>
            <w:r>
              <w:rPr>
                <w:rFonts w:ascii="Arial" w:cs="Arial" w:eastAsia="Arial" w:hAnsi="Arial"/>
                <w:sz w:val="14"/>
                <w:szCs w:val="14"/>
                <w:color w:val="auto"/>
              </w:rPr>
              <w:t>4,255</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vMerge w:val="restart"/>
          </w:tcPr>
          <w:p>
            <w:pPr>
              <w:jc w:val="right"/>
              <w:ind w:right="8"/>
              <w:spacing w:after="0"/>
              <w:rPr>
                <w:sz w:val="20"/>
                <w:szCs w:val="20"/>
                <w:color w:val="auto"/>
              </w:rPr>
            </w:pPr>
            <w:r>
              <w:rPr>
                <w:rFonts w:ascii="Arial" w:cs="Arial" w:eastAsia="Arial" w:hAnsi="Arial"/>
                <w:sz w:val="14"/>
                <w:szCs w:val="14"/>
                <w:color w:val="auto"/>
              </w:rPr>
              <w:t>—</w:t>
            </w:r>
          </w:p>
        </w:tc>
        <w:tc>
          <w:tcPr>
            <w:tcW w:w="120" w:type="dxa"/>
            <w:vAlign w:val="bottom"/>
            <w:vMerge w:val="restart"/>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vMerge w:val="restart"/>
          </w:tcPr>
          <w:p>
            <w:pPr>
              <w:jc w:val="right"/>
              <w:ind w:right="8"/>
              <w:spacing w:after="0"/>
              <w:rPr>
                <w:sz w:val="20"/>
                <w:szCs w:val="20"/>
                <w:color w:val="auto"/>
              </w:rPr>
            </w:pPr>
            <w:r>
              <w:rPr>
                <w:rFonts w:ascii="Arial" w:cs="Arial" w:eastAsia="Arial" w:hAnsi="Arial"/>
                <w:sz w:val="14"/>
                <w:szCs w:val="14"/>
                <w:color w:val="auto"/>
              </w:rPr>
              <w:t>—</w:t>
            </w:r>
          </w:p>
        </w:tc>
        <w:tc>
          <w:tcPr>
            <w:tcW w:w="120" w:type="dxa"/>
            <w:vAlign w:val="bottom"/>
            <w:vMerge w:val="restart"/>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vMerge w:val="restart"/>
          </w:tcPr>
          <w:p>
            <w:pPr>
              <w:jc w:val="right"/>
              <w:ind w:right="28"/>
              <w:spacing w:after="0"/>
              <w:rPr>
                <w:sz w:val="20"/>
                <w:szCs w:val="20"/>
                <w:color w:val="auto"/>
              </w:rPr>
            </w:pPr>
            <w:r>
              <w:rPr>
                <w:rFonts w:ascii="Arial" w:cs="Arial" w:eastAsia="Arial" w:hAnsi="Arial"/>
                <w:sz w:val="14"/>
                <w:szCs w:val="14"/>
                <w:color w:val="auto"/>
              </w:rPr>
              <w:t>4,255</w:t>
            </w:r>
          </w:p>
        </w:tc>
        <w:tc>
          <w:tcPr>
            <w:tcW w:w="0" w:type="dxa"/>
            <w:vAlign w:val="bottom"/>
          </w:tcPr>
          <w:p>
            <w:pPr>
              <w:spacing w:after="0"/>
              <w:rPr>
                <w:sz w:val="1"/>
                <w:szCs w:val="1"/>
                <w:color w:val="auto"/>
              </w:rPr>
            </w:pPr>
          </w:p>
        </w:tc>
      </w:tr>
      <w:tr>
        <w:trPr>
          <w:trHeight w:val="58"/>
        </w:trPr>
        <w:tc>
          <w:tcPr>
            <w:tcW w:w="2580" w:type="dxa"/>
            <w:vAlign w:val="bottom"/>
            <w:tcBorders>
              <w:bottom w:val="single" w:sz="8" w:color="CCEEFF"/>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860" w:type="dxa"/>
            <w:vAlign w:val="bottom"/>
            <w:tcBorders>
              <w:bottom w:val="single" w:sz="8" w:color="auto"/>
            </w:tcBorders>
            <w:vMerge w:val="continue"/>
          </w:tcPr>
          <w:p>
            <w:pPr>
              <w:spacing w:after="0"/>
              <w:rPr>
                <w:sz w:val="5"/>
                <w:szCs w:val="5"/>
                <w:color w:val="auto"/>
              </w:rPr>
            </w:pPr>
          </w:p>
        </w:tc>
        <w:tc>
          <w:tcPr>
            <w:tcW w:w="6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920" w:type="dxa"/>
            <w:vAlign w:val="bottom"/>
            <w:tcBorders>
              <w:bottom w:val="single" w:sz="8" w:color="auto"/>
            </w:tcBorders>
            <w:vMerge w:val="continue"/>
          </w:tcPr>
          <w:p>
            <w:pPr>
              <w:spacing w:after="0"/>
              <w:rPr>
                <w:sz w:val="5"/>
                <w:szCs w:val="5"/>
                <w:color w:val="auto"/>
              </w:rPr>
            </w:pPr>
          </w:p>
        </w:tc>
        <w:tc>
          <w:tcPr>
            <w:tcW w:w="120" w:type="dxa"/>
            <w:vAlign w:val="bottom"/>
            <w:tcBorders>
              <w:bottom w:val="single" w:sz="8" w:color="CCEEFF"/>
            </w:tcBorders>
            <w:vMerge w:val="continue"/>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920" w:type="dxa"/>
            <w:vAlign w:val="bottom"/>
            <w:tcBorders>
              <w:bottom w:val="single" w:sz="8" w:color="auto"/>
            </w:tcBorders>
            <w:vMerge w:val="continue"/>
          </w:tcPr>
          <w:p>
            <w:pPr>
              <w:spacing w:after="0"/>
              <w:rPr>
                <w:sz w:val="5"/>
                <w:szCs w:val="5"/>
                <w:color w:val="auto"/>
              </w:rPr>
            </w:pPr>
          </w:p>
        </w:tc>
        <w:tc>
          <w:tcPr>
            <w:tcW w:w="120" w:type="dxa"/>
            <w:vAlign w:val="bottom"/>
            <w:tcBorders>
              <w:bottom w:val="single" w:sz="8" w:color="CCEEFF"/>
            </w:tcBorders>
            <w:vMerge w:val="continue"/>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900" w:type="dxa"/>
            <w:vAlign w:val="bottom"/>
            <w:tcBorders>
              <w:bottom w:val="single" w:sz="8" w:color="auto"/>
            </w:tcBorders>
            <w:vMerge w:val="continue"/>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880" w:type="dxa"/>
            <w:vAlign w:val="bottom"/>
            <w:tcBorders>
              <w:bottom w:val="single" w:sz="8" w:color="auto"/>
            </w:tcBorders>
            <w:vMerge w:val="continue"/>
          </w:tcPr>
          <w:p>
            <w:pPr>
              <w:spacing w:after="0"/>
              <w:rPr>
                <w:sz w:val="5"/>
                <w:szCs w:val="5"/>
                <w:color w:val="auto"/>
              </w:rPr>
            </w:pPr>
          </w:p>
        </w:tc>
        <w:tc>
          <w:tcPr>
            <w:tcW w:w="120" w:type="dxa"/>
            <w:vAlign w:val="bottom"/>
            <w:tcBorders>
              <w:bottom w:val="single" w:sz="8" w:color="CCEEFF"/>
            </w:tcBorders>
            <w:vMerge w:val="continue"/>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900" w:type="dxa"/>
            <w:vAlign w:val="bottom"/>
            <w:tcBorders>
              <w:bottom w:val="single" w:sz="8" w:color="auto"/>
            </w:tcBorders>
            <w:vMerge w:val="continue"/>
          </w:tcPr>
          <w:p>
            <w:pPr>
              <w:spacing w:after="0"/>
              <w:rPr>
                <w:sz w:val="5"/>
                <w:szCs w:val="5"/>
                <w:color w:val="auto"/>
              </w:rPr>
            </w:pPr>
          </w:p>
        </w:tc>
        <w:tc>
          <w:tcPr>
            <w:tcW w:w="120" w:type="dxa"/>
            <w:vAlign w:val="bottom"/>
            <w:tcBorders>
              <w:bottom w:val="single" w:sz="8" w:color="CCEEFF"/>
            </w:tcBorders>
            <w:vMerge w:val="continue"/>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820" w:type="dxa"/>
            <w:vAlign w:val="bottom"/>
            <w:tcBorders>
              <w:bottom w:val="single" w:sz="8" w:color="auto"/>
            </w:tcBorders>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54"/>
        </w:trPr>
        <w:tc>
          <w:tcPr>
            <w:tcW w:w="2580" w:type="dxa"/>
            <w:vAlign w:val="bottom"/>
            <w:shd w:val="clear" w:color="auto" w:fill="CCEEFF"/>
          </w:tcPr>
          <w:p>
            <w:pPr>
              <w:ind w:left="380"/>
              <w:spacing w:after="0"/>
              <w:rPr>
                <w:sz w:val="20"/>
                <w:szCs w:val="20"/>
                <w:color w:val="auto"/>
              </w:rPr>
            </w:pPr>
            <w:r>
              <w:rPr>
                <w:rFonts w:ascii="Arial" w:cs="Arial" w:eastAsia="Arial" w:hAnsi="Arial"/>
                <w:sz w:val="14"/>
                <w:szCs w:val="14"/>
                <w:b w:val="1"/>
                <w:bCs w:val="1"/>
                <w:color w:val="auto"/>
              </w:rPr>
              <w:t>Total infrastructure revenues</w:t>
            </w:r>
          </w:p>
        </w:tc>
        <w:tc>
          <w:tcPr>
            <w:tcW w:w="180" w:type="dxa"/>
            <w:vAlign w:val="bottom"/>
            <w:tcBorders>
              <w:bottom w:val="single" w:sz="8" w:color="auto"/>
            </w:tcBorders>
            <w:shd w:val="clear" w:color="auto" w:fill="CCEEFF"/>
          </w:tcPr>
          <w:p>
            <w:pPr>
              <w:spacing w:after="0"/>
              <w:rPr>
                <w:sz w:val="22"/>
                <w:szCs w:val="22"/>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0" w:type="dxa"/>
            <w:vAlign w:val="bottom"/>
            <w:tcBorders>
              <w:bottom w:val="single" w:sz="8" w:color="auto"/>
            </w:tcBorders>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spacing w:after="0"/>
              <w:rPr>
                <w:sz w:val="22"/>
                <w:szCs w:val="22"/>
                <w:color w:val="auto"/>
              </w:rPr>
            </w:pPr>
          </w:p>
        </w:tc>
        <w:tc>
          <w:tcPr>
            <w:tcW w:w="9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spacing w:after="0"/>
              <w:rPr>
                <w:sz w:val="22"/>
                <w:szCs w:val="22"/>
                <w:color w:val="auto"/>
              </w:rPr>
            </w:pPr>
          </w:p>
        </w:tc>
        <w:tc>
          <w:tcPr>
            <w:tcW w:w="92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spacing w:after="0"/>
              <w:rPr>
                <w:sz w:val="22"/>
                <w:szCs w:val="22"/>
                <w:color w:val="auto"/>
              </w:rPr>
            </w:pPr>
          </w:p>
        </w:tc>
        <w:tc>
          <w:tcPr>
            <w:tcW w:w="90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4,255</w:t>
            </w:r>
          </w:p>
        </w:tc>
        <w:tc>
          <w:tcPr>
            <w:tcW w:w="120" w:type="dxa"/>
            <w:vAlign w:val="bottom"/>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spacing w:after="0"/>
              <w:rPr>
                <w:sz w:val="22"/>
                <w:szCs w:val="22"/>
                <w:color w:val="auto"/>
              </w:rPr>
            </w:pPr>
          </w:p>
        </w:tc>
        <w:tc>
          <w:tcPr>
            <w:tcW w:w="8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7,401</w:t>
            </w:r>
          </w:p>
        </w:tc>
        <w:tc>
          <w:tcPr>
            <w:tcW w:w="120" w:type="dxa"/>
            <w:vAlign w:val="bottom"/>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spacing w:after="0"/>
              <w:rPr>
                <w:sz w:val="22"/>
                <w:szCs w:val="22"/>
                <w:color w:val="auto"/>
              </w:rPr>
            </w:pPr>
          </w:p>
        </w:tc>
        <w:tc>
          <w:tcPr>
            <w:tcW w:w="90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16</w:t>
            </w:r>
          </w:p>
        </w:tc>
        <w:tc>
          <w:tcPr>
            <w:tcW w:w="120" w:type="dxa"/>
            <w:vAlign w:val="bottom"/>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spacing w:after="0"/>
              <w:rPr>
                <w:sz w:val="22"/>
                <w:szCs w:val="22"/>
                <w:color w:val="auto"/>
              </w:rPr>
            </w:pPr>
          </w:p>
        </w:tc>
        <w:tc>
          <w:tcPr>
            <w:tcW w:w="8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11,672</w:t>
            </w:r>
          </w:p>
        </w:tc>
        <w:tc>
          <w:tcPr>
            <w:tcW w:w="0" w:type="dxa"/>
            <w:vAlign w:val="bottom"/>
          </w:tcPr>
          <w:p>
            <w:pPr>
              <w:spacing w:after="0"/>
              <w:rPr>
                <w:sz w:val="1"/>
                <w:szCs w:val="1"/>
                <w:color w:val="auto"/>
              </w:rPr>
            </w:pPr>
          </w:p>
        </w:tc>
      </w:tr>
      <w:tr>
        <w:trPr>
          <w:trHeight w:val="233"/>
        </w:trPr>
        <w:tc>
          <w:tcPr>
            <w:tcW w:w="2580" w:type="dxa"/>
            <w:vAlign w:val="bottom"/>
          </w:tcPr>
          <w:p>
            <w:pPr>
              <w:ind w:left="20"/>
              <w:spacing w:after="0"/>
              <w:rPr>
                <w:sz w:val="20"/>
                <w:szCs w:val="20"/>
                <w:color w:val="auto"/>
              </w:rPr>
            </w:pPr>
            <w:r>
              <w:rPr>
                <w:rFonts w:ascii="Arial" w:cs="Arial" w:eastAsia="Arial" w:hAnsi="Arial"/>
                <w:sz w:val="14"/>
                <w:szCs w:val="14"/>
                <w:b w:val="1"/>
                <w:bCs w:val="1"/>
                <w:color w:val="auto"/>
              </w:rPr>
              <w:t>Total revenues</w:t>
            </w: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860" w:type="dxa"/>
            <w:vAlign w:val="bottom"/>
          </w:tcPr>
          <w:p>
            <w:pPr>
              <w:jc w:val="right"/>
              <w:spacing w:after="0"/>
              <w:rPr>
                <w:sz w:val="20"/>
                <w:szCs w:val="20"/>
                <w:color w:val="auto"/>
              </w:rPr>
            </w:pPr>
            <w:r>
              <w:rPr>
                <w:rFonts w:ascii="Arial" w:cs="Arial" w:eastAsia="Arial" w:hAnsi="Arial"/>
                <w:sz w:val="14"/>
                <w:szCs w:val="14"/>
                <w:color w:val="auto"/>
              </w:rPr>
              <w:t>27,060</w:t>
            </w:r>
          </w:p>
        </w:tc>
        <w:tc>
          <w:tcPr>
            <w:tcW w:w="360" w:type="dxa"/>
            <w:vAlign w:val="bottom"/>
            <w:gridSpan w:val="3"/>
          </w:tcPr>
          <w:p>
            <w:pPr>
              <w:jc w:val="right"/>
              <w:ind w:right="8"/>
              <w:spacing w:after="0"/>
              <w:rPr>
                <w:sz w:val="20"/>
                <w:szCs w:val="20"/>
                <w:color w:val="auto"/>
              </w:rPr>
            </w:pPr>
            <w:r>
              <w:rPr>
                <w:rFonts w:ascii="Arial" w:cs="Arial" w:eastAsia="Arial" w:hAnsi="Arial"/>
                <w:sz w:val="14"/>
                <w:szCs w:val="14"/>
                <w:color w:val="auto"/>
              </w:rPr>
              <w:t>$</w:t>
            </w:r>
          </w:p>
        </w:tc>
        <w:tc>
          <w:tcPr>
            <w:tcW w:w="920" w:type="dxa"/>
            <w:vAlign w:val="bottom"/>
          </w:tcPr>
          <w:p>
            <w:pPr>
              <w:jc w:val="right"/>
              <w:ind w:right="48"/>
              <w:spacing w:after="0"/>
              <w:rPr>
                <w:sz w:val="20"/>
                <w:szCs w:val="20"/>
                <w:color w:val="auto"/>
              </w:rPr>
            </w:pPr>
            <w:r>
              <w:rPr>
                <w:rFonts w:ascii="Arial" w:cs="Arial" w:eastAsia="Arial" w:hAnsi="Arial"/>
                <w:sz w:val="14"/>
                <w:szCs w:val="14"/>
                <w:color w:val="auto"/>
              </w:rPr>
              <w:t>2,969</w:t>
            </w:r>
          </w:p>
        </w:tc>
        <w:tc>
          <w:tcPr>
            <w:tcW w:w="12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920" w:type="dxa"/>
            <w:vAlign w:val="bottom"/>
          </w:tcPr>
          <w:p>
            <w:pPr>
              <w:jc w:val="right"/>
              <w:ind w:right="8"/>
              <w:spacing w:after="0"/>
              <w:rPr>
                <w:sz w:val="20"/>
                <w:szCs w:val="20"/>
                <w:color w:val="auto"/>
              </w:rPr>
            </w:pPr>
            <w:r>
              <w:rPr>
                <w:rFonts w:ascii="Arial" w:cs="Arial" w:eastAsia="Arial" w:hAnsi="Arial"/>
                <w:sz w:val="14"/>
                <w:szCs w:val="14"/>
                <w:color w:val="auto"/>
              </w:rPr>
              <w:t>25</w:t>
            </w:r>
          </w:p>
        </w:tc>
        <w:tc>
          <w:tcPr>
            <w:tcW w:w="12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8"/>
              <w:spacing w:after="0"/>
              <w:rPr>
                <w:sz w:val="20"/>
                <w:szCs w:val="20"/>
                <w:color w:val="auto"/>
              </w:rPr>
            </w:pPr>
            <w:r>
              <w:rPr>
                <w:rFonts w:ascii="Arial" w:cs="Arial" w:eastAsia="Arial" w:hAnsi="Arial"/>
                <w:sz w:val="14"/>
                <w:szCs w:val="14"/>
                <w:color w:val="auto"/>
              </w:rPr>
              <w:t>4,255</w:t>
            </w:r>
          </w:p>
        </w:tc>
        <w:tc>
          <w:tcPr>
            <w:tcW w:w="12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8"/>
              <w:spacing w:after="0"/>
              <w:rPr>
                <w:sz w:val="20"/>
                <w:szCs w:val="20"/>
                <w:color w:val="auto"/>
              </w:rPr>
            </w:pPr>
            <w:r>
              <w:rPr>
                <w:rFonts w:ascii="Arial" w:cs="Arial" w:eastAsia="Arial" w:hAnsi="Arial"/>
                <w:sz w:val="14"/>
                <w:szCs w:val="14"/>
                <w:color w:val="auto"/>
              </w:rPr>
              <w:t>7,401</w:t>
            </w:r>
          </w:p>
        </w:tc>
        <w:tc>
          <w:tcPr>
            <w:tcW w:w="12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8"/>
              <w:spacing w:after="0"/>
              <w:rPr>
                <w:sz w:val="20"/>
                <w:szCs w:val="20"/>
                <w:color w:val="auto"/>
              </w:rPr>
            </w:pPr>
            <w:r>
              <w:rPr>
                <w:rFonts w:ascii="Arial" w:cs="Arial" w:eastAsia="Arial" w:hAnsi="Arial"/>
                <w:sz w:val="14"/>
                <w:szCs w:val="14"/>
                <w:color w:val="auto"/>
              </w:rPr>
              <w:t>16</w:t>
            </w:r>
          </w:p>
        </w:tc>
        <w:tc>
          <w:tcPr>
            <w:tcW w:w="120" w:type="dxa"/>
            <w:vAlign w:val="bottom"/>
          </w:tcPr>
          <w:p>
            <w:pPr>
              <w:spacing w:after="0"/>
              <w:rPr>
                <w:sz w:val="20"/>
                <w:szCs w:val="20"/>
                <w:color w:val="auto"/>
              </w:rPr>
            </w:pP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820" w:type="dxa"/>
            <w:vAlign w:val="bottom"/>
          </w:tcPr>
          <w:p>
            <w:pPr>
              <w:jc w:val="right"/>
              <w:ind w:right="28"/>
              <w:spacing w:after="0"/>
              <w:rPr>
                <w:sz w:val="20"/>
                <w:szCs w:val="20"/>
                <w:color w:val="auto"/>
              </w:rPr>
            </w:pPr>
            <w:r>
              <w:rPr>
                <w:rFonts w:ascii="Arial" w:cs="Arial" w:eastAsia="Arial" w:hAnsi="Arial"/>
                <w:sz w:val="14"/>
                <w:szCs w:val="14"/>
                <w:color w:val="auto"/>
              </w:rPr>
              <w:t>41,726</w:t>
            </w:r>
          </w:p>
        </w:tc>
        <w:tc>
          <w:tcPr>
            <w:tcW w:w="0" w:type="dxa"/>
            <w:vAlign w:val="bottom"/>
          </w:tcPr>
          <w:p>
            <w:pPr>
              <w:spacing w:after="0"/>
              <w:rPr>
                <w:sz w:val="1"/>
                <w:szCs w:val="1"/>
                <w:color w:val="auto"/>
              </w:rPr>
            </w:pPr>
          </w:p>
        </w:tc>
      </w:tr>
      <w:tr>
        <w:trPr>
          <w:trHeight w:val="20"/>
        </w:trPr>
        <w:tc>
          <w:tcPr>
            <w:tcW w:w="25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ind w:right="-179"/>
        <w:spacing w:after="0"/>
        <w:rPr>
          <w:sz w:val="20"/>
          <w:szCs w:val="20"/>
          <w:color w:val="auto"/>
        </w:rPr>
      </w:pPr>
      <w:r>
        <w:rPr>
          <w:rFonts w:ascii="Arial" w:cs="Arial" w:eastAsia="Arial" w:hAnsi="Arial"/>
          <w:sz w:val="16"/>
          <w:szCs w:val="16"/>
          <w:color w:val="auto"/>
        </w:rPr>
        <w:t>26</w:t>
      </w:r>
    </w:p>
    <w:p>
      <w:pPr>
        <w:sectPr>
          <w:pgSz w:w="11900" w:h="16838" w:orient="portrait"/>
          <w:cols w:equalWidth="0" w:num="1">
            <w:col w:w="11240"/>
          </w:cols>
          <w:pgMar w:left="240" w:top="117" w:right="419" w:bottom="1440" w:gutter="0" w:footer="0" w:header="0"/>
        </w:sectPr>
      </w:pPr>
    </w:p>
    <w:bookmarkStart w:id="26" w:name="page27"/>
    <w:bookmarkEnd w:id="26"/>
    <w:p>
      <w:pPr>
        <w:ind w:right="3640"/>
        <w:spacing w:after="0" w:line="305" w:lineRule="auto"/>
        <w:rPr>
          <w:sz w:val="20"/>
          <w:szCs w:val="20"/>
          <w:color w:val="auto"/>
        </w:rPr>
      </w:pPr>
      <w:r>
        <w:rPr>
          <w:rFonts w:ascii="Arial" w:cs="Arial" w:eastAsia="Arial" w:hAnsi="Arial"/>
          <w:sz w:val="22"/>
          <w:szCs w:val="22"/>
          <w:b w:val="1"/>
          <w:bCs w:val="1"/>
          <w:color w:val="00497F"/>
        </w:rPr>
        <w:t xml:space="preserve">FORTRESS TRANSPORTATION AND INFRASTRUCTURE INVESTORS LLC NOTES TO CONSOLIDATED FINANCIAL STATEMENTS </w:t>
      </w:r>
      <w:r>
        <w:rPr>
          <w:rFonts w:ascii="Arial" w:cs="Arial" w:eastAsia="Arial" w:hAnsi="Arial"/>
          <w:sz w:val="22"/>
          <w:szCs w:val="22"/>
          <w:b w:val="1"/>
          <w:bCs w:val="1"/>
          <w:i w:val="1"/>
          <w:iCs w:val="1"/>
          <w:color w:val="00497F"/>
        </w:rPr>
        <w:t>(unaudited)</w:t>
      </w:r>
    </w:p>
    <w:p>
      <w:pPr>
        <w:spacing w:after="0"/>
        <w:rPr>
          <w:sz w:val="20"/>
          <w:szCs w:val="20"/>
          <w:color w:val="auto"/>
        </w:rPr>
      </w:pPr>
      <w:r>
        <w:rPr>
          <w:rFonts w:ascii="Arial" w:cs="Arial" w:eastAsia="Arial" w:hAnsi="Arial"/>
          <w:sz w:val="18"/>
          <w:szCs w:val="18"/>
          <w:i w:val="1"/>
          <w:iCs w:val="1"/>
          <w:color w:val="00497F"/>
        </w:rPr>
        <w:t>(Dollar amounts in thousands, unless otherwise noted)</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tbl>
      <w:tblPr>
        <w:tblLayout w:type="fixed"/>
        <w:tblInd w:w="340" w:type="dxa"/>
        <w:tblCellMar>
          <w:top w:w="0" w:type="dxa"/>
          <w:left w:w="0" w:type="dxa"/>
          <w:bottom w:w="0" w:type="dxa"/>
          <w:right w:w="0" w:type="dxa"/>
        </w:tblCellMar>
      </w:tblPr>
      <w:tr>
        <w:trPr>
          <w:trHeight w:val="203"/>
        </w:trPr>
        <w:tc>
          <w:tcPr>
            <w:tcW w:w="258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3340" w:type="dxa"/>
            <w:vAlign w:val="bottom"/>
            <w:tcBorders>
              <w:bottom w:val="single" w:sz="8" w:color="auto"/>
            </w:tcBorders>
            <w:gridSpan w:val="8"/>
          </w:tcPr>
          <w:p>
            <w:pPr>
              <w:ind w:left="140"/>
              <w:spacing w:after="0"/>
              <w:rPr>
                <w:sz w:val="20"/>
                <w:szCs w:val="20"/>
                <w:color w:val="auto"/>
              </w:rPr>
            </w:pPr>
            <w:r>
              <w:rPr>
                <w:rFonts w:ascii="Arial" w:cs="Arial" w:eastAsia="Arial" w:hAnsi="Arial"/>
                <w:sz w:val="14"/>
                <w:szCs w:val="14"/>
                <w:b w:val="1"/>
                <w:bCs w:val="1"/>
                <w:color w:val="auto"/>
              </w:rPr>
              <w:t>Nine Months Ended September 30, 2017</w:t>
            </w:r>
          </w:p>
        </w:tc>
        <w:tc>
          <w:tcPr>
            <w:tcW w:w="16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spacing w:after="0"/>
              <w:rPr>
                <w:sz w:val="17"/>
                <w:szCs w:val="17"/>
                <w:color w:val="auto"/>
              </w:rPr>
            </w:pPr>
          </w:p>
        </w:tc>
      </w:tr>
      <w:tr>
        <w:trPr>
          <w:trHeight w:val="264"/>
        </w:trPr>
        <w:tc>
          <w:tcPr>
            <w:tcW w:w="258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spacing w:after="0"/>
              <w:rPr>
                <w:sz w:val="22"/>
                <w:szCs w:val="22"/>
                <w:color w:val="auto"/>
              </w:rPr>
            </w:pPr>
          </w:p>
        </w:tc>
        <w:tc>
          <w:tcPr>
            <w:tcW w:w="1380" w:type="dxa"/>
            <w:vAlign w:val="bottom"/>
            <w:tcBorders>
              <w:bottom w:val="single" w:sz="8" w:color="auto"/>
            </w:tcBorders>
            <w:gridSpan w:val="5"/>
          </w:tcPr>
          <w:p>
            <w:pPr>
              <w:jc w:val="center"/>
              <w:spacing w:after="0"/>
              <w:rPr>
                <w:sz w:val="20"/>
                <w:szCs w:val="20"/>
                <w:color w:val="auto"/>
              </w:rPr>
            </w:pPr>
            <w:r>
              <w:rPr>
                <w:rFonts w:ascii="Arial" w:cs="Arial" w:eastAsia="Arial" w:hAnsi="Arial"/>
                <w:sz w:val="14"/>
                <w:szCs w:val="14"/>
                <w:b w:val="1"/>
                <w:bCs w:val="1"/>
                <w:color w:val="auto"/>
              </w:rPr>
              <w:t>Equipment Leasing</w:t>
            </w:r>
          </w:p>
        </w:tc>
        <w:tc>
          <w:tcPr>
            <w:tcW w:w="14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gridSpan w:val="3"/>
          </w:tcPr>
          <w:p>
            <w:pPr>
              <w:jc w:val="center"/>
              <w:ind w:right="60"/>
              <w:spacing w:after="0"/>
              <w:rPr>
                <w:sz w:val="20"/>
                <w:szCs w:val="20"/>
                <w:color w:val="auto"/>
              </w:rPr>
            </w:pPr>
            <w:r>
              <w:rPr>
                <w:rFonts w:ascii="Arial" w:cs="Arial" w:eastAsia="Arial" w:hAnsi="Arial"/>
                <w:sz w:val="14"/>
                <w:szCs w:val="14"/>
                <w:b w:val="1"/>
                <w:bCs w:val="1"/>
                <w:color w:val="auto"/>
              </w:rPr>
              <w:t>Infrastructure</w:t>
            </w:r>
          </w:p>
        </w:tc>
        <w:tc>
          <w:tcPr>
            <w:tcW w:w="16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20" w:type="dxa"/>
            <w:vAlign w:val="bottom"/>
          </w:tcPr>
          <w:p>
            <w:pPr>
              <w:spacing w:after="0"/>
              <w:rPr>
                <w:sz w:val="22"/>
                <w:szCs w:val="22"/>
                <w:color w:val="auto"/>
              </w:rPr>
            </w:pPr>
          </w:p>
        </w:tc>
      </w:tr>
      <w:tr>
        <w:trPr>
          <w:trHeight w:val="168"/>
        </w:trPr>
        <w:tc>
          <w:tcPr>
            <w:tcW w:w="25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60" w:type="dxa"/>
            <w:vAlign w:val="bottom"/>
          </w:tcPr>
          <w:p>
            <w:pPr>
              <w:ind w:left="80"/>
              <w:spacing w:after="0"/>
              <w:rPr>
                <w:sz w:val="20"/>
                <w:szCs w:val="20"/>
                <w:color w:val="auto"/>
              </w:rPr>
            </w:pPr>
            <w:r>
              <w:rPr>
                <w:rFonts w:ascii="Arial" w:cs="Arial" w:eastAsia="Arial" w:hAnsi="Arial"/>
                <w:sz w:val="14"/>
                <w:szCs w:val="14"/>
                <w:b w:val="1"/>
                <w:bCs w:val="1"/>
                <w:color w:val="auto"/>
              </w:rPr>
              <w:t>Aviation</w:t>
            </w: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Offshore</w:t>
            </w:r>
          </w:p>
        </w:tc>
        <w:tc>
          <w:tcPr>
            <w:tcW w:w="140" w:type="dxa"/>
            <w:vAlign w:val="bottom"/>
          </w:tcPr>
          <w:p>
            <w:pPr>
              <w:spacing w:after="0"/>
              <w:rPr>
                <w:sz w:val="14"/>
                <w:szCs w:val="14"/>
                <w:color w:val="auto"/>
              </w:rPr>
            </w:pPr>
          </w:p>
        </w:tc>
        <w:tc>
          <w:tcPr>
            <w:tcW w:w="10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Shipping</w:t>
            </w:r>
          </w:p>
        </w:tc>
        <w:tc>
          <w:tcPr>
            <w:tcW w:w="160" w:type="dxa"/>
            <w:vAlign w:val="bottom"/>
          </w:tcPr>
          <w:p>
            <w:pPr>
              <w:spacing w:after="0"/>
              <w:rPr>
                <w:sz w:val="14"/>
                <w:szCs w:val="14"/>
                <w:color w:val="auto"/>
              </w:rPr>
            </w:pPr>
          </w:p>
        </w:tc>
        <w:tc>
          <w:tcPr>
            <w:tcW w:w="10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Jefferson</w:t>
            </w:r>
          </w:p>
        </w:tc>
        <w:tc>
          <w:tcPr>
            <w:tcW w:w="1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0" w:type="dxa"/>
            <w:vAlign w:val="bottom"/>
            <w:gridSpan w:val="2"/>
          </w:tcPr>
          <w:p>
            <w:pPr>
              <w:ind w:left="40"/>
              <w:spacing w:after="0"/>
              <w:rPr>
                <w:sz w:val="20"/>
                <w:szCs w:val="20"/>
                <w:color w:val="auto"/>
              </w:rPr>
            </w:pPr>
            <w:r>
              <w:rPr>
                <w:rFonts w:ascii="Arial" w:cs="Arial" w:eastAsia="Arial" w:hAnsi="Arial"/>
                <w:sz w:val="14"/>
                <w:szCs w:val="14"/>
                <w:b w:val="1"/>
                <w:bCs w:val="1"/>
                <w:color w:val="auto"/>
              </w:rPr>
              <w:t>Ports and</w:t>
            </w:r>
          </w:p>
        </w:tc>
        <w:tc>
          <w:tcPr>
            <w:tcW w:w="24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203"/>
        </w:trPr>
        <w:tc>
          <w:tcPr>
            <w:tcW w:w="2580" w:type="dxa"/>
            <w:vAlign w:val="bottom"/>
          </w:tcPr>
          <w:p>
            <w:pPr>
              <w:ind w:left="20"/>
              <w:spacing w:after="0"/>
              <w:rPr>
                <w:sz w:val="20"/>
                <w:szCs w:val="20"/>
                <w:color w:val="auto"/>
              </w:rPr>
            </w:pPr>
            <w:r>
              <w:rPr>
                <w:rFonts w:ascii="Arial" w:cs="Arial" w:eastAsia="Arial" w:hAnsi="Arial"/>
                <w:sz w:val="14"/>
                <w:szCs w:val="14"/>
                <w:b w:val="1"/>
                <w:bCs w:val="1"/>
                <w:color w:val="auto"/>
              </w:rPr>
              <w:t>Revenues</w:t>
            </w:r>
          </w:p>
        </w:tc>
        <w:tc>
          <w:tcPr>
            <w:tcW w:w="180" w:type="dxa"/>
            <w:vAlign w:val="bottom"/>
          </w:tcPr>
          <w:p>
            <w:pPr>
              <w:spacing w:after="0"/>
              <w:rPr>
                <w:sz w:val="17"/>
                <w:szCs w:val="17"/>
                <w:color w:val="auto"/>
              </w:rPr>
            </w:pPr>
          </w:p>
        </w:tc>
        <w:tc>
          <w:tcPr>
            <w:tcW w:w="860" w:type="dxa"/>
            <w:vAlign w:val="bottom"/>
          </w:tcPr>
          <w:p>
            <w:pPr>
              <w:ind w:left="80"/>
              <w:spacing w:after="0"/>
              <w:rPr>
                <w:sz w:val="20"/>
                <w:szCs w:val="20"/>
                <w:color w:val="auto"/>
              </w:rPr>
            </w:pPr>
            <w:r>
              <w:rPr>
                <w:rFonts w:ascii="Arial" w:cs="Arial" w:eastAsia="Arial" w:hAnsi="Arial"/>
                <w:sz w:val="14"/>
                <w:szCs w:val="14"/>
                <w:b w:val="1"/>
                <w:bCs w:val="1"/>
                <w:color w:val="auto"/>
              </w:rPr>
              <w:t>Leasing</w:t>
            </w: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Energy</w:t>
            </w:r>
          </w:p>
        </w:tc>
        <w:tc>
          <w:tcPr>
            <w:tcW w:w="140" w:type="dxa"/>
            <w:vAlign w:val="bottom"/>
          </w:tcPr>
          <w:p>
            <w:pPr>
              <w:spacing w:after="0"/>
              <w:rPr>
                <w:sz w:val="17"/>
                <w:szCs w:val="17"/>
                <w:color w:val="auto"/>
              </w:rPr>
            </w:pPr>
          </w:p>
        </w:tc>
        <w:tc>
          <w:tcPr>
            <w:tcW w:w="10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Containers</w:t>
            </w:r>
          </w:p>
        </w:tc>
        <w:tc>
          <w:tcPr>
            <w:tcW w:w="160" w:type="dxa"/>
            <w:vAlign w:val="bottom"/>
          </w:tcPr>
          <w:p>
            <w:pPr>
              <w:spacing w:after="0"/>
              <w:rPr>
                <w:sz w:val="17"/>
                <w:szCs w:val="17"/>
                <w:color w:val="auto"/>
              </w:rPr>
            </w:pPr>
          </w:p>
        </w:tc>
        <w:tc>
          <w:tcPr>
            <w:tcW w:w="10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9"/>
              </w:rPr>
              <w:t>Terminal</w:t>
            </w:r>
          </w:p>
        </w:tc>
        <w:tc>
          <w:tcPr>
            <w:tcW w:w="180" w:type="dxa"/>
            <w:vAlign w:val="bottom"/>
          </w:tcPr>
          <w:p>
            <w:pPr>
              <w:spacing w:after="0"/>
              <w:rPr>
                <w:sz w:val="17"/>
                <w:szCs w:val="17"/>
                <w:color w:val="auto"/>
              </w:rPr>
            </w:pPr>
          </w:p>
        </w:tc>
        <w:tc>
          <w:tcPr>
            <w:tcW w:w="9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Railroad</w:t>
            </w:r>
          </w:p>
        </w:tc>
        <w:tc>
          <w:tcPr>
            <w:tcW w:w="160" w:type="dxa"/>
            <w:vAlign w:val="bottom"/>
          </w:tcPr>
          <w:p>
            <w:pPr>
              <w:spacing w:after="0"/>
              <w:rPr>
                <w:sz w:val="17"/>
                <w:szCs w:val="17"/>
                <w:color w:val="auto"/>
              </w:rPr>
            </w:pPr>
          </w:p>
        </w:tc>
        <w:tc>
          <w:tcPr>
            <w:tcW w:w="1000" w:type="dxa"/>
            <w:vAlign w:val="bottom"/>
            <w:gridSpan w:val="2"/>
          </w:tcPr>
          <w:p>
            <w:pPr>
              <w:ind w:left="40"/>
              <w:spacing w:after="0"/>
              <w:rPr>
                <w:sz w:val="20"/>
                <w:szCs w:val="20"/>
                <w:color w:val="auto"/>
              </w:rPr>
            </w:pPr>
            <w:r>
              <w:rPr>
                <w:rFonts w:ascii="Arial" w:cs="Arial" w:eastAsia="Arial" w:hAnsi="Arial"/>
                <w:sz w:val="14"/>
                <w:szCs w:val="14"/>
                <w:b w:val="1"/>
                <w:bCs w:val="1"/>
                <w:color w:val="auto"/>
              </w:rPr>
              <w:t>Terminals</w:t>
            </w:r>
          </w:p>
        </w:tc>
        <w:tc>
          <w:tcPr>
            <w:tcW w:w="240" w:type="dxa"/>
            <w:vAlign w:val="bottom"/>
          </w:tcPr>
          <w:p>
            <w:pPr>
              <w:spacing w:after="0"/>
              <w:rPr>
                <w:sz w:val="17"/>
                <w:szCs w:val="17"/>
                <w:color w:val="auto"/>
              </w:rPr>
            </w:pPr>
          </w:p>
        </w:tc>
        <w:tc>
          <w:tcPr>
            <w:tcW w:w="820" w:type="dxa"/>
            <w:vAlign w:val="bottom"/>
          </w:tcPr>
          <w:p>
            <w:pPr>
              <w:jc w:val="right"/>
              <w:ind w:right="288"/>
              <w:spacing w:after="0"/>
              <w:rPr>
                <w:sz w:val="20"/>
                <w:szCs w:val="20"/>
                <w:color w:val="auto"/>
              </w:rPr>
            </w:pPr>
            <w:r>
              <w:rPr>
                <w:rFonts w:ascii="Arial" w:cs="Arial" w:eastAsia="Arial" w:hAnsi="Arial"/>
                <w:sz w:val="14"/>
                <w:szCs w:val="14"/>
                <w:b w:val="1"/>
                <w:bCs w:val="1"/>
                <w:color w:val="auto"/>
              </w:rPr>
              <w:t>Total</w:t>
            </w:r>
          </w:p>
        </w:tc>
      </w:tr>
      <w:tr>
        <w:trPr>
          <w:trHeight w:val="265"/>
        </w:trPr>
        <w:tc>
          <w:tcPr>
            <w:tcW w:w="25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Equipment leasing revenues</w:t>
            </w:r>
          </w:p>
        </w:tc>
        <w:tc>
          <w:tcPr>
            <w:tcW w:w="180" w:type="dxa"/>
            <w:vAlign w:val="bottom"/>
            <w:tcBorders>
              <w:top w:val="single" w:sz="8" w:color="auto"/>
            </w:tcBorders>
            <w:shd w:val="clear" w:color="auto" w:fill="CCEEFF"/>
          </w:tcPr>
          <w:p>
            <w:pPr>
              <w:spacing w:after="0"/>
              <w:rPr>
                <w:sz w:val="23"/>
                <w:szCs w:val="23"/>
                <w:color w:val="auto"/>
              </w:rPr>
            </w:pPr>
          </w:p>
        </w:tc>
        <w:tc>
          <w:tcPr>
            <w:tcW w:w="860" w:type="dxa"/>
            <w:vAlign w:val="bottom"/>
            <w:tcBorders>
              <w:top w:val="single" w:sz="8" w:color="auto"/>
            </w:tcBorders>
            <w:shd w:val="clear" w:color="auto" w:fill="CCEEFF"/>
          </w:tcPr>
          <w:p>
            <w:pPr>
              <w:spacing w:after="0"/>
              <w:rPr>
                <w:sz w:val="23"/>
                <w:szCs w:val="23"/>
                <w:color w:val="auto"/>
              </w:rPr>
            </w:pPr>
          </w:p>
        </w:tc>
        <w:tc>
          <w:tcPr>
            <w:tcW w:w="4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180" w:type="dxa"/>
            <w:vAlign w:val="bottom"/>
            <w:tcBorders>
              <w:top w:val="single" w:sz="8" w:color="auto"/>
            </w:tcBorders>
            <w:shd w:val="clear" w:color="auto" w:fill="CCEEFF"/>
          </w:tcPr>
          <w:p>
            <w:pPr>
              <w:spacing w:after="0"/>
              <w:rPr>
                <w:sz w:val="23"/>
                <w:szCs w:val="23"/>
                <w:color w:val="auto"/>
              </w:rPr>
            </w:pPr>
          </w:p>
        </w:tc>
        <w:tc>
          <w:tcPr>
            <w:tcW w:w="92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140" w:type="dxa"/>
            <w:vAlign w:val="bottom"/>
            <w:tcBorders>
              <w:top w:val="single" w:sz="8" w:color="auto"/>
            </w:tcBorders>
            <w:shd w:val="clear" w:color="auto" w:fill="CCEEFF"/>
          </w:tcPr>
          <w:p>
            <w:pPr>
              <w:spacing w:after="0"/>
              <w:rPr>
                <w:sz w:val="23"/>
                <w:szCs w:val="23"/>
                <w:color w:val="auto"/>
              </w:rPr>
            </w:pPr>
          </w:p>
        </w:tc>
        <w:tc>
          <w:tcPr>
            <w:tcW w:w="92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160" w:type="dxa"/>
            <w:vAlign w:val="bottom"/>
            <w:tcBorders>
              <w:top w:val="single" w:sz="8" w:color="auto"/>
            </w:tcBorders>
            <w:shd w:val="clear" w:color="auto" w:fill="CCEEFF"/>
          </w:tcPr>
          <w:p>
            <w:pPr>
              <w:spacing w:after="0"/>
              <w:rPr>
                <w:sz w:val="23"/>
                <w:szCs w:val="23"/>
                <w:color w:val="auto"/>
              </w:rPr>
            </w:pPr>
          </w:p>
        </w:tc>
        <w:tc>
          <w:tcPr>
            <w:tcW w:w="90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180" w:type="dxa"/>
            <w:vAlign w:val="bottom"/>
            <w:tcBorders>
              <w:top w:val="single" w:sz="8" w:color="auto"/>
            </w:tcBorders>
            <w:shd w:val="clear" w:color="auto" w:fill="CCEEFF"/>
          </w:tcPr>
          <w:p>
            <w:pPr>
              <w:spacing w:after="0"/>
              <w:rPr>
                <w:sz w:val="23"/>
                <w:szCs w:val="23"/>
                <w:color w:val="auto"/>
              </w:rPr>
            </w:pPr>
          </w:p>
        </w:tc>
        <w:tc>
          <w:tcPr>
            <w:tcW w:w="88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160" w:type="dxa"/>
            <w:vAlign w:val="bottom"/>
            <w:tcBorders>
              <w:top w:val="single" w:sz="8" w:color="auto"/>
            </w:tcBorders>
            <w:shd w:val="clear" w:color="auto" w:fill="CCEEFF"/>
          </w:tcPr>
          <w:p>
            <w:pPr>
              <w:spacing w:after="0"/>
              <w:rPr>
                <w:sz w:val="23"/>
                <w:szCs w:val="23"/>
                <w:color w:val="auto"/>
              </w:rPr>
            </w:pPr>
          </w:p>
        </w:tc>
        <w:tc>
          <w:tcPr>
            <w:tcW w:w="90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240" w:type="dxa"/>
            <w:vAlign w:val="bottom"/>
            <w:tcBorders>
              <w:top w:val="single" w:sz="8" w:color="auto"/>
            </w:tcBorders>
            <w:shd w:val="clear" w:color="auto" w:fill="CCEEFF"/>
          </w:tcPr>
          <w:p>
            <w:pPr>
              <w:spacing w:after="0"/>
              <w:rPr>
                <w:sz w:val="23"/>
                <w:szCs w:val="23"/>
                <w:color w:val="auto"/>
              </w:rPr>
            </w:pPr>
          </w:p>
        </w:tc>
        <w:tc>
          <w:tcPr>
            <w:tcW w:w="820" w:type="dxa"/>
            <w:vAlign w:val="bottom"/>
            <w:tcBorders>
              <w:top w:val="single" w:sz="8" w:color="auto"/>
            </w:tcBorders>
            <w:shd w:val="clear" w:color="auto" w:fill="CCEEFF"/>
          </w:tcPr>
          <w:p>
            <w:pPr>
              <w:spacing w:after="0"/>
              <w:rPr>
                <w:sz w:val="23"/>
                <w:szCs w:val="23"/>
                <w:color w:val="auto"/>
              </w:rPr>
            </w:pPr>
          </w:p>
        </w:tc>
      </w:tr>
      <w:tr>
        <w:trPr>
          <w:trHeight w:val="269"/>
        </w:trPr>
        <w:tc>
          <w:tcPr>
            <w:tcW w:w="2580" w:type="dxa"/>
            <w:vAlign w:val="bottom"/>
          </w:tcPr>
          <w:p>
            <w:pPr>
              <w:ind w:left="380"/>
              <w:spacing w:after="0"/>
              <w:rPr>
                <w:sz w:val="20"/>
                <w:szCs w:val="20"/>
                <w:color w:val="auto"/>
              </w:rPr>
            </w:pPr>
            <w:r>
              <w:rPr>
                <w:rFonts w:ascii="Arial" w:cs="Arial" w:eastAsia="Arial" w:hAnsi="Arial"/>
                <w:sz w:val="14"/>
                <w:szCs w:val="14"/>
                <w:color w:val="auto"/>
              </w:rPr>
              <w:t>Lease income</w:t>
            </w:r>
          </w:p>
        </w:tc>
        <w:tc>
          <w:tcPr>
            <w:tcW w:w="180" w:type="dxa"/>
            <w:vAlign w:val="bottom"/>
          </w:tcPr>
          <w:p>
            <w:pPr>
              <w:jc w:val="right"/>
              <w:ind w:right="8"/>
              <w:spacing w:after="0"/>
              <w:rPr>
                <w:sz w:val="20"/>
                <w:szCs w:val="20"/>
                <w:color w:val="auto"/>
              </w:rPr>
            </w:pPr>
            <w:r>
              <w:rPr>
                <w:rFonts w:ascii="Arial" w:cs="Arial" w:eastAsia="Arial" w:hAnsi="Arial"/>
                <w:sz w:val="14"/>
                <w:szCs w:val="14"/>
                <w:b w:val="1"/>
                <w:bCs w:val="1"/>
                <w:color w:val="auto"/>
              </w:rPr>
              <w:t>$</w:t>
            </w:r>
          </w:p>
        </w:tc>
        <w:tc>
          <w:tcPr>
            <w:tcW w:w="860" w:type="dxa"/>
            <w:vAlign w:val="bottom"/>
          </w:tcPr>
          <w:p>
            <w:pPr>
              <w:jc w:val="right"/>
              <w:spacing w:after="0"/>
              <w:rPr>
                <w:sz w:val="20"/>
                <w:szCs w:val="20"/>
                <w:color w:val="auto"/>
              </w:rPr>
            </w:pPr>
            <w:r>
              <w:rPr>
                <w:rFonts w:ascii="Arial" w:cs="Arial" w:eastAsia="Arial" w:hAnsi="Arial"/>
                <w:sz w:val="14"/>
                <w:szCs w:val="14"/>
                <w:b w:val="1"/>
                <w:bCs w:val="1"/>
                <w:color w:val="auto"/>
              </w:rPr>
              <w:t>63,577</w:t>
            </w:r>
          </w:p>
        </w:tc>
        <w:tc>
          <w:tcPr>
            <w:tcW w:w="340" w:type="dxa"/>
            <w:vAlign w:val="bottom"/>
            <w:gridSpan w:val="3"/>
          </w:tcPr>
          <w:p>
            <w:pPr>
              <w:jc w:val="right"/>
              <w:spacing w:after="0"/>
              <w:rPr>
                <w:sz w:val="20"/>
                <w:szCs w:val="20"/>
                <w:color w:val="auto"/>
              </w:rPr>
            </w:pPr>
            <w:r>
              <w:rPr>
                <w:rFonts w:ascii="Arial" w:cs="Arial" w:eastAsia="Arial" w:hAnsi="Arial"/>
                <w:sz w:val="14"/>
                <w:szCs w:val="14"/>
                <w:b w:val="1"/>
                <w:bCs w:val="1"/>
                <w:color w:val="auto"/>
              </w:rPr>
              <w:t>$</w:t>
            </w:r>
          </w:p>
        </w:tc>
        <w:tc>
          <w:tcPr>
            <w:tcW w:w="920" w:type="dxa"/>
            <w:vAlign w:val="bottom"/>
          </w:tcPr>
          <w:p>
            <w:pPr>
              <w:jc w:val="right"/>
              <w:ind w:right="28"/>
              <w:spacing w:after="0"/>
              <w:rPr>
                <w:sz w:val="20"/>
                <w:szCs w:val="20"/>
                <w:color w:val="auto"/>
              </w:rPr>
            </w:pPr>
            <w:r>
              <w:rPr>
                <w:rFonts w:ascii="Arial" w:cs="Arial" w:eastAsia="Arial" w:hAnsi="Arial"/>
                <w:sz w:val="14"/>
                <w:szCs w:val="14"/>
                <w:b w:val="1"/>
                <w:bCs w:val="1"/>
                <w:color w:val="auto"/>
              </w:rPr>
              <w:t>7,295</w:t>
            </w:r>
          </w:p>
        </w:tc>
        <w:tc>
          <w:tcPr>
            <w:tcW w:w="120" w:type="dxa"/>
            <w:vAlign w:val="bottom"/>
          </w:tcPr>
          <w:p>
            <w:pPr>
              <w:spacing w:after="0"/>
              <w:rPr>
                <w:sz w:val="23"/>
                <w:szCs w:val="23"/>
                <w:color w:val="auto"/>
              </w:rPr>
            </w:pPr>
          </w:p>
        </w:tc>
        <w:tc>
          <w:tcPr>
            <w:tcW w:w="14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02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rPr>
              <w:t>—</w:t>
            </w:r>
          </w:p>
        </w:tc>
        <w:tc>
          <w:tcPr>
            <w:tcW w:w="16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00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rPr>
              <w:t>—</w:t>
            </w:r>
          </w:p>
        </w:tc>
        <w:tc>
          <w:tcPr>
            <w:tcW w:w="18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98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rPr>
              <w:t>—</w:t>
            </w:r>
          </w:p>
        </w:tc>
        <w:tc>
          <w:tcPr>
            <w:tcW w:w="16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00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rPr>
              <w:t>—</w:t>
            </w:r>
          </w:p>
        </w:tc>
        <w:tc>
          <w:tcPr>
            <w:tcW w:w="240" w:type="dxa"/>
            <w:vAlign w:val="bottom"/>
          </w:tcPr>
          <w:p>
            <w:pPr>
              <w:jc w:val="right"/>
              <w:ind w:right="48"/>
              <w:spacing w:after="0"/>
              <w:rPr>
                <w:sz w:val="20"/>
                <w:szCs w:val="20"/>
                <w:color w:val="auto"/>
              </w:rPr>
            </w:pPr>
            <w:r>
              <w:rPr>
                <w:rFonts w:ascii="Arial" w:cs="Arial" w:eastAsia="Arial" w:hAnsi="Arial"/>
                <w:sz w:val="14"/>
                <w:szCs w:val="14"/>
                <w:b w:val="1"/>
                <w:bCs w:val="1"/>
                <w:color w:val="auto"/>
              </w:rPr>
              <w:t>$</w:t>
            </w:r>
          </w:p>
        </w:tc>
        <w:tc>
          <w:tcPr>
            <w:tcW w:w="820" w:type="dxa"/>
            <w:vAlign w:val="bottom"/>
          </w:tcPr>
          <w:p>
            <w:pPr>
              <w:jc w:val="right"/>
              <w:ind w:right="28"/>
              <w:spacing w:after="0"/>
              <w:rPr>
                <w:sz w:val="20"/>
                <w:szCs w:val="20"/>
                <w:color w:val="auto"/>
              </w:rPr>
            </w:pPr>
            <w:r>
              <w:rPr>
                <w:rFonts w:ascii="Arial" w:cs="Arial" w:eastAsia="Arial" w:hAnsi="Arial"/>
                <w:sz w:val="14"/>
                <w:szCs w:val="14"/>
                <w:b w:val="1"/>
                <w:bCs w:val="1"/>
                <w:color w:val="auto"/>
              </w:rPr>
              <w:t>70,872</w:t>
            </w:r>
          </w:p>
        </w:tc>
      </w:tr>
      <w:tr>
        <w:trPr>
          <w:trHeight w:val="271"/>
        </w:trPr>
        <w:tc>
          <w:tcPr>
            <w:tcW w:w="2580" w:type="dxa"/>
            <w:vAlign w:val="bottom"/>
            <w:shd w:val="clear" w:color="auto" w:fill="CCEEFF"/>
          </w:tcPr>
          <w:p>
            <w:pPr>
              <w:ind w:left="380"/>
              <w:spacing w:after="0"/>
              <w:rPr>
                <w:sz w:val="20"/>
                <w:szCs w:val="20"/>
                <w:color w:val="auto"/>
              </w:rPr>
            </w:pPr>
            <w:r>
              <w:rPr>
                <w:rFonts w:ascii="Arial" w:cs="Arial" w:eastAsia="Arial" w:hAnsi="Arial"/>
                <w:sz w:val="14"/>
                <w:szCs w:val="14"/>
                <w:color w:val="auto"/>
              </w:rPr>
              <w:t>Maintenance revenue</w:t>
            </w:r>
          </w:p>
        </w:tc>
        <w:tc>
          <w:tcPr>
            <w:tcW w:w="180" w:type="dxa"/>
            <w:vAlign w:val="bottom"/>
            <w:shd w:val="clear" w:color="auto" w:fill="CCEEFF"/>
          </w:tcPr>
          <w:p>
            <w:pPr>
              <w:spacing w:after="0"/>
              <w:rPr>
                <w:sz w:val="23"/>
                <w:szCs w:val="23"/>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46,778</w:t>
            </w:r>
          </w:p>
        </w:tc>
        <w:tc>
          <w:tcPr>
            <w:tcW w:w="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b w:val="1"/>
                <w:bCs w:val="1"/>
                <w:color w:val="auto"/>
              </w:rPr>
              <w:t>—</w:t>
            </w:r>
          </w:p>
        </w:tc>
        <w:tc>
          <w:tcPr>
            <w:tcW w:w="140" w:type="dxa"/>
            <w:vAlign w:val="bottom"/>
            <w:shd w:val="clear" w:color="auto" w:fill="CCEEFF"/>
          </w:tcPr>
          <w:p>
            <w:pPr>
              <w:spacing w:after="0"/>
              <w:rPr>
                <w:sz w:val="23"/>
                <w:szCs w:val="23"/>
                <w:color w:val="auto"/>
              </w:rPr>
            </w:pP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b w:val="1"/>
                <w:bCs w:val="1"/>
                <w:color w:val="auto"/>
              </w:rPr>
              <w:t>—</w:t>
            </w:r>
          </w:p>
        </w:tc>
        <w:tc>
          <w:tcPr>
            <w:tcW w:w="160" w:type="dxa"/>
            <w:vAlign w:val="bottom"/>
            <w:shd w:val="clear" w:color="auto" w:fill="CCEEFF"/>
          </w:tcPr>
          <w:p>
            <w:pPr>
              <w:spacing w:after="0"/>
              <w:rPr>
                <w:sz w:val="23"/>
                <w:szCs w:val="23"/>
                <w:color w:val="auto"/>
              </w:rPr>
            </w:pP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b w:val="1"/>
                <w:bCs w:val="1"/>
                <w:color w:val="auto"/>
              </w:rPr>
              <w:t>—</w:t>
            </w:r>
          </w:p>
        </w:tc>
        <w:tc>
          <w:tcPr>
            <w:tcW w:w="180" w:type="dxa"/>
            <w:vAlign w:val="bottom"/>
            <w:shd w:val="clear" w:color="auto" w:fill="CCEEFF"/>
          </w:tcPr>
          <w:p>
            <w:pPr>
              <w:spacing w:after="0"/>
              <w:rPr>
                <w:sz w:val="23"/>
                <w:szCs w:val="23"/>
                <w:color w:val="auto"/>
              </w:rPr>
            </w:pP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b w:val="1"/>
                <w:bCs w:val="1"/>
                <w:color w:val="auto"/>
              </w:rPr>
              <w:t>—</w:t>
            </w:r>
          </w:p>
        </w:tc>
        <w:tc>
          <w:tcPr>
            <w:tcW w:w="160" w:type="dxa"/>
            <w:vAlign w:val="bottom"/>
            <w:shd w:val="clear" w:color="auto" w:fill="CCEEFF"/>
          </w:tcPr>
          <w:p>
            <w:pPr>
              <w:spacing w:after="0"/>
              <w:rPr>
                <w:sz w:val="23"/>
                <w:szCs w:val="23"/>
                <w:color w:val="auto"/>
              </w:rPr>
            </w:pP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b w:val="1"/>
                <w:bCs w:val="1"/>
                <w:color w:val="auto"/>
              </w:rPr>
              <w:t>—</w:t>
            </w:r>
          </w:p>
        </w:tc>
        <w:tc>
          <w:tcPr>
            <w:tcW w:w="240" w:type="dxa"/>
            <w:vAlign w:val="bottom"/>
            <w:shd w:val="clear" w:color="auto" w:fill="CCEEFF"/>
          </w:tcPr>
          <w:p>
            <w:pPr>
              <w:spacing w:after="0"/>
              <w:rPr>
                <w:sz w:val="23"/>
                <w:szCs w:val="23"/>
                <w:color w:val="auto"/>
              </w:rPr>
            </w:pPr>
          </w:p>
        </w:tc>
        <w:tc>
          <w:tcPr>
            <w:tcW w:w="82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46,778</w:t>
            </w:r>
          </w:p>
        </w:tc>
      </w:tr>
      <w:tr>
        <w:trPr>
          <w:trHeight w:val="269"/>
        </w:trPr>
        <w:tc>
          <w:tcPr>
            <w:tcW w:w="2580" w:type="dxa"/>
            <w:vAlign w:val="bottom"/>
          </w:tcPr>
          <w:p>
            <w:pPr>
              <w:ind w:left="380"/>
              <w:spacing w:after="0"/>
              <w:rPr>
                <w:sz w:val="20"/>
                <w:szCs w:val="20"/>
                <w:color w:val="auto"/>
              </w:rPr>
            </w:pPr>
            <w:r>
              <w:rPr>
                <w:rFonts w:ascii="Arial" w:cs="Arial" w:eastAsia="Arial" w:hAnsi="Arial"/>
                <w:sz w:val="14"/>
                <w:szCs w:val="14"/>
                <w:color w:val="auto"/>
              </w:rPr>
              <w:t>Finance lease income</w:t>
            </w:r>
          </w:p>
        </w:tc>
        <w:tc>
          <w:tcPr>
            <w:tcW w:w="18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920" w:type="dxa"/>
            <w:vAlign w:val="bottom"/>
          </w:tcPr>
          <w:p>
            <w:pPr>
              <w:jc w:val="right"/>
              <w:ind w:right="28"/>
              <w:spacing w:after="0"/>
              <w:rPr>
                <w:sz w:val="20"/>
                <w:szCs w:val="20"/>
                <w:color w:val="auto"/>
              </w:rPr>
            </w:pPr>
            <w:r>
              <w:rPr>
                <w:rFonts w:ascii="Arial" w:cs="Arial" w:eastAsia="Arial" w:hAnsi="Arial"/>
                <w:sz w:val="14"/>
                <w:szCs w:val="14"/>
                <w:b w:val="1"/>
                <w:bCs w:val="1"/>
                <w:color w:val="auto"/>
              </w:rPr>
              <w:t>1,156</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23"/>
                <w:szCs w:val="23"/>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rPr>
              <w:t>—</w:t>
            </w:r>
          </w:p>
        </w:tc>
        <w:tc>
          <w:tcPr>
            <w:tcW w:w="180" w:type="dxa"/>
            <w:vAlign w:val="bottom"/>
          </w:tcPr>
          <w:p>
            <w:pPr>
              <w:spacing w:after="0"/>
              <w:rPr>
                <w:sz w:val="23"/>
                <w:szCs w:val="23"/>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23"/>
                <w:szCs w:val="23"/>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rPr>
              <w:t>—</w:t>
            </w:r>
          </w:p>
        </w:tc>
        <w:tc>
          <w:tcPr>
            <w:tcW w:w="240" w:type="dxa"/>
            <w:vAlign w:val="bottom"/>
          </w:tcPr>
          <w:p>
            <w:pPr>
              <w:spacing w:after="0"/>
              <w:rPr>
                <w:sz w:val="23"/>
                <w:szCs w:val="23"/>
                <w:color w:val="auto"/>
              </w:rPr>
            </w:pPr>
          </w:p>
        </w:tc>
        <w:tc>
          <w:tcPr>
            <w:tcW w:w="820" w:type="dxa"/>
            <w:vAlign w:val="bottom"/>
          </w:tcPr>
          <w:p>
            <w:pPr>
              <w:jc w:val="right"/>
              <w:ind w:right="28"/>
              <w:spacing w:after="0"/>
              <w:rPr>
                <w:sz w:val="20"/>
                <w:szCs w:val="20"/>
                <w:color w:val="auto"/>
              </w:rPr>
            </w:pPr>
            <w:r>
              <w:rPr>
                <w:rFonts w:ascii="Arial" w:cs="Arial" w:eastAsia="Arial" w:hAnsi="Arial"/>
                <w:sz w:val="14"/>
                <w:szCs w:val="14"/>
                <w:b w:val="1"/>
                <w:bCs w:val="1"/>
                <w:color w:val="auto"/>
              </w:rPr>
              <w:t>1,156</w:t>
            </w:r>
          </w:p>
        </w:tc>
      </w:tr>
      <w:tr>
        <w:trPr>
          <w:trHeight w:val="271"/>
        </w:trPr>
        <w:tc>
          <w:tcPr>
            <w:tcW w:w="2580" w:type="dxa"/>
            <w:vAlign w:val="bottom"/>
            <w:shd w:val="clear" w:color="auto" w:fill="CCEEFF"/>
          </w:tcPr>
          <w:p>
            <w:pPr>
              <w:ind w:left="380"/>
              <w:spacing w:after="0"/>
              <w:rPr>
                <w:sz w:val="20"/>
                <w:szCs w:val="20"/>
                <w:color w:val="auto"/>
              </w:rPr>
            </w:pPr>
            <w:r>
              <w:rPr>
                <w:rFonts w:ascii="Arial" w:cs="Arial" w:eastAsia="Arial" w:hAnsi="Arial"/>
                <w:sz w:val="14"/>
                <w:szCs w:val="14"/>
                <w:color w:val="auto"/>
              </w:rPr>
              <w:t>Other revenue</w:t>
            </w:r>
          </w:p>
        </w:tc>
        <w:tc>
          <w:tcPr>
            <w:tcW w:w="180" w:type="dxa"/>
            <w:vAlign w:val="bottom"/>
            <w:shd w:val="clear" w:color="auto" w:fill="CCEEFF"/>
          </w:tcPr>
          <w:p>
            <w:pPr>
              <w:spacing w:after="0"/>
              <w:rPr>
                <w:sz w:val="23"/>
                <w:szCs w:val="23"/>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2</w:t>
            </w:r>
          </w:p>
        </w:tc>
        <w:tc>
          <w:tcPr>
            <w:tcW w:w="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92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2,504</w:t>
            </w: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92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75</w:t>
            </w: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b w:val="1"/>
                <w:bCs w:val="1"/>
                <w:color w:val="auto"/>
              </w:rPr>
              <w:t>—</w:t>
            </w:r>
          </w:p>
        </w:tc>
        <w:tc>
          <w:tcPr>
            <w:tcW w:w="180" w:type="dxa"/>
            <w:vAlign w:val="bottom"/>
            <w:shd w:val="clear" w:color="auto" w:fill="CCEEFF"/>
          </w:tcPr>
          <w:p>
            <w:pPr>
              <w:spacing w:after="0"/>
              <w:rPr>
                <w:sz w:val="23"/>
                <w:szCs w:val="23"/>
                <w:color w:val="auto"/>
              </w:rPr>
            </w:pP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b w:val="1"/>
                <w:bCs w:val="1"/>
                <w:color w:val="auto"/>
              </w:rPr>
              <w:t>—</w:t>
            </w:r>
          </w:p>
        </w:tc>
        <w:tc>
          <w:tcPr>
            <w:tcW w:w="160" w:type="dxa"/>
            <w:vAlign w:val="bottom"/>
            <w:shd w:val="clear" w:color="auto" w:fill="CCEEFF"/>
          </w:tcPr>
          <w:p>
            <w:pPr>
              <w:spacing w:after="0"/>
              <w:rPr>
                <w:sz w:val="23"/>
                <w:szCs w:val="23"/>
                <w:color w:val="auto"/>
              </w:rPr>
            </w:pP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b w:val="1"/>
                <w:bCs w:val="1"/>
                <w:color w:val="auto"/>
              </w:rPr>
              <w:t>—</w:t>
            </w:r>
          </w:p>
        </w:tc>
        <w:tc>
          <w:tcPr>
            <w:tcW w:w="240" w:type="dxa"/>
            <w:vAlign w:val="bottom"/>
            <w:shd w:val="clear" w:color="auto" w:fill="CCEEFF"/>
          </w:tcPr>
          <w:p>
            <w:pPr>
              <w:spacing w:after="0"/>
              <w:rPr>
                <w:sz w:val="23"/>
                <w:szCs w:val="23"/>
                <w:color w:val="auto"/>
              </w:rPr>
            </w:pPr>
          </w:p>
        </w:tc>
        <w:tc>
          <w:tcPr>
            <w:tcW w:w="82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2,581</w:t>
            </w:r>
          </w:p>
        </w:tc>
      </w:tr>
      <w:tr>
        <w:trPr>
          <w:trHeight w:val="154"/>
        </w:trPr>
        <w:tc>
          <w:tcPr>
            <w:tcW w:w="2580" w:type="dxa"/>
            <w:vAlign w:val="bottom"/>
          </w:tcPr>
          <w:p>
            <w:pPr>
              <w:ind w:left="380"/>
              <w:spacing w:after="0" w:line="154" w:lineRule="exact"/>
              <w:rPr>
                <w:sz w:val="20"/>
                <w:szCs w:val="20"/>
                <w:color w:val="auto"/>
              </w:rPr>
            </w:pPr>
            <w:r>
              <w:rPr>
                <w:rFonts w:ascii="Arial" w:cs="Arial" w:eastAsia="Arial" w:hAnsi="Arial"/>
                <w:sz w:val="14"/>
                <w:szCs w:val="14"/>
                <w:b w:val="1"/>
                <w:bCs w:val="1"/>
                <w:color w:val="auto"/>
              </w:rPr>
              <w:t>Total equipment leasing</w:t>
            </w:r>
          </w:p>
        </w:tc>
        <w:tc>
          <w:tcPr>
            <w:tcW w:w="180" w:type="dxa"/>
            <w:vAlign w:val="bottom"/>
            <w:tcBorders>
              <w:top w:val="single" w:sz="8" w:color="auto"/>
            </w:tcBorders>
          </w:tcPr>
          <w:p>
            <w:pPr>
              <w:spacing w:after="0"/>
              <w:rPr>
                <w:sz w:val="13"/>
                <w:szCs w:val="13"/>
                <w:color w:val="auto"/>
              </w:rPr>
            </w:pPr>
          </w:p>
        </w:tc>
        <w:tc>
          <w:tcPr>
            <w:tcW w:w="860" w:type="dxa"/>
            <w:vAlign w:val="bottom"/>
            <w:tcBorders>
              <w:top w:val="single" w:sz="8" w:color="auto"/>
            </w:tcBorders>
          </w:tcPr>
          <w:p>
            <w:pPr>
              <w:spacing w:after="0"/>
              <w:rPr>
                <w:sz w:val="13"/>
                <w:szCs w:val="13"/>
                <w:color w:val="auto"/>
              </w:rPr>
            </w:pPr>
          </w:p>
        </w:tc>
        <w:tc>
          <w:tcPr>
            <w:tcW w:w="4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92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92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90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88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90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820" w:type="dxa"/>
            <w:vAlign w:val="bottom"/>
            <w:tcBorders>
              <w:top w:val="single" w:sz="8" w:color="auto"/>
            </w:tcBorders>
          </w:tcPr>
          <w:p>
            <w:pPr>
              <w:spacing w:after="0"/>
              <w:rPr>
                <w:sz w:val="13"/>
                <w:szCs w:val="13"/>
                <w:color w:val="auto"/>
              </w:rPr>
            </w:pPr>
          </w:p>
        </w:tc>
      </w:tr>
      <w:tr>
        <w:trPr>
          <w:trHeight w:val="203"/>
        </w:trPr>
        <w:tc>
          <w:tcPr>
            <w:tcW w:w="2580" w:type="dxa"/>
            <w:vAlign w:val="bottom"/>
          </w:tcPr>
          <w:p>
            <w:pPr>
              <w:ind w:left="380"/>
              <w:spacing w:after="0"/>
              <w:rPr>
                <w:sz w:val="20"/>
                <w:szCs w:val="20"/>
                <w:color w:val="auto"/>
              </w:rPr>
            </w:pPr>
            <w:r>
              <w:rPr>
                <w:rFonts w:ascii="Arial" w:cs="Arial" w:eastAsia="Arial" w:hAnsi="Arial"/>
                <w:sz w:val="14"/>
                <w:szCs w:val="14"/>
                <w:b w:val="1"/>
                <w:bCs w:val="1"/>
                <w:color w:val="auto"/>
              </w:rPr>
              <w:t>revenues</w:t>
            </w:r>
          </w:p>
        </w:tc>
        <w:tc>
          <w:tcPr>
            <w:tcW w:w="18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4"/>
                <w:szCs w:val="14"/>
                <w:b w:val="1"/>
                <w:bCs w:val="1"/>
                <w:color w:val="auto"/>
              </w:rPr>
              <w:t>110,357</w:t>
            </w: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20" w:type="dxa"/>
            <w:vAlign w:val="bottom"/>
          </w:tcPr>
          <w:p>
            <w:pPr>
              <w:jc w:val="right"/>
              <w:ind w:right="28"/>
              <w:spacing w:after="0"/>
              <w:rPr>
                <w:sz w:val="20"/>
                <w:szCs w:val="20"/>
                <w:color w:val="auto"/>
              </w:rPr>
            </w:pPr>
            <w:r>
              <w:rPr>
                <w:rFonts w:ascii="Arial" w:cs="Arial" w:eastAsia="Arial" w:hAnsi="Arial"/>
                <w:sz w:val="14"/>
                <w:szCs w:val="14"/>
                <w:b w:val="1"/>
                <w:bCs w:val="1"/>
                <w:color w:val="auto"/>
              </w:rPr>
              <w:t>10,955</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tcPr>
          <w:p>
            <w:pPr>
              <w:jc w:val="right"/>
              <w:ind w:right="28"/>
              <w:spacing w:after="0"/>
              <w:rPr>
                <w:sz w:val="20"/>
                <w:szCs w:val="20"/>
                <w:color w:val="auto"/>
              </w:rPr>
            </w:pPr>
            <w:r>
              <w:rPr>
                <w:rFonts w:ascii="Arial" w:cs="Arial" w:eastAsia="Arial" w:hAnsi="Arial"/>
                <w:sz w:val="14"/>
                <w:szCs w:val="14"/>
                <w:b w:val="1"/>
                <w:bCs w:val="1"/>
                <w:color w:val="auto"/>
              </w:rPr>
              <w:t>75</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rPr>
              <w:t>—</w:t>
            </w:r>
          </w:p>
        </w:tc>
        <w:tc>
          <w:tcPr>
            <w:tcW w:w="180" w:type="dxa"/>
            <w:vAlign w:val="bottom"/>
          </w:tcPr>
          <w:p>
            <w:pPr>
              <w:spacing w:after="0"/>
              <w:rPr>
                <w:sz w:val="17"/>
                <w:szCs w:val="17"/>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7"/>
                <w:szCs w:val="17"/>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rPr>
              <w:t>—</w:t>
            </w:r>
          </w:p>
        </w:tc>
        <w:tc>
          <w:tcPr>
            <w:tcW w:w="240" w:type="dxa"/>
            <w:vAlign w:val="bottom"/>
          </w:tcPr>
          <w:p>
            <w:pPr>
              <w:spacing w:after="0"/>
              <w:rPr>
                <w:sz w:val="17"/>
                <w:szCs w:val="17"/>
                <w:color w:val="auto"/>
              </w:rPr>
            </w:pPr>
          </w:p>
        </w:tc>
        <w:tc>
          <w:tcPr>
            <w:tcW w:w="820" w:type="dxa"/>
            <w:vAlign w:val="bottom"/>
          </w:tcPr>
          <w:p>
            <w:pPr>
              <w:jc w:val="right"/>
              <w:ind w:right="28"/>
              <w:spacing w:after="0"/>
              <w:rPr>
                <w:sz w:val="20"/>
                <w:szCs w:val="20"/>
                <w:color w:val="auto"/>
              </w:rPr>
            </w:pPr>
            <w:r>
              <w:rPr>
                <w:rFonts w:ascii="Arial" w:cs="Arial" w:eastAsia="Arial" w:hAnsi="Arial"/>
                <w:sz w:val="14"/>
                <w:szCs w:val="14"/>
                <w:b w:val="1"/>
                <w:bCs w:val="1"/>
                <w:color w:val="auto"/>
              </w:rPr>
              <w:t>121,387</w:t>
            </w:r>
          </w:p>
        </w:tc>
      </w:tr>
      <w:tr>
        <w:trPr>
          <w:trHeight w:val="265"/>
        </w:trPr>
        <w:tc>
          <w:tcPr>
            <w:tcW w:w="25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Infrastructure revenues</w:t>
            </w:r>
          </w:p>
        </w:tc>
        <w:tc>
          <w:tcPr>
            <w:tcW w:w="180" w:type="dxa"/>
            <w:vAlign w:val="bottom"/>
            <w:tcBorders>
              <w:top w:val="single" w:sz="8" w:color="auto"/>
            </w:tcBorders>
            <w:shd w:val="clear" w:color="auto" w:fill="CCEEFF"/>
          </w:tcPr>
          <w:p>
            <w:pPr>
              <w:spacing w:after="0"/>
              <w:rPr>
                <w:sz w:val="23"/>
                <w:szCs w:val="23"/>
                <w:color w:val="auto"/>
              </w:rPr>
            </w:pPr>
          </w:p>
        </w:tc>
        <w:tc>
          <w:tcPr>
            <w:tcW w:w="860" w:type="dxa"/>
            <w:vAlign w:val="bottom"/>
            <w:tcBorders>
              <w:top w:val="single" w:sz="8" w:color="auto"/>
            </w:tcBorders>
            <w:shd w:val="clear" w:color="auto" w:fill="CCEEFF"/>
          </w:tcPr>
          <w:p>
            <w:pPr>
              <w:spacing w:after="0"/>
              <w:rPr>
                <w:sz w:val="23"/>
                <w:szCs w:val="23"/>
                <w:color w:val="auto"/>
              </w:rPr>
            </w:pPr>
          </w:p>
        </w:tc>
        <w:tc>
          <w:tcPr>
            <w:tcW w:w="4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180" w:type="dxa"/>
            <w:vAlign w:val="bottom"/>
            <w:tcBorders>
              <w:top w:val="single" w:sz="8" w:color="auto"/>
            </w:tcBorders>
            <w:shd w:val="clear" w:color="auto" w:fill="CCEEFF"/>
          </w:tcPr>
          <w:p>
            <w:pPr>
              <w:spacing w:after="0"/>
              <w:rPr>
                <w:sz w:val="23"/>
                <w:szCs w:val="23"/>
                <w:color w:val="auto"/>
              </w:rPr>
            </w:pPr>
          </w:p>
        </w:tc>
        <w:tc>
          <w:tcPr>
            <w:tcW w:w="92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140" w:type="dxa"/>
            <w:vAlign w:val="bottom"/>
            <w:tcBorders>
              <w:top w:val="single" w:sz="8" w:color="auto"/>
            </w:tcBorders>
            <w:shd w:val="clear" w:color="auto" w:fill="CCEEFF"/>
          </w:tcPr>
          <w:p>
            <w:pPr>
              <w:spacing w:after="0"/>
              <w:rPr>
                <w:sz w:val="23"/>
                <w:szCs w:val="23"/>
                <w:color w:val="auto"/>
              </w:rPr>
            </w:pPr>
          </w:p>
        </w:tc>
        <w:tc>
          <w:tcPr>
            <w:tcW w:w="92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160" w:type="dxa"/>
            <w:vAlign w:val="bottom"/>
            <w:tcBorders>
              <w:top w:val="single" w:sz="8" w:color="auto"/>
            </w:tcBorders>
            <w:shd w:val="clear" w:color="auto" w:fill="CCEEFF"/>
          </w:tcPr>
          <w:p>
            <w:pPr>
              <w:spacing w:after="0"/>
              <w:rPr>
                <w:sz w:val="23"/>
                <w:szCs w:val="23"/>
                <w:color w:val="auto"/>
              </w:rPr>
            </w:pPr>
          </w:p>
        </w:tc>
        <w:tc>
          <w:tcPr>
            <w:tcW w:w="90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180" w:type="dxa"/>
            <w:vAlign w:val="bottom"/>
            <w:tcBorders>
              <w:top w:val="single" w:sz="8" w:color="auto"/>
            </w:tcBorders>
            <w:shd w:val="clear" w:color="auto" w:fill="CCEEFF"/>
          </w:tcPr>
          <w:p>
            <w:pPr>
              <w:spacing w:after="0"/>
              <w:rPr>
                <w:sz w:val="23"/>
                <w:szCs w:val="23"/>
                <w:color w:val="auto"/>
              </w:rPr>
            </w:pPr>
          </w:p>
        </w:tc>
        <w:tc>
          <w:tcPr>
            <w:tcW w:w="88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160" w:type="dxa"/>
            <w:vAlign w:val="bottom"/>
            <w:tcBorders>
              <w:top w:val="single" w:sz="8" w:color="auto"/>
            </w:tcBorders>
            <w:shd w:val="clear" w:color="auto" w:fill="CCEEFF"/>
          </w:tcPr>
          <w:p>
            <w:pPr>
              <w:spacing w:after="0"/>
              <w:rPr>
                <w:sz w:val="23"/>
                <w:szCs w:val="23"/>
                <w:color w:val="auto"/>
              </w:rPr>
            </w:pPr>
          </w:p>
        </w:tc>
        <w:tc>
          <w:tcPr>
            <w:tcW w:w="90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240" w:type="dxa"/>
            <w:vAlign w:val="bottom"/>
            <w:tcBorders>
              <w:top w:val="single" w:sz="8" w:color="auto"/>
            </w:tcBorders>
            <w:shd w:val="clear" w:color="auto" w:fill="CCEEFF"/>
          </w:tcPr>
          <w:p>
            <w:pPr>
              <w:spacing w:after="0"/>
              <w:rPr>
                <w:sz w:val="23"/>
                <w:szCs w:val="23"/>
                <w:color w:val="auto"/>
              </w:rPr>
            </w:pPr>
          </w:p>
        </w:tc>
        <w:tc>
          <w:tcPr>
            <w:tcW w:w="820" w:type="dxa"/>
            <w:vAlign w:val="bottom"/>
            <w:tcBorders>
              <w:top w:val="single" w:sz="8" w:color="auto"/>
            </w:tcBorders>
            <w:shd w:val="clear" w:color="auto" w:fill="CCEEFF"/>
          </w:tcPr>
          <w:p>
            <w:pPr>
              <w:spacing w:after="0"/>
              <w:rPr>
                <w:sz w:val="23"/>
                <w:szCs w:val="23"/>
                <w:color w:val="auto"/>
              </w:rPr>
            </w:pPr>
          </w:p>
        </w:tc>
      </w:tr>
      <w:tr>
        <w:trPr>
          <w:trHeight w:val="269"/>
        </w:trPr>
        <w:tc>
          <w:tcPr>
            <w:tcW w:w="2580" w:type="dxa"/>
            <w:vAlign w:val="bottom"/>
          </w:tcPr>
          <w:p>
            <w:pPr>
              <w:ind w:left="380"/>
              <w:spacing w:after="0"/>
              <w:rPr>
                <w:sz w:val="20"/>
                <w:szCs w:val="20"/>
                <w:color w:val="auto"/>
              </w:rPr>
            </w:pPr>
            <w:r>
              <w:rPr>
                <w:rFonts w:ascii="Arial" w:cs="Arial" w:eastAsia="Arial" w:hAnsi="Arial"/>
                <w:sz w:val="14"/>
                <w:szCs w:val="14"/>
                <w:color w:val="auto"/>
              </w:rPr>
              <w:t>Lease income</w:t>
            </w:r>
          </w:p>
        </w:tc>
        <w:tc>
          <w:tcPr>
            <w:tcW w:w="18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rPr>
              <w:t>—</w:t>
            </w:r>
          </w:p>
        </w:tc>
        <w:tc>
          <w:tcPr>
            <w:tcW w:w="140" w:type="dxa"/>
            <w:vAlign w:val="bottom"/>
          </w:tcPr>
          <w:p>
            <w:pPr>
              <w:spacing w:after="0"/>
              <w:rPr>
                <w:sz w:val="23"/>
                <w:szCs w:val="23"/>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23"/>
                <w:szCs w:val="23"/>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rPr>
              <w:t>—</w:t>
            </w:r>
          </w:p>
        </w:tc>
        <w:tc>
          <w:tcPr>
            <w:tcW w:w="180" w:type="dxa"/>
            <w:vAlign w:val="bottom"/>
          </w:tcPr>
          <w:p>
            <w:pPr>
              <w:spacing w:after="0"/>
              <w:rPr>
                <w:sz w:val="23"/>
                <w:szCs w:val="23"/>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23"/>
                <w:szCs w:val="23"/>
                <w:color w:val="auto"/>
              </w:rPr>
            </w:pPr>
          </w:p>
        </w:tc>
        <w:tc>
          <w:tcPr>
            <w:tcW w:w="900" w:type="dxa"/>
            <w:vAlign w:val="bottom"/>
          </w:tcPr>
          <w:p>
            <w:pPr>
              <w:jc w:val="right"/>
              <w:ind w:right="28"/>
              <w:spacing w:after="0"/>
              <w:rPr>
                <w:sz w:val="20"/>
                <w:szCs w:val="20"/>
                <w:color w:val="auto"/>
              </w:rPr>
            </w:pPr>
            <w:r>
              <w:rPr>
                <w:rFonts w:ascii="Arial" w:cs="Arial" w:eastAsia="Arial" w:hAnsi="Arial"/>
                <w:sz w:val="14"/>
                <w:szCs w:val="14"/>
                <w:b w:val="1"/>
                <w:bCs w:val="1"/>
                <w:color w:val="auto"/>
              </w:rPr>
              <w:t>594</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20" w:type="dxa"/>
            <w:vAlign w:val="bottom"/>
          </w:tcPr>
          <w:p>
            <w:pPr>
              <w:jc w:val="right"/>
              <w:ind w:right="28"/>
              <w:spacing w:after="0"/>
              <w:rPr>
                <w:sz w:val="20"/>
                <w:szCs w:val="20"/>
                <w:color w:val="auto"/>
              </w:rPr>
            </w:pPr>
            <w:r>
              <w:rPr>
                <w:rFonts w:ascii="Arial" w:cs="Arial" w:eastAsia="Arial" w:hAnsi="Arial"/>
                <w:sz w:val="14"/>
                <w:szCs w:val="14"/>
                <w:b w:val="1"/>
                <w:bCs w:val="1"/>
                <w:color w:val="auto"/>
              </w:rPr>
              <w:t>594</w:t>
            </w:r>
          </w:p>
        </w:tc>
      </w:tr>
      <w:tr>
        <w:trPr>
          <w:trHeight w:val="271"/>
        </w:trPr>
        <w:tc>
          <w:tcPr>
            <w:tcW w:w="2580" w:type="dxa"/>
            <w:vAlign w:val="bottom"/>
            <w:shd w:val="clear" w:color="auto" w:fill="CCEEFF"/>
          </w:tcPr>
          <w:p>
            <w:pPr>
              <w:ind w:left="380"/>
              <w:spacing w:after="0"/>
              <w:rPr>
                <w:sz w:val="20"/>
                <w:szCs w:val="20"/>
                <w:color w:val="auto"/>
              </w:rPr>
            </w:pPr>
            <w:r>
              <w:rPr>
                <w:rFonts w:ascii="Arial" w:cs="Arial" w:eastAsia="Arial" w:hAnsi="Arial"/>
                <w:sz w:val="14"/>
                <w:szCs w:val="14"/>
                <w:color w:val="auto"/>
              </w:rPr>
              <w:t>Rail revenues</w:t>
            </w:r>
          </w:p>
        </w:tc>
        <w:tc>
          <w:tcPr>
            <w:tcW w:w="180" w:type="dxa"/>
            <w:vAlign w:val="bottom"/>
            <w:shd w:val="clear" w:color="auto" w:fill="CCEEFF"/>
          </w:tcPr>
          <w:p>
            <w:pPr>
              <w:spacing w:after="0"/>
              <w:rPr>
                <w:sz w:val="23"/>
                <w:szCs w:val="23"/>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b w:val="1"/>
                <w:bCs w:val="1"/>
                <w:color w:val="auto"/>
              </w:rPr>
              <w:t>—</w:t>
            </w:r>
          </w:p>
        </w:tc>
        <w:tc>
          <w:tcPr>
            <w:tcW w:w="140" w:type="dxa"/>
            <w:vAlign w:val="bottom"/>
            <w:shd w:val="clear" w:color="auto" w:fill="CCEEFF"/>
          </w:tcPr>
          <w:p>
            <w:pPr>
              <w:spacing w:after="0"/>
              <w:rPr>
                <w:sz w:val="23"/>
                <w:szCs w:val="23"/>
                <w:color w:val="auto"/>
              </w:rPr>
            </w:pP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b w:val="1"/>
                <w:bCs w:val="1"/>
                <w:color w:val="auto"/>
              </w:rPr>
              <w:t>—</w:t>
            </w:r>
          </w:p>
        </w:tc>
        <w:tc>
          <w:tcPr>
            <w:tcW w:w="160" w:type="dxa"/>
            <w:vAlign w:val="bottom"/>
            <w:shd w:val="clear" w:color="auto" w:fill="CCEEFF"/>
          </w:tcPr>
          <w:p>
            <w:pPr>
              <w:spacing w:after="0"/>
              <w:rPr>
                <w:sz w:val="23"/>
                <w:szCs w:val="23"/>
                <w:color w:val="auto"/>
              </w:rPr>
            </w:pP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b w:val="1"/>
                <w:bCs w:val="1"/>
                <w:color w:val="auto"/>
              </w:rPr>
              <w:t>—</w:t>
            </w:r>
          </w:p>
        </w:tc>
        <w:tc>
          <w:tcPr>
            <w:tcW w:w="180" w:type="dxa"/>
            <w:vAlign w:val="bottom"/>
            <w:shd w:val="clear" w:color="auto" w:fill="CCEEFF"/>
          </w:tcPr>
          <w:p>
            <w:pPr>
              <w:spacing w:after="0"/>
              <w:rPr>
                <w:sz w:val="23"/>
                <w:szCs w:val="23"/>
                <w:color w:val="auto"/>
              </w:rPr>
            </w:pPr>
          </w:p>
        </w:tc>
        <w:tc>
          <w:tcPr>
            <w:tcW w:w="88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24,323</w:t>
            </w: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b w:val="1"/>
                <w:bCs w:val="1"/>
                <w:color w:val="auto"/>
              </w:rPr>
              <w:t>—</w:t>
            </w:r>
          </w:p>
        </w:tc>
        <w:tc>
          <w:tcPr>
            <w:tcW w:w="240" w:type="dxa"/>
            <w:vAlign w:val="bottom"/>
            <w:shd w:val="clear" w:color="auto" w:fill="CCEEFF"/>
          </w:tcPr>
          <w:p>
            <w:pPr>
              <w:spacing w:after="0"/>
              <w:rPr>
                <w:sz w:val="23"/>
                <w:szCs w:val="23"/>
                <w:color w:val="auto"/>
              </w:rPr>
            </w:pPr>
          </w:p>
        </w:tc>
        <w:tc>
          <w:tcPr>
            <w:tcW w:w="82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24,323</w:t>
            </w:r>
          </w:p>
        </w:tc>
      </w:tr>
      <w:tr>
        <w:trPr>
          <w:trHeight w:val="269"/>
        </w:trPr>
        <w:tc>
          <w:tcPr>
            <w:tcW w:w="2580" w:type="dxa"/>
            <w:vAlign w:val="bottom"/>
          </w:tcPr>
          <w:p>
            <w:pPr>
              <w:ind w:left="380"/>
              <w:spacing w:after="0"/>
              <w:rPr>
                <w:sz w:val="20"/>
                <w:szCs w:val="20"/>
                <w:color w:val="auto"/>
              </w:rPr>
            </w:pPr>
            <w:r>
              <w:rPr>
                <w:rFonts w:ascii="Arial" w:cs="Arial" w:eastAsia="Arial" w:hAnsi="Arial"/>
                <w:sz w:val="14"/>
                <w:szCs w:val="14"/>
                <w:color w:val="auto"/>
              </w:rPr>
              <w:t>Terminal services revenues</w:t>
            </w:r>
          </w:p>
        </w:tc>
        <w:tc>
          <w:tcPr>
            <w:tcW w:w="18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rPr>
              <w:t>—</w:t>
            </w:r>
          </w:p>
        </w:tc>
        <w:tc>
          <w:tcPr>
            <w:tcW w:w="140" w:type="dxa"/>
            <w:vAlign w:val="bottom"/>
          </w:tcPr>
          <w:p>
            <w:pPr>
              <w:spacing w:after="0"/>
              <w:rPr>
                <w:sz w:val="23"/>
                <w:szCs w:val="23"/>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23"/>
                <w:szCs w:val="23"/>
                <w:color w:val="auto"/>
              </w:rPr>
            </w:pPr>
          </w:p>
        </w:tc>
        <w:tc>
          <w:tcPr>
            <w:tcW w:w="900" w:type="dxa"/>
            <w:vAlign w:val="bottom"/>
          </w:tcPr>
          <w:p>
            <w:pPr>
              <w:jc w:val="right"/>
              <w:ind w:right="28"/>
              <w:spacing w:after="0"/>
              <w:rPr>
                <w:sz w:val="20"/>
                <w:szCs w:val="20"/>
                <w:color w:val="auto"/>
              </w:rPr>
            </w:pPr>
            <w:r>
              <w:rPr>
                <w:rFonts w:ascii="Arial" w:cs="Arial" w:eastAsia="Arial" w:hAnsi="Arial"/>
                <w:sz w:val="14"/>
                <w:szCs w:val="14"/>
                <w:b w:val="1"/>
                <w:bCs w:val="1"/>
                <w:color w:val="auto"/>
              </w:rPr>
              <w:t>9,622</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23"/>
                <w:szCs w:val="23"/>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rPr>
              <w:t>—</w:t>
            </w:r>
          </w:p>
        </w:tc>
        <w:tc>
          <w:tcPr>
            <w:tcW w:w="240" w:type="dxa"/>
            <w:vAlign w:val="bottom"/>
          </w:tcPr>
          <w:p>
            <w:pPr>
              <w:spacing w:after="0"/>
              <w:rPr>
                <w:sz w:val="23"/>
                <w:szCs w:val="23"/>
                <w:color w:val="auto"/>
              </w:rPr>
            </w:pPr>
          </w:p>
        </w:tc>
        <w:tc>
          <w:tcPr>
            <w:tcW w:w="820" w:type="dxa"/>
            <w:vAlign w:val="bottom"/>
          </w:tcPr>
          <w:p>
            <w:pPr>
              <w:jc w:val="right"/>
              <w:ind w:right="28"/>
              <w:spacing w:after="0"/>
              <w:rPr>
                <w:sz w:val="20"/>
                <w:szCs w:val="20"/>
                <w:color w:val="auto"/>
              </w:rPr>
            </w:pPr>
            <w:r>
              <w:rPr>
                <w:rFonts w:ascii="Arial" w:cs="Arial" w:eastAsia="Arial" w:hAnsi="Arial"/>
                <w:sz w:val="14"/>
                <w:szCs w:val="14"/>
                <w:b w:val="1"/>
                <w:bCs w:val="1"/>
                <w:color w:val="auto"/>
              </w:rPr>
              <w:t>9,622</w:t>
            </w:r>
          </w:p>
        </w:tc>
      </w:tr>
      <w:tr>
        <w:trPr>
          <w:trHeight w:val="270"/>
        </w:trPr>
        <w:tc>
          <w:tcPr>
            <w:tcW w:w="2580" w:type="dxa"/>
            <w:vAlign w:val="bottom"/>
            <w:shd w:val="clear" w:color="auto" w:fill="CCEEFF"/>
          </w:tcPr>
          <w:p>
            <w:pPr>
              <w:ind w:left="380"/>
              <w:spacing w:after="0"/>
              <w:rPr>
                <w:sz w:val="20"/>
                <w:szCs w:val="20"/>
                <w:color w:val="auto"/>
              </w:rPr>
            </w:pPr>
            <w:r>
              <w:rPr>
                <w:rFonts w:ascii="Arial" w:cs="Arial" w:eastAsia="Arial" w:hAnsi="Arial"/>
                <w:sz w:val="14"/>
                <w:szCs w:val="14"/>
                <w:color w:val="auto"/>
              </w:rPr>
              <w:t>Other revenue</w:t>
            </w:r>
          </w:p>
        </w:tc>
        <w:tc>
          <w:tcPr>
            <w:tcW w:w="180" w:type="dxa"/>
            <w:vAlign w:val="bottom"/>
            <w:tcBorders>
              <w:bottom w:val="single" w:sz="8" w:color="auto"/>
            </w:tcBorders>
            <w:shd w:val="clear" w:color="auto" w:fill="CCEEFF"/>
          </w:tcPr>
          <w:p>
            <w:pPr>
              <w:spacing w:after="0"/>
              <w:rPr>
                <w:sz w:val="23"/>
                <w:szCs w:val="23"/>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40" w:type="dxa"/>
            <w:vAlign w:val="bottom"/>
            <w:tcBorders>
              <w:bottom w:val="single" w:sz="8" w:color="auto"/>
            </w:tcBorders>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9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w:t>
            </w:r>
          </w:p>
        </w:tc>
        <w:tc>
          <w:tcPr>
            <w:tcW w:w="12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9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w:t>
            </w:r>
          </w:p>
        </w:tc>
        <w:tc>
          <w:tcPr>
            <w:tcW w:w="10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9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w:t>
            </w:r>
          </w:p>
        </w:tc>
        <w:tc>
          <w:tcPr>
            <w:tcW w:w="10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8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w:t>
            </w:r>
          </w:p>
        </w:tc>
        <w:tc>
          <w:tcPr>
            <w:tcW w:w="10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9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303</w:t>
            </w:r>
          </w:p>
        </w:tc>
        <w:tc>
          <w:tcPr>
            <w:tcW w:w="100" w:type="dxa"/>
            <w:vAlign w:val="bottom"/>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spacing w:after="0"/>
              <w:rPr>
                <w:sz w:val="23"/>
                <w:szCs w:val="23"/>
                <w:color w:val="auto"/>
              </w:rPr>
            </w:pPr>
          </w:p>
        </w:tc>
        <w:tc>
          <w:tcPr>
            <w:tcW w:w="8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303</w:t>
            </w:r>
          </w:p>
        </w:tc>
      </w:tr>
      <w:tr>
        <w:trPr>
          <w:trHeight w:val="250"/>
        </w:trPr>
        <w:tc>
          <w:tcPr>
            <w:tcW w:w="2580" w:type="dxa"/>
            <w:vAlign w:val="bottom"/>
            <w:tcBorders>
              <w:bottom w:val="single" w:sz="8" w:color="CCEEFF"/>
            </w:tcBorders>
          </w:tcPr>
          <w:p>
            <w:pPr>
              <w:ind w:left="380"/>
              <w:spacing w:after="0"/>
              <w:rPr>
                <w:sz w:val="20"/>
                <w:szCs w:val="20"/>
                <w:color w:val="auto"/>
              </w:rPr>
            </w:pPr>
            <w:r>
              <w:rPr>
                <w:rFonts w:ascii="Arial" w:cs="Arial" w:eastAsia="Arial" w:hAnsi="Arial"/>
                <w:sz w:val="14"/>
                <w:szCs w:val="14"/>
                <w:b w:val="1"/>
                <w:bCs w:val="1"/>
                <w:color w:val="auto"/>
              </w:rPr>
              <w:t>Total infrastructure revenues</w:t>
            </w:r>
          </w:p>
        </w:tc>
        <w:tc>
          <w:tcPr>
            <w:tcW w:w="18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40" w:type="dxa"/>
            <w:vAlign w:val="bottom"/>
            <w:tcBorders>
              <w:bottom w:val="single" w:sz="8" w:color="auto"/>
            </w:tcBorders>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w:t>
            </w:r>
          </w:p>
        </w:tc>
        <w:tc>
          <w:tcPr>
            <w:tcW w:w="12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w:t>
            </w:r>
          </w:p>
        </w:tc>
        <w:tc>
          <w:tcPr>
            <w:tcW w:w="10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9,622</w:t>
            </w:r>
          </w:p>
        </w:tc>
        <w:tc>
          <w:tcPr>
            <w:tcW w:w="10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24,323</w:t>
            </w:r>
          </w:p>
        </w:tc>
        <w:tc>
          <w:tcPr>
            <w:tcW w:w="10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897</w:t>
            </w:r>
          </w:p>
        </w:tc>
        <w:tc>
          <w:tcPr>
            <w:tcW w:w="10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34,842</w:t>
            </w:r>
          </w:p>
        </w:tc>
      </w:tr>
      <w:tr>
        <w:trPr>
          <w:trHeight w:val="238"/>
        </w:trPr>
        <w:tc>
          <w:tcPr>
            <w:tcW w:w="25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Total revenues</w:t>
            </w:r>
          </w:p>
        </w:tc>
        <w:tc>
          <w:tcPr>
            <w:tcW w:w="1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110,357</w:t>
            </w:r>
          </w:p>
        </w:tc>
        <w:tc>
          <w:tcPr>
            <w:tcW w:w="40" w:type="dxa"/>
            <w:vAlign w:val="bottom"/>
            <w:tcBorders>
              <w:bottom w:val="single" w:sz="8" w:color="auto"/>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9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10,955</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9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75</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9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9,622</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8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24,323</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9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897</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w:t>
            </w:r>
          </w:p>
        </w:tc>
        <w:tc>
          <w:tcPr>
            <w:tcW w:w="8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156,229</w:t>
            </w:r>
          </w:p>
        </w:tc>
      </w:tr>
      <w:tr>
        <w:trPr>
          <w:trHeight w:val="20"/>
        </w:trPr>
        <w:tc>
          <w:tcPr>
            <w:tcW w:w="25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r>
        <w:trPr>
          <w:trHeight w:val="385"/>
        </w:trPr>
        <w:tc>
          <w:tcPr>
            <w:tcW w:w="258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3340" w:type="dxa"/>
            <w:vAlign w:val="bottom"/>
            <w:tcBorders>
              <w:bottom w:val="single" w:sz="8" w:color="auto"/>
            </w:tcBorders>
            <w:gridSpan w:val="8"/>
          </w:tcPr>
          <w:p>
            <w:pPr>
              <w:ind w:left="140"/>
              <w:spacing w:after="0"/>
              <w:rPr>
                <w:sz w:val="20"/>
                <w:szCs w:val="20"/>
                <w:color w:val="auto"/>
              </w:rPr>
            </w:pPr>
            <w:r>
              <w:rPr>
                <w:rFonts w:ascii="Arial" w:cs="Arial" w:eastAsia="Arial" w:hAnsi="Arial"/>
                <w:sz w:val="14"/>
                <w:szCs w:val="14"/>
                <w:b w:val="1"/>
                <w:bCs w:val="1"/>
                <w:color w:val="auto"/>
              </w:rPr>
              <w:t>Nine Months Ended September 30, 2016</w:t>
            </w:r>
          </w:p>
        </w:tc>
        <w:tc>
          <w:tcPr>
            <w:tcW w:w="16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r>
      <w:tr>
        <w:trPr>
          <w:trHeight w:val="264"/>
        </w:trPr>
        <w:tc>
          <w:tcPr>
            <w:tcW w:w="258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spacing w:after="0"/>
              <w:rPr>
                <w:sz w:val="22"/>
                <w:szCs w:val="22"/>
                <w:color w:val="auto"/>
              </w:rPr>
            </w:pPr>
          </w:p>
        </w:tc>
        <w:tc>
          <w:tcPr>
            <w:tcW w:w="1380" w:type="dxa"/>
            <w:vAlign w:val="bottom"/>
            <w:tcBorders>
              <w:bottom w:val="single" w:sz="8" w:color="auto"/>
            </w:tcBorders>
            <w:gridSpan w:val="5"/>
          </w:tcPr>
          <w:p>
            <w:pPr>
              <w:jc w:val="center"/>
              <w:spacing w:after="0"/>
              <w:rPr>
                <w:sz w:val="20"/>
                <w:szCs w:val="20"/>
                <w:color w:val="auto"/>
              </w:rPr>
            </w:pPr>
            <w:r>
              <w:rPr>
                <w:rFonts w:ascii="Arial" w:cs="Arial" w:eastAsia="Arial" w:hAnsi="Arial"/>
                <w:sz w:val="14"/>
                <w:szCs w:val="14"/>
                <w:b w:val="1"/>
                <w:bCs w:val="1"/>
                <w:color w:val="auto"/>
              </w:rPr>
              <w:t>Equipment Leasing</w:t>
            </w:r>
          </w:p>
        </w:tc>
        <w:tc>
          <w:tcPr>
            <w:tcW w:w="14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gridSpan w:val="3"/>
          </w:tcPr>
          <w:p>
            <w:pPr>
              <w:jc w:val="center"/>
              <w:ind w:right="60"/>
              <w:spacing w:after="0"/>
              <w:rPr>
                <w:sz w:val="20"/>
                <w:szCs w:val="20"/>
                <w:color w:val="auto"/>
              </w:rPr>
            </w:pPr>
            <w:r>
              <w:rPr>
                <w:rFonts w:ascii="Arial" w:cs="Arial" w:eastAsia="Arial" w:hAnsi="Arial"/>
                <w:sz w:val="14"/>
                <w:szCs w:val="14"/>
                <w:b w:val="1"/>
                <w:bCs w:val="1"/>
                <w:color w:val="auto"/>
              </w:rPr>
              <w:t>Infrastructure</w:t>
            </w:r>
          </w:p>
        </w:tc>
        <w:tc>
          <w:tcPr>
            <w:tcW w:w="16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20" w:type="dxa"/>
            <w:vAlign w:val="bottom"/>
          </w:tcPr>
          <w:p>
            <w:pPr>
              <w:spacing w:after="0"/>
              <w:rPr>
                <w:sz w:val="22"/>
                <w:szCs w:val="22"/>
                <w:color w:val="auto"/>
              </w:rPr>
            </w:pPr>
          </w:p>
        </w:tc>
      </w:tr>
      <w:tr>
        <w:trPr>
          <w:trHeight w:val="168"/>
        </w:trPr>
        <w:tc>
          <w:tcPr>
            <w:tcW w:w="25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60" w:type="dxa"/>
            <w:vAlign w:val="bottom"/>
          </w:tcPr>
          <w:p>
            <w:pPr>
              <w:ind w:left="80"/>
              <w:spacing w:after="0"/>
              <w:rPr>
                <w:sz w:val="20"/>
                <w:szCs w:val="20"/>
                <w:color w:val="auto"/>
              </w:rPr>
            </w:pPr>
            <w:r>
              <w:rPr>
                <w:rFonts w:ascii="Arial" w:cs="Arial" w:eastAsia="Arial" w:hAnsi="Arial"/>
                <w:sz w:val="14"/>
                <w:szCs w:val="14"/>
                <w:b w:val="1"/>
                <w:bCs w:val="1"/>
                <w:color w:val="auto"/>
              </w:rPr>
              <w:t>Aviation</w:t>
            </w: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Offshore</w:t>
            </w:r>
          </w:p>
        </w:tc>
        <w:tc>
          <w:tcPr>
            <w:tcW w:w="140" w:type="dxa"/>
            <w:vAlign w:val="bottom"/>
          </w:tcPr>
          <w:p>
            <w:pPr>
              <w:spacing w:after="0"/>
              <w:rPr>
                <w:sz w:val="14"/>
                <w:szCs w:val="14"/>
                <w:color w:val="auto"/>
              </w:rPr>
            </w:pPr>
          </w:p>
        </w:tc>
        <w:tc>
          <w:tcPr>
            <w:tcW w:w="10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Shipping</w:t>
            </w:r>
          </w:p>
        </w:tc>
        <w:tc>
          <w:tcPr>
            <w:tcW w:w="160" w:type="dxa"/>
            <w:vAlign w:val="bottom"/>
          </w:tcPr>
          <w:p>
            <w:pPr>
              <w:spacing w:after="0"/>
              <w:rPr>
                <w:sz w:val="14"/>
                <w:szCs w:val="14"/>
                <w:color w:val="auto"/>
              </w:rPr>
            </w:pPr>
          </w:p>
        </w:tc>
        <w:tc>
          <w:tcPr>
            <w:tcW w:w="10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Jefferson</w:t>
            </w:r>
          </w:p>
        </w:tc>
        <w:tc>
          <w:tcPr>
            <w:tcW w:w="1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0" w:type="dxa"/>
            <w:vAlign w:val="bottom"/>
            <w:gridSpan w:val="2"/>
          </w:tcPr>
          <w:p>
            <w:pPr>
              <w:ind w:left="40"/>
              <w:spacing w:after="0"/>
              <w:rPr>
                <w:sz w:val="20"/>
                <w:szCs w:val="20"/>
                <w:color w:val="auto"/>
              </w:rPr>
            </w:pPr>
            <w:r>
              <w:rPr>
                <w:rFonts w:ascii="Arial" w:cs="Arial" w:eastAsia="Arial" w:hAnsi="Arial"/>
                <w:sz w:val="14"/>
                <w:szCs w:val="14"/>
                <w:b w:val="1"/>
                <w:bCs w:val="1"/>
                <w:color w:val="auto"/>
              </w:rPr>
              <w:t>Ports and</w:t>
            </w:r>
          </w:p>
        </w:tc>
        <w:tc>
          <w:tcPr>
            <w:tcW w:w="24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203"/>
        </w:trPr>
        <w:tc>
          <w:tcPr>
            <w:tcW w:w="2580" w:type="dxa"/>
            <w:vAlign w:val="bottom"/>
          </w:tcPr>
          <w:p>
            <w:pPr>
              <w:ind w:left="20"/>
              <w:spacing w:after="0"/>
              <w:rPr>
                <w:sz w:val="20"/>
                <w:szCs w:val="20"/>
                <w:color w:val="auto"/>
              </w:rPr>
            </w:pPr>
            <w:r>
              <w:rPr>
                <w:rFonts w:ascii="Arial" w:cs="Arial" w:eastAsia="Arial" w:hAnsi="Arial"/>
                <w:sz w:val="14"/>
                <w:szCs w:val="14"/>
                <w:b w:val="1"/>
                <w:bCs w:val="1"/>
                <w:color w:val="auto"/>
              </w:rPr>
              <w:t>Revenues</w:t>
            </w:r>
          </w:p>
        </w:tc>
        <w:tc>
          <w:tcPr>
            <w:tcW w:w="180" w:type="dxa"/>
            <w:vAlign w:val="bottom"/>
          </w:tcPr>
          <w:p>
            <w:pPr>
              <w:spacing w:after="0"/>
              <w:rPr>
                <w:sz w:val="17"/>
                <w:szCs w:val="17"/>
                <w:color w:val="auto"/>
              </w:rPr>
            </w:pPr>
          </w:p>
        </w:tc>
        <w:tc>
          <w:tcPr>
            <w:tcW w:w="860" w:type="dxa"/>
            <w:vAlign w:val="bottom"/>
          </w:tcPr>
          <w:p>
            <w:pPr>
              <w:ind w:left="80"/>
              <w:spacing w:after="0"/>
              <w:rPr>
                <w:sz w:val="20"/>
                <w:szCs w:val="20"/>
                <w:color w:val="auto"/>
              </w:rPr>
            </w:pPr>
            <w:r>
              <w:rPr>
                <w:rFonts w:ascii="Arial" w:cs="Arial" w:eastAsia="Arial" w:hAnsi="Arial"/>
                <w:sz w:val="14"/>
                <w:szCs w:val="14"/>
                <w:b w:val="1"/>
                <w:bCs w:val="1"/>
                <w:color w:val="auto"/>
              </w:rPr>
              <w:t>Leasing</w:t>
            </w: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Energy</w:t>
            </w:r>
          </w:p>
        </w:tc>
        <w:tc>
          <w:tcPr>
            <w:tcW w:w="140" w:type="dxa"/>
            <w:vAlign w:val="bottom"/>
          </w:tcPr>
          <w:p>
            <w:pPr>
              <w:spacing w:after="0"/>
              <w:rPr>
                <w:sz w:val="17"/>
                <w:szCs w:val="17"/>
                <w:color w:val="auto"/>
              </w:rPr>
            </w:pPr>
          </w:p>
        </w:tc>
        <w:tc>
          <w:tcPr>
            <w:tcW w:w="10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Containers</w:t>
            </w:r>
          </w:p>
        </w:tc>
        <w:tc>
          <w:tcPr>
            <w:tcW w:w="160" w:type="dxa"/>
            <w:vAlign w:val="bottom"/>
          </w:tcPr>
          <w:p>
            <w:pPr>
              <w:spacing w:after="0"/>
              <w:rPr>
                <w:sz w:val="17"/>
                <w:szCs w:val="17"/>
                <w:color w:val="auto"/>
              </w:rPr>
            </w:pPr>
          </w:p>
        </w:tc>
        <w:tc>
          <w:tcPr>
            <w:tcW w:w="10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9"/>
              </w:rPr>
              <w:t>Terminal</w:t>
            </w:r>
          </w:p>
        </w:tc>
        <w:tc>
          <w:tcPr>
            <w:tcW w:w="180" w:type="dxa"/>
            <w:vAlign w:val="bottom"/>
          </w:tcPr>
          <w:p>
            <w:pPr>
              <w:spacing w:after="0"/>
              <w:rPr>
                <w:sz w:val="17"/>
                <w:szCs w:val="17"/>
                <w:color w:val="auto"/>
              </w:rPr>
            </w:pPr>
          </w:p>
        </w:tc>
        <w:tc>
          <w:tcPr>
            <w:tcW w:w="9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Railroad</w:t>
            </w:r>
          </w:p>
        </w:tc>
        <w:tc>
          <w:tcPr>
            <w:tcW w:w="160" w:type="dxa"/>
            <w:vAlign w:val="bottom"/>
          </w:tcPr>
          <w:p>
            <w:pPr>
              <w:spacing w:after="0"/>
              <w:rPr>
                <w:sz w:val="17"/>
                <w:szCs w:val="17"/>
                <w:color w:val="auto"/>
              </w:rPr>
            </w:pPr>
          </w:p>
        </w:tc>
        <w:tc>
          <w:tcPr>
            <w:tcW w:w="1000" w:type="dxa"/>
            <w:vAlign w:val="bottom"/>
            <w:gridSpan w:val="2"/>
          </w:tcPr>
          <w:p>
            <w:pPr>
              <w:ind w:left="40"/>
              <w:spacing w:after="0"/>
              <w:rPr>
                <w:sz w:val="20"/>
                <w:szCs w:val="20"/>
                <w:color w:val="auto"/>
              </w:rPr>
            </w:pPr>
            <w:r>
              <w:rPr>
                <w:rFonts w:ascii="Arial" w:cs="Arial" w:eastAsia="Arial" w:hAnsi="Arial"/>
                <w:sz w:val="14"/>
                <w:szCs w:val="14"/>
                <w:b w:val="1"/>
                <w:bCs w:val="1"/>
                <w:color w:val="auto"/>
              </w:rPr>
              <w:t>Terminals</w:t>
            </w:r>
          </w:p>
        </w:tc>
        <w:tc>
          <w:tcPr>
            <w:tcW w:w="240" w:type="dxa"/>
            <w:vAlign w:val="bottom"/>
          </w:tcPr>
          <w:p>
            <w:pPr>
              <w:spacing w:after="0"/>
              <w:rPr>
                <w:sz w:val="17"/>
                <w:szCs w:val="17"/>
                <w:color w:val="auto"/>
              </w:rPr>
            </w:pPr>
          </w:p>
        </w:tc>
        <w:tc>
          <w:tcPr>
            <w:tcW w:w="820" w:type="dxa"/>
            <w:vAlign w:val="bottom"/>
          </w:tcPr>
          <w:p>
            <w:pPr>
              <w:jc w:val="right"/>
              <w:ind w:right="288"/>
              <w:spacing w:after="0"/>
              <w:rPr>
                <w:sz w:val="20"/>
                <w:szCs w:val="20"/>
                <w:color w:val="auto"/>
              </w:rPr>
            </w:pPr>
            <w:r>
              <w:rPr>
                <w:rFonts w:ascii="Arial" w:cs="Arial" w:eastAsia="Arial" w:hAnsi="Arial"/>
                <w:sz w:val="14"/>
                <w:szCs w:val="14"/>
                <w:b w:val="1"/>
                <w:bCs w:val="1"/>
                <w:color w:val="auto"/>
              </w:rPr>
              <w:t>Total</w:t>
            </w:r>
          </w:p>
        </w:tc>
      </w:tr>
      <w:tr>
        <w:trPr>
          <w:trHeight w:val="265"/>
        </w:trPr>
        <w:tc>
          <w:tcPr>
            <w:tcW w:w="25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Equipment leasing revenues</w:t>
            </w:r>
          </w:p>
        </w:tc>
        <w:tc>
          <w:tcPr>
            <w:tcW w:w="180" w:type="dxa"/>
            <w:vAlign w:val="bottom"/>
            <w:tcBorders>
              <w:top w:val="single" w:sz="8" w:color="auto"/>
            </w:tcBorders>
            <w:shd w:val="clear" w:color="auto" w:fill="CCEEFF"/>
          </w:tcPr>
          <w:p>
            <w:pPr>
              <w:spacing w:after="0"/>
              <w:rPr>
                <w:sz w:val="23"/>
                <w:szCs w:val="23"/>
                <w:color w:val="auto"/>
              </w:rPr>
            </w:pPr>
          </w:p>
        </w:tc>
        <w:tc>
          <w:tcPr>
            <w:tcW w:w="860" w:type="dxa"/>
            <w:vAlign w:val="bottom"/>
            <w:tcBorders>
              <w:top w:val="single" w:sz="8" w:color="auto"/>
            </w:tcBorders>
            <w:shd w:val="clear" w:color="auto" w:fill="CCEEFF"/>
          </w:tcPr>
          <w:p>
            <w:pPr>
              <w:spacing w:after="0"/>
              <w:rPr>
                <w:sz w:val="23"/>
                <w:szCs w:val="23"/>
                <w:color w:val="auto"/>
              </w:rPr>
            </w:pPr>
          </w:p>
        </w:tc>
        <w:tc>
          <w:tcPr>
            <w:tcW w:w="4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180" w:type="dxa"/>
            <w:vAlign w:val="bottom"/>
            <w:tcBorders>
              <w:top w:val="single" w:sz="8" w:color="auto"/>
            </w:tcBorders>
            <w:shd w:val="clear" w:color="auto" w:fill="CCEEFF"/>
          </w:tcPr>
          <w:p>
            <w:pPr>
              <w:spacing w:after="0"/>
              <w:rPr>
                <w:sz w:val="23"/>
                <w:szCs w:val="23"/>
                <w:color w:val="auto"/>
              </w:rPr>
            </w:pPr>
          </w:p>
        </w:tc>
        <w:tc>
          <w:tcPr>
            <w:tcW w:w="92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140" w:type="dxa"/>
            <w:vAlign w:val="bottom"/>
            <w:tcBorders>
              <w:top w:val="single" w:sz="8" w:color="auto"/>
            </w:tcBorders>
            <w:shd w:val="clear" w:color="auto" w:fill="CCEEFF"/>
          </w:tcPr>
          <w:p>
            <w:pPr>
              <w:spacing w:after="0"/>
              <w:rPr>
                <w:sz w:val="23"/>
                <w:szCs w:val="23"/>
                <w:color w:val="auto"/>
              </w:rPr>
            </w:pPr>
          </w:p>
        </w:tc>
        <w:tc>
          <w:tcPr>
            <w:tcW w:w="92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160" w:type="dxa"/>
            <w:vAlign w:val="bottom"/>
            <w:tcBorders>
              <w:top w:val="single" w:sz="8" w:color="auto"/>
            </w:tcBorders>
            <w:shd w:val="clear" w:color="auto" w:fill="CCEEFF"/>
          </w:tcPr>
          <w:p>
            <w:pPr>
              <w:spacing w:after="0"/>
              <w:rPr>
                <w:sz w:val="23"/>
                <w:szCs w:val="23"/>
                <w:color w:val="auto"/>
              </w:rPr>
            </w:pPr>
          </w:p>
        </w:tc>
        <w:tc>
          <w:tcPr>
            <w:tcW w:w="90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180" w:type="dxa"/>
            <w:vAlign w:val="bottom"/>
            <w:tcBorders>
              <w:top w:val="single" w:sz="8" w:color="auto"/>
            </w:tcBorders>
            <w:shd w:val="clear" w:color="auto" w:fill="CCEEFF"/>
          </w:tcPr>
          <w:p>
            <w:pPr>
              <w:spacing w:after="0"/>
              <w:rPr>
                <w:sz w:val="23"/>
                <w:szCs w:val="23"/>
                <w:color w:val="auto"/>
              </w:rPr>
            </w:pPr>
          </w:p>
        </w:tc>
        <w:tc>
          <w:tcPr>
            <w:tcW w:w="88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160" w:type="dxa"/>
            <w:vAlign w:val="bottom"/>
            <w:tcBorders>
              <w:top w:val="single" w:sz="8" w:color="auto"/>
            </w:tcBorders>
            <w:shd w:val="clear" w:color="auto" w:fill="CCEEFF"/>
          </w:tcPr>
          <w:p>
            <w:pPr>
              <w:spacing w:after="0"/>
              <w:rPr>
                <w:sz w:val="23"/>
                <w:szCs w:val="23"/>
                <w:color w:val="auto"/>
              </w:rPr>
            </w:pPr>
          </w:p>
        </w:tc>
        <w:tc>
          <w:tcPr>
            <w:tcW w:w="90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240" w:type="dxa"/>
            <w:vAlign w:val="bottom"/>
            <w:tcBorders>
              <w:top w:val="single" w:sz="8" w:color="auto"/>
            </w:tcBorders>
            <w:shd w:val="clear" w:color="auto" w:fill="CCEEFF"/>
          </w:tcPr>
          <w:p>
            <w:pPr>
              <w:spacing w:after="0"/>
              <w:rPr>
                <w:sz w:val="23"/>
                <w:szCs w:val="23"/>
                <w:color w:val="auto"/>
              </w:rPr>
            </w:pPr>
          </w:p>
        </w:tc>
        <w:tc>
          <w:tcPr>
            <w:tcW w:w="820" w:type="dxa"/>
            <w:vAlign w:val="bottom"/>
            <w:tcBorders>
              <w:top w:val="single" w:sz="8" w:color="auto"/>
            </w:tcBorders>
            <w:shd w:val="clear" w:color="auto" w:fill="CCEEFF"/>
          </w:tcPr>
          <w:p>
            <w:pPr>
              <w:spacing w:after="0"/>
              <w:rPr>
                <w:sz w:val="23"/>
                <w:szCs w:val="23"/>
                <w:color w:val="auto"/>
              </w:rPr>
            </w:pPr>
          </w:p>
        </w:tc>
      </w:tr>
      <w:tr>
        <w:trPr>
          <w:trHeight w:val="266"/>
        </w:trPr>
        <w:tc>
          <w:tcPr>
            <w:tcW w:w="2580" w:type="dxa"/>
            <w:vAlign w:val="bottom"/>
          </w:tcPr>
          <w:p>
            <w:pPr>
              <w:ind w:left="380"/>
              <w:spacing w:after="0"/>
              <w:rPr>
                <w:sz w:val="20"/>
                <w:szCs w:val="20"/>
                <w:color w:val="auto"/>
              </w:rPr>
            </w:pPr>
            <w:r>
              <w:rPr>
                <w:rFonts w:ascii="Arial" w:cs="Arial" w:eastAsia="Arial" w:hAnsi="Arial"/>
                <w:sz w:val="14"/>
                <w:szCs w:val="14"/>
                <w:color w:val="auto"/>
              </w:rPr>
              <w:t>Lease income</w:t>
            </w: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860" w:type="dxa"/>
            <w:vAlign w:val="bottom"/>
          </w:tcPr>
          <w:p>
            <w:pPr>
              <w:jc w:val="right"/>
              <w:spacing w:after="0"/>
              <w:rPr>
                <w:sz w:val="20"/>
                <w:szCs w:val="20"/>
                <w:color w:val="auto"/>
              </w:rPr>
            </w:pPr>
            <w:r>
              <w:rPr>
                <w:rFonts w:ascii="Arial" w:cs="Arial" w:eastAsia="Arial" w:hAnsi="Arial"/>
                <w:sz w:val="14"/>
                <w:szCs w:val="14"/>
                <w:color w:val="auto"/>
              </w:rPr>
              <w:t>46,636</w:t>
            </w:r>
          </w:p>
        </w:tc>
        <w:tc>
          <w:tcPr>
            <w:tcW w:w="340" w:type="dxa"/>
            <w:vAlign w:val="bottom"/>
            <w:gridSpan w:val="3"/>
          </w:tcPr>
          <w:p>
            <w:pPr>
              <w:jc w:val="right"/>
              <w:spacing w:after="0"/>
              <w:rPr>
                <w:sz w:val="20"/>
                <w:szCs w:val="20"/>
                <w:color w:val="auto"/>
              </w:rPr>
            </w:pPr>
            <w:r>
              <w:rPr>
                <w:rFonts w:ascii="Arial" w:cs="Arial" w:eastAsia="Arial" w:hAnsi="Arial"/>
                <w:sz w:val="14"/>
                <w:szCs w:val="14"/>
                <w:color w:val="auto"/>
              </w:rPr>
              <w:t>$</w:t>
            </w:r>
          </w:p>
        </w:tc>
        <w:tc>
          <w:tcPr>
            <w:tcW w:w="920" w:type="dxa"/>
            <w:vAlign w:val="bottom"/>
          </w:tcPr>
          <w:p>
            <w:pPr>
              <w:jc w:val="right"/>
              <w:ind w:right="28"/>
              <w:spacing w:after="0"/>
              <w:rPr>
                <w:sz w:val="20"/>
                <w:szCs w:val="20"/>
                <w:color w:val="auto"/>
              </w:rPr>
            </w:pPr>
            <w:r>
              <w:rPr>
                <w:rFonts w:ascii="Arial" w:cs="Arial" w:eastAsia="Arial" w:hAnsi="Arial"/>
                <w:sz w:val="14"/>
                <w:szCs w:val="14"/>
                <w:color w:val="auto"/>
              </w:rPr>
              <w:t>3,216</w:t>
            </w:r>
          </w:p>
        </w:tc>
        <w:tc>
          <w:tcPr>
            <w:tcW w:w="120" w:type="dxa"/>
            <w:vAlign w:val="bottom"/>
          </w:tcPr>
          <w:p>
            <w:pPr>
              <w:spacing w:after="0"/>
              <w:rPr>
                <w:sz w:val="23"/>
                <w:szCs w:val="23"/>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10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0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tcPr>
          <w:p>
            <w:pPr>
              <w:jc w:val="right"/>
              <w:spacing w:after="0"/>
              <w:rPr>
                <w:sz w:val="20"/>
                <w:szCs w:val="20"/>
                <w:color w:val="auto"/>
              </w:rPr>
            </w:pPr>
            <w:r>
              <w:rPr>
                <w:rFonts w:ascii="Arial" w:cs="Arial" w:eastAsia="Arial" w:hAnsi="Arial"/>
                <w:sz w:val="14"/>
                <w:szCs w:val="14"/>
                <w:color w:val="auto"/>
              </w:rPr>
              <w:t>$</w:t>
            </w:r>
          </w:p>
        </w:tc>
        <w:tc>
          <w:tcPr>
            <w:tcW w:w="9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0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24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820" w:type="dxa"/>
            <w:vAlign w:val="bottom"/>
          </w:tcPr>
          <w:p>
            <w:pPr>
              <w:jc w:val="right"/>
              <w:ind w:right="28"/>
              <w:spacing w:after="0"/>
              <w:rPr>
                <w:sz w:val="20"/>
                <w:szCs w:val="20"/>
                <w:color w:val="auto"/>
              </w:rPr>
            </w:pPr>
            <w:r>
              <w:rPr>
                <w:rFonts w:ascii="Arial" w:cs="Arial" w:eastAsia="Arial" w:hAnsi="Arial"/>
                <w:sz w:val="14"/>
                <w:szCs w:val="14"/>
                <w:color w:val="auto"/>
              </w:rPr>
              <w:t>49,852</w:t>
            </w:r>
          </w:p>
        </w:tc>
      </w:tr>
      <w:tr>
        <w:trPr>
          <w:trHeight w:val="274"/>
        </w:trPr>
        <w:tc>
          <w:tcPr>
            <w:tcW w:w="2580" w:type="dxa"/>
            <w:vAlign w:val="bottom"/>
            <w:shd w:val="clear" w:color="auto" w:fill="CCEEFF"/>
          </w:tcPr>
          <w:p>
            <w:pPr>
              <w:ind w:left="380"/>
              <w:spacing w:after="0"/>
              <w:rPr>
                <w:sz w:val="20"/>
                <w:szCs w:val="20"/>
                <w:color w:val="auto"/>
              </w:rPr>
            </w:pPr>
            <w:r>
              <w:rPr>
                <w:rFonts w:ascii="Arial" w:cs="Arial" w:eastAsia="Arial" w:hAnsi="Arial"/>
                <w:sz w:val="14"/>
                <w:szCs w:val="14"/>
                <w:color w:val="auto"/>
              </w:rPr>
              <w:t>Maintenance revenue</w:t>
            </w:r>
          </w:p>
        </w:tc>
        <w:tc>
          <w:tcPr>
            <w:tcW w:w="180" w:type="dxa"/>
            <w:vAlign w:val="bottom"/>
            <w:shd w:val="clear" w:color="auto" w:fill="CCEEFF"/>
          </w:tcPr>
          <w:p>
            <w:pPr>
              <w:spacing w:after="0"/>
              <w:rPr>
                <w:sz w:val="23"/>
                <w:szCs w:val="23"/>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19,037</w:t>
            </w:r>
          </w:p>
        </w:tc>
        <w:tc>
          <w:tcPr>
            <w:tcW w:w="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3"/>
                <w:szCs w:val="23"/>
                <w:color w:val="auto"/>
              </w:rPr>
            </w:pP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3"/>
                <w:szCs w:val="23"/>
                <w:color w:val="auto"/>
              </w:rPr>
            </w:pP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3"/>
                <w:szCs w:val="23"/>
                <w:color w:val="auto"/>
              </w:rPr>
            </w:pP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3"/>
                <w:szCs w:val="23"/>
                <w:color w:val="auto"/>
              </w:rPr>
            </w:pP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23"/>
                <w:szCs w:val="23"/>
                <w:color w:val="auto"/>
              </w:rPr>
            </w:pPr>
          </w:p>
        </w:tc>
        <w:tc>
          <w:tcPr>
            <w:tcW w:w="8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19,037</w:t>
            </w:r>
          </w:p>
        </w:tc>
      </w:tr>
      <w:tr>
        <w:trPr>
          <w:trHeight w:val="266"/>
        </w:trPr>
        <w:tc>
          <w:tcPr>
            <w:tcW w:w="2580" w:type="dxa"/>
            <w:vAlign w:val="bottom"/>
          </w:tcPr>
          <w:p>
            <w:pPr>
              <w:ind w:left="380"/>
              <w:spacing w:after="0"/>
              <w:rPr>
                <w:sz w:val="20"/>
                <w:szCs w:val="20"/>
                <w:color w:val="auto"/>
              </w:rPr>
            </w:pPr>
            <w:r>
              <w:rPr>
                <w:rFonts w:ascii="Arial" w:cs="Arial" w:eastAsia="Arial" w:hAnsi="Arial"/>
                <w:sz w:val="14"/>
                <w:szCs w:val="14"/>
                <w:color w:val="auto"/>
              </w:rPr>
              <w:t>Finance lease income</w:t>
            </w:r>
          </w:p>
        </w:tc>
        <w:tc>
          <w:tcPr>
            <w:tcW w:w="18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920" w:type="dxa"/>
            <w:vAlign w:val="bottom"/>
          </w:tcPr>
          <w:p>
            <w:pPr>
              <w:jc w:val="right"/>
              <w:ind w:right="28"/>
              <w:spacing w:after="0"/>
              <w:rPr>
                <w:sz w:val="20"/>
                <w:szCs w:val="20"/>
                <w:color w:val="auto"/>
              </w:rPr>
            </w:pPr>
            <w:r>
              <w:rPr>
                <w:rFonts w:ascii="Arial" w:cs="Arial" w:eastAsia="Arial" w:hAnsi="Arial"/>
                <w:sz w:val="14"/>
                <w:szCs w:val="14"/>
                <w:color w:val="auto"/>
              </w:rPr>
              <w:t>1,212</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920" w:type="dxa"/>
            <w:vAlign w:val="bottom"/>
          </w:tcPr>
          <w:p>
            <w:pPr>
              <w:jc w:val="right"/>
              <w:ind w:right="28"/>
              <w:spacing w:after="0"/>
              <w:rPr>
                <w:sz w:val="20"/>
                <w:szCs w:val="20"/>
                <w:color w:val="auto"/>
              </w:rPr>
            </w:pPr>
            <w:r>
              <w:rPr>
                <w:rFonts w:ascii="Arial" w:cs="Arial" w:eastAsia="Arial" w:hAnsi="Arial"/>
                <w:sz w:val="14"/>
                <w:szCs w:val="14"/>
                <w:color w:val="auto"/>
              </w:rPr>
              <w:t>1,112</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3"/>
                <w:szCs w:val="23"/>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3"/>
                <w:szCs w:val="23"/>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3"/>
                <w:szCs w:val="23"/>
                <w:color w:val="auto"/>
              </w:rPr>
            </w:pPr>
          </w:p>
        </w:tc>
        <w:tc>
          <w:tcPr>
            <w:tcW w:w="820" w:type="dxa"/>
            <w:vAlign w:val="bottom"/>
          </w:tcPr>
          <w:p>
            <w:pPr>
              <w:jc w:val="right"/>
              <w:ind w:right="28"/>
              <w:spacing w:after="0"/>
              <w:rPr>
                <w:sz w:val="20"/>
                <w:szCs w:val="20"/>
                <w:color w:val="auto"/>
              </w:rPr>
            </w:pPr>
            <w:r>
              <w:rPr>
                <w:rFonts w:ascii="Arial" w:cs="Arial" w:eastAsia="Arial" w:hAnsi="Arial"/>
                <w:sz w:val="14"/>
                <w:szCs w:val="14"/>
                <w:color w:val="auto"/>
              </w:rPr>
              <w:t>2,324</w:t>
            </w:r>
          </w:p>
        </w:tc>
      </w:tr>
      <w:tr>
        <w:trPr>
          <w:trHeight w:val="274"/>
        </w:trPr>
        <w:tc>
          <w:tcPr>
            <w:tcW w:w="2580" w:type="dxa"/>
            <w:vAlign w:val="bottom"/>
            <w:shd w:val="clear" w:color="auto" w:fill="CCEEFF"/>
          </w:tcPr>
          <w:p>
            <w:pPr>
              <w:ind w:left="380"/>
              <w:spacing w:after="0"/>
              <w:rPr>
                <w:sz w:val="20"/>
                <w:szCs w:val="20"/>
                <w:color w:val="auto"/>
              </w:rPr>
            </w:pPr>
            <w:r>
              <w:rPr>
                <w:rFonts w:ascii="Arial" w:cs="Arial" w:eastAsia="Arial" w:hAnsi="Arial"/>
                <w:sz w:val="14"/>
                <w:szCs w:val="14"/>
                <w:color w:val="auto"/>
              </w:rPr>
              <w:t>Other revenue</w:t>
            </w:r>
          </w:p>
        </w:tc>
        <w:tc>
          <w:tcPr>
            <w:tcW w:w="180" w:type="dxa"/>
            <w:vAlign w:val="bottom"/>
            <w:shd w:val="clear" w:color="auto" w:fill="CCEEFF"/>
          </w:tcPr>
          <w:p>
            <w:pPr>
              <w:spacing w:after="0"/>
              <w:rPr>
                <w:sz w:val="23"/>
                <w:szCs w:val="23"/>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687</w:t>
            </w:r>
          </w:p>
        </w:tc>
        <w:tc>
          <w:tcPr>
            <w:tcW w:w="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9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w:t>
            </w: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9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75</w:t>
            </w: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3"/>
                <w:szCs w:val="23"/>
                <w:color w:val="auto"/>
              </w:rPr>
            </w:pP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3"/>
                <w:szCs w:val="23"/>
                <w:color w:val="auto"/>
              </w:rPr>
            </w:pP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23"/>
                <w:szCs w:val="23"/>
                <w:color w:val="auto"/>
              </w:rPr>
            </w:pPr>
          </w:p>
        </w:tc>
        <w:tc>
          <w:tcPr>
            <w:tcW w:w="8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767</w:t>
            </w:r>
          </w:p>
        </w:tc>
      </w:tr>
      <w:tr>
        <w:trPr>
          <w:trHeight w:val="154"/>
        </w:trPr>
        <w:tc>
          <w:tcPr>
            <w:tcW w:w="2580" w:type="dxa"/>
            <w:vAlign w:val="bottom"/>
          </w:tcPr>
          <w:p>
            <w:pPr>
              <w:ind w:left="380"/>
              <w:spacing w:after="0" w:line="154" w:lineRule="exact"/>
              <w:rPr>
                <w:sz w:val="20"/>
                <w:szCs w:val="20"/>
                <w:color w:val="auto"/>
              </w:rPr>
            </w:pPr>
            <w:r>
              <w:rPr>
                <w:rFonts w:ascii="Arial" w:cs="Arial" w:eastAsia="Arial" w:hAnsi="Arial"/>
                <w:sz w:val="14"/>
                <w:szCs w:val="14"/>
                <w:b w:val="1"/>
                <w:bCs w:val="1"/>
                <w:color w:val="auto"/>
              </w:rPr>
              <w:t>Total equipment leasing</w:t>
            </w:r>
          </w:p>
        </w:tc>
        <w:tc>
          <w:tcPr>
            <w:tcW w:w="180" w:type="dxa"/>
            <w:vAlign w:val="bottom"/>
            <w:tcBorders>
              <w:top w:val="single" w:sz="8" w:color="auto"/>
            </w:tcBorders>
          </w:tcPr>
          <w:p>
            <w:pPr>
              <w:spacing w:after="0"/>
              <w:rPr>
                <w:sz w:val="13"/>
                <w:szCs w:val="13"/>
                <w:color w:val="auto"/>
              </w:rPr>
            </w:pPr>
          </w:p>
        </w:tc>
        <w:tc>
          <w:tcPr>
            <w:tcW w:w="860" w:type="dxa"/>
            <w:vAlign w:val="bottom"/>
            <w:tcBorders>
              <w:top w:val="single" w:sz="8" w:color="auto"/>
            </w:tcBorders>
          </w:tcPr>
          <w:p>
            <w:pPr>
              <w:spacing w:after="0"/>
              <w:rPr>
                <w:sz w:val="13"/>
                <w:szCs w:val="13"/>
                <w:color w:val="auto"/>
              </w:rPr>
            </w:pPr>
          </w:p>
        </w:tc>
        <w:tc>
          <w:tcPr>
            <w:tcW w:w="4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92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92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90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88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90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820" w:type="dxa"/>
            <w:vAlign w:val="bottom"/>
            <w:tcBorders>
              <w:top w:val="single" w:sz="8" w:color="auto"/>
            </w:tcBorders>
          </w:tcPr>
          <w:p>
            <w:pPr>
              <w:spacing w:after="0"/>
              <w:rPr>
                <w:sz w:val="13"/>
                <w:szCs w:val="13"/>
                <w:color w:val="auto"/>
              </w:rPr>
            </w:pPr>
          </w:p>
        </w:tc>
      </w:tr>
      <w:tr>
        <w:trPr>
          <w:trHeight w:val="203"/>
        </w:trPr>
        <w:tc>
          <w:tcPr>
            <w:tcW w:w="2580" w:type="dxa"/>
            <w:vAlign w:val="bottom"/>
          </w:tcPr>
          <w:p>
            <w:pPr>
              <w:ind w:left="380"/>
              <w:spacing w:after="0"/>
              <w:rPr>
                <w:sz w:val="20"/>
                <w:szCs w:val="20"/>
                <w:color w:val="auto"/>
              </w:rPr>
            </w:pPr>
            <w:r>
              <w:rPr>
                <w:rFonts w:ascii="Arial" w:cs="Arial" w:eastAsia="Arial" w:hAnsi="Arial"/>
                <w:sz w:val="14"/>
                <w:szCs w:val="14"/>
                <w:b w:val="1"/>
                <w:bCs w:val="1"/>
                <w:color w:val="auto"/>
              </w:rPr>
              <w:t>revenues</w:t>
            </w:r>
          </w:p>
        </w:tc>
        <w:tc>
          <w:tcPr>
            <w:tcW w:w="18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66,360</w:t>
            </w: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20" w:type="dxa"/>
            <w:vAlign w:val="bottom"/>
          </w:tcPr>
          <w:p>
            <w:pPr>
              <w:jc w:val="right"/>
              <w:ind w:right="28"/>
              <w:spacing w:after="0"/>
              <w:rPr>
                <w:sz w:val="20"/>
                <w:szCs w:val="20"/>
                <w:color w:val="auto"/>
              </w:rPr>
            </w:pPr>
            <w:r>
              <w:rPr>
                <w:rFonts w:ascii="Arial" w:cs="Arial" w:eastAsia="Arial" w:hAnsi="Arial"/>
                <w:sz w:val="14"/>
                <w:szCs w:val="14"/>
                <w:color w:val="auto"/>
              </w:rPr>
              <w:t>4,433</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tcPr>
          <w:p>
            <w:pPr>
              <w:jc w:val="right"/>
              <w:ind w:right="28"/>
              <w:spacing w:after="0"/>
              <w:rPr>
                <w:sz w:val="20"/>
                <w:szCs w:val="20"/>
                <w:color w:val="auto"/>
              </w:rPr>
            </w:pPr>
            <w:r>
              <w:rPr>
                <w:rFonts w:ascii="Arial" w:cs="Arial" w:eastAsia="Arial" w:hAnsi="Arial"/>
                <w:sz w:val="14"/>
                <w:szCs w:val="14"/>
                <w:color w:val="auto"/>
              </w:rPr>
              <w:t>1,187</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7"/>
                <w:szCs w:val="17"/>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7"/>
                <w:szCs w:val="17"/>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7"/>
                <w:szCs w:val="17"/>
                <w:color w:val="auto"/>
              </w:rPr>
            </w:pPr>
          </w:p>
        </w:tc>
        <w:tc>
          <w:tcPr>
            <w:tcW w:w="820" w:type="dxa"/>
            <w:vAlign w:val="bottom"/>
          </w:tcPr>
          <w:p>
            <w:pPr>
              <w:jc w:val="right"/>
              <w:ind w:right="28"/>
              <w:spacing w:after="0"/>
              <w:rPr>
                <w:sz w:val="20"/>
                <w:szCs w:val="20"/>
                <w:color w:val="auto"/>
              </w:rPr>
            </w:pPr>
            <w:r>
              <w:rPr>
                <w:rFonts w:ascii="Arial" w:cs="Arial" w:eastAsia="Arial" w:hAnsi="Arial"/>
                <w:sz w:val="14"/>
                <w:szCs w:val="14"/>
                <w:color w:val="auto"/>
              </w:rPr>
              <w:t>71,980</w:t>
            </w:r>
          </w:p>
        </w:tc>
      </w:tr>
      <w:tr>
        <w:trPr>
          <w:trHeight w:val="265"/>
        </w:trPr>
        <w:tc>
          <w:tcPr>
            <w:tcW w:w="25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Infrastructure revenues</w:t>
            </w:r>
          </w:p>
        </w:tc>
        <w:tc>
          <w:tcPr>
            <w:tcW w:w="180" w:type="dxa"/>
            <w:vAlign w:val="bottom"/>
            <w:tcBorders>
              <w:top w:val="single" w:sz="8" w:color="auto"/>
            </w:tcBorders>
            <w:shd w:val="clear" w:color="auto" w:fill="CCEEFF"/>
          </w:tcPr>
          <w:p>
            <w:pPr>
              <w:spacing w:after="0"/>
              <w:rPr>
                <w:sz w:val="23"/>
                <w:szCs w:val="23"/>
                <w:color w:val="auto"/>
              </w:rPr>
            </w:pPr>
          </w:p>
        </w:tc>
        <w:tc>
          <w:tcPr>
            <w:tcW w:w="860" w:type="dxa"/>
            <w:vAlign w:val="bottom"/>
            <w:tcBorders>
              <w:top w:val="single" w:sz="8" w:color="auto"/>
            </w:tcBorders>
            <w:shd w:val="clear" w:color="auto" w:fill="CCEEFF"/>
          </w:tcPr>
          <w:p>
            <w:pPr>
              <w:spacing w:after="0"/>
              <w:rPr>
                <w:sz w:val="23"/>
                <w:szCs w:val="23"/>
                <w:color w:val="auto"/>
              </w:rPr>
            </w:pPr>
          </w:p>
        </w:tc>
        <w:tc>
          <w:tcPr>
            <w:tcW w:w="4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180" w:type="dxa"/>
            <w:vAlign w:val="bottom"/>
            <w:tcBorders>
              <w:top w:val="single" w:sz="8" w:color="auto"/>
            </w:tcBorders>
            <w:shd w:val="clear" w:color="auto" w:fill="CCEEFF"/>
          </w:tcPr>
          <w:p>
            <w:pPr>
              <w:spacing w:after="0"/>
              <w:rPr>
                <w:sz w:val="23"/>
                <w:szCs w:val="23"/>
                <w:color w:val="auto"/>
              </w:rPr>
            </w:pPr>
          </w:p>
        </w:tc>
        <w:tc>
          <w:tcPr>
            <w:tcW w:w="92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140" w:type="dxa"/>
            <w:vAlign w:val="bottom"/>
            <w:tcBorders>
              <w:top w:val="single" w:sz="8" w:color="auto"/>
            </w:tcBorders>
            <w:shd w:val="clear" w:color="auto" w:fill="CCEEFF"/>
          </w:tcPr>
          <w:p>
            <w:pPr>
              <w:spacing w:after="0"/>
              <w:rPr>
                <w:sz w:val="23"/>
                <w:szCs w:val="23"/>
                <w:color w:val="auto"/>
              </w:rPr>
            </w:pPr>
          </w:p>
        </w:tc>
        <w:tc>
          <w:tcPr>
            <w:tcW w:w="92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160" w:type="dxa"/>
            <w:vAlign w:val="bottom"/>
            <w:tcBorders>
              <w:top w:val="single" w:sz="8" w:color="auto"/>
            </w:tcBorders>
            <w:shd w:val="clear" w:color="auto" w:fill="CCEEFF"/>
          </w:tcPr>
          <w:p>
            <w:pPr>
              <w:spacing w:after="0"/>
              <w:rPr>
                <w:sz w:val="23"/>
                <w:szCs w:val="23"/>
                <w:color w:val="auto"/>
              </w:rPr>
            </w:pPr>
          </w:p>
        </w:tc>
        <w:tc>
          <w:tcPr>
            <w:tcW w:w="90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180" w:type="dxa"/>
            <w:vAlign w:val="bottom"/>
            <w:tcBorders>
              <w:top w:val="single" w:sz="8" w:color="auto"/>
            </w:tcBorders>
            <w:shd w:val="clear" w:color="auto" w:fill="CCEEFF"/>
          </w:tcPr>
          <w:p>
            <w:pPr>
              <w:spacing w:after="0"/>
              <w:rPr>
                <w:sz w:val="23"/>
                <w:szCs w:val="23"/>
                <w:color w:val="auto"/>
              </w:rPr>
            </w:pPr>
          </w:p>
        </w:tc>
        <w:tc>
          <w:tcPr>
            <w:tcW w:w="88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160" w:type="dxa"/>
            <w:vAlign w:val="bottom"/>
            <w:tcBorders>
              <w:top w:val="single" w:sz="8" w:color="auto"/>
            </w:tcBorders>
            <w:shd w:val="clear" w:color="auto" w:fill="CCEEFF"/>
          </w:tcPr>
          <w:p>
            <w:pPr>
              <w:spacing w:after="0"/>
              <w:rPr>
                <w:sz w:val="23"/>
                <w:szCs w:val="23"/>
                <w:color w:val="auto"/>
              </w:rPr>
            </w:pPr>
          </w:p>
        </w:tc>
        <w:tc>
          <w:tcPr>
            <w:tcW w:w="90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240" w:type="dxa"/>
            <w:vAlign w:val="bottom"/>
            <w:tcBorders>
              <w:top w:val="single" w:sz="8" w:color="auto"/>
            </w:tcBorders>
            <w:shd w:val="clear" w:color="auto" w:fill="CCEEFF"/>
          </w:tcPr>
          <w:p>
            <w:pPr>
              <w:spacing w:after="0"/>
              <w:rPr>
                <w:sz w:val="23"/>
                <w:szCs w:val="23"/>
                <w:color w:val="auto"/>
              </w:rPr>
            </w:pPr>
          </w:p>
        </w:tc>
        <w:tc>
          <w:tcPr>
            <w:tcW w:w="820" w:type="dxa"/>
            <w:vAlign w:val="bottom"/>
            <w:tcBorders>
              <w:top w:val="single" w:sz="8" w:color="auto"/>
            </w:tcBorders>
            <w:shd w:val="clear" w:color="auto" w:fill="CCEEFF"/>
          </w:tcPr>
          <w:p>
            <w:pPr>
              <w:spacing w:after="0"/>
              <w:rPr>
                <w:sz w:val="23"/>
                <w:szCs w:val="23"/>
                <w:color w:val="auto"/>
              </w:rPr>
            </w:pPr>
          </w:p>
        </w:tc>
      </w:tr>
      <w:tr>
        <w:trPr>
          <w:trHeight w:val="266"/>
        </w:trPr>
        <w:tc>
          <w:tcPr>
            <w:tcW w:w="2580" w:type="dxa"/>
            <w:vAlign w:val="bottom"/>
          </w:tcPr>
          <w:p>
            <w:pPr>
              <w:ind w:left="420"/>
              <w:spacing w:after="0"/>
              <w:rPr>
                <w:sz w:val="20"/>
                <w:szCs w:val="20"/>
                <w:color w:val="auto"/>
              </w:rPr>
            </w:pPr>
            <w:r>
              <w:rPr>
                <w:rFonts w:ascii="Arial" w:cs="Arial" w:eastAsia="Arial" w:hAnsi="Arial"/>
                <w:sz w:val="14"/>
                <w:szCs w:val="14"/>
                <w:color w:val="auto"/>
              </w:rPr>
              <w:t>Lease income</w:t>
            </w:r>
          </w:p>
        </w:tc>
        <w:tc>
          <w:tcPr>
            <w:tcW w:w="18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3"/>
                <w:szCs w:val="23"/>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3"/>
                <w:szCs w:val="23"/>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3"/>
                <w:szCs w:val="23"/>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3"/>
                <w:szCs w:val="23"/>
                <w:color w:val="auto"/>
              </w:rPr>
            </w:pPr>
          </w:p>
        </w:tc>
        <w:tc>
          <w:tcPr>
            <w:tcW w:w="900" w:type="dxa"/>
            <w:vAlign w:val="bottom"/>
          </w:tcPr>
          <w:p>
            <w:pPr>
              <w:jc w:val="right"/>
              <w:ind w:right="28"/>
              <w:spacing w:after="0"/>
              <w:rPr>
                <w:sz w:val="20"/>
                <w:szCs w:val="20"/>
                <w:color w:val="auto"/>
              </w:rPr>
            </w:pPr>
            <w:r>
              <w:rPr>
                <w:rFonts w:ascii="Arial" w:cs="Arial" w:eastAsia="Arial" w:hAnsi="Arial"/>
                <w:sz w:val="14"/>
                <w:szCs w:val="14"/>
                <w:color w:val="auto"/>
              </w:rPr>
              <w:t>16</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20" w:type="dxa"/>
            <w:vAlign w:val="bottom"/>
          </w:tcPr>
          <w:p>
            <w:pPr>
              <w:jc w:val="right"/>
              <w:ind w:right="28"/>
              <w:spacing w:after="0"/>
              <w:rPr>
                <w:sz w:val="20"/>
                <w:szCs w:val="20"/>
                <w:color w:val="auto"/>
              </w:rPr>
            </w:pPr>
            <w:r>
              <w:rPr>
                <w:rFonts w:ascii="Arial" w:cs="Arial" w:eastAsia="Arial" w:hAnsi="Arial"/>
                <w:sz w:val="14"/>
                <w:szCs w:val="14"/>
                <w:color w:val="auto"/>
              </w:rPr>
              <w:t>16</w:t>
            </w:r>
          </w:p>
        </w:tc>
      </w:tr>
      <w:tr>
        <w:trPr>
          <w:trHeight w:val="274"/>
        </w:trPr>
        <w:tc>
          <w:tcPr>
            <w:tcW w:w="2580" w:type="dxa"/>
            <w:vAlign w:val="bottom"/>
            <w:shd w:val="clear" w:color="auto" w:fill="CCEEFF"/>
          </w:tcPr>
          <w:p>
            <w:pPr>
              <w:ind w:left="420"/>
              <w:spacing w:after="0"/>
              <w:rPr>
                <w:sz w:val="20"/>
                <w:szCs w:val="20"/>
                <w:color w:val="auto"/>
              </w:rPr>
            </w:pPr>
            <w:r>
              <w:rPr>
                <w:rFonts w:ascii="Arial" w:cs="Arial" w:eastAsia="Arial" w:hAnsi="Arial"/>
                <w:sz w:val="14"/>
                <w:szCs w:val="14"/>
                <w:color w:val="auto"/>
              </w:rPr>
              <w:t>Rail revenues</w:t>
            </w:r>
          </w:p>
        </w:tc>
        <w:tc>
          <w:tcPr>
            <w:tcW w:w="180" w:type="dxa"/>
            <w:vAlign w:val="bottom"/>
            <w:shd w:val="clear" w:color="auto" w:fill="CCEEFF"/>
          </w:tcPr>
          <w:p>
            <w:pPr>
              <w:spacing w:after="0"/>
              <w:rPr>
                <w:sz w:val="23"/>
                <w:szCs w:val="23"/>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3"/>
                <w:szCs w:val="23"/>
                <w:color w:val="auto"/>
              </w:rPr>
            </w:pP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3"/>
                <w:szCs w:val="23"/>
                <w:color w:val="auto"/>
              </w:rPr>
            </w:pP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3"/>
                <w:szCs w:val="23"/>
                <w:color w:val="auto"/>
              </w:rPr>
            </w:pPr>
          </w:p>
        </w:tc>
        <w:tc>
          <w:tcPr>
            <w:tcW w:w="8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23,107</w:t>
            </w: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23"/>
                <w:szCs w:val="23"/>
                <w:color w:val="auto"/>
              </w:rPr>
            </w:pPr>
          </w:p>
        </w:tc>
        <w:tc>
          <w:tcPr>
            <w:tcW w:w="8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23,107</w:t>
            </w:r>
          </w:p>
        </w:tc>
      </w:tr>
      <w:tr>
        <w:trPr>
          <w:trHeight w:val="266"/>
        </w:trPr>
        <w:tc>
          <w:tcPr>
            <w:tcW w:w="2580" w:type="dxa"/>
            <w:vAlign w:val="bottom"/>
            <w:tcBorders>
              <w:bottom w:val="single" w:sz="8" w:color="CCEEFF"/>
            </w:tcBorders>
          </w:tcPr>
          <w:p>
            <w:pPr>
              <w:ind w:left="400"/>
              <w:spacing w:after="0"/>
              <w:rPr>
                <w:sz w:val="20"/>
                <w:szCs w:val="20"/>
                <w:color w:val="auto"/>
              </w:rPr>
            </w:pPr>
            <w:r>
              <w:rPr>
                <w:rFonts w:ascii="Arial" w:cs="Arial" w:eastAsia="Arial" w:hAnsi="Arial"/>
                <w:sz w:val="14"/>
                <w:szCs w:val="14"/>
                <w:color w:val="auto"/>
              </w:rPr>
              <w:t>Terminal services revenues</w:t>
            </w:r>
          </w:p>
        </w:tc>
        <w:tc>
          <w:tcPr>
            <w:tcW w:w="180" w:type="dxa"/>
            <w:vAlign w:val="bottom"/>
            <w:tcBorders>
              <w:bottom w:val="single" w:sz="8" w:color="auto"/>
            </w:tcBorders>
          </w:tcPr>
          <w:p>
            <w:pPr>
              <w:spacing w:after="0"/>
              <w:rPr>
                <w:sz w:val="23"/>
                <w:szCs w:val="23"/>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40" w:type="dxa"/>
            <w:vAlign w:val="bottom"/>
            <w:tcBorders>
              <w:bottom w:val="single" w:sz="8" w:color="auto"/>
            </w:tcBorders>
          </w:tcPr>
          <w:p>
            <w:pPr>
              <w:spacing w:after="0"/>
              <w:rPr>
                <w:sz w:val="23"/>
                <w:szCs w:val="23"/>
                <w:color w:val="auto"/>
              </w:rPr>
            </w:pPr>
          </w:p>
        </w:tc>
        <w:tc>
          <w:tcPr>
            <w:tcW w:w="120" w:type="dxa"/>
            <w:vAlign w:val="bottom"/>
            <w:tcBorders>
              <w:bottom w:val="single" w:sz="8" w:color="CCEEFF"/>
            </w:tcBorders>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9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9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9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11,271</w:t>
            </w:r>
          </w:p>
        </w:tc>
        <w:tc>
          <w:tcPr>
            <w:tcW w:w="100" w:type="dxa"/>
            <w:vAlign w:val="bottom"/>
            <w:tcBorders>
              <w:bottom w:val="single" w:sz="8" w:color="CCEEFF"/>
            </w:tcBorders>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8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9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8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11,271</w:t>
            </w:r>
          </w:p>
        </w:tc>
      </w:tr>
      <w:tr>
        <w:trPr>
          <w:trHeight w:val="253"/>
        </w:trPr>
        <w:tc>
          <w:tcPr>
            <w:tcW w:w="2580" w:type="dxa"/>
            <w:vAlign w:val="bottom"/>
            <w:shd w:val="clear" w:color="auto" w:fill="CCEEFF"/>
          </w:tcPr>
          <w:p>
            <w:pPr>
              <w:ind w:left="380"/>
              <w:spacing w:after="0"/>
              <w:rPr>
                <w:sz w:val="20"/>
                <w:szCs w:val="20"/>
                <w:color w:val="auto"/>
              </w:rPr>
            </w:pPr>
            <w:r>
              <w:rPr>
                <w:rFonts w:ascii="Arial" w:cs="Arial" w:eastAsia="Arial" w:hAnsi="Arial"/>
                <w:sz w:val="14"/>
                <w:szCs w:val="14"/>
                <w:b w:val="1"/>
                <w:bCs w:val="1"/>
                <w:color w:val="auto"/>
              </w:rPr>
              <w:t>Total infrastructure revenues</w:t>
            </w:r>
          </w:p>
        </w:tc>
        <w:tc>
          <w:tcPr>
            <w:tcW w:w="180" w:type="dxa"/>
            <w:vAlign w:val="bottom"/>
            <w:tcBorders>
              <w:bottom w:val="single" w:sz="8" w:color="auto"/>
            </w:tcBorders>
            <w:shd w:val="clear" w:color="auto" w:fill="CCEEFF"/>
          </w:tcPr>
          <w:p>
            <w:pPr>
              <w:spacing w:after="0"/>
              <w:rPr>
                <w:sz w:val="22"/>
                <w:szCs w:val="22"/>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40" w:type="dxa"/>
            <w:vAlign w:val="bottom"/>
            <w:tcBorders>
              <w:bottom w:val="single" w:sz="8" w:color="auto"/>
            </w:tcBorders>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spacing w:after="0"/>
              <w:rPr>
                <w:sz w:val="22"/>
                <w:szCs w:val="22"/>
                <w:color w:val="auto"/>
              </w:rPr>
            </w:pPr>
          </w:p>
        </w:tc>
        <w:tc>
          <w:tcPr>
            <w:tcW w:w="9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spacing w:after="0"/>
              <w:rPr>
                <w:sz w:val="22"/>
                <w:szCs w:val="22"/>
                <w:color w:val="auto"/>
              </w:rPr>
            </w:pPr>
          </w:p>
        </w:tc>
        <w:tc>
          <w:tcPr>
            <w:tcW w:w="9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spacing w:after="0"/>
              <w:rPr>
                <w:sz w:val="22"/>
                <w:szCs w:val="22"/>
                <w:color w:val="auto"/>
              </w:rPr>
            </w:pPr>
          </w:p>
        </w:tc>
        <w:tc>
          <w:tcPr>
            <w:tcW w:w="9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11,271</w:t>
            </w:r>
          </w:p>
        </w:tc>
        <w:tc>
          <w:tcPr>
            <w:tcW w:w="100" w:type="dxa"/>
            <w:vAlign w:val="bottom"/>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spacing w:after="0"/>
              <w:rPr>
                <w:sz w:val="22"/>
                <w:szCs w:val="22"/>
                <w:color w:val="auto"/>
              </w:rPr>
            </w:pPr>
          </w:p>
        </w:tc>
        <w:tc>
          <w:tcPr>
            <w:tcW w:w="8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23,107</w:t>
            </w:r>
          </w:p>
        </w:tc>
        <w:tc>
          <w:tcPr>
            <w:tcW w:w="100" w:type="dxa"/>
            <w:vAlign w:val="bottom"/>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spacing w:after="0"/>
              <w:rPr>
                <w:sz w:val="22"/>
                <w:szCs w:val="22"/>
                <w:color w:val="auto"/>
              </w:rPr>
            </w:pPr>
          </w:p>
        </w:tc>
        <w:tc>
          <w:tcPr>
            <w:tcW w:w="9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16</w:t>
            </w:r>
          </w:p>
        </w:tc>
        <w:tc>
          <w:tcPr>
            <w:tcW w:w="100" w:type="dxa"/>
            <w:vAlign w:val="bottom"/>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spacing w:after="0"/>
              <w:rPr>
                <w:sz w:val="22"/>
                <w:szCs w:val="22"/>
                <w:color w:val="auto"/>
              </w:rPr>
            </w:pPr>
          </w:p>
        </w:tc>
        <w:tc>
          <w:tcPr>
            <w:tcW w:w="8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34,394</w:t>
            </w:r>
          </w:p>
        </w:tc>
      </w:tr>
      <w:tr>
        <w:trPr>
          <w:trHeight w:val="238"/>
        </w:trPr>
        <w:tc>
          <w:tcPr>
            <w:tcW w:w="2580" w:type="dxa"/>
            <w:vAlign w:val="bottom"/>
          </w:tcPr>
          <w:p>
            <w:pPr>
              <w:ind w:left="20"/>
              <w:spacing w:after="0"/>
              <w:rPr>
                <w:sz w:val="20"/>
                <w:szCs w:val="20"/>
                <w:color w:val="auto"/>
              </w:rPr>
            </w:pPr>
            <w:r>
              <w:rPr>
                <w:rFonts w:ascii="Arial" w:cs="Arial" w:eastAsia="Arial" w:hAnsi="Arial"/>
                <w:sz w:val="14"/>
                <w:szCs w:val="14"/>
                <w:b w:val="1"/>
                <w:bCs w:val="1"/>
                <w:color w:val="auto"/>
              </w:rPr>
              <w:t>Total revenues</w:t>
            </w: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860" w:type="dxa"/>
            <w:vAlign w:val="bottom"/>
          </w:tcPr>
          <w:p>
            <w:pPr>
              <w:jc w:val="right"/>
              <w:spacing w:after="0"/>
              <w:rPr>
                <w:sz w:val="20"/>
                <w:szCs w:val="20"/>
                <w:color w:val="auto"/>
              </w:rPr>
            </w:pPr>
            <w:r>
              <w:rPr>
                <w:rFonts w:ascii="Arial" w:cs="Arial" w:eastAsia="Arial" w:hAnsi="Arial"/>
                <w:sz w:val="14"/>
                <w:szCs w:val="14"/>
                <w:color w:val="auto"/>
              </w:rPr>
              <w:t>66,360</w:t>
            </w:r>
          </w:p>
        </w:tc>
        <w:tc>
          <w:tcPr>
            <w:tcW w:w="340" w:type="dxa"/>
            <w:vAlign w:val="bottom"/>
            <w:gridSpan w:val="3"/>
          </w:tcPr>
          <w:p>
            <w:pPr>
              <w:jc w:val="right"/>
              <w:spacing w:after="0"/>
              <w:rPr>
                <w:sz w:val="20"/>
                <w:szCs w:val="20"/>
                <w:color w:val="auto"/>
              </w:rPr>
            </w:pPr>
            <w:r>
              <w:rPr>
                <w:rFonts w:ascii="Arial" w:cs="Arial" w:eastAsia="Arial" w:hAnsi="Arial"/>
                <w:sz w:val="14"/>
                <w:szCs w:val="14"/>
                <w:color w:val="auto"/>
              </w:rPr>
              <w:t>$</w:t>
            </w:r>
          </w:p>
        </w:tc>
        <w:tc>
          <w:tcPr>
            <w:tcW w:w="920" w:type="dxa"/>
            <w:vAlign w:val="bottom"/>
          </w:tcPr>
          <w:p>
            <w:pPr>
              <w:jc w:val="right"/>
              <w:ind w:right="28"/>
              <w:spacing w:after="0"/>
              <w:rPr>
                <w:sz w:val="20"/>
                <w:szCs w:val="20"/>
                <w:color w:val="auto"/>
              </w:rPr>
            </w:pPr>
            <w:r>
              <w:rPr>
                <w:rFonts w:ascii="Arial" w:cs="Arial" w:eastAsia="Arial" w:hAnsi="Arial"/>
                <w:sz w:val="14"/>
                <w:szCs w:val="14"/>
                <w:color w:val="auto"/>
              </w:rPr>
              <w:t>4,433</w:t>
            </w:r>
          </w:p>
        </w:tc>
        <w:tc>
          <w:tcPr>
            <w:tcW w:w="12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920" w:type="dxa"/>
            <w:vAlign w:val="bottom"/>
          </w:tcPr>
          <w:p>
            <w:pPr>
              <w:jc w:val="right"/>
              <w:ind w:right="28"/>
              <w:spacing w:after="0"/>
              <w:rPr>
                <w:sz w:val="20"/>
                <w:szCs w:val="20"/>
                <w:color w:val="auto"/>
              </w:rPr>
            </w:pPr>
            <w:r>
              <w:rPr>
                <w:rFonts w:ascii="Arial" w:cs="Arial" w:eastAsia="Arial" w:hAnsi="Arial"/>
                <w:sz w:val="14"/>
                <w:szCs w:val="14"/>
                <w:color w:val="auto"/>
              </w:rPr>
              <w:t>1,187</w:t>
            </w:r>
          </w:p>
        </w:tc>
        <w:tc>
          <w:tcPr>
            <w:tcW w:w="10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28"/>
              <w:spacing w:after="0"/>
              <w:rPr>
                <w:sz w:val="20"/>
                <w:szCs w:val="20"/>
                <w:color w:val="auto"/>
              </w:rPr>
            </w:pPr>
            <w:r>
              <w:rPr>
                <w:rFonts w:ascii="Arial" w:cs="Arial" w:eastAsia="Arial" w:hAnsi="Arial"/>
                <w:sz w:val="14"/>
                <w:szCs w:val="14"/>
                <w:color w:val="auto"/>
              </w:rPr>
              <w:t>11,271</w:t>
            </w:r>
          </w:p>
        </w:tc>
        <w:tc>
          <w:tcPr>
            <w:tcW w:w="10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28"/>
              <w:spacing w:after="0"/>
              <w:rPr>
                <w:sz w:val="20"/>
                <w:szCs w:val="20"/>
                <w:color w:val="auto"/>
              </w:rPr>
            </w:pPr>
            <w:r>
              <w:rPr>
                <w:rFonts w:ascii="Arial" w:cs="Arial" w:eastAsia="Arial" w:hAnsi="Arial"/>
                <w:sz w:val="14"/>
                <w:szCs w:val="14"/>
                <w:color w:val="auto"/>
              </w:rPr>
              <w:t>23,107</w:t>
            </w:r>
          </w:p>
        </w:tc>
        <w:tc>
          <w:tcPr>
            <w:tcW w:w="10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28"/>
              <w:spacing w:after="0"/>
              <w:rPr>
                <w:sz w:val="20"/>
                <w:szCs w:val="20"/>
                <w:color w:val="auto"/>
              </w:rPr>
            </w:pPr>
            <w:r>
              <w:rPr>
                <w:rFonts w:ascii="Arial" w:cs="Arial" w:eastAsia="Arial" w:hAnsi="Arial"/>
                <w:sz w:val="14"/>
                <w:szCs w:val="14"/>
                <w:color w:val="auto"/>
              </w:rPr>
              <w:t>16</w:t>
            </w:r>
          </w:p>
        </w:tc>
        <w:tc>
          <w:tcPr>
            <w:tcW w:w="100" w:type="dxa"/>
            <w:vAlign w:val="bottom"/>
          </w:tcPr>
          <w:p>
            <w:pPr>
              <w:spacing w:after="0"/>
              <w:rPr>
                <w:sz w:val="20"/>
                <w:szCs w:val="20"/>
                <w:color w:val="auto"/>
              </w:rPr>
            </w:pPr>
          </w:p>
        </w:tc>
        <w:tc>
          <w:tcPr>
            <w:tcW w:w="24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820" w:type="dxa"/>
            <w:vAlign w:val="bottom"/>
          </w:tcPr>
          <w:p>
            <w:pPr>
              <w:jc w:val="right"/>
              <w:ind w:right="28"/>
              <w:spacing w:after="0"/>
              <w:rPr>
                <w:sz w:val="20"/>
                <w:szCs w:val="20"/>
                <w:color w:val="auto"/>
              </w:rPr>
            </w:pPr>
            <w:r>
              <w:rPr>
                <w:rFonts w:ascii="Arial" w:cs="Arial" w:eastAsia="Arial" w:hAnsi="Arial"/>
                <w:sz w:val="14"/>
                <w:szCs w:val="14"/>
                <w:color w:val="auto"/>
              </w:rPr>
              <w:t>106,374</w:t>
            </w:r>
          </w:p>
        </w:tc>
      </w:tr>
      <w:tr>
        <w:trPr>
          <w:trHeight w:val="20"/>
        </w:trPr>
        <w:tc>
          <w:tcPr>
            <w:tcW w:w="25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r>
    </w:tbl>
    <w:p>
      <w:pPr>
        <w:spacing w:after="0" w:line="144" w:lineRule="exact"/>
        <w:rPr>
          <w:sz w:val="20"/>
          <w:szCs w:val="20"/>
          <w:color w:val="auto"/>
        </w:rPr>
      </w:pPr>
    </w:p>
    <w:p>
      <w:pPr>
        <w:ind w:left="340"/>
        <w:spacing w:after="0"/>
        <w:rPr>
          <w:sz w:val="20"/>
          <w:szCs w:val="20"/>
          <w:color w:val="auto"/>
        </w:rPr>
      </w:pPr>
      <w:r>
        <w:rPr>
          <w:rFonts w:ascii="Arial" w:cs="Arial" w:eastAsia="Arial" w:hAnsi="Arial"/>
          <w:sz w:val="16"/>
          <w:szCs w:val="16"/>
          <w:color w:val="auto"/>
        </w:rPr>
        <w:t>Presented below are the contracted minimum future annual revenues to be received under existing operating leases across several market sectors as of</w:t>
      </w:r>
    </w:p>
    <w:p>
      <w:pPr>
        <w:spacing w:after="0" w:line="25" w:lineRule="exact"/>
        <w:rPr>
          <w:sz w:val="20"/>
          <w:szCs w:val="20"/>
          <w:color w:val="auto"/>
        </w:rPr>
      </w:pPr>
    </w:p>
    <w:p>
      <w:pPr>
        <w:ind w:left="340"/>
        <w:spacing w:after="0"/>
        <w:rPr>
          <w:sz w:val="20"/>
          <w:szCs w:val="20"/>
          <w:color w:val="auto"/>
        </w:rPr>
      </w:pPr>
      <w:r>
        <w:rPr>
          <w:rFonts w:ascii="Arial" w:cs="Arial" w:eastAsia="Arial" w:hAnsi="Arial"/>
          <w:sz w:val="16"/>
          <w:szCs w:val="16"/>
          <w:color w:val="auto"/>
        </w:rPr>
        <w:t>September 30, 2017:</w:t>
      </w:r>
    </w:p>
    <w:p>
      <w:pPr>
        <w:spacing w:after="0" w:line="366" w:lineRule="exact"/>
        <w:rPr>
          <w:sz w:val="20"/>
          <w:szCs w:val="20"/>
          <w:color w:val="auto"/>
        </w:rPr>
      </w:pPr>
    </w:p>
    <w:tbl>
      <w:tblPr>
        <w:tblLayout w:type="fixed"/>
        <w:tblInd w:w="340" w:type="dxa"/>
        <w:tblCellMar>
          <w:top w:w="0" w:type="dxa"/>
          <w:left w:w="0" w:type="dxa"/>
          <w:bottom w:w="0" w:type="dxa"/>
          <w:right w:w="0" w:type="dxa"/>
        </w:tblCellMar>
      </w:tblPr>
      <w:tr>
        <w:trPr>
          <w:trHeight w:val="203"/>
        </w:trPr>
        <w:tc>
          <w:tcPr>
            <w:tcW w:w="8900" w:type="dxa"/>
            <w:vAlign w:val="bottom"/>
            <w:tcBorders>
              <w:bottom w:val="single" w:sz="8" w:color="CCEEFF"/>
            </w:tcBorders>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tcPr>
          <w:p>
            <w:pPr>
              <w:jc w:val="right"/>
              <w:ind w:right="668"/>
              <w:spacing w:after="0"/>
              <w:rPr>
                <w:sz w:val="20"/>
                <w:szCs w:val="20"/>
                <w:color w:val="auto"/>
              </w:rPr>
            </w:pPr>
            <w:r>
              <w:rPr>
                <w:rFonts w:ascii="Arial" w:cs="Arial" w:eastAsia="Arial" w:hAnsi="Arial"/>
                <w:sz w:val="14"/>
                <w:szCs w:val="14"/>
                <w:b w:val="1"/>
                <w:bCs w:val="1"/>
                <w:color w:val="auto"/>
              </w:rPr>
              <w:t>Total</w:t>
            </w:r>
          </w:p>
        </w:tc>
      </w:tr>
      <w:tr>
        <w:trPr>
          <w:trHeight w:val="211"/>
        </w:trPr>
        <w:tc>
          <w:tcPr>
            <w:tcW w:w="8900" w:type="dxa"/>
            <w:vAlign w:val="bottom"/>
            <w:shd w:val="clear" w:color="auto" w:fill="CCEEFF"/>
          </w:tcPr>
          <w:p>
            <w:pPr>
              <w:ind w:left="20"/>
              <w:spacing w:after="0"/>
              <w:rPr>
                <w:sz w:val="20"/>
                <w:szCs w:val="20"/>
                <w:color w:val="auto"/>
              </w:rPr>
            </w:pPr>
            <w:r>
              <w:rPr>
                <w:rFonts w:ascii="Arial" w:cs="Arial" w:eastAsia="Arial" w:hAnsi="Arial"/>
                <w:sz w:val="14"/>
                <w:szCs w:val="14"/>
                <w:color w:val="auto"/>
              </w:rPr>
              <w:t>2017</w:t>
            </w:r>
          </w:p>
        </w:tc>
        <w:tc>
          <w:tcPr>
            <w:tcW w:w="420" w:type="dxa"/>
            <w:vAlign w:val="bottom"/>
            <w:shd w:val="clear" w:color="auto" w:fill="CCEEFF"/>
          </w:tcPr>
          <w:p>
            <w:pPr>
              <w:jc w:val="right"/>
              <w:ind w:right="248"/>
              <w:spacing w:after="0"/>
              <w:rPr>
                <w:sz w:val="20"/>
                <w:szCs w:val="20"/>
                <w:color w:val="auto"/>
              </w:rPr>
            </w:pPr>
            <w:r>
              <w:rPr>
                <w:rFonts w:ascii="Arial" w:cs="Arial" w:eastAsia="Arial" w:hAnsi="Arial"/>
                <w:sz w:val="14"/>
                <w:szCs w:val="14"/>
                <w:color w:val="auto"/>
              </w:rPr>
              <w:t>$</w:t>
            </w:r>
          </w:p>
        </w:tc>
        <w:tc>
          <w:tcPr>
            <w:tcW w:w="13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29,473</w:t>
            </w:r>
          </w:p>
        </w:tc>
      </w:tr>
      <w:tr>
        <w:trPr>
          <w:trHeight w:val="212"/>
        </w:trPr>
        <w:tc>
          <w:tcPr>
            <w:tcW w:w="8900" w:type="dxa"/>
            <w:vAlign w:val="bottom"/>
          </w:tcPr>
          <w:p>
            <w:pPr>
              <w:ind w:left="20"/>
              <w:spacing w:after="0"/>
              <w:rPr>
                <w:sz w:val="20"/>
                <w:szCs w:val="20"/>
                <w:color w:val="auto"/>
              </w:rPr>
            </w:pPr>
            <w:r>
              <w:rPr>
                <w:rFonts w:ascii="Arial" w:cs="Arial" w:eastAsia="Arial" w:hAnsi="Arial"/>
                <w:sz w:val="14"/>
                <w:szCs w:val="14"/>
                <w:color w:val="auto"/>
              </w:rPr>
              <w:t>2018</w:t>
            </w:r>
          </w:p>
        </w:tc>
        <w:tc>
          <w:tcPr>
            <w:tcW w:w="420" w:type="dxa"/>
            <w:vAlign w:val="bottom"/>
          </w:tcPr>
          <w:p>
            <w:pPr>
              <w:spacing w:after="0"/>
              <w:rPr>
                <w:sz w:val="18"/>
                <w:szCs w:val="18"/>
                <w:color w:val="auto"/>
              </w:rPr>
            </w:pPr>
          </w:p>
        </w:tc>
        <w:tc>
          <w:tcPr>
            <w:tcW w:w="1380" w:type="dxa"/>
            <w:vAlign w:val="bottom"/>
          </w:tcPr>
          <w:p>
            <w:pPr>
              <w:jc w:val="right"/>
              <w:ind w:right="28"/>
              <w:spacing w:after="0"/>
              <w:rPr>
                <w:sz w:val="20"/>
                <w:szCs w:val="20"/>
                <w:color w:val="auto"/>
              </w:rPr>
            </w:pPr>
            <w:r>
              <w:rPr>
                <w:rFonts w:ascii="Arial" w:cs="Arial" w:eastAsia="Arial" w:hAnsi="Arial"/>
                <w:sz w:val="14"/>
                <w:szCs w:val="14"/>
                <w:color w:val="auto"/>
              </w:rPr>
              <w:t>91,448</w:t>
            </w:r>
          </w:p>
        </w:tc>
      </w:tr>
      <w:tr>
        <w:trPr>
          <w:trHeight w:val="220"/>
        </w:trPr>
        <w:tc>
          <w:tcPr>
            <w:tcW w:w="8900" w:type="dxa"/>
            <w:vAlign w:val="bottom"/>
            <w:shd w:val="clear" w:color="auto" w:fill="CCEEFF"/>
          </w:tcPr>
          <w:p>
            <w:pPr>
              <w:ind w:left="20"/>
              <w:spacing w:after="0"/>
              <w:rPr>
                <w:sz w:val="20"/>
                <w:szCs w:val="20"/>
                <w:color w:val="auto"/>
              </w:rPr>
            </w:pPr>
            <w:r>
              <w:rPr>
                <w:rFonts w:ascii="Arial" w:cs="Arial" w:eastAsia="Arial" w:hAnsi="Arial"/>
                <w:sz w:val="14"/>
                <w:szCs w:val="14"/>
                <w:color w:val="auto"/>
              </w:rPr>
              <w:t>2019</w:t>
            </w:r>
          </w:p>
        </w:tc>
        <w:tc>
          <w:tcPr>
            <w:tcW w:w="420" w:type="dxa"/>
            <w:vAlign w:val="bottom"/>
            <w:shd w:val="clear" w:color="auto" w:fill="CCEEFF"/>
          </w:tcPr>
          <w:p>
            <w:pPr>
              <w:spacing w:after="0"/>
              <w:rPr>
                <w:sz w:val="19"/>
                <w:szCs w:val="19"/>
                <w:color w:val="auto"/>
              </w:rPr>
            </w:pPr>
          </w:p>
        </w:tc>
        <w:tc>
          <w:tcPr>
            <w:tcW w:w="13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61,823</w:t>
            </w:r>
          </w:p>
        </w:tc>
      </w:tr>
      <w:tr>
        <w:trPr>
          <w:trHeight w:val="212"/>
        </w:trPr>
        <w:tc>
          <w:tcPr>
            <w:tcW w:w="8900" w:type="dxa"/>
            <w:vAlign w:val="bottom"/>
          </w:tcPr>
          <w:p>
            <w:pPr>
              <w:ind w:left="20"/>
              <w:spacing w:after="0"/>
              <w:rPr>
                <w:sz w:val="20"/>
                <w:szCs w:val="20"/>
                <w:color w:val="auto"/>
              </w:rPr>
            </w:pPr>
            <w:r>
              <w:rPr>
                <w:rFonts w:ascii="Arial" w:cs="Arial" w:eastAsia="Arial" w:hAnsi="Arial"/>
                <w:sz w:val="14"/>
                <w:szCs w:val="14"/>
                <w:color w:val="auto"/>
              </w:rPr>
              <w:t>2020</w:t>
            </w:r>
          </w:p>
        </w:tc>
        <w:tc>
          <w:tcPr>
            <w:tcW w:w="420" w:type="dxa"/>
            <w:vAlign w:val="bottom"/>
          </w:tcPr>
          <w:p>
            <w:pPr>
              <w:spacing w:after="0"/>
              <w:rPr>
                <w:sz w:val="18"/>
                <w:szCs w:val="18"/>
                <w:color w:val="auto"/>
              </w:rPr>
            </w:pPr>
          </w:p>
        </w:tc>
        <w:tc>
          <w:tcPr>
            <w:tcW w:w="1380" w:type="dxa"/>
            <w:vAlign w:val="bottom"/>
          </w:tcPr>
          <w:p>
            <w:pPr>
              <w:jc w:val="right"/>
              <w:ind w:right="28"/>
              <w:spacing w:after="0"/>
              <w:rPr>
                <w:sz w:val="20"/>
                <w:szCs w:val="20"/>
                <w:color w:val="auto"/>
              </w:rPr>
            </w:pPr>
            <w:r>
              <w:rPr>
                <w:rFonts w:ascii="Arial" w:cs="Arial" w:eastAsia="Arial" w:hAnsi="Arial"/>
                <w:sz w:val="14"/>
                <w:szCs w:val="14"/>
                <w:color w:val="auto"/>
              </w:rPr>
              <w:t>39,441</w:t>
            </w:r>
          </w:p>
        </w:tc>
      </w:tr>
      <w:tr>
        <w:trPr>
          <w:trHeight w:val="220"/>
        </w:trPr>
        <w:tc>
          <w:tcPr>
            <w:tcW w:w="8900" w:type="dxa"/>
            <w:vAlign w:val="bottom"/>
            <w:shd w:val="clear" w:color="auto" w:fill="CCEEFF"/>
          </w:tcPr>
          <w:p>
            <w:pPr>
              <w:ind w:left="20"/>
              <w:spacing w:after="0"/>
              <w:rPr>
                <w:sz w:val="20"/>
                <w:szCs w:val="20"/>
                <w:color w:val="auto"/>
              </w:rPr>
            </w:pPr>
            <w:r>
              <w:rPr>
                <w:rFonts w:ascii="Arial" w:cs="Arial" w:eastAsia="Arial" w:hAnsi="Arial"/>
                <w:sz w:val="14"/>
                <w:szCs w:val="14"/>
                <w:color w:val="auto"/>
              </w:rPr>
              <w:t>2021</w:t>
            </w:r>
          </w:p>
        </w:tc>
        <w:tc>
          <w:tcPr>
            <w:tcW w:w="420" w:type="dxa"/>
            <w:vAlign w:val="bottom"/>
            <w:shd w:val="clear" w:color="auto" w:fill="CCEEFF"/>
          </w:tcPr>
          <w:p>
            <w:pPr>
              <w:spacing w:after="0"/>
              <w:rPr>
                <w:sz w:val="19"/>
                <w:szCs w:val="19"/>
                <w:color w:val="auto"/>
              </w:rPr>
            </w:pPr>
          </w:p>
        </w:tc>
        <w:tc>
          <w:tcPr>
            <w:tcW w:w="13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28,408</w:t>
            </w:r>
          </w:p>
        </w:tc>
      </w:tr>
      <w:tr>
        <w:trPr>
          <w:trHeight w:val="212"/>
        </w:trPr>
        <w:tc>
          <w:tcPr>
            <w:tcW w:w="890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Thereafter</w:t>
            </w:r>
          </w:p>
        </w:tc>
        <w:tc>
          <w:tcPr>
            <w:tcW w:w="42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21,934</w:t>
            </w:r>
          </w:p>
        </w:tc>
      </w:tr>
      <w:tr>
        <w:trPr>
          <w:trHeight w:val="214"/>
        </w:trPr>
        <w:tc>
          <w:tcPr>
            <w:tcW w:w="89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Total</w:t>
            </w:r>
          </w:p>
        </w:tc>
        <w:tc>
          <w:tcPr>
            <w:tcW w:w="420" w:type="dxa"/>
            <w:vAlign w:val="bottom"/>
            <w:tcBorders>
              <w:bottom w:val="single" w:sz="8" w:color="auto"/>
            </w:tcBorders>
            <w:shd w:val="clear" w:color="auto" w:fill="CCEEFF"/>
          </w:tcPr>
          <w:p>
            <w:pPr>
              <w:jc w:val="right"/>
              <w:ind w:right="248"/>
              <w:spacing w:after="0"/>
              <w:rPr>
                <w:sz w:val="20"/>
                <w:szCs w:val="20"/>
                <w:color w:val="auto"/>
              </w:rPr>
            </w:pPr>
            <w:r>
              <w:rPr>
                <w:rFonts w:ascii="Arial" w:cs="Arial" w:eastAsia="Arial" w:hAnsi="Arial"/>
                <w:sz w:val="14"/>
                <w:szCs w:val="14"/>
                <w:b w:val="1"/>
                <w:bCs w:val="1"/>
                <w:color w:val="auto"/>
              </w:rPr>
              <w:t>$</w:t>
            </w:r>
          </w:p>
        </w:tc>
        <w:tc>
          <w:tcPr>
            <w:tcW w:w="13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272,527</w:t>
            </w:r>
          </w:p>
        </w:tc>
      </w:tr>
      <w:tr>
        <w:trPr>
          <w:trHeight w:val="20"/>
        </w:trPr>
        <w:tc>
          <w:tcPr>
            <w:tcW w:w="89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240" w:top="117" w:right="419" w:bottom="1440" w:gutter="0" w:footer="0" w:header="0"/>
        </w:sectPr>
      </w:pPr>
    </w:p>
    <w:p>
      <w:pPr>
        <w:spacing w:after="0" w:line="25" w:lineRule="exact"/>
        <w:rPr>
          <w:sz w:val="20"/>
          <w:szCs w:val="20"/>
          <w:color w:val="auto"/>
        </w:rPr>
      </w:pPr>
    </w:p>
    <w:p>
      <w:pPr>
        <w:jc w:val="center"/>
        <w:ind w:right="-179"/>
        <w:spacing w:after="0"/>
        <w:rPr>
          <w:sz w:val="20"/>
          <w:szCs w:val="20"/>
          <w:color w:val="auto"/>
        </w:rPr>
      </w:pPr>
      <w:r>
        <w:rPr>
          <w:rFonts w:ascii="Arial" w:cs="Arial" w:eastAsia="Arial" w:hAnsi="Arial"/>
          <w:sz w:val="16"/>
          <w:szCs w:val="16"/>
          <w:color w:val="auto"/>
        </w:rPr>
        <w:t>27</w:t>
      </w:r>
    </w:p>
    <w:p>
      <w:pPr>
        <w:sectPr>
          <w:pgSz w:w="11900" w:h="16838" w:orient="portrait"/>
          <w:cols w:equalWidth="0" w:num="1">
            <w:col w:w="11240"/>
          </w:cols>
          <w:pgMar w:left="240" w:top="117" w:right="419" w:bottom="1440" w:gutter="0" w:footer="0" w:header="0"/>
          <w:type w:val="continuous"/>
        </w:sectPr>
      </w:pPr>
    </w:p>
    <w:bookmarkStart w:id="27" w:name="page28"/>
    <w:bookmarkEnd w:id="27"/>
    <w:p>
      <w:pPr>
        <w:ind w:right="3820"/>
        <w:spacing w:after="0" w:line="305" w:lineRule="auto"/>
        <w:rPr>
          <w:sz w:val="20"/>
          <w:szCs w:val="20"/>
          <w:color w:val="auto"/>
        </w:rPr>
      </w:pPr>
      <w:r>
        <w:rPr>
          <w:rFonts w:ascii="Arial" w:cs="Arial" w:eastAsia="Arial" w:hAnsi="Arial"/>
          <w:sz w:val="22"/>
          <w:szCs w:val="22"/>
          <w:b w:val="1"/>
          <w:bCs w:val="1"/>
          <w:color w:val="00497F"/>
        </w:rPr>
        <w:t xml:space="preserve">FORTRESS TRANSPORTATION AND INFRASTRUCTURE INVESTORS LLC NOTES TO CONSOLIDATED FINANCIAL STATEMENTS </w:t>
      </w:r>
      <w:r>
        <w:rPr>
          <w:rFonts w:ascii="Arial" w:cs="Arial" w:eastAsia="Arial" w:hAnsi="Arial"/>
          <w:sz w:val="22"/>
          <w:szCs w:val="22"/>
          <w:b w:val="1"/>
          <w:bCs w:val="1"/>
          <w:i w:val="1"/>
          <w:iCs w:val="1"/>
          <w:color w:val="00497F"/>
        </w:rPr>
        <w:t>(unaudited)</w:t>
      </w:r>
    </w:p>
    <w:p>
      <w:pPr>
        <w:spacing w:after="0"/>
        <w:rPr>
          <w:sz w:val="20"/>
          <w:szCs w:val="20"/>
          <w:color w:val="auto"/>
        </w:rPr>
      </w:pPr>
      <w:r>
        <w:rPr>
          <w:rFonts w:ascii="Arial" w:cs="Arial" w:eastAsia="Arial" w:hAnsi="Arial"/>
          <w:sz w:val="18"/>
          <w:szCs w:val="18"/>
          <w:i w:val="1"/>
          <w:iCs w:val="1"/>
          <w:color w:val="00497F"/>
        </w:rPr>
        <w:t>(Dollar amounts in thousands, unless otherwise noted)</w:t>
      </w:r>
    </w:p>
    <w:p>
      <w:pPr>
        <w:spacing w:after="0" w:line="392" w:lineRule="exact"/>
        <w:rPr>
          <w:sz w:val="20"/>
          <w:szCs w:val="20"/>
          <w:color w:val="auto"/>
        </w:rPr>
      </w:pPr>
    </w:p>
    <w:p>
      <w:pPr>
        <w:spacing w:after="0"/>
        <w:rPr>
          <w:sz w:val="20"/>
          <w:szCs w:val="20"/>
          <w:color w:val="auto"/>
        </w:rPr>
      </w:pPr>
      <w:r>
        <w:rPr>
          <w:rFonts w:ascii="Arial" w:cs="Arial" w:eastAsia="Arial" w:hAnsi="Arial"/>
          <w:sz w:val="22"/>
          <w:szCs w:val="22"/>
          <w:b w:val="1"/>
          <w:bCs w:val="1"/>
          <w:color w:val="00497F"/>
        </w:rPr>
        <w:t>11. EQUITY-BASED COMPENSATION</w:t>
      </w:r>
    </w:p>
    <w:p>
      <w:pPr>
        <w:spacing w:after="0" w:line="171" w:lineRule="exact"/>
        <w:rPr>
          <w:sz w:val="20"/>
          <w:szCs w:val="20"/>
          <w:color w:val="auto"/>
        </w:rPr>
      </w:pPr>
    </w:p>
    <w:p>
      <w:pPr>
        <w:jc w:val="both"/>
        <w:ind w:left="340"/>
        <w:spacing w:after="0" w:line="269" w:lineRule="auto"/>
        <w:rPr>
          <w:sz w:val="20"/>
          <w:szCs w:val="20"/>
          <w:color w:val="auto"/>
        </w:rPr>
      </w:pPr>
      <w:r>
        <w:rPr>
          <w:rFonts w:ascii="Arial" w:cs="Arial" w:eastAsia="Arial" w:hAnsi="Arial"/>
          <w:sz w:val="16"/>
          <w:szCs w:val="16"/>
          <w:color w:val="auto"/>
        </w:rPr>
        <w:t>In 2015, the Company established a Nonqualified Stock Option and Incentive Award Plan (“Incentive Plan”) which provides for the ability to award equity compensation awards in the form of stock options, stock appreciation rights, restricted stock, and performance awards to eligible employees, consultants, directors, and other individuals who provide services to the Company, each as determined by the Compensation Committee of the Board of Directors.</w:t>
      </w:r>
    </w:p>
    <w:p>
      <w:pPr>
        <w:spacing w:after="0" w:line="111" w:lineRule="exact"/>
        <w:rPr>
          <w:sz w:val="20"/>
          <w:szCs w:val="20"/>
          <w:color w:val="auto"/>
        </w:rPr>
      </w:pPr>
    </w:p>
    <w:p>
      <w:pPr>
        <w:jc w:val="both"/>
        <w:ind w:left="340"/>
        <w:spacing w:after="0" w:line="269" w:lineRule="auto"/>
        <w:rPr>
          <w:sz w:val="20"/>
          <w:szCs w:val="20"/>
          <w:color w:val="auto"/>
        </w:rPr>
      </w:pPr>
      <w:r>
        <w:rPr>
          <w:rFonts w:ascii="Arial" w:cs="Arial" w:eastAsia="Arial" w:hAnsi="Arial"/>
          <w:sz w:val="16"/>
          <w:szCs w:val="16"/>
          <w:color w:val="auto"/>
        </w:rPr>
        <w:t xml:space="preserve">As of September 30, 2017, the Incentive Plan provides for the issuance of up to 30 million shares. The Company accounts for equity-based compensation expense in accordance with Accounting Standards Codification 718 </w:t>
      </w:r>
      <w:r>
        <w:rPr>
          <w:rFonts w:ascii="Arial" w:cs="Arial" w:eastAsia="Arial" w:hAnsi="Arial"/>
          <w:sz w:val="16"/>
          <w:szCs w:val="16"/>
          <w:i w:val="1"/>
          <w:iCs w:val="1"/>
          <w:color w:val="auto"/>
        </w:rPr>
        <w:t>Compensation-Stock Compensation</w:t>
      </w:r>
      <w:r>
        <w:rPr>
          <w:rFonts w:ascii="Arial" w:cs="Arial" w:eastAsia="Arial" w:hAnsi="Arial"/>
          <w:sz w:val="16"/>
          <w:szCs w:val="16"/>
          <w:color w:val="auto"/>
        </w:rPr>
        <w:t xml:space="preserve"> (“ASC 718”) and is reported within operating expenses and general and administrative in the Consolidated Statements of Operations.</w:t>
      </w:r>
    </w:p>
    <w:p>
      <w:pPr>
        <w:spacing w:after="0" w:line="111"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The Consolidated Statements of Operations includes the following expense (income) related to its stock-based compensation arrangements:</w:t>
      </w:r>
    </w:p>
    <w:p>
      <w:pPr>
        <w:spacing w:after="0" w:line="332" w:lineRule="exact"/>
        <w:rPr>
          <w:sz w:val="20"/>
          <w:szCs w:val="20"/>
          <w:color w:val="auto"/>
        </w:rPr>
      </w:pPr>
    </w:p>
    <w:tbl>
      <w:tblPr>
        <w:tblLayout w:type="fixed"/>
        <w:tblInd w:w="340" w:type="dxa"/>
        <w:tblCellMar>
          <w:top w:w="0" w:type="dxa"/>
          <w:left w:w="0" w:type="dxa"/>
          <w:bottom w:w="0" w:type="dxa"/>
          <w:right w:w="0" w:type="dxa"/>
        </w:tblCellMar>
      </w:tblPr>
      <w:tr>
        <w:trPr>
          <w:trHeight w:val="162"/>
        </w:trPr>
        <w:tc>
          <w:tcPr>
            <w:tcW w:w="1920" w:type="dxa"/>
            <w:vAlign w:val="bottom"/>
          </w:tcPr>
          <w:p>
            <w:pPr>
              <w:spacing w:after="0"/>
              <w:rPr>
                <w:sz w:val="14"/>
                <w:szCs w:val="14"/>
                <w:color w:val="auto"/>
              </w:rPr>
            </w:pPr>
          </w:p>
        </w:tc>
        <w:tc>
          <w:tcPr>
            <w:tcW w:w="2520" w:type="dxa"/>
            <w:vAlign w:val="bottom"/>
            <w:gridSpan w:val="7"/>
          </w:tcPr>
          <w:p>
            <w:pPr>
              <w:jc w:val="center"/>
              <w:ind w:right="80"/>
              <w:spacing w:after="0"/>
              <w:rPr>
                <w:sz w:val="20"/>
                <w:szCs w:val="20"/>
                <w:color w:val="auto"/>
              </w:rPr>
            </w:pPr>
            <w:r>
              <w:rPr>
                <w:rFonts w:ascii="Arial" w:cs="Arial" w:eastAsia="Arial" w:hAnsi="Arial"/>
                <w:sz w:val="14"/>
                <w:szCs w:val="14"/>
                <w:b w:val="1"/>
                <w:bCs w:val="1"/>
                <w:color w:val="auto"/>
              </w:rPr>
              <w:t>Three Months Ended September</w:t>
            </w:r>
          </w:p>
        </w:tc>
        <w:tc>
          <w:tcPr>
            <w:tcW w:w="100" w:type="dxa"/>
            <w:vAlign w:val="bottom"/>
          </w:tcPr>
          <w:p>
            <w:pPr>
              <w:spacing w:after="0"/>
              <w:rPr>
                <w:sz w:val="14"/>
                <w:szCs w:val="14"/>
                <w:color w:val="auto"/>
              </w:rPr>
            </w:pPr>
          </w:p>
        </w:tc>
        <w:tc>
          <w:tcPr>
            <w:tcW w:w="2320" w:type="dxa"/>
            <w:vAlign w:val="bottom"/>
            <w:gridSpan w:val="6"/>
          </w:tcPr>
          <w:p>
            <w:pPr>
              <w:spacing w:after="0"/>
              <w:rPr>
                <w:sz w:val="20"/>
                <w:szCs w:val="20"/>
                <w:color w:val="auto"/>
              </w:rPr>
            </w:pPr>
            <w:r>
              <w:rPr>
                <w:rFonts w:ascii="Arial" w:cs="Arial" w:eastAsia="Arial" w:hAnsi="Arial"/>
                <w:sz w:val="14"/>
                <w:szCs w:val="14"/>
                <w:b w:val="1"/>
                <w:bCs w:val="1"/>
                <w:color w:val="auto"/>
              </w:rPr>
              <w:t>Nine Months Ended September</w:t>
            </w:r>
          </w:p>
        </w:tc>
        <w:tc>
          <w:tcPr>
            <w:tcW w:w="120" w:type="dxa"/>
            <w:vAlign w:val="bottom"/>
          </w:tcPr>
          <w:p>
            <w:pPr>
              <w:spacing w:after="0"/>
              <w:rPr>
                <w:sz w:val="14"/>
                <w:szCs w:val="14"/>
                <w:color w:val="auto"/>
              </w:rPr>
            </w:pPr>
          </w:p>
        </w:tc>
        <w:tc>
          <w:tcPr>
            <w:tcW w:w="1900" w:type="dxa"/>
            <w:vAlign w:val="bottom"/>
            <w:vMerge w:val="restart"/>
          </w:tcPr>
          <w:p>
            <w:pPr>
              <w:jc w:val="center"/>
              <w:ind w:right="28"/>
              <w:spacing w:after="0"/>
              <w:rPr>
                <w:sz w:val="20"/>
                <w:szCs w:val="20"/>
                <w:color w:val="auto"/>
              </w:rPr>
            </w:pPr>
            <w:r>
              <w:rPr>
                <w:rFonts w:ascii="Arial" w:cs="Arial" w:eastAsia="Arial" w:hAnsi="Arial"/>
                <w:sz w:val="14"/>
                <w:szCs w:val="14"/>
                <w:b w:val="1"/>
                <w:bCs w:val="1"/>
                <w:color w:val="auto"/>
              </w:rPr>
              <w:t>Remaining Expense To Be</w:t>
            </w:r>
          </w:p>
        </w:tc>
        <w:tc>
          <w:tcPr>
            <w:tcW w:w="180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Weighted Average</w:t>
            </w:r>
          </w:p>
        </w:tc>
        <w:tc>
          <w:tcPr>
            <w:tcW w:w="0" w:type="dxa"/>
            <w:vAlign w:val="bottom"/>
          </w:tcPr>
          <w:p>
            <w:pPr>
              <w:spacing w:after="0"/>
              <w:rPr>
                <w:sz w:val="1"/>
                <w:szCs w:val="1"/>
                <w:color w:val="auto"/>
              </w:rPr>
            </w:pPr>
          </w:p>
        </w:tc>
      </w:tr>
      <w:tr>
        <w:trPr>
          <w:trHeight w:val="142"/>
        </w:trPr>
        <w:tc>
          <w:tcPr>
            <w:tcW w:w="19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20" w:type="dxa"/>
            <w:vAlign w:val="bottom"/>
            <w:gridSpan w:val="2"/>
          </w:tcPr>
          <w:p>
            <w:pPr>
              <w:jc w:val="right"/>
              <w:spacing w:after="0" w:line="142" w:lineRule="exact"/>
              <w:rPr>
                <w:sz w:val="20"/>
                <w:szCs w:val="20"/>
                <w:color w:val="auto"/>
              </w:rPr>
            </w:pPr>
            <w:r>
              <w:rPr>
                <w:rFonts w:ascii="Arial" w:cs="Arial" w:eastAsia="Arial" w:hAnsi="Arial"/>
                <w:sz w:val="14"/>
                <w:szCs w:val="14"/>
                <w:b w:val="1"/>
                <w:bCs w:val="1"/>
                <w:color w:val="auto"/>
              </w:rPr>
              <w:t>30,</w:t>
            </w:r>
          </w:p>
        </w:tc>
        <w:tc>
          <w:tcPr>
            <w:tcW w:w="2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440" w:type="dxa"/>
            <w:vAlign w:val="bottom"/>
            <w:gridSpan w:val="3"/>
          </w:tcPr>
          <w:p>
            <w:pPr>
              <w:jc w:val="right"/>
              <w:ind w:right="220"/>
              <w:spacing w:after="0" w:line="142" w:lineRule="exact"/>
              <w:rPr>
                <w:sz w:val="20"/>
                <w:szCs w:val="20"/>
                <w:color w:val="auto"/>
              </w:rPr>
            </w:pPr>
            <w:r>
              <w:rPr>
                <w:rFonts w:ascii="Arial" w:cs="Arial" w:eastAsia="Arial" w:hAnsi="Arial"/>
                <w:sz w:val="14"/>
                <w:szCs w:val="14"/>
                <w:b w:val="1"/>
                <w:bCs w:val="1"/>
                <w:color w:val="auto"/>
              </w:rPr>
              <w:t>30,</w:t>
            </w: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900" w:type="dxa"/>
            <w:vAlign w:val="bottom"/>
            <w:vMerge w:val="continue"/>
          </w:tcPr>
          <w:p>
            <w:pPr>
              <w:spacing w:after="0"/>
              <w:rPr>
                <w:sz w:val="12"/>
                <w:szCs w:val="12"/>
                <w:color w:val="auto"/>
              </w:rPr>
            </w:pPr>
          </w:p>
        </w:tc>
        <w:tc>
          <w:tcPr>
            <w:tcW w:w="18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63"/>
        </w:trPr>
        <w:tc>
          <w:tcPr>
            <w:tcW w:w="1920" w:type="dxa"/>
            <w:vAlign w:val="bottom"/>
          </w:tcPr>
          <w:p>
            <w:pPr>
              <w:spacing w:after="0"/>
              <w:rPr>
                <w:sz w:val="5"/>
                <w:szCs w:val="5"/>
                <w:color w:val="auto"/>
              </w:rPr>
            </w:pPr>
          </w:p>
        </w:tc>
        <w:tc>
          <w:tcPr>
            <w:tcW w:w="820" w:type="dxa"/>
            <w:vAlign w:val="bottom"/>
            <w:tcBorders>
              <w:bottom w:val="single" w:sz="8" w:color="auto"/>
            </w:tcBorders>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820" w:type="dxa"/>
            <w:vAlign w:val="bottom"/>
            <w:tcBorders>
              <w:bottom w:val="single" w:sz="8" w:color="auto"/>
            </w:tcBorders>
          </w:tcPr>
          <w:p>
            <w:pPr>
              <w:spacing w:after="0"/>
              <w:rPr>
                <w:sz w:val="5"/>
                <w:szCs w:val="5"/>
                <w:color w:val="auto"/>
              </w:rPr>
            </w:pPr>
          </w:p>
        </w:tc>
        <w:tc>
          <w:tcPr>
            <w:tcW w:w="120" w:type="dxa"/>
            <w:vAlign w:val="bottom"/>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96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820" w:type="dxa"/>
            <w:vAlign w:val="bottom"/>
            <w:tcBorders>
              <w:bottom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120" w:type="dxa"/>
            <w:vAlign w:val="bottom"/>
          </w:tcPr>
          <w:p>
            <w:pPr>
              <w:spacing w:after="0"/>
              <w:rPr>
                <w:sz w:val="5"/>
                <w:szCs w:val="5"/>
                <w:color w:val="auto"/>
              </w:rPr>
            </w:pPr>
          </w:p>
        </w:tc>
        <w:tc>
          <w:tcPr>
            <w:tcW w:w="1900" w:type="dxa"/>
            <w:vAlign w:val="bottom"/>
            <w:vMerge w:val="restart"/>
          </w:tcPr>
          <w:p>
            <w:pPr>
              <w:jc w:val="center"/>
              <w:ind w:right="48"/>
              <w:spacing w:after="0" w:line="142" w:lineRule="exact"/>
              <w:rPr>
                <w:sz w:val="20"/>
                <w:szCs w:val="20"/>
                <w:color w:val="auto"/>
              </w:rPr>
            </w:pPr>
            <w:r>
              <w:rPr>
                <w:rFonts w:ascii="Arial" w:cs="Arial" w:eastAsia="Arial" w:hAnsi="Arial"/>
                <w:sz w:val="14"/>
                <w:szCs w:val="14"/>
                <w:b w:val="1"/>
                <w:bCs w:val="1"/>
                <w:color w:val="auto"/>
              </w:rPr>
              <w:t>Recognized, If All Vesting</w:t>
            </w:r>
          </w:p>
        </w:tc>
        <w:tc>
          <w:tcPr>
            <w:tcW w:w="1800" w:type="dxa"/>
            <w:vAlign w:val="bottom"/>
            <w:vMerge w:val="restart"/>
          </w:tcPr>
          <w:p>
            <w:pPr>
              <w:jc w:val="center"/>
              <w:spacing w:after="0" w:line="142" w:lineRule="exact"/>
              <w:rPr>
                <w:sz w:val="20"/>
                <w:szCs w:val="20"/>
                <w:color w:val="auto"/>
              </w:rPr>
            </w:pPr>
            <w:r>
              <w:rPr>
                <w:rFonts w:ascii="Arial" w:cs="Arial" w:eastAsia="Arial" w:hAnsi="Arial"/>
                <w:sz w:val="14"/>
                <w:szCs w:val="14"/>
                <w:b w:val="1"/>
                <w:bCs w:val="1"/>
                <w:color w:val="auto"/>
              </w:rPr>
              <w:t>Remaining Contractual</w:t>
            </w:r>
          </w:p>
        </w:tc>
        <w:tc>
          <w:tcPr>
            <w:tcW w:w="0" w:type="dxa"/>
            <w:vAlign w:val="bottom"/>
          </w:tcPr>
          <w:p>
            <w:pPr>
              <w:spacing w:after="0"/>
              <w:rPr>
                <w:sz w:val="1"/>
                <w:szCs w:val="1"/>
                <w:color w:val="auto"/>
              </w:rPr>
            </w:pPr>
          </w:p>
        </w:tc>
      </w:tr>
      <w:tr>
        <w:trPr>
          <w:trHeight w:val="59"/>
        </w:trPr>
        <w:tc>
          <w:tcPr>
            <w:tcW w:w="1920" w:type="dxa"/>
            <w:vAlign w:val="bottom"/>
          </w:tcPr>
          <w:p>
            <w:pPr>
              <w:spacing w:after="0"/>
              <w:rPr>
                <w:sz w:val="5"/>
                <w:szCs w:val="5"/>
                <w:color w:val="auto"/>
              </w:rPr>
            </w:pPr>
          </w:p>
        </w:tc>
        <w:tc>
          <w:tcPr>
            <w:tcW w:w="820" w:type="dxa"/>
            <w:vAlign w:val="bottom"/>
          </w:tcPr>
          <w:p>
            <w:pPr>
              <w:spacing w:after="0"/>
              <w:rPr>
                <w:sz w:val="5"/>
                <w:szCs w:val="5"/>
                <w:color w:val="auto"/>
              </w:rPr>
            </w:pPr>
          </w:p>
        </w:tc>
        <w:tc>
          <w:tcPr>
            <w:tcW w:w="28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0" w:type="dxa"/>
            <w:vAlign w:val="bottom"/>
          </w:tcPr>
          <w:p>
            <w:pPr>
              <w:spacing w:after="0"/>
              <w:rPr>
                <w:sz w:val="5"/>
                <w:szCs w:val="5"/>
                <w:color w:val="auto"/>
              </w:rPr>
            </w:pPr>
          </w:p>
        </w:tc>
        <w:tc>
          <w:tcPr>
            <w:tcW w:w="260" w:type="dxa"/>
            <w:vAlign w:val="bottom"/>
          </w:tcPr>
          <w:p>
            <w:pPr>
              <w:spacing w:after="0"/>
              <w:rPr>
                <w:sz w:val="5"/>
                <w:szCs w:val="5"/>
                <w:color w:val="auto"/>
              </w:rPr>
            </w:pPr>
          </w:p>
        </w:tc>
        <w:tc>
          <w:tcPr>
            <w:tcW w:w="82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0" w:type="dxa"/>
            <w:vAlign w:val="bottom"/>
          </w:tcPr>
          <w:p>
            <w:pPr>
              <w:spacing w:after="0"/>
              <w:rPr>
                <w:sz w:val="5"/>
                <w:szCs w:val="5"/>
                <w:color w:val="auto"/>
              </w:rPr>
            </w:pPr>
          </w:p>
        </w:tc>
        <w:tc>
          <w:tcPr>
            <w:tcW w:w="960" w:type="dxa"/>
            <w:vAlign w:val="bottom"/>
          </w:tcPr>
          <w:p>
            <w:pPr>
              <w:spacing w:after="0"/>
              <w:rPr>
                <w:sz w:val="5"/>
                <w:szCs w:val="5"/>
                <w:color w:val="auto"/>
              </w:rPr>
            </w:pPr>
          </w:p>
        </w:tc>
        <w:tc>
          <w:tcPr>
            <w:tcW w:w="100" w:type="dxa"/>
            <w:vAlign w:val="bottom"/>
          </w:tcPr>
          <w:p>
            <w:pPr>
              <w:spacing w:after="0"/>
              <w:rPr>
                <w:sz w:val="5"/>
                <w:szCs w:val="5"/>
                <w:color w:val="auto"/>
              </w:rPr>
            </w:pPr>
          </w:p>
        </w:tc>
        <w:tc>
          <w:tcPr>
            <w:tcW w:w="100" w:type="dxa"/>
            <w:vAlign w:val="bottom"/>
          </w:tcPr>
          <w:p>
            <w:pPr>
              <w:spacing w:after="0"/>
              <w:rPr>
                <w:sz w:val="5"/>
                <w:szCs w:val="5"/>
                <w:color w:val="auto"/>
              </w:rPr>
            </w:pPr>
          </w:p>
        </w:tc>
        <w:tc>
          <w:tcPr>
            <w:tcW w:w="240" w:type="dxa"/>
            <w:vAlign w:val="bottom"/>
          </w:tcPr>
          <w:p>
            <w:pPr>
              <w:spacing w:after="0"/>
              <w:rPr>
                <w:sz w:val="5"/>
                <w:szCs w:val="5"/>
                <w:color w:val="auto"/>
              </w:rPr>
            </w:pPr>
          </w:p>
        </w:tc>
        <w:tc>
          <w:tcPr>
            <w:tcW w:w="8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0" w:type="dxa"/>
            <w:vAlign w:val="bottom"/>
          </w:tcPr>
          <w:p>
            <w:pPr>
              <w:spacing w:after="0"/>
              <w:rPr>
                <w:sz w:val="5"/>
                <w:szCs w:val="5"/>
                <w:color w:val="auto"/>
              </w:rPr>
            </w:pPr>
          </w:p>
        </w:tc>
        <w:tc>
          <w:tcPr>
            <w:tcW w:w="1900" w:type="dxa"/>
            <w:vAlign w:val="bottom"/>
            <w:vMerge w:val="continue"/>
          </w:tcPr>
          <w:p>
            <w:pPr>
              <w:spacing w:after="0"/>
              <w:rPr>
                <w:sz w:val="5"/>
                <w:szCs w:val="5"/>
                <w:color w:val="auto"/>
              </w:rPr>
            </w:pPr>
          </w:p>
        </w:tc>
        <w:tc>
          <w:tcPr>
            <w:tcW w:w="18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03"/>
        </w:trPr>
        <w:tc>
          <w:tcPr>
            <w:tcW w:w="1920" w:type="dxa"/>
            <w:vAlign w:val="bottom"/>
          </w:tcPr>
          <w:p>
            <w:pPr>
              <w:spacing w:after="0"/>
              <w:rPr>
                <w:sz w:val="17"/>
                <w:szCs w:val="17"/>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2017</w:t>
            </w:r>
          </w:p>
        </w:tc>
        <w:tc>
          <w:tcPr>
            <w:tcW w:w="28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ind w:right="308"/>
              <w:spacing w:after="0"/>
              <w:rPr>
                <w:sz w:val="20"/>
                <w:szCs w:val="20"/>
                <w:color w:val="auto"/>
              </w:rPr>
            </w:pPr>
            <w:r>
              <w:rPr>
                <w:rFonts w:ascii="Arial" w:cs="Arial" w:eastAsia="Arial" w:hAnsi="Arial"/>
                <w:sz w:val="14"/>
                <w:szCs w:val="14"/>
                <w:b w:val="1"/>
                <w:bCs w:val="1"/>
                <w:color w:val="auto"/>
              </w:rPr>
              <w:t>2016</w:t>
            </w:r>
          </w:p>
        </w:tc>
        <w:tc>
          <w:tcPr>
            <w:tcW w:w="12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ind w:right="288"/>
              <w:spacing w:after="0"/>
              <w:rPr>
                <w:sz w:val="20"/>
                <w:szCs w:val="20"/>
                <w:color w:val="auto"/>
              </w:rPr>
            </w:pPr>
            <w:r>
              <w:rPr>
                <w:rFonts w:ascii="Arial" w:cs="Arial" w:eastAsia="Arial" w:hAnsi="Arial"/>
                <w:sz w:val="14"/>
                <w:szCs w:val="14"/>
                <w:b w:val="1"/>
                <w:bCs w:val="1"/>
                <w:color w:val="auto"/>
              </w:rPr>
              <w:t>2016</w:t>
            </w:r>
          </w:p>
        </w:tc>
        <w:tc>
          <w:tcPr>
            <w:tcW w:w="10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900" w:type="dxa"/>
            <w:vAlign w:val="bottom"/>
            <w:tcBorders>
              <w:bottom w:val="single" w:sz="8" w:color="auto"/>
            </w:tcBorders>
          </w:tcPr>
          <w:p>
            <w:pPr>
              <w:jc w:val="center"/>
              <w:ind w:right="28"/>
              <w:spacing w:after="0"/>
              <w:rPr>
                <w:sz w:val="20"/>
                <w:szCs w:val="20"/>
                <w:color w:val="auto"/>
              </w:rPr>
            </w:pPr>
            <w:r>
              <w:rPr>
                <w:rFonts w:ascii="Arial" w:cs="Arial" w:eastAsia="Arial" w:hAnsi="Arial"/>
                <w:sz w:val="14"/>
                <w:szCs w:val="14"/>
                <w:b w:val="1"/>
                <w:bCs w:val="1"/>
                <w:color w:val="auto"/>
              </w:rPr>
              <w:t>Conditions Are Met</w:t>
            </w:r>
          </w:p>
        </w:tc>
        <w:tc>
          <w:tcPr>
            <w:tcW w:w="18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Term, (in years)</w:t>
            </w:r>
          </w:p>
        </w:tc>
        <w:tc>
          <w:tcPr>
            <w:tcW w:w="0" w:type="dxa"/>
            <w:vAlign w:val="bottom"/>
          </w:tcPr>
          <w:p>
            <w:pPr>
              <w:spacing w:after="0"/>
              <w:rPr>
                <w:sz w:val="1"/>
                <w:szCs w:val="1"/>
                <w:color w:val="auto"/>
              </w:rPr>
            </w:pPr>
          </w:p>
        </w:tc>
      </w:tr>
      <w:tr>
        <w:trPr>
          <w:trHeight w:val="250"/>
        </w:trPr>
        <w:tc>
          <w:tcPr>
            <w:tcW w:w="1920" w:type="dxa"/>
            <w:vAlign w:val="bottom"/>
          </w:tcPr>
          <w:p>
            <w:pPr>
              <w:ind w:left="20"/>
              <w:spacing w:after="0"/>
              <w:rPr>
                <w:sz w:val="20"/>
                <w:szCs w:val="20"/>
                <w:color w:val="auto"/>
              </w:rPr>
            </w:pPr>
            <w:r>
              <w:rPr>
                <w:rFonts w:ascii="Arial" w:cs="Arial" w:eastAsia="Arial" w:hAnsi="Arial"/>
                <w:sz w:val="14"/>
                <w:szCs w:val="14"/>
                <w:color w:val="auto"/>
              </w:rPr>
              <w:t>Stock Options</w:t>
            </w:r>
          </w:p>
        </w:tc>
        <w:tc>
          <w:tcPr>
            <w:tcW w:w="820" w:type="dxa"/>
            <w:vAlign w:val="bottom"/>
          </w:tcPr>
          <w:p>
            <w:pPr>
              <w:jc w:val="right"/>
              <w:ind w:right="628"/>
              <w:spacing w:after="0"/>
              <w:rPr>
                <w:sz w:val="20"/>
                <w:szCs w:val="20"/>
                <w:color w:val="auto"/>
              </w:rPr>
            </w:pPr>
            <w:r>
              <w:rPr>
                <w:rFonts w:ascii="Arial" w:cs="Arial" w:eastAsia="Arial" w:hAnsi="Arial"/>
                <w:sz w:val="14"/>
                <w:szCs w:val="14"/>
                <w:b w:val="1"/>
                <w:bCs w:val="1"/>
                <w:color w:val="auto"/>
              </w:rPr>
              <w:t>$</w:t>
            </w:r>
          </w:p>
        </w:tc>
        <w:tc>
          <w:tcPr>
            <w:tcW w:w="28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480" w:type="dxa"/>
            <w:vAlign w:val="bottom"/>
            <w:gridSpan w:val="3"/>
          </w:tcPr>
          <w:p>
            <w:pPr>
              <w:jc w:val="right"/>
              <w:ind w:right="140"/>
              <w:spacing w:after="0"/>
              <w:rPr>
                <w:sz w:val="20"/>
                <w:szCs w:val="20"/>
                <w:color w:val="auto"/>
              </w:rPr>
            </w:pPr>
            <w:r>
              <w:rPr>
                <w:rFonts w:ascii="Arial" w:cs="Arial" w:eastAsia="Arial" w:hAnsi="Arial"/>
                <w:sz w:val="14"/>
                <w:szCs w:val="14"/>
                <w:color w:val="auto"/>
              </w:rPr>
              <w:t>$</w:t>
            </w:r>
          </w:p>
        </w:tc>
        <w:tc>
          <w:tcPr>
            <w:tcW w:w="9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96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440" w:type="dxa"/>
            <w:vAlign w:val="bottom"/>
            <w:gridSpan w:val="3"/>
          </w:tcPr>
          <w:p>
            <w:pPr>
              <w:jc w:val="right"/>
              <w:ind w:right="120"/>
              <w:spacing w:after="0"/>
              <w:rPr>
                <w:sz w:val="20"/>
                <w:szCs w:val="20"/>
                <w:color w:val="auto"/>
              </w:rPr>
            </w:pPr>
            <w:r>
              <w:rPr>
                <w:rFonts w:ascii="Arial" w:cs="Arial" w:eastAsia="Arial" w:hAnsi="Arial"/>
                <w:sz w:val="14"/>
                <w:szCs w:val="14"/>
                <w:color w:val="auto"/>
              </w:rPr>
              <w:t>$</w:t>
            </w:r>
          </w:p>
        </w:tc>
        <w:tc>
          <w:tcPr>
            <w:tcW w:w="9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19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800" w:type="dxa"/>
            <w:vAlign w:val="bottom"/>
          </w:tcPr>
          <w:p>
            <w:pPr>
              <w:jc w:val="right"/>
              <w:spacing w:after="0"/>
              <w:rPr>
                <w:sz w:val="20"/>
                <w:szCs w:val="20"/>
                <w:color w:val="auto"/>
              </w:rPr>
            </w:pPr>
            <w:r>
              <w:rPr>
                <w:rFonts w:ascii="Arial" w:cs="Arial" w:eastAsia="Arial" w:hAnsi="Arial"/>
                <w:sz w:val="14"/>
                <w:szCs w:val="14"/>
                <w:color w:val="auto"/>
              </w:rPr>
              <w:t>7.64</w:t>
            </w:r>
          </w:p>
        </w:tc>
        <w:tc>
          <w:tcPr>
            <w:tcW w:w="0" w:type="dxa"/>
            <w:vAlign w:val="bottom"/>
          </w:tcPr>
          <w:p>
            <w:pPr>
              <w:spacing w:after="0"/>
              <w:rPr>
                <w:sz w:val="1"/>
                <w:szCs w:val="1"/>
                <w:color w:val="auto"/>
              </w:rPr>
            </w:pPr>
          </w:p>
        </w:tc>
      </w:tr>
      <w:tr>
        <w:trPr>
          <w:trHeight w:val="271"/>
        </w:trPr>
        <w:tc>
          <w:tcPr>
            <w:tcW w:w="1920" w:type="dxa"/>
            <w:vAlign w:val="bottom"/>
            <w:shd w:val="clear" w:color="auto" w:fill="CCEEFF"/>
          </w:tcPr>
          <w:p>
            <w:pPr>
              <w:ind w:left="20"/>
              <w:spacing w:after="0"/>
              <w:rPr>
                <w:sz w:val="20"/>
                <w:szCs w:val="20"/>
                <w:color w:val="auto"/>
              </w:rPr>
            </w:pPr>
            <w:r>
              <w:rPr>
                <w:rFonts w:ascii="Arial" w:cs="Arial" w:eastAsia="Arial" w:hAnsi="Arial"/>
                <w:sz w:val="14"/>
                <w:szCs w:val="14"/>
                <w:color w:val="auto"/>
              </w:rPr>
              <w:t>Restricted Shares</w:t>
            </w:r>
          </w:p>
        </w:tc>
        <w:tc>
          <w:tcPr>
            <w:tcW w:w="820" w:type="dxa"/>
            <w:vAlign w:val="bottom"/>
            <w:shd w:val="clear" w:color="auto" w:fill="CCEEFF"/>
          </w:tcPr>
          <w:p>
            <w:pPr>
              <w:spacing w:after="0"/>
              <w:rPr>
                <w:sz w:val="23"/>
                <w:szCs w:val="23"/>
                <w:color w:val="auto"/>
              </w:rPr>
            </w:pPr>
          </w:p>
        </w:tc>
        <w:tc>
          <w:tcPr>
            <w:tcW w:w="28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90</w:t>
            </w: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3"/>
                <w:szCs w:val="23"/>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228</w:t>
            </w:r>
          </w:p>
        </w:tc>
        <w:tc>
          <w:tcPr>
            <w:tcW w:w="1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(4,168)</w:t>
            </w: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9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1,091</w:t>
            </w:r>
          </w:p>
        </w:tc>
        <w:tc>
          <w:tcPr>
            <w:tcW w:w="1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3.28</w:t>
            </w:r>
          </w:p>
        </w:tc>
        <w:tc>
          <w:tcPr>
            <w:tcW w:w="0" w:type="dxa"/>
            <w:vAlign w:val="bottom"/>
          </w:tcPr>
          <w:p>
            <w:pPr>
              <w:spacing w:after="0"/>
              <w:rPr>
                <w:sz w:val="1"/>
                <w:szCs w:val="1"/>
                <w:color w:val="auto"/>
              </w:rPr>
            </w:pPr>
          </w:p>
        </w:tc>
      </w:tr>
      <w:tr>
        <w:trPr>
          <w:trHeight w:val="269"/>
        </w:trPr>
        <w:tc>
          <w:tcPr>
            <w:tcW w:w="192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Common Units</w:t>
            </w:r>
          </w:p>
        </w:tc>
        <w:tc>
          <w:tcPr>
            <w:tcW w:w="820" w:type="dxa"/>
            <w:vAlign w:val="bottom"/>
            <w:tcBorders>
              <w:bottom w:val="single" w:sz="8" w:color="auto"/>
            </w:tcBorders>
          </w:tcPr>
          <w:p>
            <w:pPr>
              <w:spacing w:after="0"/>
              <w:rPr>
                <w:sz w:val="23"/>
                <w:szCs w:val="23"/>
                <w:color w:val="auto"/>
              </w:rPr>
            </w:pP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75</w:t>
            </w:r>
          </w:p>
        </w:tc>
        <w:tc>
          <w:tcPr>
            <w:tcW w:w="100" w:type="dxa"/>
            <w:vAlign w:val="bottom"/>
            <w:tcBorders>
              <w:bottom w:val="single" w:sz="8" w:color="auto"/>
            </w:tcBorders>
          </w:tcPr>
          <w:p>
            <w:pPr>
              <w:spacing w:after="0"/>
              <w:rPr>
                <w:sz w:val="23"/>
                <w:szCs w:val="23"/>
                <w:color w:val="auto"/>
              </w:rPr>
            </w:pPr>
          </w:p>
        </w:tc>
        <w:tc>
          <w:tcPr>
            <w:tcW w:w="120" w:type="dxa"/>
            <w:vAlign w:val="bottom"/>
            <w:tcBorders>
              <w:bottom w:val="single" w:sz="8" w:color="CCEEFF"/>
            </w:tcBorders>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8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28</w:t>
            </w:r>
          </w:p>
        </w:tc>
        <w:tc>
          <w:tcPr>
            <w:tcW w:w="120" w:type="dxa"/>
            <w:vAlign w:val="bottom"/>
            <w:tcBorders>
              <w:bottom w:val="single" w:sz="8" w:color="CCEEFF"/>
            </w:tcBorders>
          </w:tcPr>
          <w:p>
            <w:pPr>
              <w:spacing w:after="0"/>
              <w:rPr>
                <w:sz w:val="23"/>
                <w:szCs w:val="23"/>
                <w:color w:val="auto"/>
              </w:rPr>
            </w:pPr>
          </w:p>
        </w:tc>
        <w:tc>
          <w:tcPr>
            <w:tcW w:w="100" w:type="dxa"/>
            <w:vAlign w:val="bottom"/>
            <w:tcBorders>
              <w:bottom w:val="single" w:sz="8" w:color="auto"/>
            </w:tcBorders>
          </w:tcPr>
          <w:p>
            <w:pPr>
              <w:spacing w:after="0"/>
              <w:rPr>
                <w:sz w:val="23"/>
                <w:szCs w:val="23"/>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467</w:t>
            </w:r>
          </w:p>
        </w:tc>
        <w:tc>
          <w:tcPr>
            <w:tcW w:w="100" w:type="dxa"/>
            <w:vAlign w:val="bottom"/>
            <w:tcBorders>
              <w:bottom w:val="single" w:sz="8" w:color="auto"/>
            </w:tcBorders>
          </w:tcPr>
          <w:p>
            <w:pPr>
              <w:spacing w:after="0"/>
              <w:rPr>
                <w:sz w:val="23"/>
                <w:szCs w:val="23"/>
                <w:color w:val="auto"/>
              </w:rPr>
            </w:pPr>
          </w:p>
        </w:tc>
        <w:tc>
          <w:tcPr>
            <w:tcW w:w="100" w:type="dxa"/>
            <w:vAlign w:val="bottom"/>
            <w:tcBorders>
              <w:bottom w:val="single" w:sz="8" w:color="CCEEFF"/>
            </w:tcBorders>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8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350</w:t>
            </w:r>
          </w:p>
        </w:tc>
        <w:tc>
          <w:tcPr>
            <w:tcW w:w="100" w:type="dxa"/>
            <w:vAlign w:val="bottom"/>
            <w:tcBorders>
              <w:bottom w:val="single" w:sz="8" w:color="CCEEFF"/>
            </w:tcBorders>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19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516</w:t>
            </w:r>
          </w:p>
        </w:tc>
        <w:tc>
          <w:tcPr>
            <w:tcW w:w="1800" w:type="dxa"/>
            <w:vAlign w:val="bottom"/>
            <w:tcBorders>
              <w:bottom w:val="single" w:sz="8" w:color="CCEEFF"/>
            </w:tcBorders>
          </w:tcPr>
          <w:p>
            <w:pPr>
              <w:jc w:val="right"/>
              <w:spacing w:after="0"/>
              <w:rPr>
                <w:sz w:val="20"/>
                <w:szCs w:val="20"/>
                <w:color w:val="auto"/>
              </w:rPr>
            </w:pPr>
            <w:r>
              <w:rPr>
                <w:rFonts w:ascii="Arial" w:cs="Arial" w:eastAsia="Arial" w:hAnsi="Arial"/>
                <w:sz w:val="14"/>
                <w:szCs w:val="14"/>
                <w:color w:val="auto"/>
              </w:rPr>
              <w:t>2.06</w:t>
            </w:r>
          </w:p>
        </w:tc>
        <w:tc>
          <w:tcPr>
            <w:tcW w:w="0" w:type="dxa"/>
            <w:vAlign w:val="bottom"/>
          </w:tcPr>
          <w:p>
            <w:pPr>
              <w:spacing w:after="0"/>
              <w:rPr>
                <w:sz w:val="1"/>
                <w:szCs w:val="1"/>
                <w:color w:val="auto"/>
              </w:rPr>
            </w:pPr>
          </w:p>
        </w:tc>
      </w:tr>
      <w:tr>
        <w:trPr>
          <w:trHeight w:val="238"/>
        </w:trPr>
        <w:tc>
          <w:tcPr>
            <w:tcW w:w="1920" w:type="dxa"/>
            <w:vAlign w:val="bottom"/>
            <w:shd w:val="clear" w:color="auto" w:fill="CCEEFF"/>
          </w:tcPr>
          <w:p>
            <w:pPr>
              <w:ind w:left="20"/>
              <w:spacing w:after="0"/>
              <w:rPr>
                <w:sz w:val="20"/>
                <w:szCs w:val="20"/>
                <w:color w:val="auto"/>
              </w:rPr>
            </w:pPr>
            <w:r>
              <w:rPr>
                <w:rFonts w:ascii="Arial" w:cs="Arial" w:eastAsia="Arial" w:hAnsi="Arial"/>
                <w:sz w:val="14"/>
                <w:szCs w:val="14"/>
                <w:color w:val="auto"/>
              </w:rPr>
              <w:t>Total</w:t>
            </w:r>
          </w:p>
        </w:tc>
        <w:tc>
          <w:tcPr>
            <w:tcW w:w="820" w:type="dxa"/>
            <w:vAlign w:val="bottom"/>
            <w:shd w:val="clear" w:color="auto" w:fill="CCEEFF"/>
          </w:tcPr>
          <w:p>
            <w:pPr>
              <w:jc w:val="right"/>
              <w:ind w:right="628"/>
              <w:spacing w:after="0"/>
              <w:rPr>
                <w:sz w:val="20"/>
                <w:szCs w:val="20"/>
                <w:color w:val="auto"/>
              </w:rPr>
            </w:pPr>
            <w:r>
              <w:rPr>
                <w:rFonts w:ascii="Arial" w:cs="Arial" w:eastAsia="Arial" w:hAnsi="Arial"/>
                <w:sz w:val="14"/>
                <w:szCs w:val="14"/>
                <w:b w:val="1"/>
                <w:bCs w:val="1"/>
                <w:color w:val="auto"/>
              </w:rPr>
              <w:t>$</w:t>
            </w:r>
          </w:p>
        </w:tc>
        <w:tc>
          <w:tcPr>
            <w:tcW w:w="28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165</w:t>
            </w:r>
          </w:p>
        </w:tc>
        <w:tc>
          <w:tcPr>
            <w:tcW w:w="480" w:type="dxa"/>
            <w:vAlign w:val="bottom"/>
            <w:gridSpan w:val="3"/>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28</w:t>
            </w: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695</w:t>
            </w:r>
          </w:p>
        </w:tc>
        <w:tc>
          <w:tcPr>
            <w:tcW w:w="440" w:type="dxa"/>
            <w:vAlign w:val="bottom"/>
            <w:gridSpan w:val="3"/>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(3,818)</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9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1,607</w:t>
            </w:r>
          </w:p>
        </w:tc>
        <w:tc>
          <w:tcPr>
            <w:tcW w:w="18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192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900" w:type="dxa"/>
            <w:vAlign w:val="bottom"/>
            <w:tcBorders>
              <w:top w:val="single" w:sz="8" w:color="auto"/>
              <w:bottom w:val="single" w:sz="8" w:color="auto"/>
            </w:tcBorders>
          </w:tcPr>
          <w:p>
            <w:pPr>
              <w:spacing w:after="0" w:line="20" w:lineRule="exact"/>
              <w:rPr>
                <w:sz w:val="1"/>
                <w:szCs w:val="1"/>
                <w:color w:val="auto"/>
              </w:rPr>
            </w:pPr>
          </w:p>
        </w:tc>
        <w:tc>
          <w:tcPr>
            <w:tcW w:w="18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4" w:lineRule="exact"/>
        <w:rPr>
          <w:sz w:val="20"/>
          <w:szCs w:val="20"/>
          <w:color w:val="auto"/>
        </w:rPr>
      </w:pPr>
    </w:p>
    <w:p>
      <w:pPr>
        <w:ind w:left="340"/>
        <w:spacing w:after="0"/>
        <w:rPr>
          <w:sz w:val="20"/>
          <w:szCs w:val="20"/>
          <w:color w:val="auto"/>
        </w:rPr>
      </w:pPr>
      <w:r>
        <w:rPr>
          <w:rFonts w:ascii="Arial" w:cs="Arial" w:eastAsia="Arial" w:hAnsi="Arial"/>
          <w:sz w:val="16"/>
          <w:szCs w:val="16"/>
          <w:b w:val="1"/>
          <w:bCs w:val="1"/>
          <w:i w:val="1"/>
          <w:iCs w:val="1"/>
          <w:color w:val="00497F"/>
        </w:rPr>
        <w:t>Restricted Shares</w:t>
      </w:r>
    </w:p>
    <w:p>
      <w:pPr>
        <w:spacing w:after="0" w:line="167" w:lineRule="exact"/>
        <w:rPr>
          <w:sz w:val="20"/>
          <w:szCs w:val="20"/>
          <w:color w:val="auto"/>
        </w:rPr>
      </w:pPr>
    </w:p>
    <w:p>
      <w:pPr>
        <w:jc w:val="both"/>
        <w:ind w:left="340"/>
        <w:spacing w:after="0" w:line="257" w:lineRule="auto"/>
        <w:rPr>
          <w:sz w:val="20"/>
          <w:szCs w:val="20"/>
          <w:color w:val="auto"/>
        </w:rPr>
      </w:pPr>
      <w:r>
        <w:rPr>
          <w:rFonts w:ascii="Arial" w:cs="Arial" w:eastAsia="Arial" w:hAnsi="Arial"/>
          <w:sz w:val="16"/>
          <w:szCs w:val="16"/>
          <w:color w:val="auto"/>
        </w:rPr>
        <w:t>In the nine months ended September 30, 2017, the Company granted equity-based compensation awards in a subsidiary consisting of 31,430 restricted shares that had a grant date fair value of $495 using a discounted cash flow model, which is determined based on the fair value of the operating segment on the grant date, estimated using a discounted cash flow analysis that requires the application of discount factors and terminal multiples to projected cash flows. Discount factors and terminal multiples were based on market-based inputs and transactions, as available at the measurement date. The awards vest in four tranches over four years, provided the employee remains employed by the Company.</w:t>
      </w:r>
    </w:p>
    <w:p>
      <w:pPr>
        <w:spacing w:after="0" w:line="122" w:lineRule="exact"/>
        <w:rPr>
          <w:sz w:val="20"/>
          <w:szCs w:val="20"/>
          <w:color w:val="auto"/>
        </w:rPr>
      </w:pPr>
    </w:p>
    <w:p>
      <w:pPr>
        <w:jc w:val="both"/>
        <w:ind w:left="340"/>
        <w:spacing w:after="0" w:line="269" w:lineRule="auto"/>
        <w:rPr>
          <w:sz w:val="20"/>
          <w:szCs w:val="20"/>
          <w:color w:val="auto"/>
        </w:rPr>
      </w:pPr>
      <w:r>
        <w:rPr>
          <w:rFonts w:ascii="Arial" w:cs="Arial" w:eastAsia="Arial" w:hAnsi="Arial"/>
          <w:sz w:val="16"/>
          <w:szCs w:val="16"/>
          <w:color w:val="auto"/>
        </w:rPr>
        <w:t>As of August 2017, 1.25 million restricted shares granted in August 2014 are no longer eligible for vesting due to (i) the expiration of the award agreement and (ii) certain performance conditions which were not reached. These shares had a grant date fair value of $23,879. This expiration had no impact on the Company’s financial statements for the three and nine months ended September 30, 2017.</w:t>
      </w:r>
    </w:p>
    <w:p>
      <w:pPr>
        <w:spacing w:after="0" w:line="111" w:lineRule="exact"/>
        <w:rPr>
          <w:sz w:val="20"/>
          <w:szCs w:val="20"/>
          <w:color w:val="auto"/>
        </w:rPr>
      </w:pPr>
    </w:p>
    <w:p>
      <w:pPr>
        <w:ind w:left="340"/>
        <w:spacing w:after="0"/>
        <w:rPr>
          <w:sz w:val="20"/>
          <w:szCs w:val="20"/>
          <w:color w:val="auto"/>
        </w:rPr>
      </w:pPr>
      <w:r>
        <w:rPr>
          <w:rFonts w:ascii="Arial" w:cs="Arial" w:eastAsia="Arial" w:hAnsi="Arial"/>
          <w:sz w:val="16"/>
          <w:szCs w:val="16"/>
          <w:b w:val="1"/>
          <w:bCs w:val="1"/>
          <w:i w:val="1"/>
          <w:iCs w:val="1"/>
          <w:color w:val="00497F"/>
        </w:rPr>
        <w:t>Common Units</w:t>
      </w:r>
    </w:p>
    <w:p>
      <w:pPr>
        <w:spacing w:after="0" w:line="167" w:lineRule="exact"/>
        <w:rPr>
          <w:sz w:val="20"/>
          <w:szCs w:val="20"/>
          <w:color w:val="auto"/>
        </w:rPr>
      </w:pPr>
    </w:p>
    <w:p>
      <w:pPr>
        <w:jc w:val="both"/>
        <w:ind w:left="340"/>
        <w:spacing w:after="0" w:line="257" w:lineRule="auto"/>
        <w:rPr>
          <w:sz w:val="20"/>
          <w:szCs w:val="20"/>
          <w:color w:val="auto"/>
        </w:rPr>
      </w:pPr>
      <w:r>
        <w:rPr>
          <w:rFonts w:ascii="Arial" w:cs="Arial" w:eastAsia="Arial" w:hAnsi="Arial"/>
          <w:sz w:val="16"/>
          <w:szCs w:val="16"/>
          <w:color w:val="auto"/>
        </w:rPr>
        <w:t>In the nine months ended September 30, 2017, the Company granted equity-based compensation in a subsidiary consisting of 520,000 common units that had a grant date fair value of $894 using a discounted cash flow model, which is determined based on the fair value of the operating segment on the grant date, estimated using a discounted cash flow analysis that requires the application of discount factors and terminal multiples to projected cash flows. Discount factors and terminal multiples were based on market-based inputs and transactions, as available at the measurement date. The awards vest over a range of six to 48 months, provided the employee remains employed by the Company.</w:t>
      </w: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28</w:t>
      </w:r>
    </w:p>
    <w:p>
      <w:pPr>
        <w:sectPr>
          <w:pgSz w:w="11900" w:h="16838" w:orient="portrait"/>
          <w:cols w:equalWidth="0" w:num="1">
            <w:col w:w="11420"/>
          </w:cols>
          <w:pgMar w:left="240" w:top="117" w:right="239" w:bottom="1440" w:gutter="0" w:footer="0" w:header="0"/>
        </w:sectPr>
      </w:pPr>
    </w:p>
    <w:bookmarkStart w:id="28" w:name="page29"/>
    <w:bookmarkEnd w:id="28"/>
    <w:p>
      <w:pPr>
        <w:ind w:right="3820"/>
        <w:spacing w:after="0" w:line="305" w:lineRule="auto"/>
        <w:rPr>
          <w:sz w:val="20"/>
          <w:szCs w:val="20"/>
          <w:color w:val="auto"/>
        </w:rPr>
      </w:pPr>
      <w:r>
        <w:rPr>
          <w:rFonts w:ascii="Arial" w:cs="Arial" w:eastAsia="Arial" w:hAnsi="Arial"/>
          <w:sz w:val="22"/>
          <w:szCs w:val="22"/>
          <w:b w:val="1"/>
          <w:bCs w:val="1"/>
          <w:color w:val="00497F"/>
        </w:rPr>
        <w:t xml:space="preserve">FORTRESS TRANSPORTATION AND INFRASTRUCTURE INVESTORS LLC NOTES TO CONSOLIDATED FINANCIAL STATEMENTS </w:t>
      </w:r>
      <w:r>
        <w:rPr>
          <w:rFonts w:ascii="Arial" w:cs="Arial" w:eastAsia="Arial" w:hAnsi="Arial"/>
          <w:sz w:val="22"/>
          <w:szCs w:val="22"/>
          <w:b w:val="1"/>
          <w:bCs w:val="1"/>
          <w:i w:val="1"/>
          <w:iCs w:val="1"/>
          <w:color w:val="00497F"/>
        </w:rPr>
        <w:t>(unaudited)</w:t>
      </w:r>
    </w:p>
    <w:p>
      <w:pPr>
        <w:spacing w:after="0"/>
        <w:rPr>
          <w:sz w:val="20"/>
          <w:szCs w:val="20"/>
          <w:color w:val="auto"/>
        </w:rPr>
      </w:pPr>
      <w:r>
        <w:rPr>
          <w:rFonts w:ascii="Arial" w:cs="Arial" w:eastAsia="Arial" w:hAnsi="Arial"/>
          <w:sz w:val="18"/>
          <w:szCs w:val="18"/>
          <w:i w:val="1"/>
          <w:iCs w:val="1"/>
          <w:color w:val="00497F"/>
        </w:rPr>
        <w:t>(Dollar amounts in thousands, unless otherwise noted)</w:t>
      </w:r>
    </w:p>
    <w:p>
      <w:pPr>
        <w:spacing w:after="0" w:line="392" w:lineRule="exact"/>
        <w:rPr>
          <w:sz w:val="20"/>
          <w:szCs w:val="20"/>
          <w:color w:val="auto"/>
        </w:rPr>
      </w:pPr>
    </w:p>
    <w:p>
      <w:pPr>
        <w:spacing w:after="0"/>
        <w:rPr>
          <w:sz w:val="20"/>
          <w:szCs w:val="20"/>
          <w:color w:val="auto"/>
        </w:rPr>
      </w:pPr>
      <w:r>
        <w:rPr>
          <w:rFonts w:ascii="Arial" w:cs="Arial" w:eastAsia="Arial" w:hAnsi="Arial"/>
          <w:sz w:val="22"/>
          <w:szCs w:val="22"/>
          <w:b w:val="1"/>
          <w:bCs w:val="1"/>
          <w:color w:val="00497F"/>
        </w:rPr>
        <w:t>12. INCOME TAXES</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The current and deferred components of the income tax provision included in the Consolidated Statements of Operations are as follows:</w:t>
      </w:r>
    </w:p>
    <w:p>
      <w:pPr>
        <w:spacing w:after="0" w:line="386" w:lineRule="exact"/>
        <w:rPr>
          <w:sz w:val="20"/>
          <w:szCs w:val="20"/>
          <w:color w:val="auto"/>
        </w:rPr>
      </w:pPr>
    </w:p>
    <w:tbl>
      <w:tblPr>
        <w:tblLayout w:type="fixed"/>
        <w:tblInd w:w="340" w:type="dxa"/>
        <w:tblCellMar>
          <w:top w:w="0" w:type="dxa"/>
          <w:left w:w="0" w:type="dxa"/>
          <w:bottom w:w="0" w:type="dxa"/>
          <w:right w:w="0" w:type="dxa"/>
        </w:tblCellMar>
      </w:tblPr>
      <w:tr>
        <w:trPr>
          <w:trHeight w:val="203"/>
        </w:trPr>
        <w:tc>
          <w:tcPr>
            <w:tcW w:w="4280" w:type="dxa"/>
            <w:vAlign w:val="bottom"/>
          </w:tcPr>
          <w:p>
            <w:pPr>
              <w:spacing w:after="0"/>
              <w:rPr>
                <w:sz w:val="17"/>
                <w:szCs w:val="17"/>
                <w:color w:val="auto"/>
              </w:rPr>
            </w:pPr>
          </w:p>
        </w:tc>
        <w:tc>
          <w:tcPr>
            <w:tcW w:w="3320" w:type="dxa"/>
            <w:vAlign w:val="bottom"/>
            <w:gridSpan w:val="6"/>
          </w:tcPr>
          <w:p>
            <w:pPr>
              <w:ind w:left="360"/>
              <w:spacing w:after="0"/>
              <w:rPr>
                <w:sz w:val="20"/>
                <w:szCs w:val="20"/>
                <w:color w:val="auto"/>
              </w:rPr>
            </w:pPr>
            <w:r>
              <w:rPr>
                <w:rFonts w:ascii="Arial" w:cs="Arial" w:eastAsia="Arial" w:hAnsi="Arial"/>
                <w:sz w:val="14"/>
                <w:szCs w:val="14"/>
                <w:b w:val="1"/>
                <w:bCs w:val="1"/>
                <w:color w:val="auto"/>
              </w:rPr>
              <w:t>Three Months Ended September 30,</w:t>
            </w:r>
          </w:p>
        </w:tc>
        <w:tc>
          <w:tcPr>
            <w:tcW w:w="240" w:type="dxa"/>
            <w:vAlign w:val="bottom"/>
          </w:tcPr>
          <w:p>
            <w:pPr>
              <w:spacing w:after="0"/>
              <w:rPr>
                <w:sz w:val="17"/>
                <w:szCs w:val="17"/>
                <w:color w:val="auto"/>
              </w:rPr>
            </w:pPr>
          </w:p>
        </w:tc>
        <w:tc>
          <w:tcPr>
            <w:tcW w:w="2840" w:type="dxa"/>
            <w:vAlign w:val="bottom"/>
            <w:gridSpan w:val="4"/>
          </w:tcPr>
          <w:p>
            <w:pPr>
              <w:jc w:val="right"/>
              <w:ind w:right="268"/>
              <w:spacing w:after="0"/>
              <w:rPr>
                <w:sz w:val="20"/>
                <w:szCs w:val="20"/>
                <w:color w:val="auto"/>
              </w:rPr>
            </w:pPr>
            <w:r>
              <w:rPr>
                <w:rFonts w:ascii="Arial" w:cs="Arial" w:eastAsia="Arial" w:hAnsi="Arial"/>
                <w:sz w:val="14"/>
                <w:szCs w:val="14"/>
                <w:b w:val="1"/>
                <w:bCs w:val="1"/>
                <w:color w:val="auto"/>
              </w:rPr>
              <w:t>Nine Months Ended September 30,</w:t>
            </w:r>
          </w:p>
        </w:tc>
      </w:tr>
      <w:tr>
        <w:trPr>
          <w:trHeight w:val="264"/>
        </w:trPr>
        <w:tc>
          <w:tcPr>
            <w:tcW w:w="4280" w:type="dxa"/>
            <w:vAlign w:val="bottom"/>
            <w:tcBorders>
              <w:bottom w:val="single" w:sz="8" w:color="CCEEFF"/>
            </w:tcBorders>
          </w:tcPr>
          <w:p>
            <w:pPr>
              <w:spacing w:after="0"/>
              <w:rPr>
                <w:sz w:val="22"/>
                <w:szCs w:val="22"/>
                <w:color w:val="auto"/>
              </w:rPr>
            </w:pPr>
          </w:p>
        </w:tc>
        <w:tc>
          <w:tcPr>
            <w:tcW w:w="104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2017</w:t>
            </w:r>
          </w:p>
        </w:tc>
        <w:tc>
          <w:tcPr>
            <w:tcW w:w="480" w:type="dxa"/>
            <w:vAlign w:val="bottom"/>
            <w:tcBorders>
              <w:top w:val="single" w:sz="8" w:color="auto"/>
              <w:bottom w:val="single" w:sz="8" w:color="auto"/>
            </w:tcBorders>
          </w:tcPr>
          <w:p>
            <w:pPr>
              <w:spacing w:after="0"/>
              <w:rPr>
                <w:sz w:val="22"/>
                <w:szCs w:val="22"/>
                <w:color w:val="auto"/>
              </w:rPr>
            </w:pPr>
          </w:p>
        </w:tc>
        <w:tc>
          <w:tcPr>
            <w:tcW w:w="120" w:type="dxa"/>
            <w:vAlign w:val="bottom"/>
            <w:tcBorders>
              <w:top w:val="single" w:sz="8" w:color="auto"/>
              <w:bottom w:val="single" w:sz="8" w:color="CCEEFF"/>
            </w:tcBorders>
          </w:tcPr>
          <w:p>
            <w:pPr>
              <w:spacing w:after="0"/>
              <w:rPr>
                <w:sz w:val="22"/>
                <w:szCs w:val="22"/>
                <w:color w:val="auto"/>
              </w:rPr>
            </w:pPr>
          </w:p>
        </w:tc>
        <w:tc>
          <w:tcPr>
            <w:tcW w:w="340" w:type="dxa"/>
            <w:vAlign w:val="bottom"/>
            <w:tcBorders>
              <w:top w:val="single" w:sz="8" w:color="auto"/>
              <w:bottom w:val="single" w:sz="8" w:color="auto"/>
            </w:tcBorders>
          </w:tcPr>
          <w:p>
            <w:pPr>
              <w:spacing w:after="0"/>
              <w:rPr>
                <w:sz w:val="22"/>
                <w:szCs w:val="22"/>
                <w:color w:val="auto"/>
              </w:rPr>
            </w:pPr>
          </w:p>
        </w:tc>
        <w:tc>
          <w:tcPr>
            <w:tcW w:w="1140" w:type="dxa"/>
            <w:vAlign w:val="bottom"/>
            <w:tcBorders>
              <w:top w:val="single" w:sz="8" w:color="auto"/>
              <w:bottom w:val="single" w:sz="8" w:color="auto"/>
            </w:tcBorders>
          </w:tcPr>
          <w:p>
            <w:pPr>
              <w:jc w:val="right"/>
              <w:ind w:right="508"/>
              <w:spacing w:after="0"/>
              <w:rPr>
                <w:sz w:val="20"/>
                <w:szCs w:val="20"/>
                <w:color w:val="auto"/>
              </w:rPr>
            </w:pPr>
            <w:r>
              <w:rPr>
                <w:rFonts w:ascii="Arial" w:cs="Arial" w:eastAsia="Arial" w:hAnsi="Arial"/>
                <w:sz w:val="14"/>
                <w:szCs w:val="14"/>
                <w:b w:val="1"/>
                <w:bCs w:val="1"/>
                <w:color w:val="auto"/>
              </w:rPr>
              <w:t>2016</w:t>
            </w:r>
          </w:p>
        </w:tc>
        <w:tc>
          <w:tcPr>
            <w:tcW w:w="200" w:type="dxa"/>
            <w:vAlign w:val="bottom"/>
            <w:tcBorders>
              <w:bottom w:val="single" w:sz="8" w:color="CCEEFF"/>
            </w:tcBorders>
          </w:tcPr>
          <w:p>
            <w:pPr>
              <w:spacing w:after="0"/>
              <w:rPr>
                <w:sz w:val="22"/>
                <w:szCs w:val="22"/>
                <w:color w:val="auto"/>
              </w:rPr>
            </w:pPr>
          </w:p>
        </w:tc>
        <w:tc>
          <w:tcPr>
            <w:tcW w:w="240" w:type="dxa"/>
            <w:vAlign w:val="bottom"/>
            <w:tcBorders>
              <w:top w:val="single" w:sz="8" w:color="auto"/>
              <w:bottom w:val="single" w:sz="8" w:color="auto"/>
            </w:tcBorders>
          </w:tcPr>
          <w:p>
            <w:pPr>
              <w:spacing w:after="0"/>
              <w:rPr>
                <w:sz w:val="22"/>
                <w:szCs w:val="22"/>
                <w:color w:val="auto"/>
              </w:rPr>
            </w:pPr>
          </w:p>
        </w:tc>
        <w:tc>
          <w:tcPr>
            <w:tcW w:w="1260" w:type="dxa"/>
            <w:vAlign w:val="bottom"/>
            <w:tcBorders>
              <w:top w:val="single" w:sz="8" w:color="auto"/>
              <w:bottom w:val="single" w:sz="8" w:color="auto"/>
            </w:tcBorders>
          </w:tcPr>
          <w:p>
            <w:pPr>
              <w:jc w:val="right"/>
              <w:ind w:right="508"/>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top w:val="single" w:sz="8" w:color="auto"/>
              <w:bottom w:val="single" w:sz="8" w:color="CCEEFF"/>
            </w:tcBorders>
          </w:tcPr>
          <w:p>
            <w:pPr>
              <w:spacing w:after="0"/>
              <w:rPr>
                <w:sz w:val="22"/>
                <w:szCs w:val="22"/>
                <w:color w:val="auto"/>
              </w:rPr>
            </w:pPr>
          </w:p>
        </w:tc>
        <w:tc>
          <w:tcPr>
            <w:tcW w:w="340" w:type="dxa"/>
            <w:vAlign w:val="bottom"/>
            <w:tcBorders>
              <w:top w:val="single" w:sz="8" w:color="auto"/>
              <w:bottom w:val="single" w:sz="8" w:color="auto"/>
            </w:tcBorders>
          </w:tcPr>
          <w:p>
            <w:pPr>
              <w:spacing w:after="0"/>
              <w:rPr>
                <w:sz w:val="22"/>
                <w:szCs w:val="22"/>
                <w:color w:val="auto"/>
              </w:rPr>
            </w:pPr>
          </w:p>
        </w:tc>
        <w:tc>
          <w:tcPr>
            <w:tcW w:w="1140" w:type="dxa"/>
            <w:vAlign w:val="bottom"/>
            <w:tcBorders>
              <w:top w:val="single" w:sz="8" w:color="auto"/>
              <w:bottom w:val="single" w:sz="8" w:color="auto"/>
            </w:tcBorders>
          </w:tcPr>
          <w:p>
            <w:pPr>
              <w:jc w:val="right"/>
              <w:ind w:right="508"/>
              <w:spacing w:after="0"/>
              <w:rPr>
                <w:sz w:val="20"/>
                <w:szCs w:val="20"/>
                <w:color w:val="auto"/>
              </w:rPr>
            </w:pPr>
            <w:r>
              <w:rPr>
                <w:rFonts w:ascii="Arial" w:cs="Arial" w:eastAsia="Arial" w:hAnsi="Arial"/>
                <w:sz w:val="14"/>
                <w:szCs w:val="14"/>
                <w:b w:val="1"/>
                <w:bCs w:val="1"/>
                <w:color w:val="auto"/>
              </w:rPr>
              <w:t>2016</w:t>
            </w:r>
          </w:p>
        </w:tc>
      </w:tr>
      <w:tr>
        <w:trPr>
          <w:trHeight w:val="265"/>
        </w:trPr>
        <w:tc>
          <w:tcPr>
            <w:tcW w:w="4280" w:type="dxa"/>
            <w:vAlign w:val="bottom"/>
            <w:shd w:val="clear" w:color="auto" w:fill="CCEEFF"/>
          </w:tcPr>
          <w:p>
            <w:pPr>
              <w:ind w:left="20"/>
              <w:spacing w:after="0"/>
              <w:rPr>
                <w:sz w:val="20"/>
                <w:szCs w:val="20"/>
                <w:color w:val="auto"/>
              </w:rPr>
            </w:pPr>
            <w:r>
              <w:rPr>
                <w:rFonts w:ascii="Arial" w:cs="Arial" w:eastAsia="Arial" w:hAnsi="Arial"/>
                <w:sz w:val="14"/>
                <w:szCs w:val="14"/>
                <w:color w:val="auto"/>
              </w:rPr>
              <w:t>Current:</w:t>
            </w:r>
          </w:p>
        </w:tc>
        <w:tc>
          <w:tcPr>
            <w:tcW w:w="1040" w:type="dxa"/>
            <w:vAlign w:val="bottom"/>
            <w:shd w:val="clear" w:color="auto" w:fill="CCEEFF"/>
          </w:tcPr>
          <w:p>
            <w:pPr>
              <w:spacing w:after="0"/>
              <w:rPr>
                <w:sz w:val="23"/>
                <w:szCs w:val="23"/>
                <w:color w:val="auto"/>
              </w:rPr>
            </w:pPr>
          </w:p>
        </w:tc>
        <w:tc>
          <w:tcPr>
            <w:tcW w:w="4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14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2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140" w:type="dxa"/>
            <w:vAlign w:val="bottom"/>
            <w:shd w:val="clear" w:color="auto" w:fill="CCEEFF"/>
          </w:tcPr>
          <w:p>
            <w:pPr>
              <w:spacing w:after="0"/>
              <w:rPr>
                <w:sz w:val="23"/>
                <w:szCs w:val="23"/>
                <w:color w:val="auto"/>
              </w:rPr>
            </w:pPr>
          </w:p>
        </w:tc>
      </w:tr>
      <w:tr>
        <w:trPr>
          <w:trHeight w:val="269"/>
        </w:trPr>
        <w:tc>
          <w:tcPr>
            <w:tcW w:w="4280" w:type="dxa"/>
            <w:vAlign w:val="bottom"/>
          </w:tcPr>
          <w:p>
            <w:pPr>
              <w:ind w:left="260"/>
              <w:spacing w:after="0"/>
              <w:rPr>
                <w:sz w:val="20"/>
                <w:szCs w:val="20"/>
                <w:color w:val="auto"/>
              </w:rPr>
            </w:pPr>
            <w:r>
              <w:rPr>
                <w:rFonts w:ascii="Arial" w:cs="Arial" w:eastAsia="Arial" w:hAnsi="Arial"/>
                <w:sz w:val="14"/>
                <w:szCs w:val="14"/>
                <w:color w:val="auto"/>
              </w:rPr>
              <w:t>Federal</w:t>
            </w:r>
          </w:p>
        </w:tc>
        <w:tc>
          <w:tcPr>
            <w:tcW w:w="1040" w:type="dxa"/>
            <w:vAlign w:val="bottom"/>
          </w:tcPr>
          <w:p>
            <w:pPr>
              <w:jc w:val="right"/>
              <w:ind w:right="868"/>
              <w:spacing w:after="0"/>
              <w:rPr>
                <w:sz w:val="20"/>
                <w:szCs w:val="20"/>
                <w:color w:val="auto"/>
              </w:rPr>
            </w:pPr>
            <w:r>
              <w:rPr>
                <w:rFonts w:ascii="Arial" w:cs="Arial" w:eastAsia="Arial" w:hAnsi="Arial"/>
                <w:sz w:val="14"/>
                <w:szCs w:val="14"/>
                <w:b w:val="1"/>
                <w:bCs w:val="1"/>
                <w:color w:val="auto"/>
              </w:rPr>
              <w:t>$</w:t>
            </w:r>
          </w:p>
        </w:tc>
        <w:tc>
          <w:tcPr>
            <w:tcW w:w="480" w:type="dxa"/>
            <w:vAlign w:val="bottom"/>
          </w:tcPr>
          <w:p>
            <w:pPr>
              <w:jc w:val="right"/>
              <w:ind w:right="28"/>
              <w:spacing w:after="0"/>
              <w:rPr>
                <w:sz w:val="20"/>
                <w:szCs w:val="20"/>
                <w:color w:val="auto"/>
              </w:rPr>
            </w:pPr>
            <w:r>
              <w:rPr>
                <w:rFonts w:ascii="Arial" w:cs="Arial" w:eastAsia="Arial" w:hAnsi="Arial"/>
                <w:sz w:val="14"/>
                <w:szCs w:val="14"/>
                <w:b w:val="1"/>
                <w:bCs w:val="1"/>
                <w:color w:val="auto"/>
              </w:rPr>
              <w:t>841</w:t>
            </w:r>
          </w:p>
        </w:tc>
        <w:tc>
          <w:tcPr>
            <w:tcW w:w="120" w:type="dxa"/>
            <w:vAlign w:val="bottom"/>
          </w:tcPr>
          <w:p>
            <w:pPr>
              <w:spacing w:after="0"/>
              <w:rPr>
                <w:sz w:val="23"/>
                <w:szCs w:val="23"/>
                <w:color w:val="auto"/>
              </w:rPr>
            </w:pPr>
          </w:p>
        </w:tc>
        <w:tc>
          <w:tcPr>
            <w:tcW w:w="34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1140" w:type="dxa"/>
            <w:vAlign w:val="bottom"/>
          </w:tcPr>
          <w:p>
            <w:pPr>
              <w:jc w:val="right"/>
              <w:ind w:right="8"/>
              <w:spacing w:after="0"/>
              <w:rPr>
                <w:sz w:val="20"/>
                <w:szCs w:val="20"/>
                <w:color w:val="auto"/>
              </w:rPr>
            </w:pPr>
            <w:r>
              <w:rPr>
                <w:rFonts w:ascii="Arial" w:cs="Arial" w:eastAsia="Arial" w:hAnsi="Arial"/>
                <w:sz w:val="14"/>
                <w:szCs w:val="14"/>
                <w:color w:val="auto"/>
              </w:rPr>
              <w:t>43</w:t>
            </w:r>
          </w:p>
        </w:tc>
        <w:tc>
          <w:tcPr>
            <w:tcW w:w="200" w:type="dxa"/>
            <w:vAlign w:val="bottom"/>
          </w:tcPr>
          <w:p>
            <w:pPr>
              <w:spacing w:after="0"/>
              <w:rPr>
                <w:sz w:val="23"/>
                <w:szCs w:val="23"/>
                <w:color w:val="auto"/>
              </w:rPr>
            </w:pPr>
          </w:p>
        </w:tc>
        <w:tc>
          <w:tcPr>
            <w:tcW w:w="240" w:type="dxa"/>
            <w:vAlign w:val="bottom"/>
          </w:tcPr>
          <w:p>
            <w:pPr>
              <w:jc w:val="right"/>
              <w:ind w:right="48"/>
              <w:spacing w:after="0"/>
              <w:rPr>
                <w:sz w:val="20"/>
                <w:szCs w:val="20"/>
                <w:color w:val="auto"/>
              </w:rPr>
            </w:pPr>
            <w:r>
              <w:rPr>
                <w:rFonts w:ascii="Arial" w:cs="Arial" w:eastAsia="Arial" w:hAnsi="Arial"/>
                <w:sz w:val="14"/>
                <w:szCs w:val="14"/>
                <w:b w:val="1"/>
                <w:bCs w:val="1"/>
                <w:color w:val="auto"/>
              </w:rPr>
              <w:t>$</w:t>
            </w:r>
          </w:p>
        </w:tc>
        <w:tc>
          <w:tcPr>
            <w:tcW w:w="1260" w:type="dxa"/>
            <w:vAlign w:val="bottom"/>
          </w:tcPr>
          <w:p>
            <w:pPr>
              <w:jc w:val="right"/>
              <w:ind w:right="28"/>
              <w:spacing w:after="0"/>
              <w:rPr>
                <w:sz w:val="20"/>
                <w:szCs w:val="20"/>
                <w:color w:val="auto"/>
              </w:rPr>
            </w:pPr>
            <w:r>
              <w:rPr>
                <w:rFonts w:ascii="Arial" w:cs="Arial" w:eastAsia="Arial" w:hAnsi="Arial"/>
                <w:sz w:val="14"/>
                <w:szCs w:val="14"/>
                <w:b w:val="1"/>
                <w:bCs w:val="1"/>
                <w:color w:val="auto"/>
              </w:rPr>
              <w:t>1,157</w:t>
            </w:r>
          </w:p>
        </w:tc>
        <w:tc>
          <w:tcPr>
            <w:tcW w:w="100" w:type="dxa"/>
            <w:vAlign w:val="bottom"/>
          </w:tcPr>
          <w:p>
            <w:pPr>
              <w:spacing w:after="0"/>
              <w:rPr>
                <w:sz w:val="23"/>
                <w:szCs w:val="23"/>
                <w:color w:val="auto"/>
              </w:rPr>
            </w:pPr>
          </w:p>
        </w:tc>
        <w:tc>
          <w:tcPr>
            <w:tcW w:w="34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1140" w:type="dxa"/>
            <w:vAlign w:val="bottom"/>
          </w:tcPr>
          <w:p>
            <w:pPr>
              <w:jc w:val="right"/>
              <w:ind w:right="8"/>
              <w:spacing w:after="0"/>
              <w:rPr>
                <w:sz w:val="20"/>
                <w:szCs w:val="20"/>
                <w:color w:val="auto"/>
              </w:rPr>
            </w:pPr>
            <w:r>
              <w:rPr>
                <w:rFonts w:ascii="Arial" w:cs="Arial" w:eastAsia="Arial" w:hAnsi="Arial"/>
                <w:sz w:val="14"/>
                <w:szCs w:val="14"/>
                <w:color w:val="auto"/>
              </w:rPr>
              <w:t>205</w:t>
            </w:r>
          </w:p>
        </w:tc>
      </w:tr>
      <w:tr>
        <w:trPr>
          <w:trHeight w:val="271"/>
        </w:trPr>
        <w:tc>
          <w:tcPr>
            <w:tcW w:w="4280" w:type="dxa"/>
            <w:vAlign w:val="bottom"/>
            <w:shd w:val="clear" w:color="auto" w:fill="CCEEFF"/>
          </w:tcPr>
          <w:p>
            <w:pPr>
              <w:ind w:left="260"/>
              <w:spacing w:after="0"/>
              <w:rPr>
                <w:sz w:val="20"/>
                <w:szCs w:val="20"/>
                <w:color w:val="auto"/>
              </w:rPr>
            </w:pPr>
            <w:r>
              <w:rPr>
                <w:rFonts w:ascii="Arial" w:cs="Arial" w:eastAsia="Arial" w:hAnsi="Arial"/>
                <w:sz w:val="14"/>
                <w:szCs w:val="14"/>
                <w:color w:val="auto"/>
              </w:rPr>
              <w:t>State and local</w:t>
            </w:r>
          </w:p>
        </w:tc>
        <w:tc>
          <w:tcPr>
            <w:tcW w:w="1040" w:type="dxa"/>
            <w:vAlign w:val="bottom"/>
            <w:shd w:val="clear" w:color="auto" w:fill="CCEEFF"/>
          </w:tcPr>
          <w:p>
            <w:pPr>
              <w:spacing w:after="0"/>
              <w:rPr>
                <w:sz w:val="23"/>
                <w:szCs w:val="23"/>
                <w:color w:val="auto"/>
              </w:rPr>
            </w:pPr>
          </w:p>
        </w:tc>
        <w:tc>
          <w:tcPr>
            <w:tcW w:w="48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58</w:t>
            </w:r>
          </w:p>
        </w:tc>
        <w:tc>
          <w:tcPr>
            <w:tcW w:w="12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1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9</w:t>
            </w:r>
          </w:p>
        </w:tc>
        <w:tc>
          <w:tcPr>
            <w:tcW w:w="2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26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106</w:t>
            </w:r>
          </w:p>
        </w:tc>
        <w:tc>
          <w:tcPr>
            <w:tcW w:w="10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1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49</w:t>
            </w:r>
          </w:p>
        </w:tc>
      </w:tr>
      <w:tr>
        <w:trPr>
          <w:trHeight w:val="269"/>
        </w:trPr>
        <w:tc>
          <w:tcPr>
            <w:tcW w:w="4280" w:type="dxa"/>
            <w:vAlign w:val="bottom"/>
            <w:tcBorders>
              <w:bottom w:val="single" w:sz="8" w:color="CCEEFF"/>
            </w:tcBorders>
          </w:tcPr>
          <w:p>
            <w:pPr>
              <w:ind w:left="260"/>
              <w:spacing w:after="0"/>
              <w:rPr>
                <w:sz w:val="20"/>
                <w:szCs w:val="20"/>
                <w:color w:val="auto"/>
              </w:rPr>
            </w:pPr>
            <w:r>
              <w:rPr>
                <w:rFonts w:ascii="Arial" w:cs="Arial" w:eastAsia="Arial" w:hAnsi="Arial"/>
                <w:sz w:val="14"/>
                <w:szCs w:val="14"/>
                <w:color w:val="auto"/>
              </w:rPr>
              <w:t>Foreign</w:t>
            </w:r>
          </w:p>
        </w:tc>
        <w:tc>
          <w:tcPr>
            <w:tcW w:w="1040" w:type="dxa"/>
            <w:vAlign w:val="bottom"/>
            <w:tcBorders>
              <w:bottom w:val="single" w:sz="8" w:color="auto"/>
            </w:tcBorders>
          </w:tcPr>
          <w:p>
            <w:pPr>
              <w:spacing w:after="0"/>
              <w:rPr>
                <w:sz w:val="23"/>
                <w:szCs w:val="23"/>
                <w:color w:val="auto"/>
              </w:rPr>
            </w:pPr>
          </w:p>
        </w:tc>
        <w:tc>
          <w:tcPr>
            <w:tcW w:w="4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8</w:t>
            </w:r>
          </w:p>
        </w:tc>
        <w:tc>
          <w:tcPr>
            <w:tcW w:w="120" w:type="dxa"/>
            <w:vAlign w:val="bottom"/>
            <w:tcBorders>
              <w:bottom w:val="single" w:sz="8" w:color="CCEEFF"/>
            </w:tcBorders>
          </w:tcPr>
          <w:p>
            <w:pPr>
              <w:spacing w:after="0"/>
              <w:rPr>
                <w:sz w:val="23"/>
                <w:szCs w:val="23"/>
                <w:color w:val="auto"/>
              </w:rPr>
            </w:pPr>
          </w:p>
        </w:tc>
        <w:tc>
          <w:tcPr>
            <w:tcW w:w="340" w:type="dxa"/>
            <w:vAlign w:val="bottom"/>
            <w:tcBorders>
              <w:bottom w:val="single" w:sz="8" w:color="auto"/>
            </w:tcBorders>
          </w:tcPr>
          <w:p>
            <w:pPr>
              <w:spacing w:after="0"/>
              <w:rPr>
                <w:sz w:val="23"/>
                <w:szCs w:val="23"/>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(218)</w:t>
            </w:r>
          </w:p>
        </w:tc>
        <w:tc>
          <w:tcPr>
            <w:tcW w:w="200" w:type="dxa"/>
            <w:vAlign w:val="bottom"/>
            <w:tcBorders>
              <w:bottom w:val="single" w:sz="8" w:color="CCEEFF"/>
            </w:tcBorders>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12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49</w:t>
            </w:r>
          </w:p>
        </w:tc>
        <w:tc>
          <w:tcPr>
            <w:tcW w:w="100" w:type="dxa"/>
            <w:vAlign w:val="bottom"/>
            <w:tcBorders>
              <w:bottom w:val="single" w:sz="8" w:color="CCEEFF"/>
            </w:tcBorders>
          </w:tcPr>
          <w:p>
            <w:pPr>
              <w:spacing w:after="0"/>
              <w:rPr>
                <w:sz w:val="23"/>
                <w:szCs w:val="23"/>
                <w:color w:val="auto"/>
              </w:rPr>
            </w:pPr>
          </w:p>
        </w:tc>
        <w:tc>
          <w:tcPr>
            <w:tcW w:w="340" w:type="dxa"/>
            <w:vAlign w:val="bottom"/>
            <w:tcBorders>
              <w:bottom w:val="single" w:sz="8" w:color="auto"/>
            </w:tcBorders>
          </w:tcPr>
          <w:p>
            <w:pPr>
              <w:spacing w:after="0"/>
              <w:rPr>
                <w:sz w:val="23"/>
                <w:szCs w:val="23"/>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(192)</w:t>
            </w:r>
          </w:p>
        </w:tc>
      </w:tr>
      <w:tr>
        <w:trPr>
          <w:trHeight w:val="250"/>
        </w:trPr>
        <w:tc>
          <w:tcPr>
            <w:tcW w:w="4280" w:type="dxa"/>
            <w:vAlign w:val="bottom"/>
            <w:shd w:val="clear" w:color="auto" w:fill="CCEEFF"/>
          </w:tcPr>
          <w:p>
            <w:pPr>
              <w:ind w:left="20"/>
              <w:spacing w:after="0"/>
              <w:rPr>
                <w:sz w:val="20"/>
                <w:szCs w:val="20"/>
                <w:color w:val="auto"/>
              </w:rPr>
            </w:pPr>
            <w:r>
              <w:rPr>
                <w:rFonts w:ascii="Arial" w:cs="Arial" w:eastAsia="Arial" w:hAnsi="Arial"/>
                <w:sz w:val="14"/>
                <w:szCs w:val="14"/>
                <w:color w:val="auto"/>
              </w:rPr>
              <w:t>Total current provision</w:t>
            </w:r>
          </w:p>
        </w:tc>
        <w:tc>
          <w:tcPr>
            <w:tcW w:w="1040" w:type="dxa"/>
            <w:vAlign w:val="bottom"/>
            <w:tcBorders>
              <w:bottom w:val="single" w:sz="8" w:color="auto"/>
            </w:tcBorders>
            <w:shd w:val="clear" w:color="auto" w:fill="CCEEFF"/>
          </w:tcPr>
          <w:p>
            <w:pPr>
              <w:spacing w:after="0"/>
              <w:rPr>
                <w:sz w:val="21"/>
                <w:szCs w:val="21"/>
                <w:color w:val="auto"/>
              </w:rPr>
            </w:pPr>
          </w:p>
        </w:tc>
        <w:tc>
          <w:tcPr>
            <w:tcW w:w="4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907</w:t>
            </w:r>
          </w:p>
        </w:tc>
        <w:tc>
          <w:tcPr>
            <w:tcW w:w="120" w:type="dxa"/>
            <w:vAlign w:val="bottom"/>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spacing w:after="0"/>
              <w:rPr>
                <w:sz w:val="21"/>
                <w:szCs w:val="21"/>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(166)</w:t>
            </w:r>
          </w:p>
        </w:tc>
        <w:tc>
          <w:tcPr>
            <w:tcW w:w="200" w:type="dxa"/>
            <w:vAlign w:val="bottom"/>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spacing w:after="0"/>
              <w:rPr>
                <w:sz w:val="21"/>
                <w:szCs w:val="21"/>
                <w:color w:val="auto"/>
              </w:rPr>
            </w:pPr>
          </w:p>
        </w:tc>
        <w:tc>
          <w:tcPr>
            <w:tcW w:w="12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1,312</w:t>
            </w:r>
          </w:p>
        </w:tc>
        <w:tc>
          <w:tcPr>
            <w:tcW w:w="100" w:type="dxa"/>
            <w:vAlign w:val="bottom"/>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spacing w:after="0"/>
              <w:rPr>
                <w:sz w:val="21"/>
                <w:szCs w:val="21"/>
                <w:color w:val="auto"/>
              </w:rPr>
            </w:pPr>
          </w:p>
        </w:tc>
        <w:tc>
          <w:tcPr>
            <w:tcW w:w="114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62</w:t>
            </w:r>
          </w:p>
        </w:tc>
      </w:tr>
      <w:tr>
        <w:trPr>
          <w:trHeight w:val="319"/>
        </w:trPr>
        <w:tc>
          <w:tcPr>
            <w:tcW w:w="42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270"/>
        </w:trPr>
        <w:tc>
          <w:tcPr>
            <w:tcW w:w="4280" w:type="dxa"/>
            <w:vAlign w:val="bottom"/>
            <w:shd w:val="clear" w:color="auto" w:fill="CCEEFF"/>
          </w:tcPr>
          <w:p>
            <w:pPr>
              <w:ind w:left="20"/>
              <w:spacing w:after="0"/>
              <w:rPr>
                <w:sz w:val="20"/>
                <w:szCs w:val="20"/>
                <w:color w:val="auto"/>
              </w:rPr>
            </w:pPr>
            <w:r>
              <w:rPr>
                <w:rFonts w:ascii="Arial" w:cs="Arial" w:eastAsia="Arial" w:hAnsi="Arial"/>
                <w:sz w:val="14"/>
                <w:szCs w:val="14"/>
                <w:color w:val="auto"/>
              </w:rPr>
              <w:t>Deferred:</w:t>
            </w:r>
          </w:p>
        </w:tc>
        <w:tc>
          <w:tcPr>
            <w:tcW w:w="1040" w:type="dxa"/>
            <w:vAlign w:val="bottom"/>
            <w:shd w:val="clear" w:color="auto" w:fill="CCEEFF"/>
          </w:tcPr>
          <w:p>
            <w:pPr>
              <w:spacing w:after="0"/>
              <w:rPr>
                <w:sz w:val="23"/>
                <w:szCs w:val="23"/>
                <w:color w:val="auto"/>
              </w:rPr>
            </w:pPr>
          </w:p>
        </w:tc>
        <w:tc>
          <w:tcPr>
            <w:tcW w:w="4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14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2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140" w:type="dxa"/>
            <w:vAlign w:val="bottom"/>
            <w:shd w:val="clear" w:color="auto" w:fill="CCEEFF"/>
          </w:tcPr>
          <w:p>
            <w:pPr>
              <w:spacing w:after="0"/>
              <w:rPr>
                <w:sz w:val="23"/>
                <w:szCs w:val="23"/>
                <w:color w:val="auto"/>
              </w:rPr>
            </w:pPr>
          </w:p>
        </w:tc>
      </w:tr>
      <w:tr>
        <w:trPr>
          <w:trHeight w:val="269"/>
        </w:trPr>
        <w:tc>
          <w:tcPr>
            <w:tcW w:w="4280" w:type="dxa"/>
            <w:vAlign w:val="bottom"/>
          </w:tcPr>
          <w:p>
            <w:pPr>
              <w:ind w:left="260"/>
              <w:spacing w:after="0"/>
              <w:rPr>
                <w:sz w:val="20"/>
                <w:szCs w:val="20"/>
                <w:color w:val="auto"/>
              </w:rPr>
            </w:pPr>
            <w:r>
              <w:rPr>
                <w:rFonts w:ascii="Arial" w:cs="Arial" w:eastAsia="Arial" w:hAnsi="Arial"/>
                <w:sz w:val="14"/>
                <w:szCs w:val="14"/>
                <w:color w:val="auto"/>
              </w:rPr>
              <w:t>Federal</w:t>
            </w:r>
          </w:p>
        </w:tc>
        <w:tc>
          <w:tcPr>
            <w:tcW w:w="1040" w:type="dxa"/>
            <w:vAlign w:val="bottom"/>
          </w:tcPr>
          <w:p>
            <w:pPr>
              <w:spacing w:after="0"/>
              <w:rPr>
                <w:sz w:val="23"/>
                <w:szCs w:val="23"/>
                <w:color w:val="auto"/>
              </w:rPr>
            </w:pPr>
          </w:p>
        </w:tc>
        <w:tc>
          <w:tcPr>
            <w:tcW w:w="480" w:type="dxa"/>
            <w:vAlign w:val="bottom"/>
          </w:tcPr>
          <w:p>
            <w:pPr>
              <w:jc w:val="right"/>
              <w:spacing w:after="0"/>
              <w:rPr>
                <w:sz w:val="20"/>
                <w:szCs w:val="20"/>
                <w:color w:val="auto"/>
              </w:rPr>
            </w:pPr>
            <w:r>
              <w:rPr>
                <w:rFonts w:ascii="Arial" w:cs="Arial" w:eastAsia="Arial" w:hAnsi="Arial"/>
                <w:sz w:val="14"/>
                <w:szCs w:val="14"/>
                <w:b w:val="1"/>
                <w:bCs w:val="1"/>
                <w:color w:val="auto"/>
              </w:rPr>
              <w:t>(14)</w:t>
            </w: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40" w:type="dxa"/>
            <w:vAlign w:val="bottom"/>
          </w:tcPr>
          <w:p>
            <w:pPr>
              <w:jc w:val="right"/>
              <w:ind w:right="8"/>
              <w:spacing w:after="0"/>
              <w:rPr>
                <w:sz w:val="20"/>
                <w:szCs w:val="20"/>
                <w:color w:val="auto"/>
              </w:rPr>
            </w:pPr>
            <w:r>
              <w:rPr>
                <w:rFonts w:ascii="Arial" w:cs="Arial" w:eastAsia="Arial" w:hAnsi="Arial"/>
                <w:sz w:val="14"/>
                <w:szCs w:val="14"/>
                <w:color w:val="auto"/>
              </w:rPr>
              <w:t>1</w:t>
            </w:r>
          </w:p>
        </w:tc>
        <w:tc>
          <w:tcPr>
            <w:tcW w:w="2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260" w:type="dxa"/>
            <w:vAlign w:val="bottom"/>
          </w:tcPr>
          <w:p>
            <w:pPr>
              <w:jc w:val="right"/>
              <w:ind w:right="28"/>
              <w:spacing w:after="0"/>
              <w:rPr>
                <w:sz w:val="20"/>
                <w:szCs w:val="20"/>
                <w:color w:val="auto"/>
              </w:rPr>
            </w:pPr>
            <w:r>
              <w:rPr>
                <w:rFonts w:ascii="Arial" w:cs="Arial" w:eastAsia="Arial" w:hAnsi="Arial"/>
                <w:sz w:val="14"/>
                <w:szCs w:val="14"/>
                <w:b w:val="1"/>
                <w:bCs w:val="1"/>
                <w:color w:val="auto"/>
              </w:rPr>
              <w:t>34</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40" w:type="dxa"/>
            <w:vAlign w:val="bottom"/>
          </w:tcPr>
          <w:p>
            <w:pPr>
              <w:jc w:val="right"/>
              <w:ind w:right="8"/>
              <w:spacing w:after="0"/>
              <w:rPr>
                <w:sz w:val="20"/>
                <w:szCs w:val="20"/>
                <w:color w:val="auto"/>
              </w:rPr>
            </w:pPr>
            <w:r>
              <w:rPr>
                <w:rFonts w:ascii="Arial" w:cs="Arial" w:eastAsia="Arial" w:hAnsi="Arial"/>
                <w:sz w:val="14"/>
                <w:szCs w:val="14"/>
                <w:color w:val="auto"/>
              </w:rPr>
              <w:t>2</w:t>
            </w:r>
          </w:p>
        </w:tc>
      </w:tr>
      <w:tr>
        <w:trPr>
          <w:trHeight w:val="271"/>
        </w:trPr>
        <w:tc>
          <w:tcPr>
            <w:tcW w:w="4280" w:type="dxa"/>
            <w:vAlign w:val="bottom"/>
            <w:shd w:val="clear" w:color="auto" w:fill="CCEEFF"/>
          </w:tcPr>
          <w:p>
            <w:pPr>
              <w:ind w:left="260"/>
              <w:spacing w:after="0"/>
              <w:rPr>
                <w:sz w:val="20"/>
                <w:szCs w:val="20"/>
                <w:color w:val="auto"/>
              </w:rPr>
            </w:pPr>
            <w:r>
              <w:rPr>
                <w:rFonts w:ascii="Arial" w:cs="Arial" w:eastAsia="Arial" w:hAnsi="Arial"/>
                <w:sz w:val="14"/>
                <w:szCs w:val="14"/>
                <w:color w:val="auto"/>
              </w:rPr>
              <w:t>State and local</w:t>
            </w:r>
          </w:p>
        </w:tc>
        <w:tc>
          <w:tcPr>
            <w:tcW w:w="1040" w:type="dxa"/>
            <w:vAlign w:val="bottom"/>
            <w:shd w:val="clear" w:color="auto" w:fill="CCEEFF"/>
          </w:tcPr>
          <w:p>
            <w:pPr>
              <w:spacing w:after="0"/>
              <w:rPr>
                <w:sz w:val="23"/>
                <w:szCs w:val="23"/>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(18)</w:t>
            </w:r>
          </w:p>
        </w:tc>
        <w:tc>
          <w:tcPr>
            <w:tcW w:w="12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340" w:type="dxa"/>
            <w:vAlign w:val="bottom"/>
            <w:gridSpan w:val="2"/>
            <w:shd w:val="clear" w:color="auto" w:fill="CCEEFF"/>
          </w:tcPr>
          <w:p>
            <w:pPr>
              <w:jc w:val="right"/>
              <w:ind w:right="28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23"/>
                <w:szCs w:val="23"/>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(18)</w:t>
            </w:r>
          </w:p>
        </w:tc>
        <w:tc>
          <w:tcPr>
            <w:tcW w:w="10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1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w:t>
            </w:r>
          </w:p>
        </w:tc>
      </w:tr>
      <w:tr>
        <w:trPr>
          <w:trHeight w:val="269"/>
        </w:trPr>
        <w:tc>
          <w:tcPr>
            <w:tcW w:w="4280" w:type="dxa"/>
            <w:vAlign w:val="bottom"/>
            <w:tcBorders>
              <w:bottom w:val="single" w:sz="8" w:color="CCEEFF"/>
            </w:tcBorders>
          </w:tcPr>
          <w:p>
            <w:pPr>
              <w:ind w:left="260"/>
              <w:spacing w:after="0"/>
              <w:rPr>
                <w:sz w:val="20"/>
                <w:szCs w:val="20"/>
                <w:color w:val="auto"/>
              </w:rPr>
            </w:pPr>
            <w:r>
              <w:rPr>
                <w:rFonts w:ascii="Arial" w:cs="Arial" w:eastAsia="Arial" w:hAnsi="Arial"/>
                <w:sz w:val="14"/>
                <w:szCs w:val="14"/>
                <w:color w:val="auto"/>
              </w:rPr>
              <w:t>Foreign</w:t>
            </w:r>
          </w:p>
        </w:tc>
        <w:tc>
          <w:tcPr>
            <w:tcW w:w="1040" w:type="dxa"/>
            <w:vAlign w:val="bottom"/>
            <w:tcBorders>
              <w:bottom w:val="single" w:sz="8" w:color="auto"/>
            </w:tcBorders>
          </w:tcPr>
          <w:p>
            <w:pPr>
              <w:spacing w:after="0"/>
              <w:rPr>
                <w:sz w:val="23"/>
                <w:szCs w:val="23"/>
                <w:color w:val="auto"/>
              </w:rPr>
            </w:pPr>
          </w:p>
        </w:tc>
        <w:tc>
          <w:tcPr>
            <w:tcW w:w="4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34</w:t>
            </w:r>
          </w:p>
        </w:tc>
        <w:tc>
          <w:tcPr>
            <w:tcW w:w="120" w:type="dxa"/>
            <w:vAlign w:val="bottom"/>
            <w:tcBorders>
              <w:bottom w:val="single" w:sz="8" w:color="CCEEFF"/>
            </w:tcBorders>
          </w:tcPr>
          <w:p>
            <w:pPr>
              <w:spacing w:after="0"/>
              <w:rPr>
                <w:sz w:val="23"/>
                <w:szCs w:val="23"/>
                <w:color w:val="auto"/>
              </w:rPr>
            </w:pPr>
          </w:p>
        </w:tc>
        <w:tc>
          <w:tcPr>
            <w:tcW w:w="340" w:type="dxa"/>
            <w:vAlign w:val="bottom"/>
            <w:tcBorders>
              <w:bottom w:val="single" w:sz="8" w:color="auto"/>
            </w:tcBorders>
          </w:tcPr>
          <w:p>
            <w:pPr>
              <w:spacing w:after="0"/>
              <w:rPr>
                <w:sz w:val="23"/>
                <w:szCs w:val="23"/>
                <w:color w:val="auto"/>
              </w:rPr>
            </w:pPr>
          </w:p>
        </w:tc>
        <w:tc>
          <w:tcPr>
            <w:tcW w:w="11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248</w:t>
            </w:r>
          </w:p>
        </w:tc>
        <w:tc>
          <w:tcPr>
            <w:tcW w:w="200" w:type="dxa"/>
            <w:vAlign w:val="bottom"/>
            <w:tcBorders>
              <w:bottom w:val="single" w:sz="8" w:color="CCEEFF"/>
            </w:tcBorders>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12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257</w:t>
            </w:r>
          </w:p>
        </w:tc>
        <w:tc>
          <w:tcPr>
            <w:tcW w:w="100" w:type="dxa"/>
            <w:vAlign w:val="bottom"/>
            <w:tcBorders>
              <w:bottom w:val="single" w:sz="8" w:color="CCEEFF"/>
            </w:tcBorders>
          </w:tcPr>
          <w:p>
            <w:pPr>
              <w:spacing w:after="0"/>
              <w:rPr>
                <w:sz w:val="23"/>
                <w:szCs w:val="23"/>
                <w:color w:val="auto"/>
              </w:rPr>
            </w:pPr>
          </w:p>
        </w:tc>
        <w:tc>
          <w:tcPr>
            <w:tcW w:w="340" w:type="dxa"/>
            <w:vAlign w:val="bottom"/>
            <w:tcBorders>
              <w:bottom w:val="single" w:sz="8" w:color="auto"/>
            </w:tcBorders>
          </w:tcPr>
          <w:p>
            <w:pPr>
              <w:spacing w:after="0"/>
              <w:rPr>
                <w:sz w:val="23"/>
                <w:szCs w:val="23"/>
                <w:color w:val="auto"/>
              </w:rPr>
            </w:pPr>
          </w:p>
        </w:tc>
        <w:tc>
          <w:tcPr>
            <w:tcW w:w="11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130</w:t>
            </w:r>
          </w:p>
        </w:tc>
      </w:tr>
      <w:tr>
        <w:trPr>
          <w:trHeight w:val="250"/>
        </w:trPr>
        <w:tc>
          <w:tcPr>
            <w:tcW w:w="4280" w:type="dxa"/>
            <w:vAlign w:val="bottom"/>
            <w:shd w:val="clear" w:color="auto" w:fill="CCEEFF"/>
          </w:tcPr>
          <w:p>
            <w:pPr>
              <w:ind w:left="20"/>
              <w:spacing w:after="0"/>
              <w:rPr>
                <w:sz w:val="20"/>
                <w:szCs w:val="20"/>
                <w:color w:val="auto"/>
              </w:rPr>
            </w:pPr>
            <w:r>
              <w:rPr>
                <w:rFonts w:ascii="Arial" w:cs="Arial" w:eastAsia="Arial" w:hAnsi="Arial"/>
                <w:sz w:val="14"/>
                <w:szCs w:val="14"/>
                <w:color w:val="auto"/>
              </w:rPr>
              <w:t>Total deferred provision</w:t>
            </w:r>
          </w:p>
        </w:tc>
        <w:tc>
          <w:tcPr>
            <w:tcW w:w="1040" w:type="dxa"/>
            <w:vAlign w:val="bottom"/>
            <w:tcBorders>
              <w:bottom w:val="single" w:sz="8" w:color="auto"/>
            </w:tcBorders>
            <w:shd w:val="clear" w:color="auto" w:fill="CCEEFF"/>
          </w:tcPr>
          <w:p>
            <w:pPr>
              <w:spacing w:after="0"/>
              <w:rPr>
                <w:sz w:val="21"/>
                <w:szCs w:val="21"/>
                <w:color w:val="auto"/>
              </w:rPr>
            </w:pPr>
          </w:p>
        </w:tc>
        <w:tc>
          <w:tcPr>
            <w:tcW w:w="4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2</w:t>
            </w:r>
          </w:p>
        </w:tc>
        <w:tc>
          <w:tcPr>
            <w:tcW w:w="120" w:type="dxa"/>
            <w:vAlign w:val="bottom"/>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spacing w:after="0"/>
              <w:rPr>
                <w:sz w:val="21"/>
                <w:szCs w:val="21"/>
                <w:color w:val="auto"/>
              </w:rPr>
            </w:pPr>
          </w:p>
        </w:tc>
        <w:tc>
          <w:tcPr>
            <w:tcW w:w="114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249</w:t>
            </w:r>
          </w:p>
        </w:tc>
        <w:tc>
          <w:tcPr>
            <w:tcW w:w="200" w:type="dxa"/>
            <w:vAlign w:val="bottom"/>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spacing w:after="0"/>
              <w:rPr>
                <w:sz w:val="21"/>
                <w:szCs w:val="21"/>
                <w:color w:val="auto"/>
              </w:rPr>
            </w:pPr>
          </w:p>
        </w:tc>
        <w:tc>
          <w:tcPr>
            <w:tcW w:w="12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273</w:t>
            </w:r>
          </w:p>
        </w:tc>
        <w:tc>
          <w:tcPr>
            <w:tcW w:w="100" w:type="dxa"/>
            <w:vAlign w:val="bottom"/>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spacing w:after="0"/>
              <w:rPr>
                <w:sz w:val="21"/>
                <w:szCs w:val="21"/>
                <w:color w:val="auto"/>
              </w:rPr>
            </w:pPr>
          </w:p>
        </w:tc>
        <w:tc>
          <w:tcPr>
            <w:tcW w:w="114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133</w:t>
            </w:r>
          </w:p>
        </w:tc>
      </w:tr>
      <w:tr>
        <w:trPr>
          <w:trHeight w:val="319"/>
        </w:trPr>
        <w:tc>
          <w:tcPr>
            <w:tcW w:w="42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257"/>
        </w:trPr>
        <w:tc>
          <w:tcPr>
            <w:tcW w:w="4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Total provision for income taxes</w:t>
            </w:r>
          </w:p>
        </w:tc>
        <w:tc>
          <w:tcPr>
            <w:tcW w:w="1040" w:type="dxa"/>
            <w:vAlign w:val="bottom"/>
            <w:tcBorders>
              <w:bottom w:val="single" w:sz="8" w:color="auto"/>
            </w:tcBorders>
            <w:shd w:val="clear" w:color="auto" w:fill="CCEEFF"/>
          </w:tcPr>
          <w:p>
            <w:pPr>
              <w:jc w:val="right"/>
              <w:ind w:right="868"/>
              <w:spacing w:after="0"/>
              <w:rPr>
                <w:sz w:val="20"/>
                <w:szCs w:val="20"/>
                <w:color w:val="auto"/>
              </w:rPr>
            </w:pPr>
            <w:r>
              <w:rPr>
                <w:rFonts w:ascii="Arial" w:cs="Arial" w:eastAsia="Arial" w:hAnsi="Arial"/>
                <w:sz w:val="14"/>
                <w:szCs w:val="14"/>
                <w:b w:val="1"/>
                <w:bCs w:val="1"/>
                <w:color w:val="auto"/>
              </w:rPr>
              <w:t>$</w:t>
            </w:r>
          </w:p>
        </w:tc>
        <w:tc>
          <w:tcPr>
            <w:tcW w:w="4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909</w:t>
            </w:r>
          </w:p>
        </w:tc>
        <w:tc>
          <w:tcPr>
            <w:tcW w:w="1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114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83</w:t>
            </w:r>
          </w:p>
        </w:tc>
        <w:tc>
          <w:tcPr>
            <w:tcW w:w="2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w:t>
            </w:r>
          </w:p>
        </w:tc>
        <w:tc>
          <w:tcPr>
            <w:tcW w:w="12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1,585</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114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195</w:t>
            </w:r>
          </w:p>
        </w:tc>
      </w:tr>
      <w:tr>
        <w:trPr>
          <w:trHeight w:val="20"/>
        </w:trPr>
        <w:tc>
          <w:tcPr>
            <w:tcW w:w="428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144" w:lineRule="exact"/>
        <w:rPr>
          <w:sz w:val="20"/>
          <w:szCs w:val="20"/>
          <w:color w:val="auto"/>
        </w:rPr>
      </w:pPr>
    </w:p>
    <w:p>
      <w:pPr>
        <w:jc w:val="both"/>
        <w:ind w:left="340"/>
        <w:spacing w:after="0" w:line="269" w:lineRule="auto"/>
        <w:rPr>
          <w:sz w:val="20"/>
          <w:szCs w:val="20"/>
          <w:color w:val="auto"/>
        </w:rPr>
      </w:pPr>
      <w:r>
        <w:rPr>
          <w:rFonts w:ascii="Arial" w:cs="Arial" w:eastAsia="Arial" w:hAnsi="Arial"/>
          <w:sz w:val="16"/>
          <w:szCs w:val="16"/>
          <w:color w:val="auto"/>
        </w:rPr>
        <w:t>The Company is taxed as a flow-through entity for U.S. income tax purposes and its taxable income or loss generated is the responsibility of its owners. Taxable income or loss generated by the Company’s corporate subsidiaries is subject to U.S. federal, state and foreign corporate income tax in locations where they conduct business.</w:t>
      </w:r>
    </w:p>
    <w:p>
      <w:pPr>
        <w:spacing w:after="0" w:line="111"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The Company’s effective tax rate differs from the U.S. federal tax rate of 35% primarily due to a significant portion of its income not being subject to U.S.</w:t>
      </w:r>
    </w:p>
    <w:p>
      <w:pPr>
        <w:spacing w:after="0" w:line="25" w:lineRule="exact"/>
        <w:rPr>
          <w:sz w:val="20"/>
          <w:szCs w:val="20"/>
          <w:color w:val="auto"/>
        </w:rPr>
      </w:pPr>
    </w:p>
    <w:p>
      <w:pPr>
        <w:ind w:left="340"/>
        <w:spacing w:after="0"/>
        <w:rPr>
          <w:sz w:val="20"/>
          <w:szCs w:val="20"/>
          <w:color w:val="auto"/>
        </w:rPr>
      </w:pPr>
      <w:r>
        <w:rPr>
          <w:rFonts w:ascii="Arial" w:cs="Arial" w:eastAsia="Arial" w:hAnsi="Arial"/>
          <w:sz w:val="16"/>
          <w:szCs w:val="16"/>
          <w:color w:val="auto"/>
        </w:rPr>
        <w:t>corporate tax rates, or being deemed to be foreign sourced and thus either not taxable or taxable at effectively lower tax rates.</w:t>
      </w:r>
    </w:p>
    <w:p>
      <w:pPr>
        <w:spacing w:after="0" w:line="147" w:lineRule="exact"/>
        <w:rPr>
          <w:sz w:val="20"/>
          <w:szCs w:val="20"/>
          <w:color w:val="auto"/>
        </w:rPr>
      </w:pPr>
    </w:p>
    <w:p>
      <w:pPr>
        <w:jc w:val="both"/>
        <w:ind w:left="340"/>
        <w:spacing w:after="0" w:line="257" w:lineRule="auto"/>
        <w:rPr>
          <w:sz w:val="20"/>
          <w:szCs w:val="20"/>
          <w:color w:val="auto"/>
        </w:rPr>
      </w:pPr>
      <w:r>
        <w:rPr>
          <w:rFonts w:ascii="Arial" w:cs="Arial" w:eastAsia="Arial" w:hAnsi="Arial"/>
          <w:sz w:val="16"/>
          <w:szCs w:val="16"/>
          <w:color w:val="auto"/>
        </w:rPr>
        <w:t>As of and for the nine month period ended September 30, 2017, the Company had not established a liability for uncertain tax positions as no such positions existed. In general, the Company’s tax returns and the tax returns of its corporate subsidiaries are subject to U.S. federal, state, local and foreign income tax examinations by tax authorities. Generally, the Company is not subject to examination by taxing authorities for tax years prior to 2013. The Company does not believe that it is reasonably possible that the total amount of unrecognized tax benefits will significantly change within 12 months of the reporting date of September 30, 2017.</w:t>
      </w:r>
    </w:p>
    <w:p>
      <w:pPr>
        <w:spacing w:after="0" w:line="117" w:lineRule="exact"/>
        <w:rPr>
          <w:sz w:val="20"/>
          <w:szCs w:val="20"/>
          <w:color w:val="auto"/>
        </w:rPr>
      </w:pPr>
    </w:p>
    <w:p>
      <w:pPr>
        <w:spacing w:after="0"/>
        <w:rPr>
          <w:sz w:val="20"/>
          <w:szCs w:val="20"/>
          <w:color w:val="auto"/>
        </w:rPr>
      </w:pPr>
      <w:r>
        <w:rPr>
          <w:rFonts w:ascii="Arial" w:cs="Arial" w:eastAsia="Arial" w:hAnsi="Arial"/>
          <w:sz w:val="22"/>
          <w:szCs w:val="22"/>
          <w:b w:val="1"/>
          <w:bCs w:val="1"/>
          <w:color w:val="00497F"/>
        </w:rPr>
        <w:t>13. MANAGEMENT AGREEMENT AND AFFILIATE TRANSACTIONS</w:t>
      </w:r>
    </w:p>
    <w:p>
      <w:pPr>
        <w:spacing w:after="0" w:line="171" w:lineRule="exact"/>
        <w:rPr>
          <w:sz w:val="20"/>
          <w:szCs w:val="20"/>
          <w:color w:val="auto"/>
        </w:rPr>
      </w:pPr>
    </w:p>
    <w:p>
      <w:pPr>
        <w:jc w:val="both"/>
        <w:ind w:left="340"/>
        <w:spacing w:after="0" w:line="255" w:lineRule="auto"/>
        <w:rPr>
          <w:sz w:val="20"/>
          <w:szCs w:val="20"/>
          <w:color w:val="auto"/>
        </w:rPr>
      </w:pPr>
      <w:r>
        <w:rPr>
          <w:rFonts w:ascii="Arial" w:cs="Arial" w:eastAsia="Arial" w:hAnsi="Arial"/>
          <w:sz w:val="16"/>
          <w:szCs w:val="16"/>
          <w:color w:val="auto"/>
        </w:rPr>
        <w:t>The Manager is paid annual fees in exchange for advising the Company on various aspects of its business, formulating its investment strategies, arranging for the acquisition and disposition of assets, arranging for financing, monitoring performance, and managing its day-to-day operations, inclusive of all costs incidental thereto. In addition, the Manager may be reimbursed for various expenses incurred by the Manager on the Company’s behalf, including the costs of legal, accounting and other administrative activities. In May 2015, in connection with the Company’s IPO, the Company entered into the Management Agreement which replaced its then-existing management agreement as a private fund. Additionally, the Company has entered into certain incentive allocation arrangements with Master GP, which owns 0.05% of the Partnership and is the general partner of the Partnership.</w:t>
      </w:r>
    </w:p>
    <w:p>
      <w:pPr>
        <w:spacing w:after="0" w:line="126" w:lineRule="exact"/>
        <w:rPr>
          <w:sz w:val="20"/>
          <w:szCs w:val="20"/>
          <w:color w:val="auto"/>
        </w:rPr>
      </w:pPr>
    </w:p>
    <w:p>
      <w:pPr>
        <w:ind w:left="340"/>
        <w:spacing w:after="0"/>
        <w:rPr>
          <w:sz w:val="20"/>
          <w:szCs w:val="20"/>
          <w:color w:val="auto"/>
        </w:rPr>
      </w:pPr>
      <w:r>
        <w:rPr>
          <w:rFonts w:ascii="Arial" w:cs="Arial" w:eastAsia="Arial" w:hAnsi="Arial"/>
          <w:sz w:val="16"/>
          <w:szCs w:val="16"/>
          <w:i w:val="1"/>
          <w:iCs w:val="1"/>
          <w:color w:val="00497F"/>
        </w:rPr>
        <w:t>Post-IPO Management Agreement and Other Incentive Allocation</w:t>
      </w:r>
    </w:p>
    <w:p>
      <w:pPr>
        <w:spacing w:after="0" w:line="165" w:lineRule="exact"/>
        <w:rPr>
          <w:sz w:val="20"/>
          <w:szCs w:val="20"/>
          <w:color w:val="auto"/>
        </w:rPr>
      </w:pPr>
    </w:p>
    <w:p>
      <w:pPr>
        <w:jc w:val="both"/>
        <w:ind w:left="340"/>
        <w:spacing w:after="0" w:line="256" w:lineRule="auto"/>
        <w:rPr>
          <w:sz w:val="20"/>
          <w:szCs w:val="20"/>
          <w:color w:val="auto"/>
        </w:rPr>
      </w:pPr>
      <w:r>
        <w:rPr>
          <w:rFonts w:ascii="Arial" w:cs="Arial" w:eastAsia="Arial" w:hAnsi="Arial"/>
          <w:sz w:val="16"/>
          <w:szCs w:val="16"/>
          <w:color w:val="auto"/>
        </w:rPr>
        <w:t>The Manager is entitled to a management fee, incentive allocations (comprised of income incentive allocation and capital gains incentive allocation, defined below) and reimbursement of certain expenses. The management fee is determined by taking the average value of total equity (excluding non-controlling interests) determined on a consolidated basis in accordance with GAAP at the end of the two most recently completed months multiplied by an annual rate of 1.50%, and is payable monthly in arrears in cash. The total management fees for the three and nine months ended September 30, 2017 were $3,776 and $11,524, respectively. The total management fees for the three and nine months ended September 30, 2016 were $4,146 and $12,725, respectively.</w:t>
      </w: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29</w:t>
      </w:r>
    </w:p>
    <w:p>
      <w:pPr>
        <w:sectPr>
          <w:pgSz w:w="11900" w:h="16838" w:orient="portrait"/>
          <w:cols w:equalWidth="0" w:num="1">
            <w:col w:w="11420"/>
          </w:cols>
          <w:pgMar w:left="240" w:top="117" w:right="239" w:bottom="1440" w:gutter="0" w:footer="0" w:header="0"/>
        </w:sectPr>
      </w:pPr>
    </w:p>
    <w:bookmarkStart w:id="29" w:name="page30"/>
    <w:bookmarkEnd w:id="29"/>
    <w:p>
      <w:pPr>
        <w:ind w:right="3820"/>
        <w:spacing w:after="0" w:line="305" w:lineRule="auto"/>
        <w:rPr>
          <w:sz w:val="20"/>
          <w:szCs w:val="20"/>
          <w:color w:val="auto"/>
        </w:rPr>
      </w:pPr>
      <w:r>
        <w:rPr>
          <w:rFonts w:ascii="Arial" w:cs="Arial" w:eastAsia="Arial" w:hAnsi="Arial"/>
          <w:sz w:val="22"/>
          <w:szCs w:val="22"/>
          <w:b w:val="1"/>
          <w:bCs w:val="1"/>
          <w:color w:val="00497F"/>
        </w:rPr>
        <w:t xml:space="preserve">FORTRESS TRANSPORTATION AND INFRASTRUCTURE INVESTORS LLC NOTES TO CONSOLIDATED FINANCIAL STATEMENTS </w:t>
      </w:r>
      <w:r>
        <w:rPr>
          <w:rFonts w:ascii="Arial" w:cs="Arial" w:eastAsia="Arial" w:hAnsi="Arial"/>
          <w:sz w:val="22"/>
          <w:szCs w:val="22"/>
          <w:b w:val="1"/>
          <w:bCs w:val="1"/>
          <w:i w:val="1"/>
          <w:iCs w:val="1"/>
          <w:color w:val="00497F"/>
        </w:rPr>
        <w:t>(unaudited)</w:t>
      </w:r>
    </w:p>
    <w:p>
      <w:pPr>
        <w:spacing w:after="0"/>
        <w:rPr>
          <w:sz w:val="20"/>
          <w:szCs w:val="20"/>
          <w:color w:val="auto"/>
        </w:rPr>
      </w:pPr>
      <w:r>
        <w:rPr>
          <w:rFonts w:ascii="Arial" w:cs="Arial" w:eastAsia="Arial" w:hAnsi="Arial"/>
          <w:sz w:val="18"/>
          <w:szCs w:val="18"/>
          <w:i w:val="1"/>
          <w:iCs w:val="1"/>
          <w:color w:val="00497F"/>
        </w:rPr>
        <w:t>(Dollar amounts in thousands, unless otherwise noted)</w:t>
      </w:r>
    </w:p>
    <w:p>
      <w:pPr>
        <w:spacing w:after="0" w:line="397" w:lineRule="exact"/>
        <w:rPr>
          <w:sz w:val="20"/>
          <w:szCs w:val="20"/>
          <w:color w:val="auto"/>
        </w:rPr>
      </w:pPr>
    </w:p>
    <w:p>
      <w:pPr>
        <w:jc w:val="both"/>
        <w:ind w:left="340"/>
        <w:spacing w:after="0" w:line="255" w:lineRule="auto"/>
        <w:rPr>
          <w:sz w:val="20"/>
          <w:szCs w:val="20"/>
          <w:color w:val="auto"/>
        </w:rPr>
      </w:pPr>
      <w:r>
        <w:rPr>
          <w:rFonts w:ascii="Arial" w:cs="Arial" w:eastAsia="Arial" w:hAnsi="Arial"/>
          <w:sz w:val="16"/>
          <w:szCs w:val="16"/>
          <w:color w:val="auto"/>
        </w:rPr>
        <w:t>The income incentive allocation is calculated and distributable quarterly in arrears based on the pre-incentive allocation net income for the immediately preceding calendar quarter (the “Income Incentive Allocation”). For this purpose, pre-incentive allocation net income means, with respect to a calendar quarter, net income attributable to shareholders during such quarter calculated in accordance with GAAP excluding the Company’s pro rata share of</w:t>
      </w:r>
    </w:p>
    <w:p>
      <w:pPr>
        <w:spacing w:after="0" w:line="1" w:lineRule="exact"/>
        <w:rPr>
          <w:sz w:val="20"/>
          <w:szCs w:val="20"/>
          <w:color w:val="auto"/>
        </w:rPr>
      </w:pPr>
    </w:p>
    <w:p>
      <w:pPr>
        <w:jc w:val="both"/>
        <w:ind w:left="340" w:hanging="8"/>
        <w:spacing w:after="0" w:line="256" w:lineRule="auto"/>
        <w:tabs>
          <w:tab w:leader="none" w:pos="610" w:val="left"/>
        </w:tabs>
        <w:numPr>
          <w:ilvl w:val="0"/>
          <w:numId w:val="8"/>
        </w:numPr>
        <w:rPr>
          <w:rFonts w:ascii="Arial" w:cs="Arial" w:eastAsia="Arial" w:hAnsi="Arial"/>
          <w:sz w:val="16"/>
          <w:szCs w:val="16"/>
          <w:color w:val="auto"/>
        </w:rPr>
      </w:pPr>
      <w:r>
        <w:rPr>
          <w:rFonts w:ascii="Arial" w:cs="Arial" w:eastAsia="Arial" w:hAnsi="Arial"/>
          <w:sz w:val="16"/>
          <w:szCs w:val="16"/>
          <w:color w:val="auto"/>
        </w:rPr>
        <w:t>realized or unrealized gains and losses, and (2) certain non-cash or one-time items, and (3) any other adjustments as may be approved by the Company’s independent directors. Pre-incentive allocation net income does not include any Income Incentive Allocation or Capital Gains Incentive Allocation (described below) paid to the Master GP during the relevant quarter.</w:t>
      </w:r>
    </w:p>
    <w:p>
      <w:pPr>
        <w:spacing w:after="0" w:line="121" w:lineRule="exact"/>
        <w:rPr>
          <w:sz w:val="20"/>
          <w:szCs w:val="20"/>
          <w:color w:val="auto"/>
        </w:rPr>
      </w:pPr>
    </w:p>
    <w:p>
      <w:pPr>
        <w:jc w:val="both"/>
        <w:ind w:left="340"/>
        <w:spacing w:after="0" w:line="251" w:lineRule="auto"/>
        <w:rPr>
          <w:sz w:val="20"/>
          <w:szCs w:val="20"/>
          <w:color w:val="auto"/>
        </w:rPr>
      </w:pPr>
      <w:r>
        <w:rPr>
          <w:rFonts w:ascii="Arial" w:cs="Arial" w:eastAsia="Arial" w:hAnsi="Arial"/>
          <w:sz w:val="16"/>
          <w:szCs w:val="16"/>
          <w:color w:val="auto"/>
        </w:rPr>
        <w:t>A subsidiary of the Company allocates and distributes to the Master GP an Income Incentive Allocation with respect to its pre-incentive allocation net income in each calendar quarter as follows: (1) no Income Incentive Allocation in any calendar quarter in which pre-incentive allocation net income, expressed as a rate of return on the average value of the Company’s net equity capital (excluding non-controlling interests) at the end of the two most recently completed calendar quarters, does not exceed 2% for such quarter (8% annualized); (2) 100% of pre -incentive allocation net income with respect to that portion of such pre-incentive allocation net income, if any, that is equal to or exceeds 2% but does not exceed 2.2223% for such quarter; and</w:t>
      </w:r>
    </w:p>
    <w:p>
      <w:pPr>
        <w:spacing w:after="0" w:line="3" w:lineRule="exact"/>
        <w:rPr>
          <w:sz w:val="20"/>
          <w:szCs w:val="20"/>
          <w:color w:val="auto"/>
        </w:rPr>
      </w:pPr>
    </w:p>
    <w:p>
      <w:pPr>
        <w:jc w:val="both"/>
        <w:ind w:left="340" w:hanging="8"/>
        <w:spacing w:after="0" w:line="256" w:lineRule="auto"/>
        <w:tabs>
          <w:tab w:leader="none" w:pos="583" w:val="left"/>
        </w:tabs>
        <w:numPr>
          <w:ilvl w:val="0"/>
          <w:numId w:val="9"/>
        </w:numPr>
        <w:rPr>
          <w:rFonts w:ascii="Arial" w:cs="Arial" w:eastAsia="Arial" w:hAnsi="Arial"/>
          <w:sz w:val="16"/>
          <w:szCs w:val="16"/>
          <w:color w:val="auto"/>
        </w:rPr>
      </w:pPr>
      <w:r>
        <w:rPr>
          <w:rFonts w:ascii="Arial" w:cs="Arial" w:eastAsia="Arial" w:hAnsi="Arial"/>
          <w:sz w:val="16"/>
          <w:szCs w:val="16"/>
          <w:color w:val="auto"/>
        </w:rPr>
        <w:t>10% of the amount of pre-incentive allocation net income, if any, that exceeds 2.2223% for such quarter. These calculations will be prorated for any period of less than three months. No Income Incentive Allocation was due to the Master GP for the three and nine months ended September 30, 2017 and 2016.</w:t>
      </w:r>
    </w:p>
    <w:p>
      <w:pPr>
        <w:spacing w:after="0" w:line="121" w:lineRule="exact"/>
        <w:rPr>
          <w:sz w:val="20"/>
          <w:szCs w:val="20"/>
          <w:color w:val="auto"/>
        </w:rPr>
      </w:pPr>
    </w:p>
    <w:p>
      <w:pPr>
        <w:jc w:val="both"/>
        <w:ind w:left="340"/>
        <w:spacing w:after="0" w:line="257" w:lineRule="auto"/>
        <w:rPr>
          <w:sz w:val="20"/>
          <w:szCs w:val="20"/>
          <w:color w:val="auto"/>
        </w:rPr>
      </w:pPr>
      <w:r>
        <w:rPr>
          <w:rFonts w:ascii="Arial" w:cs="Arial" w:eastAsia="Arial" w:hAnsi="Arial"/>
          <w:sz w:val="16"/>
          <w:szCs w:val="16"/>
          <w:color w:val="auto"/>
        </w:rPr>
        <w:t>Capital Gains Incentive Allocation is calculated and distributable in arrears as of the end of each calendar year and is equal to 10% of the Company’s pro rata share of cumulative realized gains from the date of the IPO through the end of the applicable calendar year, net of the Company’s pro rata share of cumulative realized or unrealized losses, the cumulative non-cash portion of equity-based compensation expenses and all realized gains upon which prior performance-based Capital Gains Incentive Allocation payments were made to the Master GP. No Capital Gains Incentive Allocation was due to the Master GP for the three and nine months ended September 30, 2017 and 2016.</w:t>
      </w:r>
    </w:p>
    <w:p>
      <w:pPr>
        <w:spacing w:after="0" w:line="122" w:lineRule="exact"/>
        <w:rPr>
          <w:sz w:val="20"/>
          <w:szCs w:val="20"/>
          <w:color w:val="auto"/>
        </w:rPr>
      </w:pPr>
    </w:p>
    <w:p>
      <w:pPr>
        <w:jc w:val="both"/>
        <w:ind w:left="340"/>
        <w:spacing w:after="0" w:line="253" w:lineRule="auto"/>
        <w:rPr>
          <w:sz w:val="20"/>
          <w:szCs w:val="20"/>
          <w:color w:val="auto"/>
        </w:rPr>
      </w:pPr>
      <w:r>
        <w:rPr>
          <w:rFonts w:ascii="Arial" w:cs="Arial" w:eastAsia="Arial" w:hAnsi="Arial"/>
          <w:sz w:val="16"/>
          <w:szCs w:val="16"/>
          <w:color w:val="auto"/>
        </w:rPr>
        <w:t>The Company will pay all of its operating expenses, except those specifically required to be borne by the Manager under the Management Agreement. The expenses required to be paid by the Company include, but are not limited to, issuance and transaction costs incident to the acquisition, disposition and financing of the company’s assets, legal and auditing fees and expenses, the compensation and expenses of the Company’s independent directors, the costs associated with the establishment and maintenance of any credit facilities and other indebtedness of the Company (including commitment fees, legal fees, closing costs, etc.), expenses associated with other securities offerings of the Company, costs and expenses incurred in contracting with third parties (including affiliates of the Manager), the costs of printing and mailing proxies and reports to the Company’s shareholders, costs incurred by the Manager or its affiliates for travel on the Company’s behalf, costs associated with any computer software or hardware that is used for the Company, costs to obtain liability insurance to indemnify the Company’s directors and officers and the compensation and expenses of the Company’s transfer agent.</w:t>
      </w:r>
    </w:p>
    <w:p>
      <w:pPr>
        <w:spacing w:after="0" w:line="123" w:lineRule="exact"/>
        <w:rPr>
          <w:sz w:val="20"/>
          <w:szCs w:val="20"/>
          <w:color w:val="auto"/>
        </w:rPr>
      </w:pPr>
    </w:p>
    <w:p>
      <w:pPr>
        <w:jc w:val="both"/>
        <w:ind w:left="340"/>
        <w:spacing w:after="0" w:line="252" w:lineRule="auto"/>
        <w:rPr>
          <w:sz w:val="20"/>
          <w:szCs w:val="20"/>
          <w:color w:val="auto"/>
        </w:rPr>
      </w:pPr>
      <w:r>
        <w:rPr>
          <w:rFonts w:ascii="Arial" w:cs="Arial" w:eastAsia="Arial" w:hAnsi="Arial"/>
          <w:sz w:val="16"/>
          <w:szCs w:val="16"/>
          <w:color w:val="auto"/>
        </w:rPr>
        <w:t>The Company will pay or reimburse the Manager and its affiliates for performing certain legal, accounting, due diligence tasks and other services that outside professionals or outside consultants otherwise would perform, provided that such costs and reimbursements are no greater than those which would be paid to outside professionals or consultants. The Manager is responsible for all of its other costs incident to the performance of its duties under the Management Agreement, including compensation of the Manager’s employees, rent for facilities and other “overhead” expenses; the Company will not reimburse the Manager for these expenses. During the three and nine months ended September 30, 2017, expense reimbursement of $2,046 and $5,868 was recorded in general and administrative expenses, respectively, and $1,507 and $4,220 was recorded in acquisition and transaction expenses, respectively, in the Consolidated Statements of Operations. During the three and nine months ended September 30, 2016, expense reimbursement of $1,960 and $5,361 was recorded in general and administrative expenses, respectively, and $990 and $3,017 was recorded in acquisition and transaction expenses, respectively.</w:t>
      </w:r>
    </w:p>
    <w:p>
      <w:pPr>
        <w:spacing w:after="0" w:line="125" w:lineRule="exact"/>
        <w:rPr>
          <w:sz w:val="20"/>
          <w:szCs w:val="20"/>
          <w:color w:val="auto"/>
        </w:rPr>
      </w:pPr>
    </w:p>
    <w:p>
      <w:pPr>
        <w:jc w:val="both"/>
        <w:ind w:left="340"/>
        <w:spacing w:after="0" w:line="255" w:lineRule="auto"/>
        <w:rPr>
          <w:sz w:val="20"/>
          <w:szCs w:val="20"/>
          <w:color w:val="auto"/>
        </w:rPr>
      </w:pPr>
      <w:r>
        <w:rPr>
          <w:rFonts w:ascii="Arial" w:cs="Arial" w:eastAsia="Arial" w:hAnsi="Arial"/>
          <w:sz w:val="16"/>
          <w:szCs w:val="16"/>
          <w:color w:val="auto"/>
        </w:rPr>
        <w:t>If the Company terminates the Management Agreement, it will generally be required to pay the Manager a termination fee. The termination fee is equal to the amount of the management fee during the 12 months immediately preceding the date of the termination. In addition, an Incentive Allocation Fair Value Amount will be distributable to the Master GP if the Master GP is removed due to the termination of the Management Agreement in certain specified circumstances. The Incentive Allocation Fair Value Amount is an amount equal to the Income Incentive Allocation and the Capital Gains Incentive Allocation that would be paid to the Master GP if the Company’s assets were sold for cash at their then current fair market value (as determined by an appraisal, taking into account, among other things, the expected future value of the underlying investments).</w:t>
      </w:r>
    </w:p>
    <w:p>
      <w:pPr>
        <w:spacing w:after="0" w:line="124" w:lineRule="exact"/>
        <w:rPr>
          <w:sz w:val="20"/>
          <w:szCs w:val="20"/>
          <w:color w:val="auto"/>
        </w:rPr>
      </w:pPr>
    </w:p>
    <w:p>
      <w:pPr>
        <w:jc w:val="both"/>
        <w:ind w:left="340"/>
        <w:spacing w:after="0" w:line="254" w:lineRule="auto"/>
        <w:rPr>
          <w:sz w:val="20"/>
          <w:szCs w:val="20"/>
          <w:color w:val="auto"/>
        </w:rPr>
      </w:pPr>
      <w:r>
        <w:rPr>
          <w:rFonts w:ascii="Arial" w:cs="Arial" w:eastAsia="Arial" w:hAnsi="Arial"/>
          <w:sz w:val="16"/>
          <w:szCs w:val="16"/>
          <w:color w:val="auto"/>
        </w:rPr>
        <w:t>Upon the successful completion of a post-IPO offering of the Company’s common shares or other equity securities (including securities issued as consideration in an acquisition), the Company will grant the Manager options to purchase common shares in an amount equal to 10% of the number of common shares being sold in the offering (or if the issuance relates to equity securities other than the Company’s common shares, options to purchase a number of common shares equal to 10% of the gross capital raised in the equity issuance divided by the fair market value of a common share as of the date of issuance), with an exercise price equal to the offering price per share paid by the public or other ultimate purchaser or attributed to such securities in connection with an acquisition (or the fair market value of a common share as of the date of the equity issuance if it relates to equity securities other than our common shares). Any ultimate purchaser of common shares for which such options are granted may be an affiliate of Fortress.</w:t>
      </w: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30</w:t>
      </w:r>
    </w:p>
    <w:p>
      <w:pPr>
        <w:sectPr>
          <w:pgSz w:w="11900" w:h="16838" w:orient="portrait"/>
          <w:cols w:equalWidth="0" w:num="1">
            <w:col w:w="11420"/>
          </w:cols>
          <w:pgMar w:left="240" w:top="117" w:right="239" w:bottom="1440" w:gutter="0" w:footer="0" w:header="0"/>
        </w:sectPr>
      </w:pPr>
    </w:p>
    <w:bookmarkStart w:id="30" w:name="page31"/>
    <w:bookmarkEnd w:id="30"/>
    <w:p>
      <w:pPr>
        <w:ind w:right="3820"/>
        <w:spacing w:after="0" w:line="305" w:lineRule="auto"/>
        <w:rPr>
          <w:sz w:val="20"/>
          <w:szCs w:val="20"/>
          <w:color w:val="auto"/>
        </w:rPr>
      </w:pPr>
      <w:r>
        <w:rPr>
          <w:rFonts w:ascii="Arial" w:cs="Arial" w:eastAsia="Arial" w:hAnsi="Arial"/>
          <w:sz w:val="22"/>
          <w:szCs w:val="22"/>
          <w:b w:val="1"/>
          <w:bCs w:val="1"/>
          <w:color w:val="00497F"/>
        </w:rPr>
        <w:t xml:space="preserve">FORTRESS TRANSPORTATION AND INFRASTRUCTURE INVESTORS LLC NOTES TO CONSOLIDATED FINANCIAL STATEMENTS </w:t>
      </w:r>
      <w:r>
        <w:rPr>
          <w:rFonts w:ascii="Arial" w:cs="Arial" w:eastAsia="Arial" w:hAnsi="Arial"/>
          <w:sz w:val="22"/>
          <w:szCs w:val="22"/>
          <w:b w:val="1"/>
          <w:bCs w:val="1"/>
          <w:i w:val="1"/>
          <w:iCs w:val="1"/>
          <w:color w:val="00497F"/>
        </w:rPr>
        <w:t>(unaudited)</w:t>
      </w:r>
    </w:p>
    <w:p>
      <w:pPr>
        <w:spacing w:after="0"/>
        <w:rPr>
          <w:sz w:val="20"/>
          <w:szCs w:val="20"/>
          <w:color w:val="auto"/>
        </w:rPr>
      </w:pPr>
      <w:r>
        <w:rPr>
          <w:rFonts w:ascii="Arial" w:cs="Arial" w:eastAsia="Arial" w:hAnsi="Arial"/>
          <w:sz w:val="18"/>
          <w:szCs w:val="18"/>
          <w:i w:val="1"/>
          <w:iCs w:val="1"/>
          <w:color w:val="00497F"/>
        </w:rPr>
        <w:t>(Dollar amounts in thousands, unless otherwise noted)</w:t>
      </w:r>
    </w:p>
    <w:p>
      <w:pPr>
        <w:spacing w:after="0" w:line="397" w:lineRule="exact"/>
        <w:rPr>
          <w:sz w:val="20"/>
          <w:szCs w:val="20"/>
          <w:color w:val="auto"/>
        </w:rPr>
      </w:pPr>
    </w:p>
    <w:p>
      <w:pPr>
        <w:jc w:val="both"/>
        <w:ind w:left="340"/>
        <w:spacing w:after="0" w:line="257" w:lineRule="auto"/>
        <w:rPr>
          <w:sz w:val="20"/>
          <w:szCs w:val="20"/>
          <w:color w:val="auto"/>
        </w:rPr>
      </w:pPr>
      <w:r>
        <w:rPr>
          <w:rFonts w:ascii="Arial" w:cs="Arial" w:eastAsia="Arial" w:hAnsi="Arial"/>
          <w:sz w:val="16"/>
          <w:szCs w:val="16"/>
          <w:color w:val="auto"/>
        </w:rPr>
        <w:t>As of September 30, 2017 and December 31, 2016, no amounts were recorded as a receivable from the Manager. As of September 30, 2017 and December 31, 2016, amounts due to the Manager or its affiliates of $1,138 and $1,697, respectively, excluding accrued management fees, are included within accounts payable and accrued liabilities on the Consolidated Balance Sheets. As of September 30, 2017 and December 31, 2016, amounts due to the Manager or its affiliates of $1,224 and $1,347, respectively, related to accrued management fees, are included within accounts payable and accrued liabilities on the Consolidated Balance Sheets.</w:t>
      </w:r>
    </w:p>
    <w:p>
      <w:pPr>
        <w:spacing w:after="0" w:line="124" w:lineRule="exact"/>
        <w:rPr>
          <w:sz w:val="20"/>
          <w:szCs w:val="20"/>
          <w:color w:val="auto"/>
        </w:rPr>
      </w:pPr>
    </w:p>
    <w:p>
      <w:pPr>
        <w:ind w:left="340"/>
        <w:spacing w:after="0"/>
        <w:rPr>
          <w:sz w:val="20"/>
          <w:szCs w:val="20"/>
          <w:color w:val="auto"/>
        </w:rPr>
      </w:pPr>
      <w:r>
        <w:rPr>
          <w:rFonts w:ascii="Arial" w:cs="Arial" w:eastAsia="Arial" w:hAnsi="Arial"/>
          <w:sz w:val="16"/>
          <w:szCs w:val="16"/>
          <w:i w:val="1"/>
          <w:iCs w:val="1"/>
          <w:color w:val="00497F"/>
        </w:rPr>
        <w:t>Other Affiliate Transactions</w:t>
      </w:r>
    </w:p>
    <w:p>
      <w:pPr>
        <w:spacing w:after="0" w:line="165" w:lineRule="exact"/>
        <w:rPr>
          <w:sz w:val="20"/>
          <w:szCs w:val="20"/>
          <w:color w:val="auto"/>
        </w:rPr>
      </w:pPr>
    </w:p>
    <w:p>
      <w:pPr>
        <w:jc w:val="both"/>
        <w:ind w:left="340"/>
        <w:spacing w:after="0" w:line="257" w:lineRule="auto"/>
        <w:rPr>
          <w:sz w:val="20"/>
          <w:szCs w:val="20"/>
          <w:color w:val="auto"/>
        </w:rPr>
      </w:pPr>
      <w:r>
        <w:rPr>
          <w:rFonts w:ascii="Arial" w:cs="Arial" w:eastAsia="Arial" w:hAnsi="Arial"/>
          <w:sz w:val="16"/>
          <w:szCs w:val="16"/>
          <w:color w:val="auto"/>
        </w:rPr>
        <w:t>As of September 30, 2017 and December 31, 2016 an affiliate of the Company’s Manager owns an approximately 20% interest in Jefferson Terminal which has been accounted for as a component of non-controlling interest in consolidated subsidiaries in the accompanying consolidated financial statements. The carrying amount of this non-controlling interest at September 30, 2017 and December 31, 2016 was $69,259 and $74,904, respectively. For the three and nine months ended September 30, 2017, the amount of this non-controlling interest share of net loss was $2,163 and $5,646, respectively. For the three and nine months ended September 30, 2016, the amount of this non-controlling interest share of net loss was $1,762 and $5,715, respectively.</w:t>
      </w:r>
    </w:p>
    <w:p>
      <w:pPr>
        <w:spacing w:after="0" w:line="122" w:lineRule="exact"/>
        <w:rPr>
          <w:sz w:val="20"/>
          <w:szCs w:val="20"/>
          <w:color w:val="auto"/>
        </w:rPr>
      </w:pPr>
    </w:p>
    <w:p>
      <w:pPr>
        <w:jc w:val="both"/>
        <w:ind w:left="340"/>
        <w:spacing w:after="0" w:line="261" w:lineRule="auto"/>
        <w:rPr>
          <w:sz w:val="20"/>
          <w:szCs w:val="20"/>
          <w:color w:val="auto"/>
        </w:rPr>
      </w:pPr>
      <w:r>
        <w:rPr>
          <w:rFonts w:ascii="Arial" w:cs="Arial" w:eastAsia="Arial" w:hAnsi="Arial"/>
          <w:sz w:val="16"/>
          <w:szCs w:val="16"/>
          <w:color w:val="auto"/>
        </w:rPr>
        <w:t>In connection with the Capital Call Agreement related to the Series 2016 Bonds discussed in Note 8, the Company and an affiliate of its Manager entered into a Fee and Support Agreement. The Fee and Support Agreement provides that the affiliate of the Manager is compensated for its guarantee of a portion of the obligations under the Standby Bond Purchase Agreement. This affiliate of the Manager received fees of $1,740, which are amortized as interest expense to the earlier of the redemption date or February 13, 2020.</w:t>
      </w:r>
    </w:p>
    <w:p>
      <w:pPr>
        <w:spacing w:after="0" w:line="59" w:lineRule="exact"/>
        <w:rPr>
          <w:sz w:val="20"/>
          <w:szCs w:val="20"/>
          <w:color w:val="auto"/>
        </w:rPr>
      </w:pPr>
    </w:p>
    <w:p>
      <w:pPr>
        <w:spacing w:after="0"/>
        <w:rPr>
          <w:sz w:val="20"/>
          <w:szCs w:val="20"/>
          <w:color w:val="auto"/>
        </w:rPr>
      </w:pPr>
      <w:r>
        <w:rPr>
          <w:rFonts w:ascii="Arial" w:cs="Arial" w:eastAsia="Arial" w:hAnsi="Arial"/>
          <w:sz w:val="22"/>
          <w:szCs w:val="22"/>
          <w:b w:val="1"/>
          <w:bCs w:val="1"/>
          <w:color w:val="00497F"/>
        </w:rPr>
        <w:t>14. SEGMENT INFORMATION</w:t>
      </w:r>
    </w:p>
    <w:p>
      <w:pPr>
        <w:spacing w:after="0" w:line="117" w:lineRule="exact"/>
        <w:rPr>
          <w:sz w:val="20"/>
          <w:szCs w:val="20"/>
          <w:color w:val="auto"/>
        </w:rPr>
      </w:pPr>
    </w:p>
    <w:p>
      <w:pPr>
        <w:jc w:val="both"/>
        <w:ind w:left="340"/>
        <w:spacing w:after="0" w:line="251" w:lineRule="auto"/>
        <w:rPr>
          <w:sz w:val="20"/>
          <w:szCs w:val="20"/>
          <w:color w:val="auto"/>
        </w:rPr>
      </w:pPr>
      <w:r>
        <w:rPr>
          <w:rFonts w:ascii="Arial" w:cs="Arial" w:eastAsia="Arial" w:hAnsi="Arial"/>
          <w:sz w:val="16"/>
          <w:szCs w:val="16"/>
          <w:color w:val="auto"/>
        </w:rPr>
        <w:t>The Company’s reportable segments represent strategic business units comprised of investments in different types of transportation and infrastructure assets. The Company has six reportable segments which operate in the Equipment Leasing and Infrastructure businesses across several market sectors. The Company’s reportable segments are (i) Aviation Leasing, (ii) Offshore Energy, (iii) Shipping Containers, (iv) Jefferson Terminal, (v) Railroad, and (vi) Ports and Terminals. Aviation Leasing consists of aircraft and aircraft engines held for lease and are typically held long-term. Offshore Energy consists of vessels and equipment that support offshore oil and gas drilling and production which are typically subject to long-term operating leases. Shipping Containers consists of an investment in an unconsolidated entity engaged in the acquisition and leasing of shipping containers (on both an operating lease and finance lease basis). Jefferson Terminal consists of a multi-modal crude oil and refined products terminal and other related assets. Railroad consists of our CMQR railroad operations. Ports and Terminals consists of Repauno, which is a 1,630 acre deep-water port located along the Delaware river with an underground storage cavern and multiple industrial development opportunities, and Hannibal, which is a 1,660 acre multi-modal port located along the Ohio River with rail, dock, and multiple industrial development opportunities.</w:t>
      </w:r>
    </w:p>
    <w:p>
      <w:pPr>
        <w:spacing w:after="0" w:line="75" w:lineRule="exact"/>
        <w:rPr>
          <w:sz w:val="20"/>
          <w:szCs w:val="20"/>
          <w:color w:val="auto"/>
        </w:rPr>
      </w:pPr>
    </w:p>
    <w:p>
      <w:pPr>
        <w:jc w:val="both"/>
        <w:ind w:left="340"/>
        <w:spacing w:after="0" w:line="261" w:lineRule="auto"/>
        <w:rPr>
          <w:sz w:val="20"/>
          <w:szCs w:val="20"/>
          <w:color w:val="auto"/>
        </w:rPr>
      </w:pPr>
      <w:r>
        <w:rPr>
          <w:rFonts w:ascii="Arial" w:cs="Arial" w:eastAsia="Arial" w:hAnsi="Arial"/>
          <w:sz w:val="16"/>
          <w:szCs w:val="16"/>
          <w:color w:val="auto"/>
        </w:rPr>
        <w:t>Corporate consists primarily of unallocated Company level general and administrative expenses, and management fees. The accounting policies of the segments are the same as those described in the summary of significant accounting policies; however, financial information presented by segment includes the impact of intercompany eliminations. The Company evaluates investment performance for each reportable segment primarily based on net income attributable to shareholders and Adjusted Net Income.</w:t>
      </w:r>
    </w:p>
    <w:p>
      <w:pPr>
        <w:spacing w:after="0" w:line="64" w:lineRule="exact"/>
        <w:rPr>
          <w:sz w:val="20"/>
          <w:szCs w:val="20"/>
          <w:color w:val="auto"/>
        </w:rPr>
      </w:pPr>
    </w:p>
    <w:p>
      <w:pPr>
        <w:jc w:val="both"/>
        <w:ind w:left="340"/>
        <w:spacing w:after="0" w:line="257" w:lineRule="auto"/>
        <w:rPr>
          <w:sz w:val="20"/>
          <w:szCs w:val="20"/>
          <w:color w:val="auto"/>
        </w:rPr>
      </w:pPr>
      <w:r>
        <w:rPr>
          <w:rFonts w:ascii="Arial" w:cs="Arial" w:eastAsia="Arial" w:hAnsi="Arial"/>
          <w:sz w:val="16"/>
          <w:szCs w:val="16"/>
          <w:color w:val="auto"/>
        </w:rPr>
        <w:t>Adjusted Net Income is defined as net income attributable to shareholders, adjusted (a) to exclude the impact of provision for income taxes, equity-based compensation expense, acquisition and transaction expenses, losses on the modification or extinguishment of debt and capital lease obligations, changes in fair value of non-hedge derivative instruments, asset impairment charges, incentive allocations, and equity in earnings of unconsolidated entities; (b) to include the impact of cash income tax payments, the Company’s pro-rata share of the Adjusted Net Income from unconsolidated entities (collectively “Adjusted Net Income”), and (c) to exclude the impact of the non-controlling share of Adjusted Net Income.</w:t>
      </w:r>
    </w:p>
    <w:p>
      <w:pPr>
        <w:spacing w:after="0" w:line="68" w:lineRule="exact"/>
        <w:rPr>
          <w:sz w:val="20"/>
          <w:szCs w:val="20"/>
          <w:color w:val="auto"/>
        </w:rPr>
      </w:pPr>
    </w:p>
    <w:p>
      <w:pPr>
        <w:jc w:val="both"/>
        <w:ind w:left="340"/>
        <w:spacing w:after="0" w:line="269" w:lineRule="auto"/>
        <w:rPr>
          <w:sz w:val="20"/>
          <w:szCs w:val="20"/>
          <w:color w:val="auto"/>
        </w:rPr>
      </w:pPr>
      <w:r>
        <w:rPr>
          <w:rFonts w:ascii="Arial" w:cs="Arial" w:eastAsia="Arial" w:hAnsi="Arial"/>
          <w:sz w:val="16"/>
          <w:szCs w:val="16"/>
          <w:color w:val="auto"/>
        </w:rPr>
        <w:t>The Company believes that net income attributable to shareholders, as defined by GAAP, is the most appropriate earnings measurement with which to reconcile Adjusted Net Income. Adjusted Net Income should not be considered as an alternative to net income attributable to shareholders as determined in accordance with GAAP.</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31</w:t>
      </w:r>
    </w:p>
    <w:p>
      <w:pPr>
        <w:sectPr>
          <w:pgSz w:w="11900" w:h="16838" w:orient="portrait"/>
          <w:cols w:equalWidth="0" w:num="1">
            <w:col w:w="11420"/>
          </w:cols>
          <w:pgMar w:left="240" w:top="117" w:right="239" w:bottom="1440" w:gutter="0" w:footer="0" w:header="0"/>
        </w:sectPr>
      </w:pPr>
    </w:p>
    <w:bookmarkStart w:id="31" w:name="page32"/>
    <w:bookmarkEnd w:id="31"/>
    <w:p>
      <w:pPr>
        <w:ind w:right="3640"/>
        <w:spacing w:after="0" w:line="305" w:lineRule="auto"/>
        <w:rPr>
          <w:sz w:val="20"/>
          <w:szCs w:val="20"/>
          <w:color w:val="auto"/>
        </w:rPr>
      </w:pPr>
      <w:r>
        <w:rPr>
          <w:rFonts w:ascii="Arial" w:cs="Arial" w:eastAsia="Arial" w:hAnsi="Arial"/>
          <w:sz w:val="22"/>
          <w:szCs w:val="22"/>
          <w:b w:val="1"/>
          <w:bCs w:val="1"/>
          <w:color w:val="00497F"/>
        </w:rPr>
        <w:t xml:space="preserve">FORTRESS TRANSPORTATION AND INFRASTRUCTURE INVESTORS LLC NOTES TO CONSOLIDATED FINANCIAL STATEMENTS </w:t>
      </w:r>
      <w:r>
        <w:rPr>
          <w:rFonts w:ascii="Arial" w:cs="Arial" w:eastAsia="Arial" w:hAnsi="Arial"/>
          <w:sz w:val="22"/>
          <w:szCs w:val="22"/>
          <w:b w:val="1"/>
          <w:bCs w:val="1"/>
          <w:i w:val="1"/>
          <w:iCs w:val="1"/>
          <w:color w:val="00497F"/>
        </w:rPr>
        <w:t>(unaudited)</w:t>
      </w:r>
    </w:p>
    <w:p>
      <w:pPr>
        <w:spacing w:after="0"/>
        <w:rPr>
          <w:sz w:val="20"/>
          <w:szCs w:val="20"/>
          <w:color w:val="auto"/>
        </w:rPr>
      </w:pPr>
      <w:r>
        <w:rPr>
          <w:rFonts w:ascii="Arial" w:cs="Arial" w:eastAsia="Arial" w:hAnsi="Arial"/>
          <w:sz w:val="18"/>
          <w:szCs w:val="18"/>
          <w:i w:val="1"/>
          <w:iCs w:val="1"/>
          <w:color w:val="00497F"/>
        </w:rPr>
        <w:t>(Dollar amounts in thousands, unless otherwise noted)</w:t>
      </w:r>
    </w:p>
    <w:p>
      <w:pPr>
        <w:spacing w:after="0" w:line="397"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The following tables set forth certain information for each reportable segment of the Company:</w:t>
      </w:r>
    </w:p>
    <w:p>
      <w:pPr>
        <w:spacing w:after="0" w:line="165" w:lineRule="exact"/>
        <w:rPr>
          <w:sz w:val="20"/>
          <w:szCs w:val="20"/>
          <w:color w:val="auto"/>
        </w:rPr>
      </w:pPr>
    </w:p>
    <w:p>
      <w:pPr>
        <w:ind w:left="340"/>
        <w:spacing w:after="0"/>
        <w:rPr>
          <w:sz w:val="20"/>
          <w:szCs w:val="20"/>
          <w:color w:val="auto"/>
        </w:rPr>
      </w:pPr>
      <w:r>
        <w:rPr>
          <w:rFonts w:ascii="Arial" w:cs="Arial" w:eastAsia="Arial" w:hAnsi="Arial"/>
          <w:sz w:val="16"/>
          <w:szCs w:val="16"/>
          <w:b w:val="1"/>
          <w:bCs w:val="1"/>
          <w:color w:val="00497F"/>
        </w:rPr>
        <w:t>I. For the Three Months Ended September 30, 2017</w:t>
      </w:r>
    </w:p>
    <w:p>
      <w:pPr>
        <w:spacing w:after="0" w:line="388" w:lineRule="exact"/>
        <w:rPr>
          <w:sz w:val="20"/>
          <w:szCs w:val="20"/>
          <w:color w:val="auto"/>
        </w:rPr>
      </w:pPr>
    </w:p>
    <w:tbl>
      <w:tblPr>
        <w:tblLayout w:type="fixed"/>
        <w:tblInd w:w="540" w:type="dxa"/>
        <w:tblCellMar>
          <w:top w:w="0" w:type="dxa"/>
          <w:left w:w="0" w:type="dxa"/>
          <w:bottom w:w="0" w:type="dxa"/>
          <w:right w:w="0" w:type="dxa"/>
        </w:tblCellMar>
      </w:tblPr>
      <w:tr>
        <w:trPr>
          <w:trHeight w:val="203"/>
        </w:trPr>
        <w:tc>
          <w:tcPr>
            <w:tcW w:w="226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4200" w:type="dxa"/>
            <w:vAlign w:val="bottom"/>
            <w:tcBorders>
              <w:bottom w:val="single" w:sz="8" w:color="auto"/>
            </w:tcBorders>
            <w:gridSpan w:val="11"/>
          </w:tcPr>
          <w:p>
            <w:pPr>
              <w:ind w:left="580"/>
              <w:spacing w:after="0"/>
              <w:rPr>
                <w:sz w:val="20"/>
                <w:szCs w:val="20"/>
                <w:color w:val="auto"/>
              </w:rPr>
            </w:pPr>
            <w:r>
              <w:rPr>
                <w:rFonts w:ascii="Arial" w:cs="Arial" w:eastAsia="Arial" w:hAnsi="Arial"/>
                <w:sz w:val="14"/>
                <w:szCs w:val="14"/>
                <w:b w:val="1"/>
                <w:bCs w:val="1"/>
                <w:color w:val="auto"/>
              </w:rPr>
              <w:t>Three months ended September 30, 2017</w:t>
            </w:r>
          </w:p>
        </w:tc>
        <w:tc>
          <w:tcPr>
            <w:tcW w:w="10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64"/>
        </w:trPr>
        <w:tc>
          <w:tcPr>
            <w:tcW w:w="2260" w:type="dxa"/>
            <w:vAlign w:val="bottom"/>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spacing w:after="0"/>
              <w:rPr>
                <w:sz w:val="22"/>
                <w:szCs w:val="22"/>
                <w:color w:val="auto"/>
              </w:rPr>
            </w:pPr>
          </w:p>
        </w:tc>
        <w:tc>
          <w:tcPr>
            <w:tcW w:w="1380" w:type="dxa"/>
            <w:vAlign w:val="bottom"/>
            <w:tcBorders>
              <w:bottom w:val="single" w:sz="8" w:color="auto"/>
            </w:tcBorders>
            <w:gridSpan w:val="5"/>
          </w:tcPr>
          <w:p>
            <w:pPr>
              <w:jc w:val="right"/>
              <w:spacing w:after="0"/>
              <w:rPr>
                <w:sz w:val="20"/>
                <w:szCs w:val="20"/>
                <w:color w:val="auto"/>
              </w:rPr>
            </w:pPr>
            <w:r>
              <w:rPr>
                <w:rFonts w:ascii="Arial" w:cs="Arial" w:eastAsia="Arial" w:hAnsi="Arial"/>
                <w:sz w:val="14"/>
                <w:szCs w:val="14"/>
                <w:b w:val="1"/>
                <w:bCs w:val="1"/>
                <w:color w:val="auto"/>
              </w:rPr>
              <w:t>Equipment Leasing</w:t>
            </w:r>
          </w:p>
        </w:tc>
        <w:tc>
          <w:tcPr>
            <w:tcW w:w="920" w:type="dxa"/>
            <w:vAlign w:val="bottom"/>
            <w:tcBorders>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gridSpan w:val="3"/>
          </w:tcPr>
          <w:p>
            <w:pPr>
              <w:ind w:left="20"/>
              <w:spacing w:after="0"/>
              <w:rPr>
                <w:sz w:val="20"/>
                <w:szCs w:val="20"/>
                <w:color w:val="auto"/>
              </w:rPr>
            </w:pPr>
            <w:r>
              <w:rPr>
                <w:rFonts w:ascii="Arial" w:cs="Arial" w:eastAsia="Arial" w:hAnsi="Arial"/>
                <w:sz w:val="14"/>
                <w:szCs w:val="14"/>
                <w:b w:val="1"/>
                <w:bCs w:val="1"/>
                <w:color w:val="auto"/>
              </w:rPr>
              <w:t>Infrastructure</w:t>
            </w:r>
          </w:p>
        </w:tc>
        <w:tc>
          <w:tcPr>
            <w:tcW w:w="12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68"/>
        </w:trPr>
        <w:tc>
          <w:tcPr>
            <w:tcW w:w="2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jc w:val="right"/>
              <w:ind w:right="88"/>
              <w:spacing w:after="0"/>
              <w:rPr>
                <w:sz w:val="20"/>
                <w:szCs w:val="20"/>
                <w:color w:val="auto"/>
              </w:rPr>
            </w:pPr>
            <w:r>
              <w:rPr>
                <w:rFonts w:ascii="Arial" w:cs="Arial" w:eastAsia="Arial" w:hAnsi="Arial"/>
                <w:sz w:val="14"/>
                <w:szCs w:val="14"/>
                <w:b w:val="1"/>
                <w:bCs w:val="1"/>
                <w:color w:val="auto"/>
              </w:rPr>
              <w:t>Aviation</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Offshore</w:t>
            </w:r>
          </w:p>
        </w:tc>
        <w:tc>
          <w:tcPr>
            <w:tcW w:w="140" w:type="dxa"/>
            <w:vAlign w:val="bottom"/>
          </w:tcPr>
          <w:p>
            <w:pPr>
              <w:spacing w:after="0"/>
              <w:rPr>
                <w:sz w:val="14"/>
                <w:szCs w:val="14"/>
                <w:color w:val="auto"/>
              </w:rPr>
            </w:pPr>
          </w:p>
        </w:tc>
        <w:tc>
          <w:tcPr>
            <w:tcW w:w="10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Shipping</w:t>
            </w:r>
          </w:p>
        </w:tc>
        <w:tc>
          <w:tcPr>
            <w:tcW w:w="120" w:type="dxa"/>
            <w:vAlign w:val="bottom"/>
          </w:tcPr>
          <w:p>
            <w:pPr>
              <w:spacing w:after="0"/>
              <w:rPr>
                <w:sz w:val="14"/>
                <w:szCs w:val="14"/>
                <w:color w:val="auto"/>
              </w:rPr>
            </w:pPr>
          </w:p>
        </w:tc>
        <w:tc>
          <w:tcPr>
            <w:tcW w:w="9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Jefferson</w:t>
            </w:r>
          </w:p>
        </w:tc>
        <w:tc>
          <w:tcPr>
            <w:tcW w:w="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gridSpan w:val="2"/>
          </w:tcPr>
          <w:p>
            <w:pPr>
              <w:ind w:left="20"/>
              <w:spacing w:after="0"/>
              <w:rPr>
                <w:sz w:val="20"/>
                <w:szCs w:val="20"/>
                <w:color w:val="auto"/>
              </w:rPr>
            </w:pPr>
            <w:r>
              <w:rPr>
                <w:rFonts w:ascii="Arial" w:cs="Arial" w:eastAsia="Arial" w:hAnsi="Arial"/>
                <w:sz w:val="14"/>
                <w:szCs w:val="14"/>
                <w:b w:val="1"/>
                <w:bCs w:val="1"/>
                <w:color w:val="auto"/>
              </w:rPr>
              <w:t>Ports and</w:t>
            </w:r>
          </w:p>
        </w:tc>
        <w:tc>
          <w:tcPr>
            <w:tcW w:w="1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2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jc w:val="right"/>
              <w:ind w:right="88"/>
              <w:spacing w:after="0"/>
              <w:rPr>
                <w:sz w:val="20"/>
                <w:szCs w:val="20"/>
                <w:color w:val="auto"/>
              </w:rPr>
            </w:pPr>
            <w:r>
              <w:rPr>
                <w:rFonts w:ascii="Arial" w:cs="Arial" w:eastAsia="Arial" w:hAnsi="Arial"/>
                <w:sz w:val="14"/>
                <w:szCs w:val="14"/>
                <w:b w:val="1"/>
                <w:bCs w:val="1"/>
                <w:color w:val="auto"/>
              </w:rPr>
              <w:t>Leasing</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Energy</w:t>
            </w:r>
          </w:p>
        </w:tc>
        <w:tc>
          <w:tcPr>
            <w:tcW w:w="140" w:type="dxa"/>
            <w:vAlign w:val="bottom"/>
          </w:tcPr>
          <w:p>
            <w:pPr>
              <w:spacing w:after="0"/>
              <w:rPr>
                <w:sz w:val="17"/>
                <w:szCs w:val="17"/>
                <w:color w:val="auto"/>
              </w:rPr>
            </w:pPr>
          </w:p>
        </w:tc>
        <w:tc>
          <w:tcPr>
            <w:tcW w:w="10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Containers</w:t>
            </w:r>
          </w:p>
        </w:tc>
        <w:tc>
          <w:tcPr>
            <w:tcW w:w="120" w:type="dxa"/>
            <w:vAlign w:val="bottom"/>
          </w:tcPr>
          <w:p>
            <w:pPr>
              <w:spacing w:after="0"/>
              <w:rPr>
                <w:sz w:val="17"/>
                <w:szCs w:val="17"/>
                <w:color w:val="auto"/>
              </w:rPr>
            </w:pPr>
          </w:p>
        </w:tc>
        <w:tc>
          <w:tcPr>
            <w:tcW w:w="9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Terminal</w:t>
            </w:r>
          </w:p>
        </w:tc>
        <w:tc>
          <w:tcPr>
            <w:tcW w:w="140" w:type="dxa"/>
            <w:vAlign w:val="bottom"/>
          </w:tcPr>
          <w:p>
            <w:pPr>
              <w:spacing w:after="0"/>
              <w:rPr>
                <w:sz w:val="17"/>
                <w:szCs w:val="17"/>
                <w:color w:val="auto"/>
              </w:rPr>
            </w:pPr>
          </w:p>
        </w:tc>
        <w:tc>
          <w:tcPr>
            <w:tcW w:w="920" w:type="dxa"/>
            <w:vAlign w:val="bottom"/>
            <w:gridSpan w:val="2"/>
          </w:tcPr>
          <w:p>
            <w:pPr>
              <w:ind w:left="40"/>
              <w:spacing w:after="0"/>
              <w:rPr>
                <w:sz w:val="20"/>
                <w:szCs w:val="20"/>
                <w:color w:val="auto"/>
              </w:rPr>
            </w:pPr>
            <w:r>
              <w:rPr>
                <w:rFonts w:ascii="Arial" w:cs="Arial" w:eastAsia="Arial" w:hAnsi="Arial"/>
                <w:sz w:val="14"/>
                <w:szCs w:val="14"/>
                <w:b w:val="1"/>
                <w:bCs w:val="1"/>
                <w:color w:val="auto"/>
              </w:rPr>
              <w:t>Railroad</w:t>
            </w:r>
          </w:p>
        </w:tc>
        <w:tc>
          <w:tcPr>
            <w:tcW w:w="120" w:type="dxa"/>
            <w:vAlign w:val="bottom"/>
          </w:tcPr>
          <w:p>
            <w:pPr>
              <w:spacing w:after="0"/>
              <w:rPr>
                <w:sz w:val="17"/>
                <w:szCs w:val="17"/>
                <w:color w:val="auto"/>
              </w:rPr>
            </w:pPr>
          </w:p>
        </w:tc>
        <w:tc>
          <w:tcPr>
            <w:tcW w:w="940" w:type="dxa"/>
            <w:vAlign w:val="bottom"/>
            <w:gridSpan w:val="2"/>
          </w:tcPr>
          <w:p>
            <w:pPr>
              <w:ind w:left="20"/>
              <w:spacing w:after="0"/>
              <w:rPr>
                <w:sz w:val="20"/>
                <w:szCs w:val="20"/>
                <w:color w:val="auto"/>
              </w:rPr>
            </w:pPr>
            <w:r>
              <w:rPr>
                <w:rFonts w:ascii="Arial" w:cs="Arial" w:eastAsia="Arial" w:hAnsi="Arial"/>
                <w:sz w:val="14"/>
                <w:szCs w:val="14"/>
                <w:b w:val="1"/>
                <w:bCs w:val="1"/>
                <w:color w:val="auto"/>
              </w:rPr>
              <w:t>Terminals</w:t>
            </w:r>
          </w:p>
        </w:tc>
        <w:tc>
          <w:tcPr>
            <w:tcW w:w="100" w:type="dxa"/>
            <w:vAlign w:val="bottom"/>
          </w:tcPr>
          <w:p>
            <w:pPr>
              <w:spacing w:after="0"/>
              <w:rPr>
                <w:sz w:val="17"/>
                <w:szCs w:val="17"/>
                <w:color w:val="auto"/>
              </w:rPr>
            </w:pPr>
          </w:p>
        </w:tc>
        <w:tc>
          <w:tcPr>
            <w:tcW w:w="940" w:type="dxa"/>
            <w:vAlign w:val="bottom"/>
            <w:gridSpan w:val="2"/>
          </w:tcPr>
          <w:p>
            <w:pPr>
              <w:ind w:left="20"/>
              <w:spacing w:after="0"/>
              <w:rPr>
                <w:sz w:val="20"/>
                <w:szCs w:val="20"/>
                <w:color w:val="auto"/>
              </w:rPr>
            </w:pPr>
            <w:r>
              <w:rPr>
                <w:rFonts w:ascii="Arial" w:cs="Arial" w:eastAsia="Arial" w:hAnsi="Arial"/>
                <w:sz w:val="14"/>
                <w:szCs w:val="14"/>
                <w:b w:val="1"/>
                <w:bCs w:val="1"/>
                <w:color w:val="auto"/>
              </w:rPr>
              <w:t>Corporate</w:t>
            </w:r>
          </w:p>
        </w:tc>
        <w:tc>
          <w:tcPr>
            <w:tcW w:w="200" w:type="dxa"/>
            <w:vAlign w:val="bottom"/>
          </w:tcPr>
          <w:p>
            <w:pPr>
              <w:spacing w:after="0"/>
              <w:rPr>
                <w:sz w:val="17"/>
                <w:szCs w:val="17"/>
                <w:color w:val="auto"/>
              </w:rPr>
            </w:pPr>
          </w:p>
        </w:tc>
        <w:tc>
          <w:tcPr>
            <w:tcW w:w="760" w:type="dxa"/>
            <w:vAlign w:val="bottom"/>
          </w:tcPr>
          <w:p>
            <w:pPr>
              <w:jc w:val="right"/>
              <w:ind w:right="248"/>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65"/>
        </w:trPr>
        <w:tc>
          <w:tcPr>
            <w:tcW w:w="22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Revenues</w:t>
            </w:r>
          </w:p>
        </w:tc>
        <w:tc>
          <w:tcPr>
            <w:tcW w:w="120" w:type="dxa"/>
            <w:vAlign w:val="bottom"/>
            <w:tcBorders>
              <w:top w:val="single" w:sz="8" w:color="auto"/>
            </w:tcBorders>
            <w:shd w:val="clear" w:color="auto" w:fill="CCEEFF"/>
          </w:tcPr>
          <w:p>
            <w:pPr>
              <w:spacing w:after="0"/>
              <w:rPr>
                <w:sz w:val="23"/>
                <w:szCs w:val="23"/>
                <w:color w:val="auto"/>
              </w:rPr>
            </w:pPr>
          </w:p>
        </w:tc>
        <w:tc>
          <w:tcPr>
            <w:tcW w:w="74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160" w:type="dxa"/>
            <w:vAlign w:val="bottom"/>
            <w:tcBorders>
              <w:top w:val="single" w:sz="8" w:color="auto"/>
            </w:tcBorders>
            <w:shd w:val="clear" w:color="auto" w:fill="CCEEFF"/>
          </w:tcPr>
          <w:p>
            <w:pPr>
              <w:spacing w:after="0"/>
              <w:rPr>
                <w:sz w:val="23"/>
                <w:szCs w:val="23"/>
                <w:color w:val="auto"/>
              </w:rPr>
            </w:pPr>
          </w:p>
        </w:tc>
        <w:tc>
          <w:tcPr>
            <w:tcW w:w="84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140" w:type="dxa"/>
            <w:vAlign w:val="bottom"/>
            <w:tcBorders>
              <w:top w:val="single" w:sz="8" w:color="auto"/>
            </w:tcBorders>
            <w:shd w:val="clear" w:color="auto" w:fill="CCEEFF"/>
          </w:tcPr>
          <w:p>
            <w:pPr>
              <w:spacing w:after="0"/>
              <w:rPr>
                <w:sz w:val="23"/>
                <w:szCs w:val="23"/>
                <w:color w:val="auto"/>
              </w:rPr>
            </w:pPr>
          </w:p>
        </w:tc>
        <w:tc>
          <w:tcPr>
            <w:tcW w:w="92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120" w:type="dxa"/>
            <w:vAlign w:val="bottom"/>
            <w:tcBorders>
              <w:top w:val="single" w:sz="8" w:color="auto"/>
            </w:tcBorders>
            <w:shd w:val="clear" w:color="auto" w:fill="CCEEFF"/>
          </w:tcPr>
          <w:p>
            <w:pPr>
              <w:spacing w:after="0"/>
              <w:rPr>
                <w:sz w:val="23"/>
                <w:szCs w:val="23"/>
                <w:color w:val="auto"/>
              </w:rPr>
            </w:pPr>
          </w:p>
        </w:tc>
        <w:tc>
          <w:tcPr>
            <w:tcW w:w="82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140" w:type="dxa"/>
            <w:vAlign w:val="bottom"/>
            <w:tcBorders>
              <w:top w:val="single" w:sz="8" w:color="auto"/>
            </w:tcBorders>
            <w:shd w:val="clear" w:color="auto" w:fill="CCEEFF"/>
          </w:tcPr>
          <w:p>
            <w:pPr>
              <w:spacing w:after="0"/>
              <w:rPr>
                <w:sz w:val="23"/>
                <w:szCs w:val="23"/>
                <w:color w:val="auto"/>
              </w:rPr>
            </w:pPr>
          </w:p>
        </w:tc>
        <w:tc>
          <w:tcPr>
            <w:tcW w:w="82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120" w:type="dxa"/>
            <w:vAlign w:val="bottom"/>
            <w:tcBorders>
              <w:top w:val="single" w:sz="8" w:color="auto"/>
            </w:tcBorders>
            <w:shd w:val="clear" w:color="auto" w:fill="CCEEFF"/>
          </w:tcPr>
          <w:p>
            <w:pPr>
              <w:spacing w:after="0"/>
              <w:rPr>
                <w:sz w:val="23"/>
                <w:szCs w:val="23"/>
                <w:color w:val="auto"/>
              </w:rPr>
            </w:pPr>
          </w:p>
        </w:tc>
        <w:tc>
          <w:tcPr>
            <w:tcW w:w="82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100" w:type="dxa"/>
            <w:vAlign w:val="bottom"/>
            <w:tcBorders>
              <w:top w:val="single" w:sz="8" w:color="auto"/>
            </w:tcBorders>
            <w:shd w:val="clear" w:color="auto" w:fill="CCEEFF"/>
          </w:tcPr>
          <w:p>
            <w:pPr>
              <w:spacing w:after="0"/>
              <w:rPr>
                <w:sz w:val="23"/>
                <w:szCs w:val="23"/>
                <w:color w:val="auto"/>
              </w:rPr>
            </w:pPr>
          </w:p>
        </w:tc>
        <w:tc>
          <w:tcPr>
            <w:tcW w:w="84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200" w:type="dxa"/>
            <w:vAlign w:val="bottom"/>
            <w:tcBorders>
              <w:top w:val="single" w:sz="8" w:color="auto"/>
            </w:tcBorders>
            <w:shd w:val="clear" w:color="auto" w:fill="CCEEFF"/>
          </w:tcPr>
          <w:p>
            <w:pPr>
              <w:spacing w:after="0"/>
              <w:rPr>
                <w:sz w:val="23"/>
                <w:szCs w:val="23"/>
                <w:color w:val="auto"/>
              </w:rPr>
            </w:pPr>
          </w:p>
        </w:tc>
        <w:tc>
          <w:tcPr>
            <w:tcW w:w="760" w:type="dxa"/>
            <w:vAlign w:val="bottom"/>
            <w:tcBorders>
              <w:top w:val="single" w:sz="8" w:color="auto"/>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9"/>
        </w:trPr>
        <w:tc>
          <w:tcPr>
            <w:tcW w:w="2260" w:type="dxa"/>
            <w:vAlign w:val="bottom"/>
          </w:tcPr>
          <w:p>
            <w:pPr>
              <w:ind w:left="20"/>
              <w:spacing w:after="0"/>
              <w:rPr>
                <w:sz w:val="20"/>
                <w:szCs w:val="20"/>
                <w:color w:val="auto"/>
              </w:rPr>
            </w:pPr>
            <w:r>
              <w:rPr>
                <w:rFonts w:ascii="Arial" w:cs="Arial" w:eastAsia="Arial" w:hAnsi="Arial"/>
                <w:sz w:val="14"/>
                <w:szCs w:val="14"/>
                <w:color w:val="auto"/>
              </w:rPr>
              <w:t>Equipment leasing revenues</w:t>
            </w:r>
          </w:p>
        </w:tc>
        <w:tc>
          <w:tcPr>
            <w:tcW w:w="12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740" w:type="dxa"/>
            <w:vAlign w:val="bottom"/>
          </w:tcPr>
          <w:p>
            <w:pPr>
              <w:jc w:val="right"/>
              <w:ind w:right="28"/>
              <w:spacing w:after="0"/>
              <w:rPr>
                <w:sz w:val="20"/>
                <w:szCs w:val="20"/>
                <w:color w:val="auto"/>
              </w:rPr>
            </w:pPr>
            <w:r>
              <w:rPr>
                <w:rFonts w:ascii="Arial" w:cs="Arial" w:eastAsia="Arial" w:hAnsi="Arial"/>
                <w:sz w:val="14"/>
                <w:szCs w:val="14"/>
                <w:b w:val="1"/>
                <w:bCs w:val="1"/>
                <w:color w:val="auto"/>
              </w:rPr>
              <w:t>43,474</w:t>
            </w:r>
          </w:p>
        </w:tc>
        <w:tc>
          <w:tcPr>
            <w:tcW w:w="280" w:type="dxa"/>
            <w:vAlign w:val="bottom"/>
            <w:gridSpan w:val="2"/>
          </w:tcPr>
          <w:p>
            <w:pPr>
              <w:jc w:val="right"/>
              <w:ind w:right="60"/>
              <w:spacing w:after="0"/>
              <w:rPr>
                <w:sz w:val="20"/>
                <w:szCs w:val="20"/>
                <w:color w:val="auto"/>
              </w:rPr>
            </w:pPr>
            <w:r>
              <w:rPr>
                <w:rFonts w:ascii="Arial" w:cs="Arial" w:eastAsia="Arial" w:hAnsi="Arial"/>
                <w:sz w:val="14"/>
                <w:szCs w:val="14"/>
                <w:b w:val="1"/>
                <w:bCs w:val="1"/>
                <w:color w:val="auto"/>
              </w:rPr>
              <w:t>$</w:t>
            </w:r>
          </w:p>
        </w:tc>
        <w:tc>
          <w:tcPr>
            <w:tcW w:w="840" w:type="dxa"/>
            <w:vAlign w:val="bottom"/>
          </w:tcPr>
          <w:p>
            <w:pPr>
              <w:jc w:val="right"/>
              <w:ind w:right="48"/>
              <w:spacing w:after="0"/>
              <w:rPr>
                <w:sz w:val="20"/>
                <w:szCs w:val="20"/>
                <w:color w:val="auto"/>
              </w:rPr>
            </w:pPr>
            <w:r>
              <w:rPr>
                <w:rFonts w:ascii="Arial" w:cs="Arial" w:eastAsia="Arial" w:hAnsi="Arial"/>
                <w:sz w:val="14"/>
                <w:szCs w:val="14"/>
                <w:b w:val="1"/>
                <w:bCs w:val="1"/>
                <w:color w:val="auto"/>
              </w:rPr>
              <w:t>6,117</w:t>
            </w:r>
          </w:p>
        </w:tc>
        <w:tc>
          <w:tcPr>
            <w:tcW w:w="120" w:type="dxa"/>
            <w:vAlign w:val="bottom"/>
          </w:tcPr>
          <w:p>
            <w:pPr>
              <w:spacing w:after="0"/>
              <w:rPr>
                <w:sz w:val="23"/>
                <w:szCs w:val="23"/>
                <w:color w:val="auto"/>
              </w:rPr>
            </w:pPr>
          </w:p>
        </w:tc>
        <w:tc>
          <w:tcPr>
            <w:tcW w:w="14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920" w:type="dxa"/>
            <w:vAlign w:val="bottom"/>
          </w:tcPr>
          <w:p>
            <w:pPr>
              <w:jc w:val="right"/>
              <w:ind w:right="28"/>
              <w:spacing w:after="0"/>
              <w:rPr>
                <w:sz w:val="20"/>
                <w:szCs w:val="20"/>
                <w:color w:val="auto"/>
              </w:rPr>
            </w:pPr>
            <w:r>
              <w:rPr>
                <w:rFonts w:ascii="Arial" w:cs="Arial" w:eastAsia="Arial" w:hAnsi="Arial"/>
                <w:sz w:val="14"/>
                <w:szCs w:val="14"/>
                <w:b w:val="1"/>
                <w:bCs w:val="1"/>
                <w:color w:val="auto"/>
              </w:rPr>
              <w:t>25</w:t>
            </w:r>
          </w:p>
        </w:tc>
        <w:tc>
          <w:tcPr>
            <w:tcW w:w="120" w:type="dxa"/>
            <w:vAlign w:val="bottom"/>
          </w:tcPr>
          <w:p>
            <w:pPr>
              <w:spacing w:after="0"/>
              <w:rPr>
                <w:sz w:val="23"/>
                <w:szCs w:val="23"/>
                <w:color w:val="auto"/>
              </w:rPr>
            </w:pPr>
          </w:p>
        </w:tc>
        <w:tc>
          <w:tcPr>
            <w:tcW w:w="12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92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rPr>
              <w:t>—</w:t>
            </w:r>
          </w:p>
        </w:tc>
        <w:tc>
          <w:tcPr>
            <w:tcW w:w="140" w:type="dxa"/>
            <w:vAlign w:val="bottom"/>
          </w:tcPr>
          <w:p>
            <w:pPr>
              <w:ind w:left="20"/>
              <w:spacing w:after="0"/>
              <w:rPr>
                <w:sz w:val="20"/>
                <w:szCs w:val="20"/>
                <w:color w:val="auto"/>
              </w:rPr>
            </w:pPr>
            <w:r>
              <w:rPr>
                <w:rFonts w:ascii="Arial" w:cs="Arial" w:eastAsia="Arial" w:hAnsi="Arial"/>
                <w:sz w:val="14"/>
                <w:szCs w:val="14"/>
                <w:b w:val="1"/>
                <w:bCs w:val="1"/>
                <w:color w:val="auto"/>
              </w:rPr>
              <w:t>$</w:t>
            </w:r>
          </w:p>
        </w:tc>
        <w:tc>
          <w:tcPr>
            <w:tcW w:w="92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rPr>
              <w:t>—</w:t>
            </w:r>
          </w:p>
        </w:tc>
        <w:tc>
          <w:tcPr>
            <w:tcW w:w="12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94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94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rPr>
              <w:t>—</w:t>
            </w:r>
          </w:p>
        </w:tc>
        <w:tc>
          <w:tcPr>
            <w:tcW w:w="200" w:type="dxa"/>
            <w:vAlign w:val="bottom"/>
          </w:tcPr>
          <w:p>
            <w:pPr>
              <w:jc w:val="right"/>
              <w:ind w:right="28"/>
              <w:spacing w:after="0"/>
              <w:rPr>
                <w:sz w:val="20"/>
                <w:szCs w:val="20"/>
                <w:color w:val="auto"/>
              </w:rPr>
            </w:pPr>
            <w:r>
              <w:rPr>
                <w:rFonts w:ascii="Arial" w:cs="Arial" w:eastAsia="Arial" w:hAnsi="Arial"/>
                <w:sz w:val="14"/>
                <w:szCs w:val="14"/>
                <w:b w:val="1"/>
                <w:bCs w:val="1"/>
                <w:color w:val="auto"/>
              </w:rPr>
              <w:t>$</w:t>
            </w:r>
          </w:p>
        </w:tc>
        <w:tc>
          <w:tcPr>
            <w:tcW w:w="760" w:type="dxa"/>
            <w:vAlign w:val="bottom"/>
          </w:tcPr>
          <w:p>
            <w:pPr>
              <w:jc w:val="right"/>
              <w:ind w:right="48"/>
              <w:spacing w:after="0"/>
              <w:rPr>
                <w:sz w:val="20"/>
                <w:szCs w:val="20"/>
                <w:color w:val="auto"/>
              </w:rPr>
            </w:pPr>
            <w:r>
              <w:rPr>
                <w:rFonts w:ascii="Arial" w:cs="Arial" w:eastAsia="Arial" w:hAnsi="Arial"/>
                <w:sz w:val="14"/>
                <w:szCs w:val="14"/>
                <w:b w:val="1"/>
                <w:bCs w:val="1"/>
                <w:color w:val="auto"/>
              </w:rPr>
              <w:t>49,616</w:t>
            </w:r>
          </w:p>
        </w:tc>
        <w:tc>
          <w:tcPr>
            <w:tcW w:w="0" w:type="dxa"/>
            <w:vAlign w:val="bottom"/>
          </w:tcPr>
          <w:p>
            <w:pPr>
              <w:spacing w:after="0"/>
              <w:rPr>
                <w:sz w:val="1"/>
                <w:szCs w:val="1"/>
                <w:color w:val="auto"/>
              </w:rPr>
            </w:pPr>
          </w:p>
        </w:tc>
      </w:tr>
      <w:tr>
        <w:trPr>
          <w:trHeight w:val="270"/>
        </w:trPr>
        <w:tc>
          <w:tcPr>
            <w:tcW w:w="2260" w:type="dxa"/>
            <w:vAlign w:val="bottom"/>
            <w:shd w:val="clear" w:color="auto" w:fill="CCEEFF"/>
          </w:tcPr>
          <w:p>
            <w:pPr>
              <w:ind w:left="20"/>
              <w:spacing w:after="0"/>
              <w:rPr>
                <w:sz w:val="20"/>
                <w:szCs w:val="20"/>
                <w:color w:val="auto"/>
              </w:rPr>
            </w:pPr>
            <w:r>
              <w:rPr>
                <w:rFonts w:ascii="Arial" w:cs="Arial" w:eastAsia="Arial" w:hAnsi="Arial"/>
                <w:sz w:val="14"/>
                <w:szCs w:val="14"/>
                <w:color w:val="auto"/>
              </w:rPr>
              <w:t>Infrastructure revenues</w:t>
            </w:r>
          </w:p>
        </w:tc>
        <w:tc>
          <w:tcPr>
            <w:tcW w:w="120" w:type="dxa"/>
            <w:vAlign w:val="bottom"/>
            <w:tcBorders>
              <w:bottom w:val="single" w:sz="8" w:color="auto"/>
            </w:tcBorders>
            <w:shd w:val="clear" w:color="auto" w:fill="CCEEFF"/>
          </w:tcPr>
          <w:p>
            <w:pPr>
              <w:spacing w:after="0"/>
              <w:rPr>
                <w:sz w:val="23"/>
                <w:szCs w:val="23"/>
                <w:color w:val="auto"/>
              </w:rPr>
            </w:pPr>
          </w:p>
        </w:tc>
        <w:tc>
          <w:tcPr>
            <w:tcW w:w="7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w:t>
            </w:r>
          </w:p>
        </w:tc>
        <w:tc>
          <w:tcPr>
            <w:tcW w:w="12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84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w:t>
            </w:r>
          </w:p>
        </w:tc>
        <w:tc>
          <w:tcPr>
            <w:tcW w:w="12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9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w:t>
            </w:r>
          </w:p>
        </w:tc>
        <w:tc>
          <w:tcPr>
            <w:tcW w:w="12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8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1,730</w:t>
            </w:r>
          </w:p>
        </w:tc>
        <w:tc>
          <w:tcPr>
            <w:tcW w:w="10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8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8,258</w:t>
            </w:r>
          </w:p>
        </w:tc>
        <w:tc>
          <w:tcPr>
            <w:tcW w:w="10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8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758</w:t>
            </w:r>
          </w:p>
        </w:tc>
        <w:tc>
          <w:tcPr>
            <w:tcW w:w="120" w:type="dxa"/>
            <w:vAlign w:val="bottom"/>
            <w:shd w:val="clear" w:color="auto" w:fill="CCEEFF"/>
          </w:tcPr>
          <w:p>
            <w:pPr>
              <w:spacing w:after="0"/>
              <w:rPr>
                <w:sz w:val="23"/>
                <w:szCs w:val="23"/>
                <w:color w:val="auto"/>
              </w:rPr>
            </w:pPr>
          </w:p>
        </w:tc>
        <w:tc>
          <w:tcPr>
            <w:tcW w:w="100" w:type="dxa"/>
            <w:vAlign w:val="bottom"/>
            <w:tcBorders>
              <w:bottom w:val="single" w:sz="8" w:color="auto"/>
            </w:tcBorders>
            <w:shd w:val="clear" w:color="auto" w:fill="CCEEFF"/>
          </w:tcPr>
          <w:p>
            <w:pPr>
              <w:spacing w:after="0"/>
              <w:rPr>
                <w:sz w:val="23"/>
                <w:szCs w:val="23"/>
                <w:color w:val="auto"/>
              </w:rPr>
            </w:pPr>
          </w:p>
        </w:tc>
        <w:tc>
          <w:tcPr>
            <w:tcW w:w="8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w:t>
            </w:r>
          </w:p>
        </w:tc>
        <w:tc>
          <w:tcPr>
            <w:tcW w:w="10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76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10,746</w:t>
            </w:r>
          </w:p>
        </w:tc>
        <w:tc>
          <w:tcPr>
            <w:tcW w:w="0" w:type="dxa"/>
            <w:vAlign w:val="bottom"/>
          </w:tcPr>
          <w:p>
            <w:pPr>
              <w:spacing w:after="0"/>
              <w:rPr>
                <w:sz w:val="1"/>
                <w:szCs w:val="1"/>
                <w:color w:val="auto"/>
              </w:rPr>
            </w:pPr>
          </w:p>
        </w:tc>
      </w:tr>
      <w:tr>
        <w:trPr>
          <w:trHeight w:val="250"/>
        </w:trPr>
        <w:tc>
          <w:tcPr>
            <w:tcW w:w="2260" w:type="dxa"/>
            <w:vAlign w:val="bottom"/>
          </w:tcPr>
          <w:p>
            <w:pPr>
              <w:ind w:left="20"/>
              <w:spacing w:after="0"/>
              <w:rPr>
                <w:sz w:val="20"/>
                <w:szCs w:val="20"/>
                <w:color w:val="auto"/>
              </w:rPr>
            </w:pPr>
            <w:r>
              <w:rPr>
                <w:rFonts w:ascii="Arial" w:cs="Arial" w:eastAsia="Arial" w:hAnsi="Arial"/>
                <w:sz w:val="14"/>
                <w:szCs w:val="14"/>
                <w:color w:val="auto"/>
              </w:rPr>
              <w:t>Total revenues</w:t>
            </w:r>
          </w:p>
        </w:tc>
        <w:tc>
          <w:tcPr>
            <w:tcW w:w="120" w:type="dxa"/>
            <w:vAlign w:val="bottom"/>
          </w:tcPr>
          <w:p>
            <w:pPr>
              <w:spacing w:after="0"/>
              <w:rPr>
                <w:sz w:val="21"/>
                <w:szCs w:val="21"/>
                <w:color w:val="auto"/>
              </w:rPr>
            </w:pPr>
          </w:p>
        </w:tc>
        <w:tc>
          <w:tcPr>
            <w:tcW w:w="740" w:type="dxa"/>
            <w:vAlign w:val="bottom"/>
          </w:tcPr>
          <w:p>
            <w:pPr>
              <w:jc w:val="right"/>
              <w:ind w:right="28"/>
              <w:spacing w:after="0"/>
              <w:rPr>
                <w:sz w:val="20"/>
                <w:szCs w:val="20"/>
                <w:color w:val="auto"/>
              </w:rPr>
            </w:pPr>
            <w:r>
              <w:rPr>
                <w:rFonts w:ascii="Arial" w:cs="Arial" w:eastAsia="Arial" w:hAnsi="Arial"/>
                <w:sz w:val="14"/>
                <w:szCs w:val="14"/>
                <w:b w:val="1"/>
                <w:bCs w:val="1"/>
                <w:color w:val="auto"/>
              </w:rPr>
              <w:t>43,474</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40" w:type="dxa"/>
            <w:vAlign w:val="bottom"/>
          </w:tcPr>
          <w:p>
            <w:pPr>
              <w:jc w:val="right"/>
              <w:ind w:right="48"/>
              <w:spacing w:after="0"/>
              <w:rPr>
                <w:sz w:val="20"/>
                <w:szCs w:val="20"/>
                <w:color w:val="auto"/>
              </w:rPr>
            </w:pPr>
            <w:r>
              <w:rPr>
                <w:rFonts w:ascii="Arial" w:cs="Arial" w:eastAsia="Arial" w:hAnsi="Arial"/>
                <w:sz w:val="14"/>
                <w:szCs w:val="14"/>
                <w:b w:val="1"/>
                <w:bCs w:val="1"/>
                <w:color w:val="auto"/>
              </w:rPr>
              <w:t>6,117</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20" w:type="dxa"/>
            <w:vAlign w:val="bottom"/>
          </w:tcPr>
          <w:p>
            <w:pPr>
              <w:jc w:val="right"/>
              <w:ind w:right="28"/>
              <w:spacing w:after="0"/>
              <w:rPr>
                <w:sz w:val="20"/>
                <w:szCs w:val="20"/>
                <w:color w:val="auto"/>
              </w:rPr>
            </w:pPr>
            <w:r>
              <w:rPr>
                <w:rFonts w:ascii="Arial" w:cs="Arial" w:eastAsia="Arial" w:hAnsi="Arial"/>
                <w:sz w:val="14"/>
                <w:szCs w:val="14"/>
                <w:b w:val="1"/>
                <w:bCs w:val="1"/>
                <w:color w:val="auto"/>
              </w:rPr>
              <w:t>25</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20" w:type="dxa"/>
            <w:vAlign w:val="bottom"/>
          </w:tcPr>
          <w:p>
            <w:pPr>
              <w:jc w:val="right"/>
              <w:ind w:right="28"/>
              <w:spacing w:after="0"/>
              <w:rPr>
                <w:sz w:val="20"/>
                <w:szCs w:val="20"/>
                <w:color w:val="auto"/>
              </w:rPr>
            </w:pPr>
            <w:r>
              <w:rPr>
                <w:rFonts w:ascii="Arial" w:cs="Arial" w:eastAsia="Arial" w:hAnsi="Arial"/>
                <w:sz w:val="14"/>
                <w:szCs w:val="14"/>
                <w:b w:val="1"/>
                <w:bCs w:val="1"/>
                <w:color w:val="auto"/>
              </w:rPr>
              <w:t>1,730</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20" w:type="dxa"/>
            <w:vAlign w:val="bottom"/>
          </w:tcPr>
          <w:p>
            <w:pPr>
              <w:jc w:val="right"/>
              <w:ind w:right="48"/>
              <w:spacing w:after="0"/>
              <w:rPr>
                <w:sz w:val="20"/>
                <w:szCs w:val="20"/>
                <w:color w:val="auto"/>
              </w:rPr>
            </w:pPr>
            <w:r>
              <w:rPr>
                <w:rFonts w:ascii="Arial" w:cs="Arial" w:eastAsia="Arial" w:hAnsi="Arial"/>
                <w:sz w:val="14"/>
                <w:szCs w:val="14"/>
                <w:b w:val="1"/>
                <w:bCs w:val="1"/>
                <w:color w:val="auto"/>
              </w:rPr>
              <w:t>8,258</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20" w:type="dxa"/>
            <w:vAlign w:val="bottom"/>
          </w:tcPr>
          <w:p>
            <w:pPr>
              <w:jc w:val="right"/>
              <w:ind w:right="28"/>
              <w:spacing w:after="0"/>
              <w:rPr>
                <w:sz w:val="20"/>
                <w:szCs w:val="20"/>
                <w:color w:val="auto"/>
              </w:rPr>
            </w:pPr>
            <w:r>
              <w:rPr>
                <w:rFonts w:ascii="Arial" w:cs="Arial" w:eastAsia="Arial" w:hAnsi="Arial"/>
                <w:sz w:val="14"/>
                <w:szCs w:val="14"/>
                <w:b w:val="1"/>
                <w:bCs w:val="1"/>
                <w:color w:val="auto"/>
              </w:rPr>
              <w:t>758</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rPr>
              <w:t>—</w:t>
            </w:r>
          </w:p>
        </w:tc>
        <w:tc>
          <w:tcPr>
            <w:tcW w:w="200" w:type="dxa"/>
            <w:vAlign w:val="bottom"/>
          </w:tcPr>
          <w:p>
            <w:pPr>
              <w:spacing w:after="0"/>
              <w:rPr>
                <w:sz w:val="21"/>
                <w:szCs w:val="21"/>
                <w:color w:val="auto"/>
              </w:rPr>
            </w:pPr>
          </w:p>
        </w:tc>
        <w:tc>
          <w:tcPr>
            <w:tcW w:w="760" w:type="dxa"/>
            <w:vAlign w:val="bottom"/>
          </w:tcPr>
          <w:p>
            <w:pPr>
              <w:jc w:val="right"/>
              <w:ind w:right="48"/>
              <w:spacing w:after="0"/>
              <w:rPr>
                <w:sz w:val="20"/>
                <w:szCs w:val="20"/>
                <w:color w:val="auto"/>
              </w:rPr>
            </w:pPr>
            <w:r>
              <w:rPr>
                <w:rFonts w:ascii="Arial" w:cs="Arial" w:eastAsia="Arial" w:hAnsi="Arial"/>
                <w:sz w:val="14"/>
                <w:szCs w:val="14"/>
                <w:b w:val="1"/>
                <w:bCs w:val="1"/>
                <w:color w:val="auto"/>
              </w:rPr>
              <w:t>60,362</w:t>
            </w:r>
          </w:p>
        </w:tc>
        <w:tc>
          <w:tcPr>
            <w:tcW w:w="0" w:type="dxa"/>
            <w:vAlign w:val="bottom"/>
          </w:tcPr>
          <w:p>
            <w:pPr>
              <w:spacing w:after="0"/>
              <w:rPr>
                <w:sz w:val="1"/>
                <w:szCs w:val="1"/>
                <w:color w:val="auto"/>
              </w:rPr>
            </w:pPr>
          </w:p>
        </w:tc>
      </w:tr>
      <w:tr>
        <w:trPr>
          <w:trHeight w:val="319"/>
        </w:trPr>
        <w:tc>
          <w:tcPr>
            <w:tcW w:w="2260" w:type="dxa"/>
            <w:vAlign w:val="bottom"/>
            <w:tcBorders>
              <w:top w:val="single" w:sz="8" w:color="CCEEFF"/>
            </w:tcBorders>
            <w:shd w:val="clear" w:color="auto" w:fill="CCEEFF"/>
          </w:tcPr>
          <w:p>
            <w:pPr>
              <w:spacing w:after="0"/>
              <w:rPr>
                <w:sz w:val="24"/>
                <w:szCs w:val="24"/>
                <w:color w:val="auto"/>
              </w:rPr>
            </w:pPr>
          </w:p>
        </w:tc>
        <w:tc>
          <w:tcPr>
            <w:tcW w:w="120" w:type="dxa"/>
            <w:vAlign w:val="bottom"/>
            <w:tcBorders>
              <w:top w:val="single" w:sz="8" w:color="auto"/>
            </w:tcBorders>
            <w:shd w:val="clear" w:color="auto" w:fill="CCEEFF"/>
          </w:tcPr>
          <w:p>
            <w:pPr>
              <w:spacing w:after="0"/>
              <w:rPr>
                <w:sz w:val="24"/>
                <w:szCs w:val="24"/>
                <w:color w:val="auto"/>
              </w:rPr>
            </w:pPr>
          </w:p>
        </w:tc>
        <w:tc>
          <w:tcPr>
            <w:tcW w:w="740" w:type="dxa"/>
            <w:vAlign w:val="bottom"/>
            <w:tcBorders>
              <w:top w:val="single" w:sz="8" w:color="auto"/>
            </w:tcBorders>
            <w:shd w:val="clear" w:color="auto" w:fill="CCEEFF"/>
          </w:tcPr>
          <w:p>
            <w:pPr>
              <w:spacing w:after="0"/>
              <w:rPr>
                <w:sz w:val="24"/>
                <w:szCs w:val="24"/>
                <w:color w:val="auto"/>
              </w:rPr>
            </w:pPr>
          </w:p>
        </w:tc>
        <w:tc>
          <w:tcPr>
            <w:tcW w:w="120" w:type="dxa"/>
            <w:vAlign w:val="bottom"/>
            <w:tcBorders>
              <w:top w:val="single" w:sz="8" w:color="CCEEFF"/>
            </w:tcBorders>
            <w:shd w:val="clear" w:color="auto" w:fill="CCEEFF"/>
          </w:tcPr>
          <w:p>
            <w:pPr>
              <w:spacing w:after="0"/>
              <w:rPr>
                <w:sz w:val="24"/>
                <w:szCs w:val="24"/>
                <w:color w:val="auto"/>
              </w:rPr>
            </w:pPr>
          </w:p>
        </w:tc>
        <w:tc>
          <w:tcPr>
            <w:tcW w:w="160" w:type="dxa"/>
            <w:vAlign w:val="bottom"/>
            <w:tcBorders>
              <w:top w:val="single" w:sz="8" w:color="auto"/>
            </w:tcBorders>
            <w:shd w:val="clear" w:color="auto" w:fill="CCEEFF"/>
          </w:tcPr>
          <w:p>
            <w:pPr>
              <w:spacing w:after="0"/>
              <w:rPr>
                <w:sz w:val="24"/>
                <w:szCs w:val="24"/>
                <w:color w:val="auto"/>
              </w:rPr>
            </w:pPr>
          </w:p>
        </w:tc>
        <w:tc>
          <w:tcPr>
            <w:tcW w:w="840" w:type="dxa"/>
            <w:vAlign w:val="bottom"/>
            <w:tcBorders>
              <w:top w:val="single" w:sz="8" w:color="auto"/>
            </w:tcBorders>
            <w:shd w:val="clear" w:color="auto" w:fill="CCEEFF"/>
          </w:tcPr>
          <w:p>
            <w:pPr>
              <w:spacing w:after="0"/>
              <w:rPr>
                <w:sz w:val="24"/>
                <w:szCs w:val="24"/>
                <w:color w:val="auto"/>
              </w:rPr>
            </w:pPr>
          </w:p>
        </w:tc>
        <w:tc>
          <w:tcPr>
            <w:tcW w:w="120" w:type="dxa"/>
            <w:vAlign w:val="bottom"/>
            <w:tcBorders>
              <w:top w:val="single" w:sz="8" w:color="CCEEFF"/>
            </w:tcBorders>
            <w:shd w:val="clear" w:color="auto" w:fill="CCEEFF"/>
          </w:tcPr>
          <w:p>
            <w:pPr>
              <w:spacing w:after="0"/>
              <w:rPr>
                <w:sz w:val="24"/>
                <w:szCs w:val="24"/>
                <w:color w:val="auto"/>
              </w:rPr>
            </w:pPr>
          </w:p>
        </w:tc>
        <w:tc>
          <w:tcPr>
            <w:tcW w:w="140" w:type="dxa"/>
            <w:vAlign w:val="bottom"/>
            <w:tcBorders>
              <w:top w:val="single" w:sz="8" w:color="auto"/>
            </w:tcBorders>
            <w:shd w:val="clear" w:color="auto" w:fill="CCEEFF"/>
          </w:tcPr>
          <w:p>
            <w:pPr>
              <w:spacing w:after="0"/>
              <w:rPr>
                <w:sz w:val="24"/>
                <w:szCs w:val="24"/>
                <w:color w:val="auto"/>
              </w:rPr>
            </w:pPr>
          </w:p>
        </w:tc>
        <w:tc>
          <w:tcPr>
            <w:tcW w:w="920" w:type="dxa"/>
            <w:vAlign w:val="bottom"/>
            <w:tcBorders>
              <w:top w:val="single" w:sz="8" w:color="auto"/>
            </w:tcBorders>
            <w:shd w:val="clear" w:color="auto" w:fill="CCEEFF"/>
          </w:tcPr>
          <w:p>
            <w:pPr>
              <w:spacing w:after="0"/>
              <w:rPr>
                <w:sz w:val="24"/>
                <w:szCs w:val="24"/>
                <w:color w:val="auto"/>
              </w:rPr>
            </w:pPr>
          </w:p>
        </w:tc>
        <w:tc>
          <w:tcPr>
            <w:tcW w:w="120" w:type="dxa"/>
            <w:vAlign w:val="bottom"/>
            <w:tcBorders>
              <w:top w:val="single" w:sz="8" w:color="CCEEFF"/>
            </w:tcBorders>
            <w:shd w:val="clear" w:color="auto" w:fill="CCEEFF"/>
          </w:tcPr>
          <w:p>
            <w:pPr>
              <w:spacing w:after="0"/>
              <w:rPr>
                <w:sz w:val="24"/>
                <w:szCs w:val="24"/>
                <w:color w:val="auto"/>
              </w:rPr>
            </w:pPr>
          </w:p>
        </w:tc>
        <w:tc>
          <w:tcPr>
            <w:tcW w:w="120" w:type="dxa"/>
            <w:vAlign w:val="bottom"/>
            <w:tcBorders>
              <w:top w:val="single" w:sz="8" w:color="auto"/>
            </w:tcBorders>
            <w:shd w:val="clear" w:color="auto" w:fill="CCEEFF"/>
          </w:tcPr>
          <w:p>
            <w:pPr>
              <w:spacing w:after="0"/>
              <w:rPr>
                <w:sz w:val="24"/>
                <w:szCs w:val="24"/>
                <w:color w:val="auto"/>
              </w:rPr>
            </w:pPr>
          </w:p>
        </w:tc>
        <w:tc>
          <w:tcPr>
            <w:tcW w:w="820" w:type="dxa"/>
            <w:vAlign w:val="bottom"/>
            <w:tcBorders>
              <w:top w:val="single" w:sz="8" w:color="auto"/>
            </w:tcBorders>
            <w:shd w:val="clear" w:color="auto" w:fill="CCEEFF"/>
          </w:tcPr>
          <w:p>
            <w:pPr>
              <w:spacing w:after="0"/>
              <w:rPr>
                <w:sz w:val="24"/>
                <w:szCs w:val="24"/>
                <w:color w:val="auto"/>
              </w:rPr>
            </w:pPr>
          </w:p>
        </w:tc>
        <w:tc>
          <w:tcPr>
            <w:tcW w:w="100" w:type="dxa"/>
            <w:vAlign w:val="bottom"/>
            <w:tcBorders>
              <w:top w:val="single" w:sz="8" w:color="CCEEFF"/>
            </w:tcBorders>
            <w:shd w:val="clear" w:color="auto" w:fill="CCEEFF"/>
          </w:tcPr>
          <w:p>
            <w:pPr>
              <w:spacing w:after="0"/>
              <w:rPr>
                <w:sz w:val="24"/>
                <w:szCs w:val="24"/>
                <w:color w:val="auto"/>
              </w:rPr>
            </w:pPr>
          </w:p>
        </w:tc>
        <w:tc>
          <w:tcPr>
            <w:tcW w:w="140" w:type="dxa"/>
            <w:vAlign w:val="bottom"/>
            <w:tcBorders>
              <w:top w:val="single" w:sz="8" w:color="auto"/>
            </w:tcBorders>
            <w:shd w:val="clear" w:color="auto" w:fill="CCEEFF"/>
          </w:tcPr>
          <w:p>
            <w:pPr>
              <w:spacing w:after="0"/>
              <w:rPr>
                <w:sz w:val="24"/>
                <w:szCs w:val="24"/>
                <w:color w:val="auto"/>
              </w:rPr>
            </w:pPr>
          </w:p>
        </w:tc>
        <w:tc>
          <w:tcPr>
            <w:tcW w:w="820" w:type="dxa"/>
            <w:vAlign w:val="bottom"/>
            <w:tcBorders>
              <w:top w:val="single" w:sz="8" w:color="auto"/>
            </w:tcBorders>
            <w:shd w:val="clear" w:color="auto" w:fill="CCEEFF"/>
          </w:tcPr>
          <w:p>
            <w:pPr>
              <w:spacing w:after="0"/>
              <w:rPr>
                <w:sz w:val="24"/>
                <w:szCs w:val="24"/>
                <w:color w:val="auto"/>
              </w:rPr>
            </w:pPr>
          </w:p>
        </w:tc>
        <w:tc>
          <w:tcPr>
            <w:tcW w:w="100" w:type="dxa"/>
            <w:vAlign w:val="bottom"/>
            <w:tcBorders>
              <w:top w:val="single" w:sz="8" w:color="CCEEFF"/>
            </w:tcBorders>
            <w:shd w:val="clear" w:color="auto" w:fill="CCEEFF"/>
          </w:tcPr>
          <w:p>
            <w:pPr>
              <w:spacing w:after="0"/>
              <w:rPr>
                <w:sz w:val="24"/>
                <w:szCs w:val="24"/>
                <w:color w:val="auto"/>
              </w:rPr>
            </w:pPr>
          </w:p>
        </w:tc>
        <w:tc>
          <w:tcPr>
            <w:tcW w:w="120" w:type="dxa"/>
            <w:vAlign w:val="bottom"/>
            <w:tcBorders>
              <w:top w:val="single" w:sz="8" w:color="auto"/>
            </w:tcBorders>
            <w:shd w:val="clear" w:color="auto" w:fill="CCEEFF"/>
          </w:tcPr>
          <w:p>
            <w:pPr>
              <w:spacing w:after="0"/>
              <w:rPr>
                <w:sz w:val="24"/>
                <w:szCs w:val="24"/>
                <w:color w:val="auto"/>
              </w:rPr>
            </w:pPr>
          </w:p>
        </w:tc>
        <w:tc>
          <w:tcPr>
            <w:tcW w:w="820" w:type="dxa"/>
            <w:vAlign w:val="bottom"/>
            <w:tcBorders>
              <w:top w:val="single" w:sz="8" w:color="auto"/>
            </w:tcBorders>
            <w:shd w:val="clear" w:color="auto" w:fill="CCEEFF"/>
          </w:tcPr>
          <w:p>
            <w:pPr>
              <w:spacing w:after="0"/>
              <w:rPr>
                <w:sz w:val="24"/>
                <w:szCs w:val="24"/>
                <w:color w:val="auto"/>
              </w:rPr>
            </w:pPr>
          </w:p>
        </w:tc>
        <w:tc>
          <w:tcPr>
            <w:tcW w:w="120" w:type="dxa"/>
            <w:vAlign w:val="bottom"/>
            <w:tcBorders>
              <w:top w:val="single" w:sz="8" w:color="CCEEFF"/>
            </w:tcBorders>
            <w:shd w:val="clear" w:color="auto" w:fill="CCEEFF"/>
          </w:tcPr>
          <w:p>
            <w:pPr>
              <w:spacing w:after="0"/>
              <w:rPr>
                <w:sz w:val="24"/>
                <w:szCs w:val="24"/>
                <w:color w:val="auto"/>
              </w:rPr>
            </w:pPr>
          </w:p>
        </w:tc>
        <w:tc>
          <w:tcPr>
            <w:tcW w:w="100" w:type="dxa"/>
            <w:vAlign w:val="bottom"/>
            <w:tcBorders>
              <w:top w:val="single" w:sz="8" w:color="auto"/>
            </w:tcBorders>
            <w:shd w:val="clear" w:color="auto" w:fill="CCEEFF"/>
          </w:tcPr>
          <w:p>
            <w:pPr>
              <w:spacing w:after="0"/>
              <w:rPr>
                <w:sz w:val="24"/>
                <w:szCs w:val="24"/>
                <w:color w:val="auto"/>
              </w:rPr>
            </w:pPr>
          </w:p>
        </w:tc>
        <w:tc>
          <w:tcPr>
            <w:tcW w:w="840" w:type="dxa"/>
            <w:vAlign w:val="bottom"/>
            <w:tcBorders>
              <w:top w:val="single" w:sz="8" w:color="auto"/>
            </w:tcBorders>
            <w:shd w:val="clear" w:color="auto" w:fill="CCEEFF"/>
          </w:tcPr>
          <w:p>
            <w:pPr>
              <w:spacing w:after="0"/>
              <w:rPr>
                <w:sz w:val="24"/>
                <w:szCs w:val="24"/>
                <w:color w:val="auto"/>
              </w:rPr>
            </w:pPr>
          </w:p>
        </w:tc>
        <w:tc>
          <w:tcPr>
            <w:tcW w:w="100" w:type="dxa"/>
            <w:vAlign w:val="bottom"/>
            <w:tcBorders>
              <w:top w:val="single" w:sz="8" w:color="CCEEFF"/>
            </w:tcBorders>
            <w:shd w:val="clear" w:color="auto" w:fill="CCEEFF"/>
          </w:tcPr>
          <w:p>
            <w:pPr>
              <w:spacing w:after="0"/>
              <w:rPr>
                <w:sz w:val="24"/>
                <w:szCs w:val="24"/>
                <w:color w:val="auto"/>
              </w:rPr>
            </w:pPr>
          </w:p>
        </w:tc>
        <w:tc>
          <w:tcPr>
            <w:tcW w:w="200" w:type="dxa"/>
            <w:vAlign w:val="bottom"/>
            <w:tcBorders>
              <w:top w:val="single" w:sz="8" w:color="auto"/>
            </w:tcBorders>
            <w:shd w:val="clear" w:color="auto" w:fill="CCEEFF"/>
          </w:tcPr>
          <w:p>
            <w:pPr>
              <w:spacing w:after="0"/>
              <w:rPr>
                <w:sz w:val="24"/>
                <w:szCs w:val="24"/>
                <w:color w:val="auto"/>
              </w:rPr>
            </w:pPr>
          </w:p>
        </w:tc>
        <w:tc>
          <w:tcPr>
            <w:tcW w:w="760" w:type="dxa"/>
            <w:vAlign w:val="bottom"/>
            <w:tcBorders>
              <w:top w:val="single" w:sz="8" w:color="auto"/>
            </w:tcBorders>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9"/>
        </w:trPr>
        <w:tc>
          <w:tcPr>
            <w:tcW w:w="2260" w:type="dxa"/>
            <w:vAlign w:val="bottom"/>
          </w:tcPr>
          <w:p>
            <w:pPr>
              <w:ind w:left="20"/>
              <w:spacing w:after="0"/>
              <w:rPr>
                <w:sz w:val="20"/>
                <w:szCs w:val="20"/>
                <w:color w:val="auto"/>
              </w:rPr>
            </w:pPr>
            <w:r>
              <w:rPr>
                <w:rFonts w:ascii="Arial" w:cs="Arial" w:eastAsia="Arial" w:hAnsi="Arial"/>
                <w:sz w:val="14"/>
                <w:szCs w:val="14"/>
                <w:b w:val="1"/>
                <w:bCs w:val="1"/>
                <w:color w:val="auto"/>
              </w:rPr>
              <w:t>Expenses</w:t>
            </w:r>
          </w:p>
        </w:tc>
        <w:tc>
          <w:tcPr>
            <w:tcW w:w="12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1"/>
        </w:trPr>
        <w:tc>
          <w:tcPr>
            <w:tcW w:w="2260" w:type="dxa"/>
            <w:vAlign w:val="bottom"/>
            <w:shd w:val="clear" w:color="auto" w:fill="CCEEFF"/>
          </w:tcPr>
          <w:p>
            <w:pPr>
              <w:ind w:left="20"/>
              <w:spacing w:after="0"/>
              <w:rPr>
                <w:sz w:val="20"/>
                <w:szCs w:val="20"/>
                <w:color w:val="auto"/>
              </w:rPr>
            </w:pPr>
            <w:r>
              <w:rPr>
                <w:rFonts w:ascii="Arial" w:cs="Arial" w:eastAsia="Arial" w:hAnsi="Arial"/>
                <w:sz w:val="14"/>
                <w:szCs w:val="14"/>
                <w:color w:val="auto"/>
              </w:rPr>
              <w:t>Operating expenses</w:t>
            </w:r>
          </w:p>
        </w:tc>
        <w:tc>
          <w:tcPr>
            <w:tcW w:w="120" w:type="dxa"/>
            <w:vAlign w:val="bottom"/>
            <w:shd w:val="clear" w:color="auto" w:fill="CCEEFF"/>
          </w:tcPr>
          <w:p>
            <w:pPr>
              <w:spacing w:after="0"/>
              <w:rPr>
                <w:sz w:val="23"/>
                <w:szCs w:val="23"/>
                <w:color w:val="auto"/>
              </w:rPr>
            </w:pPr>
          </w:p>
        </w:tc>
        <w:tc>
          <w:tcPr>
            <w:tcW w:w="74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1,706</w:t>
            </w: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84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5,103</w:t>
            </w: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92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8</w:t>
            </w: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82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7,039</w:t>
            </w: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82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6,980</w:t>
            </w: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82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2,852</w:t>
            </w:r>
          </w:p>
        </w:tc>
        <w:tc>
          <w:tcPr>
            <w:tcW w:w="1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b w:val="1"/>
                <w:bCs w:val="1"/>
                <w:color w:val="auto"/>
              </w:rPr>
              <w:t>—</w:t>
            </w:r>
          </w:p>
        </w:tc>
        <w:tc>
          <w:tcPr>
            <w:tcW w:w="200" w:type="dxa"/>
            <w:vAlign w:val="bottom"/>
            <w:shd w:val="clear" w:color="auto" w:fill="CCEEFF"/>
          </w:tcPr>
          <w:p>
            <w:pPr>
              <w:spacing w:after="0"/>
              <w:rPr>
                <w:sz w:val="23"/>
                <w:szCs w:val="23"/>
                <w:color w:val="auto"/>
              </w:rPr>
            </w:pPr>
          </w:p>
        </w:tc>
        <w:tc>
          <w:tcPr>
            <w:tcW w:w="76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23,688</w:t>
            </w:r>
          </w:p>
        </w:tc>
        <w:tc>
          <w:tcPr>
            <w:tcW w:w="0" w:type="dxa"/>
            <w:vAlign w:val="bottom"/>
          </w:tcPr>
          <w:p>
            <w:pPr>
              <w:spacing w:after="0"/>
              <w:rPr>
                <w:sz w:val="1"/>
                <w:szCs w:val="1"/>
                <w:color w:val="auto"/>
              </w:rPr>
            </w:pPr>
          </w:p>
        </w:tc>
      </w:tr>
      <w:tr>
        <w:trPr>
          <w:trHeight w:val="269"/>
        </w:trPr>
        <w:tc>
          <w:tcPr>
            <w:tcW w:w="2260" w:type="dxa"/>
            <w:vAlign w:val="bottom"/>
          </w:tcPr>
          <w:p>
            <w:pPr>
              <w:ind w:left="20"/>
              <w:spacing w:after="0"/>
              <w:rPr>
                <w:sz w:val="20"/>
                <w:szCs w:val="20"/>
                <w:color w:val="auto"/>
              </w:rPr>
            </w:pPr>
            <w:r>
              <w:rPr>
                <w:rFonts w:ascii="Arial" w:cs="Arial" w:eastAsia="Arial" w:hAnsi="Arial"/>
                <w:sz w:val="14"/>
                <w:szCs w:val="14"/>
                <w:color w:val="auto"/>
              </w:rPr>
              <w:t>General and administrative</w:t>
            </w:r>
          </w:p>
        </w:tc>
        <w:tc>
          <w:tcPr>
            <w:tcW w:w="120" w:type="dxa"/>
            <w:vAlign w:val="bottom"/>
          </w:tcPr>
          <w:p>
            <w:pPr>
              <w:spacing w:after="0"/>
              <w:rPr>
                <w:sz w:val="23"/>
                <w:szCs w:val="23"/>
                <w:color w:val="auto"/>
              </w:rPr>
            </w:pPr>
          </w:p>
        </w:tc>
        <w:tc>
          <w:tcPr>
            <w:tcW w:w="740" w:type="dxa"/>
            <w:vAlign w:val="bottom"/>
          </w:tcPr>
          <w:p>
            <w:pPr>
              <w:jc w:val="right"/>
              <w:ind w:right="28"/>
              <w:spacing w:after="0"/>
              <w:rPr>
                <w:sz w:val="20"/>
                <w:szCs w:val="20"/>
                <w:color w:val="auto"/>
              </w:rPr>
            </w:pPr>
            <w:r>
              <w:rPr>
                <w:rFonts w:ascii="Arial" w:cs="Arial" w:eastAsia="Arial" w:hAnsi="Arial"/>
                <w:sz w:val="14"/>
                <w:szCs w:val="14"/>
                <w:b w:val="1"/>
                <w:bCs w:val="1"/>
                <w:color w:val="auto"/>
              </w:rPr>
              <w:t>—</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96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rPr>
              <w:t>—</w:t>
            </w:r>
          </w:p>
        </w:tc>
        <w:tc>
          <w:tcPr>
            <w:tcW w:w="140" w:type="dxa"/>
            <w:vAlign w:val="bottom"/>
          </w:tcPr>
          <w:p>
            <w:pPr>
              <w:spacing w:after="0"/>
              <w:rPr>
                <w:sz w:val="23"/>
                <w:szCs w:val="23"/>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rPr>
              <w:t>—</w:t>
            </w:r>
          </w:p>
        </w:tc>
        <w:tc>
          <w:tcPr>
            <w:tcW w:w="120" w:type="dxa"/>
            <w:vAlign w:val="bottom"/>
          </w:tcPr>
          <w:p>
            <w:pPr>
              <w:spacing w:after="0"/>
              <w:rPr>
                <w:sz w:val="23"/>
                <w:szCs w:val="23"/>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rPr>
              <w:t>—</w:t>
            </w:r>
          </w:p>
        </w:tc>
        <w:tc>
          <w:tcPr>
            <w:tcW w:w="140" w:type="dxa"/>
            <w:vAlign w:val="bottom"/>
          </w:tcPr>
          <w:p>
            <w:pPr>
              <w:spacing w:after="0"/>
              <w:rPr>
                <w:sz w:val="23"/>
                <w:szCs w:val="23"/>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rPr>
              <w:t>—</w:t>
            </w:r>
          </w:p>
        </w:tc>
        <w:tc>
          <w:tcPr>
            <w:tcW w:w="120" w:type="dxa"/>
            <w:vAlign w:val="bottom"/>
          </w:tcPr>
          <w:p>
            <w:pPr>
              <w:spacing w:after="0"/>
              <w:rPr>
                <w:sz w:val="23"/>
                <w:szCs w:val="23"/>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23"/>
                <w:szCs w:val="23"/>
                <w:color w:val="auto"/>
              </w:rPr>
            </w:pPr>
          </w:p>
        </w:tc>
        <w:tc>
          <w:tcPr>
            <w:tcW w:w="840" w:type="dxa"/>
            <w:vAlign w:val="bottom"/>
          </w:tcPr>
          <w:p>
            <w:pPr>
              <w:jc w:val="right"/>
              <w:ind w:right="28"/>
              <w:spacing w:after="0"/>
              <w:rPr>
                <w:sz w:val="20"/>
                <w:szCs w:val="20"/>
                <w:color w:val="auto"/>
              </w:rPr>
            </w:pPr>
            <w:r>
              <w:rPr>
                <w:rFonts w:ascii="Arial" w:cs="Arial" w:eastAsia="Arial" w:hAnsi="Arial"/>
                <w:sz w:val="14"/>
                <w:szCs w:val="14"/>
                <w:b w:val="1"/>
                <w:bCs w:val="1"/>
                <w:color w:val="auto"/>
              </w:rPr>
              <w:t>3,439</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60" w:type="dxa"/>
            <w:vAlign w:val="bottom"/>
          </w:tcPr>
          <w:p>
            <w:pPr>
              <w:jc w:val="right"/>
              <w:ind w:right="48"/>
              <w:spacing w:after="0"/>
              <w:rPr>
                <w:sz w:val="20"/>
                <w:szCs w:val="20"/>
                <w:color w:val="auto"/>
              </w:rPr>
            </w:pPr>
            <w:r>
              <w:rPr>
                <w:rFonts w:ascii="Arial" w:cs="Arial" w:eastAsia="Arial" w:hAnsi="Arial"/>
                <w:sz w:val="14"/>
                <w:szCs w:val="14"/>
                <w:b w:val="1"/>
                <w:bCs w:val="1"/>
                <w:color w:val="auto"/>
              </w:rPr>
              <w:t>3,439</w:t>
            </w:r>
          </w:p>
        </w:tc>
        <w:tc>
          <w:tcPr>
            <w:tcW w:w="0" w:type="dxa"/>
            <w:vAlign w:val="bottom"/>
          </w:tcPr>
          <w:p>
            <w:pPr>
              <w:spacing w:after="0"/>
              <w:rPr>
                <w:sz w:val="1"/>
                <w:szCs w:val="1"/>
                <w:color w:val="auto"/>
              </w:rPr>
            </w:pPr>
          </w:p>
        </w:tc>
      </w:tr>
      <w:tr>
        <w:trPr>
          <w:trHeight w:val="177"/>
        </w:trPr>
        <w:tc>
          <w:tcPr>
            <w:tcW w:w="2260" w:type="dxa"/>
            <w:vAlign w:val="bottom"/>
            <w:shd w:val="clear" w:color="auto" w:fill="CCEEFF"/>
          </w:tcPr>
          <w:p>
            <w:pPr>
              <w:ind w:left="20"/>
              <w:spacing w:after="0"/>
              <w:rPr>
                <w:sz w:val="20"/>
                <w:szCs w:val="20"/>
                <w:color w:val="auto"/>
              </w:rPr>
            </w:pPr>
            <w:r>
              <w:rPr>
                <w:rFonts w:ascii="Arial" w:cs="Arial" w:eastAsia="Arial" w:hAnsi="Arial"/>
                <w:sz w:val="14"/>
                <w:szCs w:val="14"/>
                <w:color w:val="auto"/>
              </w:rPr>
              <w:t>Acquisition and transaction</w:t>
            </w:r>
          </w:p>
        </w:tc>
        <w:tc>
          <w:tcPr>
            <w:tcW w:w="120" w:type="dxa"/>
            <w:vAlign w:val="bottom"/>
            <w:shd w:val="clear" w:color="auto" w:fill="CCEEFF"/>
          </w:tcPr>
          <w:p>
            <w:pPr>
              <w:spacing w:after="0"/>
              <w:rPr>
                <w:sz w:val="15"/>
                <w:szCs w:val="15"/>
                <w:color w:val="auto"/>
              </w:rPr>
            </w:pPr>
          </w:p>
        </w:tc>
        <w:tc>
          <w:tcPr>
            <w:tcW w:w="74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6</w:t>
            </w: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6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4"/>
                <w:szCs w:val="14"/>
                <w:b w:val="1"/>
                <w:bCs w:val="1"/>
                <w:color w:val="auto"/>
              </w:rPr>
              <w:t>—</w:t>
            </w:r>
          </w:p>
        </w:tc>
        <w:tc>
          <w:tcPr>
            <w:tcW w:w="140" w:type="dxa"/>
            <w:vAlign w:val="bottom"/>
            <w:shd w:val="clear" w:color="auto" w:fill="CCEEFF"/>
          </w:tcPr>
          <w:p>
            <w:pPr>
              <w:spacing w:after="0"/>
              <w:rPr>
                <w:sz w:val="15"/>
                <w:szCs w:val="15"/>
                <w:color w:val="auto"/>
              </w:rPr>
            </w:pPr>
          </w:p>
        </w:tc>
        <w:tc>
          <w:tcPr>
            <w:tcW w:w="104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4"/>
                <w:szCs w:val="14"/>
                <w:b w:val="1"/>
                <w:bCs w:val="1"/>
                <w:color w:val="auto"/>
              </w:rPr>
              <w:t>—</w:t>
            </w:r>
          </w:p>
        </w:tc>
        <w:tc>
          <w:tcPr>
            <w:tcW w:w="120" w:type="dxa"/>
            <w:vAlign w:val="bottom"/>
            <w:shd w:val="clear" w:color="auto" w:fill="CCEEFF"/>
          </w:tcPr>
          <w:p>
            <w:pPr>
              <w:spacing w:after="0"/>
              <w:rPr>
                <w:sz w:val="15"/>
                <w:szCs w:val="15"/>
                <w:color w:val="auto"/>
              </w:rPr>
            </w:pPr>
          </w:p>
        </w:tc>
        <w:tc>
          <w:tcPr>
            <w:tcW w:w="92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4"/>
                <w:szCs w:val="14"/>
                <w:b w:val="1"/>
                <w:bCs w:val="1"/>
                <w:color w:val="auto"/>
              </w:rPr>
              <w:t>—</w:t>
            </w:r>
          </w:p>
        </w:tc>
        <w:tc>
          <w:tcPr>
            <w:tcW w:w="140" w:type="dxa"/>
            <w:vAlign w:val="bottom"/>
            <w:shd w:val="clear" w:color="auto" w:fill="CCEEFF"/>
          </w:tcPr>
          <w:p>
            <w:pPr>
              <w:spacing w:after="0"/>
              <w:rPr>
                <w:sz w:val="15"/>
                <w:szCs w:val="15"/>
                <w:color w:val="auto"/>
              </w:rPr>
            </w:pPr>
          </w:p>
        </w:tc>
        <w:tc>
          <w:tcPr>
            <w:tcW w:w="92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4"/>
                <w:szCs w:val="14"/>
                <w:b w:val="1"/>
                <w:bCs w:val="1"/>
                <w:color w:val="auto"/>
              </w:rPr>
              <w:t>—</w:t>
            </w:r>
          </w:p>
        </w:tc>
        <w:tc>
          <w:tcPr>
            <w:tcW w:w="120" w:type="dxa"/>
            <w:vAlign w:val="bottom"/>
            <w:shd w:val="clear" w:color="auto" w:fill="CCEEFF"/>
          </w:tcPr>
          <w:p>
            <w:pPr>
              <w:spacing w:after="0"/>
              <w:rPr>
                <w:sz w:val="15"/>
                <w:szCs w:val="15"/>
                <w:color w:val="auto"/>
              </w:rPr>
            </w:pPr>
          </w:p>
        </w:tc>
        <w:tc>
          <w:tcPr>
            <w:tcW w:w="94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4"/>
                <w:szCs w:val="14"/>
                <w:b w:val="1"/>
                <w:bCs w:val="1"/>
                <w:color w:val="auto"/>
              </w:rPr>
              <w:t>—</w:t>
            </w:r>
          </w:p>
        </w:tc>
        <w:tc>
          <w:tcPr>
            <w:tcW w:w="100" w:type="dxa"/>
            <w:vAlign w:val="bottom"/>
            <w:shd w:val="clear" w:color="auto" w:fill="CCEEFF"/>
          </w:tcPr>
          <w:p>
            <w:pPr>
              <w:spacing w:after="0"/>
              <w:rPr>
                <w:sz w:val="15"/>
                <w:szCs w:val="15"/>
                <w:color w:val="auto"/>
              </w:rPr>
            </w:pPr>
          </w:p>
        </w:tc>
        <w:tc>
          <w:tcPr>
            <w:tcW w:w="84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1,726</w:t>
            </w: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6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1,732</w:t>
            </w:r>
          </w:p>
        </w:tc>
        <w:tc>
          <w:tcPr>
            <w:tcW w:w="0" w:type="dxa"/>
            <w:vAlign w:val="bottom"/>
          </w:tcPr>
          <w:p>
            <w:pPr>
              <w:spacing w:after="0"/>
              <w:rPr>
                <w:sz w:val="1"/>
                <w:szCs w:val="1"/>
                <w:color w:val="auto"/>
              </w:rPr>
            </w:pPr>
          </w:p>
        </w:tc>
      </w:tr>
      <w:tr>
        <w:trPr>
          <w:trHeight w:val="202"/>
        </w:trPr>
        <w:tc>
          <w:tcPr>
            <w:tcW w:w="2260" w:type="dxa"/>
            <w:vAlign w:val="bottom"/>
            <w:shd w:val="clear" w:color="auto" w:fill="CCEEFF"/>
          </w:tcPr>
          <w:p>
            <w:pPr>
              <w:ind w:left="20"/>
              <w:spacing w:after="0"/>
              <w:rPr>
                <w:sz w:val="20"/>
                <w:szCs w:val="20"/>
                <w:color w:val="auto"/>
              </w:rPr>
            </w:pPr>
            <w:r>
              <w:rPr>
                <w:rFonts w:ascii="Arial" w:cs="Arial" w:eastAsia="Arial" w:hAnsi="Arial"/>
                <w:sz w:val="14"/>
                <w:szCs w:val="14"/>
                <w:color w:val="auto"/>
              </w:rPr>
              <w:t>expenses</w:t>
            </w:r>
          </w:p>
        </w:tc>
        <w:tc>
          <w:tcPr>
            <w:tcW w:w="120" w:type="dxa"/>
            <w:vAlign w:val="bottom"/>
            <w:shd w:val="clear" w:color="auto" w:fill="CCEEFF"/>
          </w:tcPr>
          <w:p>
            <w:pPr>
              <w:spacing w:after="0"/>
              <w:rPr>
                <w:sz w:val="17"/>
                <w:szCs w:val="17"/>
                <w:color w:val="auto"/>
              </w:rPr>
            </w:pPr>
          </w:p>
        </w:tc>
        <w:tc>
          <w:tcPr>
            <w:tcW w:w="740" w:type="dxa"/>
            <w:vAlign w:val="bottom"/>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60" w:type="dxa"/>
            <w:vAlign w:val="bottom"/>
            <w:gridSpan w:val="2"/>
            <w:vMerge w:val="continue"/>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40" w:type="dxa"/>
            <w:vAlign w:val="bottom"/>
            <w:gridSpan w:val="2"/>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20" w:type="dxa"/>
            <w:vAlign w:val="bottom"/>
            <w:gridSpan w:val="2"/>
            <w:vMerge w:val="continue"/>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20" w:type="dxa"/>
            <w:vAlign w:val="bottom"/>
            <w:gridSpan w:val="2"/>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40" w:type="dxa"/>
            <w:vAlign w:val="bottom"/>
            <w:gridSpan w:val="2"/>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6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2260" w:type="dxa"/>
            <w:vAlign w:val="bottom"/>
          </w:tcPr>
          <w:p>
            <w:pPr>
              <w:ind w:left="20"/>
              <w:spacing w:after="0"/>
              <w:rPr>
                <w:sz w:val="20"/>
                <w:szCs w:val="20"/>
                <w:color w:val="auto"/>
              </w:rPr>
            </w:pPr>
            <w:r>
              <w:rPr>
                <w:rFonts w:ascii="Arial" w:cs="Arial" w:eastAsia="Arial" w:hAnsi="Arial"/>
                <w:sz w:val="14"/>
                <w:szCs w:val="14"/>
                <w:color w:val="auto"/>
              </w:rPr>
              <w:t>Management fees and incentive</w:t>
            </w:r>
          </w:p>
        </w:tc>
        <w:tc>
          <w:tcPr>
            <w:tcW w:w="120" w:type="dxa"/>
            <w:vAlign w:val="bottom"/>
          </w:tcPr>
          <w:p>
            <w:pPr>
              <w:spacing w:after="0"/>
              <w:rPr>
                <w:sz w:val="15"/>
                <w:szCs w:val="15"/>
                <w:color w:val="auto"/>
              </w:rPr>
            </w:pPr>
          </w:p>
        </w:tc>
        <w:tc>
          <w:tcPr>
            <w:tcW w:w="740" w:type="dxa"/>
            <w:vAlign w:val="bottom"/>
            <w:vMerge w:val="restart"/>
          </w:tcPr>
          <w:p>
            <w:pPr>
              <w:jc w:val="right"/>
              <w:ind w:right="28"/>
              <w:spacing w:after="0"/>
              <w:rPr>
                <w:sz w:val="20"/>
                <w:szCs w:val="20"/>
                <w:color w:val="auto"/>
              </w:rPr>
            </w:pPr>
            <w:r>
              <w:rPr>
                <w:rFonts w:ascii="Arial" w:cs="Arial" w:eastAsia="Arial" w:hAnsi="Arial"/>
                <w:sz w:val="14"/>
                <w:szCs w:val="14"/>
                <w:b w:val="1"/>
                <w:bCs w:val="1"/>
                <w:color w:val="auto"/>
              </w:rPr>
              <w:t>—</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60" w:type="dxa"/>
            <w:vAlign w:val="bottom"/>
            <w:gridSpan w:val="2"/>
            <w:vMerge w:val="restart"/>
          </w:tcPr>
          <w:p>
            <w:pPr>
              <w:jc w:val="right"/>
              <w:ind w:right="240"/>
              <w:spacing w:after="0"/>
              <w:rPr>
                <w:sz w:val="20"/>
                <w:szCs w:val="20"/>
                <w:color w:val="auto"/>
              </w:rPr>
            </w:pPr>
            <w:r>
              <w:rPr>
                <w:rFonts w:ascii="Arial" w:cs="Arial" w:eastAsia="Arial" w:hAnsi="Arial"/>
                <w:sz w:val="14"/>
                <w:szCs w:val="14"/>
                <w:b w:val="1"/>
                <w:bCs w:val="1"/>
                <w:color w:val="auto"/>
              </w:rPr>
              <w:t>—</w:t>
            </w:r>
          </w:p>
        </w:tc>
        <w:tc>
          <w:tcPr>
            <w:tcW w:w="140" w:type="dxa"/>
            <w:vAlign w:val="bottom"/>
          </w:tcPr>
          <w:p>
            <w:pPr>
              <w:spacing w:after="0"/>
              <w:rPr>
                <w:sz w:val="15"/>
                <w:szCs w:val="15"/>
                <w:color w:val="auto"/>
              </w:rPr>
            </w:pPr>
          </w:p>
        </w:tc>
        <w:tc>
          <w:tcPr>
            <w:tcW w:w="1040" w:type="dxa"/>
            <w:vAlign w:val="bottom"/>
            <w:gridSpan w:val="2"/>
            <w:vMerge w:val="restart"/>
          </w:tcPr>
          <w:p>
            <w:pPr>
              <w:jc w:val="right"/>
              <w:ind w:right="220"/>
              <w:spacing w:after="0"/>
              <w:rPr>
                <w:sz w:val="20"/>
                <w:szCs w:val="20"/>
                <w:color w:val="auto"/>
              </w:rPr>
            </w:pPr>
            <w:r>
              <w:rPr>
                <w:rFonts w:ascii="Arial" w:cs="Arial" w:eastAsia="Arial" w:hAnsi="Arial"/>
                <w:sz w:val="14"/>
                <w:szCs w:val="14"/>
                <w:b w:val="1"/>
                <w:bCs w:val="1"/>
                <w:color w:val="auto"/>
              </w:rPr>
              <w:t>—</w:t>
            </w:r>
          </w:p>
        </w:tc>
        <w:tc>
          <w:tcPr>
            <w:tcW w:w="120" w:type="dxa"/>
            <w:vAlign w:val="bottom"/>
          </w:tcPr>
          <w:p>
            <w:pPr>
              <w:spacing w:after="0"/>
              <w:rPr>
                <w:sz w:val="15"/>
                <w:szCs w:val="15"/>
                <w:color w:val="auto"/>
              </w:rPr>
            </w:pPr>
          </w:p>
        </w:tc>
        <w:tc>
          <w:tcPr>
            <w:tcW w:w="920" w:type="dxa"/>
            <w:vAlign w:val="bottom"/>
            <w:gridSpan w:val="2"/>
            <w:vMerge w:val="restart"/>
          </w:tcPr>
          <w:p>
            <w:pPr>
              <w:jc w:val="right"/>
              <w:ind w:right="200"/>
              <w:spacing w:after="0"/>
              <w:rPr>
                <w:sz w:val="20"/>
                <w:szCs w:val="20"/>
                <w:color w:val="auto"/>
              </w:rPr>
            </w:pPr>
            <w:r>
              <w:rPr>
                <w:rFonts w:ascii="Arial" w:cs="Arial" w:eastAsia="Arial" w:hAnsi="Arial"/>
                <w:sz w:val="14"/>
                <w:szCs w:val="14"/>
                <w:b w:val="1"/>
                <w:bCs w:val="1"/>
                <w:color w:val="auto"/>
              </w:rPr>
              <w:t>—</w:t>
            </w:r>
          </w:p>
        </w:tc>
        <w:tc>
          <w:tcPr>
            <w:tcW w:w="140" w:type="dxa"/>
            <w:vAlign w:val="bottom"/>
          </w:tcPr>
          <w:p>
            <w:pPr>
              <w:spacing w:after="0"/>
              <w:rPr>
                <w:sz w:val="15"/>
                <w:szCs w:val="15"/>
                <w:color w:val="auto"/>
              </w:rPr>
            </w:pPr>
          </w:p>
        </w:tc>
        <w:tc>
          <w:tcPr>
            <w:tcW w:w="920" w:type="dxa"/>
            <w:vAlign w:val="bottom"/>
            <w:gridSpan w:val="2"/>
            <w:vMerge w:val="restart"/>
          </w:tcPr>
          <w:p>
            <w:pPr>
              <w:jc w:val="right"/>
              <w:ind w:right="220"/>
              <w:spacing w:after="0"/>
              <w:rPr>
                <w:sz w:val="20"/>
                <w:szCs w:val="20"/>
                <w:color w:val="auto"/>
              </w:rPr>
            </w:pPr>
            <w:r>
              <w:rPr>
                <w:rFonts w:ascii="Arial" w:cs="Arial" w:eastAsia="Arial" w:hAnsi="Arial"/>
                <w:sz w:val="14"/>
                <w:szCs w:val="14"/>
                <w:b w:val="1"/>
                <w:bCs w:val="1"/>
                <w:color w:val="auto"/>
              </w:rPr>
              <w:t>—</w:t>
            </w:r>
          </w:p>
        </w:tc>
        <w:tc>
          <w:tcPr>
            <w:tcW w:w="120" w:type="dxa"/>
            <w:vAlign w:val="bottom"/>
          </w:tcPr>
          <w:p>
            <w:pPr>
              <w:spacing w:after="0"/>
              <w:rPr>
                <w:sz w:val="15"/>
                <w:szCs w:val="15"/>
                <w:color w:val="auto"/>
              </w:rPr>
            </w:pPr>
          </w:p>
        </w:tc>
        <w:tc>
          <w:tcPr>
            <w:tcW w:w="940" w:type="dxa"/>
            <w:vAlign w:val="bottom"/>
            <w:gridSpan w:val="2"/>
            <w:vMerge w:val="restart"/>
          </w:tcPr>
          <w:p>
            <w:pPr>
              <w:jc w:val="right"/>
              <w:ind w:right="220"/>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5"/>
                <w:szCs w:val="15"/>
                <w:color w:val="auto"/>
              </w:rPr>
            </w:pPr>
          </w:p>
        </w:tc>
        <w:tc>
          <w:tcPr>
            <w:tcW w:w="840" w:type="dxa"/>
            <w:vAlign w:val="bottom"/>
            <w:vMerge w:val="restart"/>
          </w:tcPr>
          <w:p>
            <w:pPr>
              <w:jc w:val="right"/>
              <w:ind w:right="28"/>
              <w:spacing w:after="0"/>
              <w:rPr>
                <w:sz w:val="20"/>
                <w:szCs w:val="20"/>
                <w:color w:val="auto"/>
              </w:rPr>
            </w:pPr>
            <w:r>
              <w:rPr>
                <w:rFonts w:ascii="Arial" w:cs="Arial" w:eastAsia="Arial" w:hAnsi="Arial"/>
                <w:sz w:val="14"/>
                <w:szCs w:val="14"/>
                <w:b w:val="1"/>
                <w:bCs w:val="1"/>
                <w:color w:val="auto"/>
              </w:rPr>
              <w:t>3,771</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60" w:type="dxa"/>
            <w:vAlign w:val="bottom"/>
            <w:vMerge w:val="restart"/>
          </w:tcPr>
          <w:p>
            <w:pPr>
              <w:jc w:val="right"/>
              <w:ind w:right="48"/>
              <w:spacing w:after="0"/>
              <w:rPr>
                <w:sz w:val="20"/>
                <w:szCs w:val="20"/>
                <w:color w:val="auto"/>
              </w:rPr>
            </w:pPr>
            <w:r>
              <w:rPr>
                <w:rFonts w:ascii="Arial" w:cs="Arial" w:eastAsia="Arial" w:hAnsi="Arial"/>
                <w:sz w:val="14"/>
                <w:szCs w:val="14"/>
                <w:b w:val="1"/>
                <w:bCs w:val="1"/>
                <w:color w:val="auto"/>
              </w:rPr>
              <w:t>3,771</w:t>
            </w:r>
          </w:p>
        </w:tc>
        <w:tc>
          <w:tcPr>
            <w:tcW w:w="0" w:type="dxa"/>
            <w:vAlign w:val="bottom"/>
          </w:tcPr>
          <w:p>
            <w:pPr>
              <w:spacing w:after="0"/>
              <w:rPr>
                <w:sz w:val="1"/>
                <w:szCs w:val="1"/>
                <w:color w:val="auto"/>
              </w:rPr>
            </w:pPr>
          </w:p>
        </w:tc>
      </w:tr>
      <w:tr>
        <w:trPr>
          <w:trHeight w:val="201"/>
        </w:trPr>
        <w:tc>
          <w:tcPr>
            <w:tcW w:w="2260" w:type="dxa"/>
            <w:vAlign w:val="bottom"/>
          </w:tcPr>
          <w:p>
            <w:pPr>
              <w:ind w:left="20"/>
              <w:spacing w:after="0"/>
              <w:rPr>
                <w:sz w:val="20"/>
                <w:szCs w:val="20"/>
                <w:color w:val="auto"/>
              </w:rPr>
            </w:pPr>
            <w:r>
              <w:rPr>
                <w:rFonts w:ascii="Arial" w:cs="Arial" w:eastAsia="Arial" w:hAnsi="Arial"/>
                <w:sz w:val="14"/>
                <w:szCs w:val="14"/>
                <w:color w:val="auto"/>
              </w:rPr>
              <w:t>allocation to affiliate</w:t>
            </w:r>
          </w:p>
        </w:tc>
        <w:tc>
          <w:tcPr>
            <w:tcW w:w="120" w:type="dxa"/>
            <w:vAlign w:val="bottom"/>
          </w:tcPr>
          <w:p>
            <w:pPr>
              <w:spacing w:after="0"/>
              <w:rPr>
                <w:sz w:val="17"/>
                <w:szCs w:val="17"/>
                <w:color w:val="auto"/>
              </w:rPr>
            </w:pPr>
          </w:p>
        </w:tc>
        <w:tc>
          <w:tcPr>
            <w:tcW w:w="74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gridSpan w:val="2"/>
            <w:vMerge w:val="continue"/>
          </w:tcPr>
          <w:p>
            <w:pPr>
              <w:spacing w:after="0"/>
              <w:rPr>
                <w:sz w:val="17"/>
                <w:szCs w:val="17"/>
                <w:color w:val="auto"/>
              </w:rPr>
            </w:pPr>
          </w:p>
        </w:tc>
        <w:tc>
          <w:tcPr>
            <w:tcW w:w="140" w:type="dxa"/>
            <w:vAlign w:val="bottom"/>
          </w:tcPr>
          <w:p>
            <w:pPr>
              <w:spacing w:after="0"/>
              <w:rPr>
                <w:sz w:val="17"/>
                <w:szCs w:val="17"/>
                <w:color w:val="auto"/>
              </w:rPr>
            </w:pPr>
          </w:p>
        </w:tc>
        <w:tc>
          <w:tcPr>
            <w:tcW w:w="1040" w:type="dxa"/>
            <w:vAlign w:val="bottom"/>
            <w:gridSpan w:val="2"/>
            <w:vMerge w:val="continue"/>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gridSpan w:val="2"/>
            <w:vMerge w:val="continue"/>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gridSpan w:val="2"/>
            <w:vMerge w:val="continue"/>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gridSpan w:val="2"/>
            <w:vMerge w:val="continue"/>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71"/>
        </w:trPr>
        <w:tc>
          <w:tcPr>
            <w:tcW w:w="2260" w:type="dxa"/>
            <w:vAlign w:val="bottom"/>
            <w:shd w:val="clear" w:color="auto" w:fill="CCEEFF"/>
          </w:tcPr>
          <w:p>
            <w:pPr>
              <w:ind w:left="20"/>
              <w:spacing w:after="0"/>
              <w:rPr>
                <w:sz w:val="20"/>
                <w:szCs w:val="20"/>
                <w:color w:val="auto"/>
              </w:rPr>
            </w:pPr>
            <w:r>
              <w:rPr>
                <w:rFonts w:ascii="Arial" w:cs="Arial" w:eastAsia="Arial" w:hAnsi="Arial"/>
                <w:sz w:val="14"/>
                <w:szCs w:val="14"/>
                <w:color w:val="auto"/>
              </w:rPr>
              <w:t>Depreciation and amortization</w:t>
            </w:r>
          </w:p>
        </w:tc>
        <w:tc>
          <w:tcPr>
            <w:tcW w:w="120" w:type="dxa"/>
            <w:vAlign w:val="bottom"/>
            <w:shd w:val="clear" w:color="auto" w:fill="CCEEFF"/>
          </w:tcPr>
          <w:p>
            <w:pPr>
              <w:spacing w:after="0"/>
              <w:rPr>
                <w:sz w:val="23"/>
                <w:szCs w:val="23"/>
                <w:color w:val="auto"/>
              </w:rPr>
            </w:pPr>
          </w:p>
        </w:tc>
        <w:tc>
          <w:tcPr>
            <w:tcW w:w="74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17,909</w:t>
            </w: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84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1,607</w:t>
            </w: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b w:val="1"/>
                <w:bCs w:val="1"/>
                <w:color w:val="auto"/>
              </w:rPr>
              <w:t>—</w:t>
            </w:r>
          </w:p>
        </w:tc>
        <w:tc>
          <w:tcPr>
            <w:tcW w:w="120" w:type="dxa"/>
            <w:vAlign w:val="bottom"/>
            <w:shd w:val="clear" w:color="auto" w:fill="CCEEFF"/>
          </w:tcPr>
          <w:p>
            <w:pPr>
              <w:spacing w:after="0"/>
              <w:rPr>
                <w:sz w:val="23"/>
                <w:szCs w:val="23"/>
                <w:color w:val="auto"/>
              </w:rPr>
            </w:pPr>
          </w:p>
        </w:tc>
        <w:tc>
          <w:tcPr>
            <w:tcW w:w="82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3,978</w:t>
            </w: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82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507</w:t>
            </w: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82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783</w:t>
            </w:r>
          </w:p>
        </w:tc>
        <w:tc>
          <w:tcPr>
            <w:tcW w:w="1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b w:val="1"/>
                <w:bCs w:val="1"/>
                <w:color w:val="auto"/>
              </w:rPr>
              <w:t>—</w:t>
            </w:r>
          </w:p>
        </w:tc>
        <w:tc>
          <w:tcPr>
            <w:tcW w:w="200" w:type="dxa"/>
            <w:vAlign w:val="bottom"/>
            <w:shd w:val="clear" w:color="auto" w:fill="CCEEFF"/>
          </w:tcPr>
          <w:p>
            <w:pPr>
              <w:spacing w:after="0"/>
              <w:rPr>
                <w:sz w:val="23"/>
                <w:szCs w:val="23"/>
                <w:color w:val="auto"/>
              </w:rPr>
            </w:pPr>
          </w:p>
        </w:tc>
        <w:tc>
          <w:tcPr>
            <w:tcW w:w="76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24,784</w:t>
            </w:r>
          </w:p>
        </w:tc>
        <w:tc>
          <w:tcPr>
            <w:tcW w:w="0" w:type="dxa"/>
            <w:vAlign w:val="bottom"/>
          </w:tcPr>
          <w:p>
            <w:pPr>
              <w:spacing w:after="0"/>
              <w:rPr>
                <w:sz w:val="1"/>
                <w:szCs w:val="1"/>
                <w:color w:val="auto"/>
              </w:rPr>
            </w:pPr>
          </w:p>
        </w:tc>
      </w:tr>
      <w:tr>
        <w:trPr>
          <w:trHeight w:val="269"/>
        </w:trPr>
        <w:tc>
          <w:tcPr>
            <w:tcW w:w="2260" w:type="dxa"/>
            <w:vAlign w:val="bottom"/>
          </w:tcPr>
          <w:p>
            <w:pPr>
              <w:ind w:left="20"/>
              <w:spacing w:after="0"/>
              <w:rPr>
                <w:sz w:val="20"/>
                <w:szCs w:val="20"/>
                <w:color w:val="auto"/>
              </w:rPr>
            </w:pPr>
            <w:r>
              <w:rPr>
                <w:rFonts w:ascii="Arial" w:cs="Arial" w:eastAsia="Arial" w:hAnsi="Arial"/>
                <w:sz w:val="14"/>
                <w:szCs w:val="14"/>
                <w:color w:val="auto"/>
              </w:rPr>
              <w:t>Interest expense</w:t>
            </w:r>
          </w:p>
        </w:tc>
        <w:tc>
          <w:tcPr>
            <w:tcW w:w="120" w:type="dxa"/>
            <w:vAlign w:val="bottom"/>
          </w:tcPr>
          <w:p>
            <w:pPr>
              <w:spacing w:after="0"/>
              <w:rPr>
                <w:sz w:val="23"/>
                <w:szCs w:val="23"/>
                <w:color w:val="auto"/>
              </w:rPr>
            </w:pPr>
          </w:p>
        </w:tc>
        <w:tc>
          <w:tcPr>
            <w:tcW w:w="740" w:type="dxa"/>
            <w:vAlign w:val="bottom"/>
          </w:tcPr>
          <w:p>
            <w:pPr>
              <w:jc w:val="right"/>
              <w:ind w:right="28"/>
              <w:spacing w:after="0"/>
              <w:rPr>
                <w:sz w:val="20"/>
                <w:szCs w:val="20"/>
                <w:color w:val="auto"/>
              </w:rPr>
            </w:pPr>
            <w:r>
              <w:rPr>
                <w:rFonts w:ascii="Arial" w:cs="Arial" w:eastAsia="Arial" w:hAnsi="Arial"/>
                <w:sz w:val="14"/>
                <w:szCs w:val="14"/>
                <w:b w:val="1"/>
                <w:bCs w:val="1"/>
                <w:color w:val="auto"/>
              </w:rPr>
              <w:t>—</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840" w:type="dxa"/>
            <w:vAlign w:val="bottom"/>
          </w:tcPr>
          <w:p>
            <w:pPr>
              <w:jc w:val="right"/>
              <w:ind w:right="48"/>
              <w:spacing w:after="0"/>
              <w:rPr>
                <w:sz w:val="20"/>
                <w:szCs w:val="20"/>
                <w:color w:val="auto"/>
              </w:rPr>
            </w:pPr>
            <w:r>
              <w:rPr>
                <w:rFonts w:ascii="Arial" w:cs="Arial" w:eastAsia="Arial" w:hAnsi="Arial"/>
                <w:sz w:val="14"/>
                <w:szCs w:val="14"/>
                <w:b w:val="1"/>
                <w:bCs w:val="1"/>
                <w:color w:val="auto"/>
              </w:rPr>
              <w:t>946</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rPr>
              <w:t>—</w:t>
            </w:r>
          </w:p>
        </w:tc>
        <w:tc>
          <w:tcPr>
            <w:tcW w:w="120" w:type="dxa"/>
            <w:vAlign w:val="bottom"/>
          </w:tcPr>
          <w:p>
            <w:pPr>
              <w:spacing w:after="0"/>
              <w:rPr>
                <w:sz w:val="23"/>
                <w:szCs w:val="23"/>
                <w:color w:val="auto"/>
              </w:rPr>
            </w:pPr>
          </w:p>
        </w:tc>
        <w:tc>
          <w:tcPr>
            <w:tcW w:w="820" w:type="dxa"/>
            <w:vAlign w:val="bottom"/>
          </w:tcPr>
          <w:p>
            <w:pPr>
              <w:jc w:val="right"/>
              <w:ind w:right="28"/>
              <w:spacing w:after="0"/>
              <w:rPr>
                <w:sz w:val="20"/>
                <w:szCs w:val="20"/>
                <w:color w:val="auto"/>
              </w:rPr>
            </w:pPr>
            <w:r>
              <w:rPr>
                <w:rFonts w:ascii="Arial" w:cs="Arial" w:eastAsia="Arial" w:hAnsi="Arial"/>
                <w:sz w:val="14"/>
                <w:szCs w:val="14"/>
                <w:b w:val="1"/>
                <w:bCs w:val="1"/>
                <w:color w:val="auto"/>
              </w:rPr>
              <w:t>1,408</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20" w:type="dxa"/>
            <w:vAlign w:val="bottom"/>
          </w:tcPr>
          <w:p>
            <w:pPr>
              <w:jc w:val="right"/>
              <w:ind w:right="48"/>
              <w:spacing w:after="0"/>
              <w:rPr>
                <w:sz w:val="20"/>
                <w:szCs w:val="20"/>
                <w:color w:val="auto"/>
              </w:rPr>
            </w:pPr>
            <w:r>
              <w:rPr>
                <w:rFonts w:ascii="Arial" w:cs="Arial" w:eastAsia="Arial" w:hAnsi="Arial"/>
                <w:sz w:val="14"/>
                <w:szCs w:val="14"/>
                <w:b w:val="1"/>
                <w:bCs w:val="1"/>
                <w:color w:val="auto"/>
              </w:rPr>
              <w:t>264</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20" w:type="dxa"/>
            <w:vAlign w:val="bottom"/>
          </w:tcPr>
          <w:p>
            <w:pPr>
              <w:jc w:val="right"/>
              <w:ind w:right="28"/>
              <w:spacing w:after="0"/>
              <w:rPr>
                <w:sz w:val="20"/>
                <w:szCs w:val="20"/>
                <w:color w:val="auto"/>
              </w:rPr>
            </w:pPr>
            <w:r>
              <w:rPr>
                <w:rFonts w:ascii="Arial" w:cs="Arial" w:eastAsia="Arial" w:hAnsi="Arial"/>
                <w:sz w:val="14"/>
                <w:szCs w:val="14"/>
                <w:b w:val="1"/>
                <w:bCs w:val="1"/>
                <w:color w:val="auto"/>
              </w:rPr>
              <w:t>273</w:t>
            </w: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40" w:type="dxa"/>
            <w:vAlign w:val="bottom"/>
          </w:tcPr>
          <w:p>
            <w:pPr>
              <w:jc w:val="right"/>
              <w:ind w:right="28"/>
              <w:spacing w:after="0"/>
              <w:rPr>
                <w:sz w:val="20"/>
                <w:szCs w:val="20"/>
                <w:color w:val="auto"/>
              </w:rPr>
            </w:pPr>
            <w:r>
              <w:rPr>
                <w:rFonts w:ascii="Arial" w:cs="Arial" w:eastAsia="Arial" w:hAnsi="Arial"/>
                <w:sz w:val="14"/>
                <w:szCs w:val="14"/>
                <w:b w:val="1"/>
                <w:bCs w:val="1"/>
                <w:color w:val="auto"/>
              </w:rPr>
              <w:t>6,023</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60" w:type="dxa"/>
            <w:vAlign w:val="bottom"/>
          </w:tcPr>
          <w:p>
            <w:pPr>
              <w:jc w:val="right"/>
              <w:ind w:right="48"/>
              <w:spacing w:after="0"/>
              <w:rPr>
                <w:sz w:val="20"/>
                <w:szCs w:val="20"/>
                <w:color w:val="auto"/>
              </w:rPr>
            </w:pPr>
            <w:r>
              <w:rPr>
                <w:rFonts w:ascii="Arial" w:cs="Arial" w:eastAsia="Arial" w:hAnsi="Arial"/>
                <w:sz w:val="14"/>
                <w:szCs w:val="14"/>
                <w:b w:val="1"/>
                <w:bCs w:val="1"/>
                <w:color w:val="auto"/>
              </w:rPr>
              <w:t>8,914</w:t>
            </w:r>
          </w:p>
        </w:tc>
        <w:tc>
          <w:tcPr>
            <w:tcW w:w="0" w:type="dxa"/>
            <w:vAlign w:val="bottom"/>
          </w:tcPr>
          <w:p>
            <w:pPr>
              <w:spacing w:after="0"/>
              <w:rPr>
                <w:sz w:val="1"/>
                <w:szCs w:val="1"/>
                <w:color w:val="auto"/>
              </w:rPr>
            </w:pPr>
          </w:p>
        </w:tc>
      </w:tr>
      <w:tr>
        <w:trPr>
          <w:trHeight w:val="250"/>
        </w:trPr>
        <w:tc>
          <w:tcPr>
            <w:tcW w:w="22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Total expenses</w:t>
            </w:r>
          </w:p>
        </w:tc>
        <w:tc>
          <w:tcPr>
            <w:tcW w:w="120" w:type="dxa"/>
            <w:vAlign w:val="bottom"/>
            <w:tcBorders>
              <w:top w:val="single" w:sz="8" w:color="auto"/>
              <w:bottom w:val="single" w:sz="8" w:color="auto"/>
            </w:tcBorders>
            <w:shd w:val="clear" w:color="auto" w:fill="CCEEFF"/>
          </w:tcPr>
          <w:p>
            <w:pPr>
              <w:spacing w:after="0"/>
              <w:rPr>
                <w:sz w:val="21"/>
                <w:szCs w:val="21"/>
                <w:color w:val="auto"/>
              </w:rPr>
            </w:pPr>
          </w:p>
        </w:tc>
        <w:tc>
          <w:tcPr>
            <w:tcW w:w="74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19,621</w:t>
            </w:r>
          </w:p>
        </w:tc>
        <w:tc>
          <w:tcPr>
            <w:tcW w:w="120" w:type="dxa"/>
            <w:vAlign w:val="bottom"/>
            <w:tcBorders>
              <w:top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spacing w:after="0"/>
              <w:rPr>
                <w:sz w:val="21"/>
                <w:szCs w:val="21"/>
                <w:color w:val="auto"/>
              </w:rPr>
            </w:pPr>
          </w:p>
        </w:tc>
        <w:tc>
          <w:tcPr>
            <w:tcW w:w="84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7,656</w:t>
            </w:r>
          </w:p>
        </w:tc>
        <w:tc>
          <w:tcPr>
            <w:tcW w:w="120" w:type="dxa"/>
            <w:vAlign w:val="bottom"/>
            <w:tcBorders>
              <w:top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spacing w:after="0"/>
              <w:rPr>
                <w:sz w:val="21"/>
                <w:szCs w:val="21"/>
                <w:color w:val="auto"/>
              </w:rPr>
            </w:pPr>
          </w:p>
        </w:tc>
        <w:tc>
          <w:tcPr>
            <w:tcW w:w="92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8</w:t>
            </w:r>
          </w:p>
        </w:tc>
        <w:tc>
          <w:tcPr>
            <w:tcW w:w="120" w:type="dxa"/>
            <w:vAlign w:val="bottom"/>
            <w:tcBorders>
              <w:top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spacing w:after="0"/>
              <w:rPr>
                <w:sz w:val="21"/>
                <w:szCs w:val="21"/>
                <w:color w:val="auto"/>
              </w:rPr>
            </w:pPr>
          </w:p>
        </w:tc>
        <w:tc>
          <w:tcPr>
            <w:tcW w:w="82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12,425</w:t>
            </w:r>
          </w:p>
        </w:tc>
        <w:tc>
          <w:tcPr>
            <w:tcW w:w="100" w:type="dxa"/>
            <w:vAlign w:val="bottom"/>
            <w:tcBorders>
              <w:top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spacing w:after="0"/>
              <w:rPr>
                <w:sz w:val="21"/>
                <w:szCs w:val="21"/>
                <w:color w:val="auto"/>
              </w:rPr>
            </w:pPr>
          </w:p>
        </w:tc>
        <w:tc>
          <w:tcPr>
            <w:tcW w:w="82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7,751</w:t>
            </w:r>
          </w:p>
        </w:tc>
        <w:tc>
          <w:tcPr>
            <w:tcW w:w="100" w:type="dxa"/>
            <w:vAlign w:val="bottom"/>
            <w:tcBorders>
              <w:top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spacing w:after="0"/>
              <w:rPr>
                <w:sz w:val="21"/>
                <w:szCs w:val="21"/>
                <w:color w:val="auto"/>
              </w:rPr>
            </w:pPr>
          </w:p>
        </w:tc>
        <w:tc>
          <w:tcPr>
            <w:tcW w:w="82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3,908</w:t>
            </w:r>
          </w:p>
        </w:tc>
        <w:tc>
          <w:tcPr>
            <w:tcW w:w="120" w:type="dxa"/>
            <w:vAlign w:val="bottom"/>
            <w:tcBorders>
              <w:top w:val="single" w:sz="8" w:color="CCEEFF"/>
            </w:tcBorders>
            <w:shd w:val="clear" w:color="auto" w:fill="CCEEFF"/>
          </w:tcPr>
          <w:p>
            <w:pPr>
              <w:spacing w:after="0"/>
              <w:rPr>
                <w:sz w:val="21"/>
                <w:szCs w:val="21"/>
                <w:color w:val="auto"/>
              </w:rPr>
            </w:pPr>
          </w:p>
        </w:tc>
        <w:tc>
          <w:tcPr>
            <w:tcW w:w="100" w:type="dxa"/>
            <w:vAlign w:val="bottom"/>
            <w:tcBorders>
              <w:top w:val="single" w:sz="8" w:color="auto"/>
              <w:bottom w:val="single" w:sz="8" w:color="auto"/>
            </w:tcBorders>
            <w:shd w:val="clear" w:color="auto" w:fill="CCEEFF"/>
          </w:tcPr>
          <w:p>
            <w:pPr>
              <w:spacing w:after="0"/>
              <w:rPr>
                <w:sz w:val="21"/>
                <w:szCs w:val="21"/>
                <w:color w:val="auto"/>
              </w:rPr>
            </w:pPr>
          </w:p>
        </w:tc>
        <w:tc>
          <w:tcPr>
            <w:tcW w:w="84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14,959</w:t>
            </w:r>
          </w:p>
        </w:tc>
        <w:tc>
          <w:tcPr>
            <w:tcW w:w="100" w:type="dxa"/>
            <w:vAlign w:val="bottom"/>
            <w:tcBorders>
              <w:top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spacing w:after="0"/>
              <w:rPr>
                <w:sz w:val="21"/>
                <w:szCs w:val="21"/>
                <w:color w:val="auto"/>
              </w:rPr>
            </w:pPr>
          </w:p>
        </w:tc>
        <w:tc>
          <w:tcPr>
            <w:tcW w:w="76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66,328</w:t>
            </w:r>
          </w:p>
        </w:tc>
        <w:tc>
          <w:tcPr>
            <w:tcW w:w="0" w:type="dxa"/>
            <w:vAlign w:val="bottom"/>
          </w:tcPr>
          <w:p>
            <w:pPr>
              <w:spacing w:after="0"/>
              <w:rPr>
                <w:sz w:val="1"/>
                <w:szCs w:val="1"/>
                <w:color w:val="auto"/>
              </w:rPr>
            </w:pPr>
          </w:p>
        </w:tc>
      </w:tr>
      <w:tr>
        <w:trPr>
          <w:trHeight w:val="319"/>
        </w:trPr>
        <w:tc>
          <w:tcPr>
            <w:tcW w:w="2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226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Other income (expense)</w:t>
            </w:r>
          </w:p>
        </w:tc>
        <w:tc>
          <w:tcPr>
            <w:tcW w:w="120" w:type="dxa"/>
            <w:vAlign w:val="bottom"/>
            <w:shd w:val="clear" w:color="auto" w:fill="CCEEFF"/>
          </w:tcPr>
          <w:p>
            <w:pPr>
              <w:spacing w:after="0"/>
              <w:rPr>
                <w:sz w:val="23"/>
                <w:szCs w:val="23"/>
                <w:color w:val="auto"/>
              </w:rPr>
            </w:pPr>
          </w:p>
        </w:tc>
        <w:tc>
          <w:tcPr>
            <w:tcW w:w="7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8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9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8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8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8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8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76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176"/>
        </w:trPr>
        <w:tc>
          <w:tcPr>
            <w:tcW w:w="2260" w:type="dxa"/>
            <w:vAlign w:val="bottom"/>
          </w:tcPr>
          <w:p>
            <w:pPr>
              <w:ind w:left="20"/>
              <w:spacing w:after="0"/>
              <w:rPr>
                <w:sz w:val="20"/>
                <w:szCs w:val="20"/>
                <w:color w:val="auto"/>
              </w:rPr>
            </w:pPr>
            <w:r>
              <w:rPr>
                <w:rFonts w:ascii="Arial" w:cs="Arial" w:eastAsia="Arial" w:hAnsi="Arial"/>
                <w:sz w:val="14"/>
                <w:szCs w:val="14"/>
                <w:color w:val="auto"/>
              </w:rPr>
              <w:t>Equity in (losses)/earnings of</w:t>
            </w:r>
          </w:p>
        </w:tc>
        <w:tc>
          <w:tcPr>
            <w:tcW w:w="120" w:type="dxa"/>
            <w:vAlign w:val="bottom"/>
          </w:tcPr>
          <w:p>
            <w:pPr>
              <w:spacing w:after="0"/>
              <w:rPr>
                <w:sz w:val="15"/>
                <w:szCs w:val="15"/>
                <w:color w:val="auto"/>
              </w:rPr>
            </w:pPr>
          </w:p>
        </w:tc>
        <w:tc>
          <w:tcPr>
            <w:tcW w:w="74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(203)</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60" w:type="dxa"/>
            <w:vAlign w:val="bottom"/>
            <w:gridSpan w:val="2"/>
            <w:vMerge w:val="restart"/>
          </w:tcPr>
          <w:p>
            <w:pPr>
              <w:jc w:val="right"/>
              <w:ind w:right="240"/>
              <w:spacing w:after="0"/>
              <w:rPr>
                <w:sz w:val="20"/>
                <w:szCs w:val="20"/>
                <w:color w:val="auto"/>
              </w:rPr>
            </w:pPr>
            <w:r>
              <w:rPr>
                <w:rFonts w:ascii="Arial" w:cs="Arial" w:eastAsia="Arial" w:hAnsi="Arial"/>
                <w:sz w:val="14"/>
                <w:szCs w:val="14"/>
                <w:b w:val="1"/>
                <w:bCs w:val="1"/>
                <w:color w:val="auto"/>
              </w:rPr>
              <w:t>—</w:t>
            </w:r>
          </w:p>
        </w:tc>
        <w:tc>
          <w:tcPr>
            <w:tcW w:w="140" w:type="dxa"/>
            <w:vAlign w:val="bottom"/>
          </w:tcPr>
          <w:p>
            <w:pPr>
              <w:spacing w:after="0"/>
              <w:rPr>
                <w:sz w:val="15"/>
                <w:szCs w:val="15"/>
                <w:color w:val="auto"/>
              </w:rPr>
            </w:pPr>
          </w:p>
        </w:tc>
        <w:tc>
          <w:tcPr>
            <w:tcW w:w="920" w:type="dxa"/>
            <w:vAlign w:val="bottom"/>
            <w:vMerge w:val="restart"/>
          </w:tcPr>
          <w:p>
            <w:pPr>
              <w:jc w:val="right"/>
              <w:ind w:right="28"/>
              <w:spacing w:after="0"/>
              <w:rPr>
                <w:sz w:val="20"/>
                <w:szCs w:val="20"/>
                <w:color w:val="auto"/>
              </w:rPr>
            </w:pPr>
            <w:r>
              <w:rPr>
                <w:rFonts w:ascii="Arial" w:cs="Arial" w:eastAsia="Arial" w:hAnsi="Arial"/>
                <w:sz w:val="14"/>
                <w:szCs w:val="14"/>
                <w:b w:val="1"/>
                <w:bCs w:val="1"/>
                <w:color w:val="auto"/>
              </w:rPr>
              <w:t>359</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(24)</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20" w:type="dxa"/>
            <w:vAlign w:val="bottom"/>
            <w:gridSpan w:val="2"/>
            <w:vMerge w:val="restart"/>
          </w:tcPr>
          <w:p>
            <w:pPr>
              <w:jc w:val="right"/>
              <w:ind w:right="220"/>
              <w:spacing w:after="0"/>
              <w:rPr>
                <w:sz w:val="20"/>
                <w:szCs w:val="20"/>
                <w:color w:val="auto"/>
              </w:rPr>
            </w:pPr>
            <w:r>
              <w:rPr>
                <w:rFonts w:ascii="Arial" w:cs="Arial" w:eastAsia="Arial" w:hAnsi="Arial"/>
                <w:sz w:val="14"/>
                <w:szCs w:val="14"/>
                <w:b w:val="1"/>
                <w:bCs w:val="1"/>
                <w:color w:val="auto"/>
              </w:rPr>
              <w:t>—</w:t>
            </w:r>
          </w:p>
        </w:tc>
        <w:tc>
          <w:tcPr>
            <w:tcW w:w="120" w:type="dxa"/>
            <w:vAlign w:val="bottom"/>
          </w:tcPr>
          <w:p>
            <w:pPr>
              <w:spacing w:after="0"/>
              <w:rPr>
                <w:sz w:val="15"/>
                <w:szCs w:val="15"/>
                <w:color w:val="auto"/>
              </w:rPr>
            </w:pPr>
          </w:p>
        </w:tc>
        <w:tc>
          <w:tcPr>
            <w:tcW w:w="940" w:type="dxa"/>
            <w:vAlign w:val="bottom"/>
            <w:gridSpan w:val="2"/>
            <w:vMerge w:val="restart"/>
          </w:tcPr>
          <w:p>
            <w:pPr>
              <w:jc w:val="right"/>
              <w:ind w:right="220"/>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5"/>
                <w:szCs w:val="15"/>
                <w:color w:val="auto"/>
              </w:rPr>
            </w:pPr>
          </w:p>
        </w:tc>
        <w:tc>
          <w:tcPr>
            <w:tcW w:w="940" w:type="dxa"/>
            <w:vAlign w:val="bottom"/>
            <w:gridSpan w:val="2"/>
            <w:vMerge w:val="restart"/>
          </w:tcPr>
          <w:p>
            <w:pPr>
              <w:jc w:val="right"/>
              <w:ind w:right="200"/>
              <w:spacing w:after="0"/>
              <w:rPr>
                <w:sz w:val="20"/>
                <w:szCs w:val="20"/>
                <w:color w:val="auto"/>
              </w:rPr>
            </w:pPr>
            <w:r>
              <w:rPr>
                <w:rFonts w:ascii="Arial" w:cs="Arial" w:eastAsia="Arial" w:hAnsi="Arial"/>
                <w:sz w:val="14"/>
                <w:szCs w:val="14"/>
                <w:b w:val="1"/>
                <w:bCs w:val="1"/>
                <w:color w:val="auto"/>
              </w:rPr>
              <w:t>—</w:t>
            </w:r>
          </w:p>
        </w:tc>
        <w:tc>
          <w:tcPr>
            <w:tcW w:w="200" w:type="dxa"/>
            <w:vAlign w:val="bottom"/>
          </w:tcPr>
          <w:p>
            <w:pPr>
              <w:spacing w:after="0"/>
              <w:rPr>
                <w:sz w:val="15"/>
                <w:szCs w:val="15"/>
                <w:color w:val="auto"/>
              </w:rPr>
            </w:pPr>
          </w:p>
        </w:tc>
        <w:tc>
          <w:tcPr>
            <w:tcW w:w="760" w:type="dxa"/>
            <w:vAlign w:val="bottom"/>
            <w:vMerge w:val="restart"/>
          </w:tcPr>
          <w:p>
            <w:pPr>
              <w:jc w:val="right"/>
              <w:ind w:right="48"/>
              <w:spacing w:after="0"/>
              <w:rPr>
                <w:sz w:val="20"/>
                <w:szCs w:val="20"/>
                <w:color w:val="auto"/>
              </w:rPr>
            </w:pPr>
            <w:r>
              <w:rPr>
                <w:rFonts w:ascii="Arial" w:cs="Arial" w:eastAsia="Arial" w:hAnsi="Arial"/>
                <w:sz w:val="14"/>
                <w:szCs w:val="14"/>
                <w:b w:val="1"/>
                <w:bCs w:val="1"/>
                <w:color w:val="auto"/>
              </w:rPr>
              <w:t>132</w:t>
            </w:r>
          </w:p>
        </w:tc>
        <w:tc>
          <w:tcPr>
            <w:tcW w:w="0" w:type="dxa"/>
            <w:vAlign w:val="bottom"/>
          </w:tcPr>
          <w:p>
            <w:pPr>
              <w:spacing w:after="0"/>
              <w:rPr>
                <w:sz w:val="1"/>
                <w:szCs w:val="1"/>
                <w:color w:val="auto"/>
              </w:rPr>
            </w:pPr>
          </w:p>
        </w:tc>
      </w:tr>
      <w:tr>
        <w:trPr>
          <w:trHeight w:val="201"/>
        </w:trPr>
        <w:tc>
          <w:tcPr>
            <w:tcW w:w="2260" w:type="dxa"/>
            <w:vAlign w:val="bottom"/>
          </w:tcPr>
          <w:p>
            <w:pPr>
              <w:ind w:left="20"/>
              <w:spacing w:after="0"/>
              <w:rPr>
                <w:sz w:val="20"/>
                <w:szCs w:val="20"/>
                <w:color w:val="auto"/>
              </w:rPr>
            </w:pPr>
            <w:r>
              <w:rPr>
                <w:rFonts w:ascii="Arial" w:cs="Arial" w:eastAsia="Arial" w:hAnsi="Arial"/>
                <w:sz w:val="14"/>
                <w:szCs w:val="14"/>
                <w:color w:val="auto"/>
              </w:rPr>
              <w:t>unconsolidated entities</w:t>
            </w:r>
          </w:p>
        </w:tc>
        <w:tc>
          <w:tcPr>
            <w:tcW w:w="120" w:type="dxa"/>
            <w:vAlign w:val="bottom"/>
          </w:tcPr>
          <w:p>
            <w:pPr>
              <w:spacing w:after="0"/>
              <w:rPr>
                <w:sz w:val="17"/>
                <w:szCs w:val="17"/>
                <w:color w:val="auto"/>
              </w:rPr>
            </w:pPr>
          </w:p>
        </w:tc>
        <w:tc>
          <w:tcPr>
            <w:tcW w:w="74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gridSpan w:val="2"/>
            <w:vMerge w:val="continue"/>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gridSpan w:val="2"/>
            <w:vMerge w:val="continue"/>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gridSpan w:val="2"/>
            <w:vMerge w:val="continue"/>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gridSpan w:val="2"/>
            <w:vMerge w:val="continue"/>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7"/>
        </w:trPr>
        <w:tc>
          <w:tcPr>
            <w:tcW w:w="2260" w:type="dxa"/>
            <w:vAlign w:val="bottom"/>
            <w:shd w:val="clear" w:color="auto" w:fill="CCEEFF"/>
          </w:tcPr>
          <w:p>
            <w:pPr>
              <w:ind w:left="20"/>
              <w:spacing w:after="0"/>
              <w:rPr>
                <w:sz w:val="20"/>
                <w:szCs w:val="20"/>
                <w:color w:val="auto"/>
              </w:rPr>
            </w:pPr>
            <w:r>
              <w:rPr>
                <w:rFonts w:ascii="Arial" w:cs="Arial" w:eastAsia="Arial" w:hAnsi="Arial"/>
                <w:sz w:val="14"/>
                <w:szCs w:val="14"/>
                <w:color w:val="auto"/>
              </w:rPr>
              <w:t>Gain (loss) on sale of equipment,</w:t>
            </w:r>
          </w:p>
        </w:tc>
        <w:tc>
          <w:tcPr>
            <w:tcW w:w="120" w:type="dxa"/>
            <w:vAlign w:val="bottom"/>
            <w:shd w:val="clear" w:color="auto" w:fill="CCEEFF"/>
          </w:tcPr>
          <w:p>
            <w:pPr>
              <w:spacing w:after="0"/>
              <w:rPr>
                <w:sz w:val="15"/>
                <w:szCs w:val="15"/>
                <w:color w:val="auto"/>
              </w:rPr>
            </w:pPr>
          </w:p>
        </w:tc>
        <w:tc>
          <w:tcPr>
            <w:tcW w:w="74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2,871</w:t>
            </w: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6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4"/>
                <w:szCs w:val="14"/>
                <w:b w:val="1"/>
                <w:bCs w:val="1"/>
                <w:color w:val="auto"/>
              </w:rPr>
              <w:t>—</w:t>
            </w:r>
          </w:p>
        </w:tc>
        <w:tc>
          <w:tcPr>
            <w:tcW w:w="140" w:type="dxa"/>
            <w:vAlign w:val="bottom"/>
            <w:shd w:val="clear" w:color="auto" w:fill="CCEEFF"/>
          </w:tcPr>
          <w:p>
            <w:pPr>
              <w:spacing w:after="0"/>
              <w:rPr>
                <w:sz w:val="15"/>
                <w:szCs w:val="15"/>
                <w:color w:val="auto"/>
              </w:rPr>
            </w:pPr>
          </w:p>
        </w:tc>
        <w:tc>
          <w:tcPr>
            <w:tcW w:w="104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4"/>
                <w:szCs w:val="14"/>
                <w:b w:val="1"/>
                <w:bCs w:val="1"/>
                <w:color w:val="auto"/>
              </w:rPr>
              <w:t>—</w:t>
            </w:r>
          </w:p>
        </w:tc>
        <w:tc>
          <w:tcPr>
            <w:tcW w:w="120" w:type="dxa"/>
            <w:vAlign w:val="bottom"/>
            <w:shd w:val="clear" w:color="auto" w:fill="CCEEFF"/>
          </w:tcPr>
          <w:p>
            <w:pPr>
              <w:spacing w:after="0"/>
              <w:rPr>
                <w:sz w:val="15"/>
                <w:szCs w:val="15"/>
                <w:color w:val="auto"/>
              </w:rPr>
            </w:pPr>
          </w:p>
        </w:tc>
        <w:tc>
          <w:tcPr>
            <w:tcW w:w="92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4"/>
                <w:szCs w:val="14"/>
                <w:b w:val="1"/>
                <w:bCs w:val="1"/>
                <w:color w:val="auto"/>
              </w:rPr>
              <w:t>—</w:t>
            </w:r>
          </w:p>
        </w:tc>
        <w:tc>
          <w:tcPr>
            <w:tcW w:w="140" w:type="dxa"/>
            <w:vAlign w:val="bottom"/>
            <w:shd w:val="clear" w:color="auto" w:fill="CCEEFF"/>
          </w:tcPr>
          <w:p>
            <w:pPr>
              <w:spacing w:after="0"/>
              <w:rPr>
                <w:sz w:val="15"/>
                <w:szCs w:val="15"/>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4"/>
                <w:szCs w:val="14"/>
                <w:b w:val="1"/>
                <w:bCs w:val="1"/>
                <w:color w:val="auto"/>
              </w:rPr>
              <w:t>(162)</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4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4"/>
                <w:szCs w:val="14"/>
                <w:b w:val="1"/>
                <w:bCs w:val="1"/>
                <w:color w:val="auto"/>
              </w:rPr>
              <w:t>—</w:t>
            </w:r>
          </w:p>
        </w:tc>
        <w:tc>
          <w:tcPr>
            <w:tcW w:w="100" w:type="dxa"/>
            <w:vAlign w:val="bottom"/>
            <w:shd w:val="clear" w:color="auto" w:fill="CCEEFF"/>
          </w:tcPr>
          <w:p>
            <w:pPr>
              <w:spacing w:after="0"/>
              <w:rPr>
                <w:sz w:val="15"/>
                <w:szCs w:val="15"/>
                <w:color w:val="auto"/>
              </w:rPr>
            </w:pPr>
          </w:p>
        </w:tc>
        <w:tc>
          <w:tcPr>
            <w:tcW w:w="94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4"/>
                <w:szCs w:val="14"/>
                <w:b w:val="1"/>
                <w:bCs w:val="1"/>
                <w:color w:val="auto"/>
              </w:rPr>
              <w:t>—</w:t>
            </w:r>
          </w:p>
        </w:tc>
        <w:tc>
          <w:tcPr>
            <w:tcW w:w="200" w:type="dxa"/>
            <w:vAlign w:val="bottom"/>
            <w:shd w:val="clear" w:color="auto" w:fill="CCEEFF"/>
          </w:tcPr>
          <w:p>
            <w:pPr>
              <w:spacing w:after="0"/>
              <w:rPr>
                <w:sz w:val="15"/>
                <w:szCs w:val="15"/>
                <w:color w:val="auto"/>
              </w:rPr>
            </w:pPr>
          </w:p>
        </w:tc>
        <w:tc>
          <w:tcPr>
            <w:tcW w:w="76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2,709</w:t>
            </w:r>
          </w:p>
        </w:tc>
        <w:tc>
          <w:tcPr>
            <w:tcW w:w="0" w:type="dxa"/>
            <w:vAlign w:val="bottom"/>
          </w:tcPr>
          <w:p>
            <w:pPr>
              <w:spacing w:after="0"/>
              <w:rPr>
                <w:sz w:val="1"/>
                <w:szCs w:val="1"/>
                <w:color w:val="auto"/>
              </w:rPr>
            </w:pPr>
          </w:p>
        </w:tc>
      </w:tr>
      <w:tr>
        <w:trPr>
          <w:trHeight w:val="202"/>
        </w:trPr>
        <w:tc>
          <w:tcPr>
            <w:tcW w:w="2260" w:type="dxa"/>
            <w:vAlign w:val="bottom"/>
            <w:shd w:val="clear" w:color="auto" w:fill="CCEEFF"/>
          </w:tcPr>
          <w:p>
            <w:pPr>
              <w:ind w:left="20"/>
              <w:spacing w:after="0"/>
              <w:rPr>
                <w:sz w:val="20"/>
                <w:szCs w:val="20"/>
                <w:color w:val="auto"/>
              </w:rPr>
            </w:pPr>
            <w:r>
              <w:rPr>
                <w:rFonts w:ascii="Arial" w:cs="Arial" w:eastAsia="Arial" w:hAnsi="Arial"/>
                <w:sz w:val="14"/>
                <w:szCs w:val="14"/>
                <w:color w:val="auto"/>
              </w:rPr>
              <w:t>net</w:t>
            </w:r>
          </w:p>
        </w:tc>
        <w:tc>
          <w:tcPr>
            <w:tcW w:w="120" w:type="dxa"/>
            <w:vAlign w:val="bottom"/>
            <w:shd w:val="clear" w:color="auto" w:fill="CCEEFF"/>
          </w:tcPr>
          <w:p>
            <w:pPr>
              <w:spacing w:after="0"/>
              <w:rPr>
                <w:sz w:val="17"/>
                <w:szCs w:val="17"/>
                <w:color w:val="auto"/>
              </w:rPr>
            </w:pPr>
          </w:p>
        </w:tc>
        <w:tc>
          <w:tcPr>
            <w:tcW w:w="740" w:type="dxa"/>
            <w:vAlign w:val="bottom"/>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60" w:type="dxa"/>
            <w:vAlign w:val="bottom"/>
            <w:gridSpan w:val="2"/>
            <w:vMerge w:val="continue"/>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40" w:type="dxa"/>
            <w:vAlign w:val="bottom"/>
            <w:gridSpan w:val="2"/>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20" w:type="dxa"/>
            <w:vAlign w:val="bottom"/>
            <w:gridSpan w:val="2"/>
            <w:vMerge w:val="continue"/>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2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40" w:type="dxa"/>
            <w:vAlign w:val="bottom"/>
            <w:gridSpan w:val="2"/>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40" w:type="dxa"/>
            <w:vAlign w:val="bottom"/>
            <w:gridSpan w:val="2"/>
            <w:vMerge w:val="continue"/>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6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69"/>
        </w:trPr>
        <w:tc>
          <w:tcPr>
            <w:tcW w:w="2260" w:type="dxa"/>
            <w:vAlign w:val="bottom"/>
          </w:tcPr>
          <w:p>
            <w:pPr>
              <w:ind w:left="20"/>
              <w:spacing w:after="0"/>
              <w:rPr>
                <w:sz w:val="20"/>
                <w:szCs w:val="20"/>
                <w:color w:val="auto"/>
              </w:rPr>
            </w:pPr>
            <w:r>
              <w:rPr>
                <w:rFonts w:ascii="Arial" w:cs="Arial" w:eastAsia="Arial" w:hAnsi="Arial"/>
                <w:sz w:val="14"/>
                <w:szCs w:val="14"/>
                <w:color w:val="auto"/>
              </w:rPr>
              <w:t>Loss on extinguishment of debt</w:t>
            </w:r>
          </w:p>
        </w:tc>
        <w:tc>
          <w:tcPr>
            <w:tcW w:w="120" w:type="dxa"/>
            <w:vAlign w:val="bottom"/>
          </w:tcPr>
          <w:p>
            <w:pPr>
              <w:spacing w:after="0"/>
              <w:rPr>
                <w:sz w:val="23"/>
                <w:szCs w:val="23"/>
                <w:color w:val="auto"/>
              </w:rPr>
            </w:pPr>
          </w:p>
        </w:tc>
        <w:tc>
          <w:tcPr>
            <w:tcW w:w="740" w:type="dxa"/>
            <w:vAlign w:val="bottom"/>
          </w:tcPr>
          <w:p>
            <w:pPr>
              <w:jc w:val="right"/>
              <w:ind w:right="28"/>
              <w:spacing w:after="0"/>
              <w:rPr>
                <w:sz w:val="20"/>
                <w:szCs w:val="20"/>
                <w:color w:val="auto"/>
              </w:rPr>
            </w:pPr>
            <w:r>
              <w:rPr>
                <w:rFonts w:ascii="Arial" w:cs="Arial" w:eastAsia="Arial" w:hAnsi="Arial"/>
                <w:sz w:val="14"/>
                <w:szCs w:val="14"/>
                <w:b w:val="1"/>
                <w:bCs w:val="1"/>
                <w:color w:val="auto"/>
              </w:rPr>
              <w:t>—</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96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rPr>
              <w:t>—</w:t>
            </w:r>
          </w:p>
        </w:tc>
        <w:tc>
          <w:tcPr>
            <w:tcW w:w="140" w:type="dxa"/>
            <w:vAlign w:val="bottom"/>
          </w:tcPr>
          <w:p>
            <w:pPr>
              <w:spacing w:after="0"/>
              <w:rPr>
                <w:sz w:val="23"/>
                <w:szCs w:val="23"/>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rPr>
              <w:t>—</w:t>
            </w:r>
          </w:p>
        </w:tc>
        <w:tc>
          <w:tcPr>
            <w:tcW w:w="120" w:type="dxa"/>
            <w:vAlign w:val="bottom"/>
          </w:tcPr>
          <w:p>
            <w:pPr>
              <w:spacing w:after="0"/>
              <w:rPr>
                <w:sz w:val="23"/>
                <w:szCs w:val="23"/>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rPr>
              <w:t>—</w:t>
            </w:r>
          </w:p>
        </w:tc>
        <w:tc>
          <w:tcPr>
            <w:tcW w:w="140" w:type="dxa"/>
            <w:vAlign w:val="bottom"/>
          </w:tcPr>
          <w:p>
            <w:pPr>
              <w:spacing w:after="0"/>
              <w:rPr>
                <w:sz w:val="23"/>
                <w:szCs w:val="23"/>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rPr>
              <w:t>—</w:t>
            </w:r>
          </w:p>
        </w:tc>
        <w:tc>
          <w:tcPr>
            <w:tcW w:w="120" w:type="dxa"/>
            <w:vAlign w:val="bottom"/>
          </w:tcPr>
          <w:p>
            <w:pPr>
              <w:spacing w:after="0"/>
              <w:rPr>
                <w:sz w:val="23"/>
                <w:szCs w:val="23"/>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23"/>
                <w:szCs w:val="23"/>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rPr>
              <w:t>—</w:t>
            </w:r>
          </w:p>
        </w:tc>
        <w:tc>
          <w:tcPr>
            <w:tcW w:w="200" w:type="dxa"/>
            <w:vAlign w:val="bottom"/>
          </w:tcPr>
          <w:p>
            <w:pPr>
              <w:spacing w:after="0"/>
              <w:rPr>
                <w:sz w:val="23"/>
                <w:szCs w:val="23"/>
                <w:color w:val="auto"/>
              </w:rPr>
            </w:pPr>
          </w:p>
        </w:tc>
        <w:tc>
          <w:tcPr>
            <w:tcW w:w="760" w:type="dxa"/>
            <w:vAlign w:val="bottom"/>
          </w:tcPr>
          <w:p>
            <w:pPr>
              <w:jc w:val="right"/>
              <w:ind w:right="48"/>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271"/>
        </w:trPr>
        <w:tc>
          <w:tcPr>
            <w:tcW w:w="2260" w:type="dxa"/>
            <w:vAlign w:val="bottom"/>
            <w:shd w:val="clear" w:color="auto" w:fill="CCEEFF"/>
          </w:tcPr>
          <w:p>
            <w:pPr>
              <w:ind w:left="20"/>
              <w:spacing w:after="0"/>
              <w:rPr>
                <w:sz w:val="20"/>
                <w:szCs w:val="20"/>
                <w:color w:val="auto"/>
              </w:rPr>
            </w:pPr>
            <w:r>
              <w:rPr>
                <w:rFonts w:ascii="Arial" w:cs="Arial" w:eastAsia="Arial" w:hAnsi="Arial"/>
                <w:sz w:val="14"/>
                <w:szCs w:val="14"/>
                <w:color w:val="auto"/>
              </w:rPr>
              <w:t>Interest income</w:t>
            </w:r>
          </w:p>
        </w:tc>
        <w:tc>
          <w:tcPr>
            <w:tcW w:w="120" w:type="dxa"/>
            <w:vAlign w:val="bottom"/>
            <w:shd w:val="clear" w:color="auto" w:fill="CCEEFF"/>
          </w:tcPr>
          <w:p>
            <w:pPr>
              <w:spacing w:after="0"/>
              <w:rPr>
                <w:sz w:val="23"/>
                <w:szCs w:val="23"/>
                <w:color w:val="auto"/>
              </w:rPr>
            </w:pPr>
          </w:p>
        </w:tc>
        <w:tc>
          <w:tcPr>
            <w:tcW w:w="74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51</w:t>
            </w: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84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4</w:t>
            </w: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b w:val="1"/>
                <w:bCs w:val="1"/>
                <w:color w:val="auto"/>
              </w:rPr>
              <w:t>—</w:t>
            </w:r>
          </w:p>
        </w:tc>
        <w:tc>
          <w:tcPr>
            <w:tcW w:w="120" w:type="dxa"/>
            <w:vAlign w:val="bottom"/>
            <w:shd w:val="clear" w:color="auto" w:fill="CCEEFF"/>
          </w:tcPr>
          <w:p>
            <w:pPr>
              <w:spacing w:after="0"/>
              <w:rPr>
                <w:sz w:val="23"/>
                <w:szCs w:val="23"/>
                <w:color w:val="auto"/>
              </w:rPr>
            </w:pPr>
          </w:p>
        </w:tc>
        <w:tc>
          <w:tcPr>
            <w:tcW w:w="82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160</w:t>
            </w: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b w:val="1"/>
                <w:bCs w:val="1"/>
                <w:color w:val="auto"/>
              </w:rPr>
              <w:t>—</w:t>
            </w:r>
          </w:p>
        </w:tc>
        <w:tc>
          <w:tcPr>
            <w:tcW w:w="120" w:type="dxa"/>
            <w:vAlign w:val="bottom"/>
            <w:shd w:val="clear" w:color="auto" w:fill="CCEEFF"/>
          </w:tcPr>
          <w:p>
            <w:pPr>
              <w:spacing w:after="0"/>
              <w:rPr>
                <w:sz w:val="23"/>
                <w:szCs w:val="23"/>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b w:val="1"/>
                <w:bCs w:val="1"/>
                <w:color w:val="auto"/>
              </w:rPr>
              <w:t>—</w:t>
            </w:r>
          </w:p>
        </w:tc>
        <w:tc>
          <w:tcPr>
            <w:tcW w:w="100" w:type="dxa"/>
            <w:vAlign w:val="bottom"/>
            <w:shd w:val="clear" w:color="auto" w:fill="CCEEFF"/>
          </w:tcPr>
          <w:p>
            <w:pPr>
              <w:spacing w:after="0"/>
              <w:rPr>
                <w:sz w:val="23"/>
                <w:szCs w:val="23"/>
                <w:color w:val="auto"/>
              </w:rPr>
            </w:pP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b w:val="1"/>
                <w:bCs w:val="1"/>
                <w:color w:val="auto"/>
              </w:rPr>
              <w:t>—</w:t>
            </w:r>
          </w:p>
        </w:tc>
        <w:tc>
          <w:tcPr>
            <w:tcW w:w="200" w:type="dxa"/>
            <w:vAlign w:val="bottom"/>
            <w:shd w:val="clear" w:color="auto" w:fill="CCEEFF"/>
          </w:tcPr>
          <w:p>
            <w:pPr>
              <w:spacing w:after="0"/>
              <w:rPr>
                <w:sz w:val="23"/>
                <w:szCs w:val="23"/>
                <w:color w:val="auto"/>
              </w:rPr>
            </w:pPr>
          </w:p>
        </w:tc>
        <w:tc>
          <w:tcPr>
            <w:tcW w:w="76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215</w:t>
            </w:r>
          </w:p>
        </w:tc>
        <w:tc>
          <w:tcPr>
            <w:tcW w:w="0" w:type="dxa"/>
            <w:vAlign w:val="bottom"/>
          </w:tcPr>
          <w:p>
            <w:pPr>
              <w:spacing w:after="0"/>
              <w:rPr>
                <w:sz w:val="1"/>
                <w:szCs w:val="1"/>
                <w:color w:val="auto"/>
              </w:rPr>
            </w:pPr>
          </w:p>
        </w:tc>
      </w:tr>
      <w:tr>
        <w:trPr>
          <w:trHeight w:val="269"/>
        </w:trPr>
        <w:tc>
          <w:tcPr>
            <w:tcW w:w="226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Other income</w:t>
            </w:r>
          </w:p>
        </w:tc>
        <w:tc>
          <w:tcPr>
            <w:tcW w:w="120" w:type="dxa"/>
            <w:vAlign w:val="bottom"/>
            <w:tcBorders>
              <w:bottom w:val="single" w:sz="8" w:color="auto"/>
            </w:tcBorders>
          </w:tcPr>
          <w:p>
            <w:pPr>
              <w:spacing w:after="0"/>
              <w:rPr>
                <w:sz w:val="23"/>
                <w:szCs w:val="23"/>
                <w:color w:val="auto"/>
              </w:rPr>
            </w:pPr>
          </w:p>
        </w:tc>
        <w:tc>
          <w:tcPr>
            <w:tcW w:w="7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w:t>
            </w:r>
          </w:p>
        </w:tc>
        <w:tc>
          <w:tcPr>
            <w:tcW w:w="120" w:type="dxa"/>
            <w:vAlign w:val="bottom"/>
            <w:tcBorders>
              <w:bottom w:val="single" w:sz="8" w:color="CCEEFF"/>
            </w:tcBorders>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8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1,093</w:t>
            </w:r>
          </w:p>
        </w:tc>
        <w:tc>
          <w:tcPr>
            <w:tcW w:w="120" w:type="dxa"/>
            <w:vAlign w:val="bottom"/>
            <w:tcBorders>
              <w:bottom w:val="single" w:sz="8" w:color="CCEEFF"/>
            </w:tcBorders>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9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w:t>
            </w:r>
          </w:p>
        </w:tc>
        <w:tc>
          <w:tcPr>
            <w:tcW w:w="120" w:type="dxa"/>
            <w:vAlign w:val="bottom"/>
            <w:tcBorders>
              <w:bottom w:val="single" w:sz="8" w:color="CCEEFF"/>
            </w:tcBorders>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8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1,055</w:t>
            </w:r>
          </w:p>
        </w:tc>
        <w:tc>
          <w:tcPr>
            <w:tcW w:w="100" w:type="dxa"/>
            <w:vAlign w:val="bottom"/>
            <w:tcBorders>
              <w:bottom w:val="single" w:sz="8" w:color="CCEEFF"/>
            </w:tcBorders>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8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w:t>
            </w:r>
          </w:p>
        </w:tc>
        <w:tc>
          <w:tcPr>
            <w:tcW w:w="100" w:type="dxa"/>
            <w:vAlign w:val="bottom"/>
            <w:tcBorders>
              <w:bottom w:val="single" w:sz="8" w:color="CCEEFF"/>
            </w:tcBorders>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8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w:t>
            </w:r>
          </w:p>
        </w:tc>
        <w:tc>
          <w:tcPr>
            <w:tcW w:w="120" w:type="dxa"/>
            <w:vAlign w:val="bottom"/>
            <w:tcBorders>
              <w:bottom w:val="single" w:sz="8" w:color="CCEEFF"/>
            </w:tcBorders>
          </w:tcPr>
          <w:p>
            <w:pPr>
              <w:spacing w:after="0"/>
              <w:rPr>
                <w:sz w:val="23"/>
                <w:szCs w:val="23"/>
                <w:color w:val="auto"/>
              </w:rPr>
            </w:pPr>
          </w:p>
        </w:tc>
        <w:tc>
          <w:tcPr>
            <w:tcW w:w="100" w:type="dxa"/>
            <w:vAlign w:val="bottom"/>
            <w:tcBorders>
              <w:bottom w:val="single" w:sz="8" w:color="auto"/>
            </w:tcBorders>
          </w:tcPr>
          <w:p>
            <w:pPr>
              <w:spacing w:after="0"/>
              <w:rPr>
                <w:sz w:val="23"/>
                <w:szCs w:val="23"/>
                <w:color w:val="auto"/>
              </w:rPr>
            </w:pPr>
          </w:p>
        </w:tc>
        <w:tc>
          <w:tcPr>
            <w:tcW w:w="8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w:t>
            </w:r>
          </w:p>
        </w:tc>
        <w:tc>
          <w:tcPr>
            <w:tcW w:w="100" w:type="dxa"/>
            <w:vAlign w:val="bottom"/>
            <w:tcBorders>
              <w:bottom w:val="single" w:sz="8" w:color="CCEEFF"/>
            </w:tcBorders>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7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2,148</w:t>
            </w:r>
          </w:p>
        </w:tc>
        <w:tc>
          <w:tcPr>
            <w:tcW w:w="0" w:type="dxa"/>
            <w:vAlign w:val="bottom"/>
          </w:tcPr>
          <w:p>
            <w:pPr>
              <w:spacing w:after="0"/>
              <w:rPr>
                <w:sz w:val="1"/>
                <w:szCs w:val="1"/>
                <w:color w:val="auto"/>
              </w:rPr>
            </w:pPr>
          </w:p>
        </w:tc>
      </w:tr>
      <w:tr>
        <w:trPr>
          <w:trHeight w:val="251"/>
        </w:trPr>
        <w:tc>
          <w:tcPr>
            <w:tcW w:w="2260" w:type="dxa"/>
            <w:vAlign w:val="bottom"/>
            <w:shd w:val="clear" w:color="auto" w:fill="CCEEFF"/>
          </w:tcPr>
          <w:p>
            <w:pPr>
              <w:ind w:left="20"/>
              <w:spacing w:after="0"/>
              <w:rPr>
                <w:sz w:val="20"/>
                <w:szCs w:val="20"/>
                <w:color w:val="auto"/>
              </w:rPr>
            </w:pPr>
            <w:r>
              <w:rPr>
                <w:rFonts w:ascii="Arial" w:cs="Arial" w:eastAsia="Arial" w:hAnsi="Arial"/>
                <w:sz w:val="14"/>
                <w:szCs w:val="14"/>
                <w:color w:val="auto"/>
              </w:rPr>
              <w:t>Total other income (expense)</w:t>
            </w:r>
          </w:p>
        </w:tc>
        <w:tc>
          <w:tcPr>
            <w:tcW w:w="120" w:type="dxa"/>
            <w:vAlign w:val="bottom"/>
            <w:shd w:val="clear" w:color="auto" w:fill="CCEEFF"/>
          </w:tcPr>
          <w:p>
            <w:pPr>
              <w:spacing w:after="0"/>
              <w:rPr>
                <w:sz w:val="21"/>
                <w:szCs w:val="21"/>
                <w:color w:val="auto"/>
              </w:rPr>
            </w:pPr>
          </w:p>
        </w:tc>
        <w:tc>
          <w:tcPr>
            <w:tcW w:w="74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2,719</w:t>
            </w: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84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1,097</w:t>
            </w: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92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359</w:t>
            </w: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82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1,191</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(162)</w:t>
            </w: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b w:val="1"/>
                <w:bCs w:val="1"/>
                <w:color w:val="auto"/>
              </w:rPr>
              <w:t>—</w:t>
            </w:r>
          </w:p>
        </w:tc>
        <w:tc>
          <w:tcPr>
            <w:tcW w:w="100" w:type="dxa"/>
            <w:vAlign w:val="bottom"/>
            <w:shd w:val="clear" w:color="auto" w:fill="CCEEFF"/>
          </w:tcPr>
          <w:p>
            <w:pPr>
              <w:spacing w:after="0"/>
              <w:rPr>
                <w:sz w:val="21"/>
                <w:szCs w:val="21"/>
                <w:color w:val="auto"/>
              </w:rPr>
            </w:pP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b w:val="1"/>
                <w:bCs w:val="1"/>
                <w:color w:val="auto"/>
              </w:rPr>
              <w:t>—</w:t>
            </w:r>
          </w:p>
        </w:tc>
        <w:tc>
          <w:tcPr>
            <w:tcW w:w="200" w:type="dxa"/>
            <w:vAlign w:val="bottom"/>
            <w:shd w:val="clear" w:color="auto" w:fill="CCEEFF"/>
          </w:tcPr>
          <w:p>
            <w:pPr>
              <w:spacing w:after="0"/>
              <w:rPr>
                <w:sz w:val="21"/>
                <w:szCs w:val="21"/>
                <w:color w:val="auto"/>
              </w:rPr>
            </w:pPr>
          </w:p>
        </w:tc>
        <w:tc>
          <w:tcPr>
            <w:tcW w:w="76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5,204</w:t>
            </w:r>
          </w:p>
        </w:tc>
        <w:tc>
          <w:tcPr>
            <w:tcW w:w="0" w:type="dxa"/>
            <w:vAlign w:val="bottom"/>
          </w:tcPr>
          <w:p>
            <w:pPr>
              <w:spacing w:after="0"/>
              <w:rPr>
                <w:sz w:val="1"/>
                <w:szCs w:val="1"/>
                <w:color w:val="auto"/>
              </w:rPr>
            </w:pPr>
          </w:p>
        </w:tc>
      </w:tr>
      <w:tr>
        <w:trPr>
          <w:trHeight w:val="154"/>
        </w:trPr>
        <w:tc>
          <w:tcPr>
            <w:tcW w:w="2260" w:type="dxa"/>
            <w:vAlign w:val="bottom"/>
          </w:tcPr>
          <w:p>
            <w:pPr>
              <w:ind w:left="20"/>
              <w:spacing w:after="0" w:line="154" w:lineRule="exact"/>
              <w:rPr>
                <w:sz w:val="20"/>
                <w:szCs w:val="20"/>
                <w:color w:val="auto"/>
              </w:rPr>
            </w:pPr>
            <w:r>
              <w:rPr>
                <w:rFonts w:ascii="Arial" w:cs="Arial" w:eastAsia="Arial" w:hAnsi="Arial"/>
                <w:sz w:val="14"/>
                <w:szCs w:val="14"/>
                <w:b w:val="1"/>
                <w:bCs w:val="1"/>
                <w:color w:val="auto"/>
              </w:rPr>
              <w:t>Income (loss) before income</w:t>
            </w:r>
          </w:p>
        </w:tc>
        <w:tc>
          <w:tcPr>
            <w:tcW w:w="120" w:type="dxa"/>
            <w:vAlign w:val="bottom"/>
            <w:tcBorders>
              <w:top w:val="single" w:sz="8" w:color="auto"/>
            </w:tcBorders>
          </w:tcPr>
          <w:p>
            <w:pPr>
              <w:spacing w:after="0"/>
              <w:rPr>
                <w:sz w:val="13"/>
                <w:szCs w:val="13"/>
                <w:color w:val="auto"/>
              </w:rPr>
            </w:pPr>
          </w:p>
        </w:tc>
        <w:tc>
          <w:tcPr>
            <w:tcW w:w="74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84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92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82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82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82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84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760" w:type="dxa"/>
            <w:vAlign w:val="bottom"/>
            <w:tcBorders>
              <w:top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203"/>
        </w:trPr>
        <w:tc>
          <w:tcPr>
            <w:tcW w:w="2260" w:type="dxa"/>
            <w:vAlign w:val="bottom"/>
          </w:tcPr>
          <w:p>
            <w:pPr>
              <w:ind w:left="20"/>
              <w:spacing w:after="0"/>
              <w:rPr>
                <w:sz w:val="20"/>
                <w:szCs w:val="20"/>
                <w:color w:val="auto"/>
              </w:rPr>
            </w:pPr>
            <w:r>
              <w:rPr>
                <w:rFonts w:ascii="Arial" w:cs="Arial" w:eastAsia="Arial" w:hAnsi="Arial"/>
                <w:sz w:val="14"/>
                <w:szCs w:val="14"/>
                <w:b w:val="1"/>
                <w:bCs w:val="1"/>
                <w:color w:val="auto"/>
              </w:rPr>
              <w:t>taxes</w:t>
            </w:r>
          </w:p>
        </w:tc>
        <w:tc>
          <w:tcPr>
            <w:tcW w:w="120" w:type="dxa"/>
            <w:vAlign w:val="bottom"/>
          </w:tcPr>
          <w:p>
            <w:pPr>
              <w:spacing w:after="0"/>
              <w:rPr>
                <w:sz w:val="17"/>
                <w:szCs w:val="17"/>
                <w:color w:val="auto"/>
              </w:rPr>
            </w:pPr>
          </w:p>
        </w:tc>
        <w:tc>
          <w:tcPr>
            <w:tcW w:w="740" w:type="dxa"/>
            <w:vAlign w:val="bottom"/>
          </w:tcPr>
          <w:p>
            <w:pPr>
              <w:jc w:val="right"/>
              <w:ind w:right="28"/>
              <w:spacing w:after="0"/>
              <w:rPr>
                <w:sz w:val="20"/>
                <w:szCs w:val="20"/>
                <w:color w:val="auto"/>
              </w:rPr>
            </w:pPr>
            <w:r>
              <w:rPr>
                <w:rFonts w:ascii="Arial" w:cs="Arial" w:eastAsia="Arial" w:hAnsi="Arial"/>
                <w:sz w:val="14"/>
                <w:szCs w:val="14"/>
                <w:b w:val="1"/>
                <w:bCs w:val="1"/>
                <w:color w:val="auto"/>
              </w:rPr>
              <w:t>26,572</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jc w:val="right"/>
              <w:ind w:right="8"/>
              <w:spacing w:after="0"/>
              <w:rPr>
                <w:sz w:val="20"/>
                <w:szCs w:val="20"/>
                <w:color w:val="auto"/>
              </w:rPr>
            </w:pPr>
            <w:r>
              <w:rPr>
                <w:rFonts w:ascii="Arial" w:cs="Arial" w:eastAsia="Arial" w:hAnsi="Arial"/>
                <w:sz w:val="14"/>
                <w:szCs w:val="14"/>
                <w:b w:val="1"/>
                <w:bCs w:val="1"/>
                <w:color w:val="auto"/>
              </w:rPr>
              <w:t>(442)</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tcPr>
          <w:p>
            <w:pPr>
              <w:jc w:val="right"/>
              <w:ind w:right="28"/>
              <w:spacing w:after="0"/>
              <w:rPr>
                <w:sz w:val="20"/>
                <w:szCs w:val="20"/>
                <w:color w:val="auto"/>
              </w:rPr>
            </w:pPr>
            <w:r>
              <w:rPr>
                <w:rFonts w:ascii="Arial" w:cs="Arial" w:eastAsia="Arial" w:hAnsi="Arial"/>
                <w:sz w:val="14"/>
                <w:szCs w:val="14"/>
                <w:b w:val="1"/>
                <w:bCs w:val="1"/>
                <w:color w:val="auto"/>
              </w:rPr>
              <w:t>376</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4"/>
                <w:szCs w:val="14"/>
                <w:b w:val="1"/>
                <w:bCs w:val="1"/>
                <w:color w:val="auto"/>
              </w:rPr>
              <w:t>(9,504)</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tcPr>
          <w:p>
            <w:pPr>
              <w:jc w:val="right"/>
              <w:ind w:right="48"/>
              <w:spacing w:after="0"/>
              <w:rPr>
                <w:sz w:val="20"/>
                <w:szCs w:val="20"/>
                <w:color w:val="auto"/>
              </w:rPr>
            </w:pPr>
            <w:r>
              <w:rPr>
                <w:rFonts w:ascii="Arial" w:cs="Arial" w:eastAsia="Arial" w:hAnsi="Arial"/>
                <w:sz w:val="14"/>
                <w:szCs w:val="14"/>
                <w:b w:val="1"/>
                <w:bCs w:val="1"/>
                <w:color w:val="auto"/>
              </w:rPr>
              <w:t>345</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4"/>
                <w:szCs w:val="14"/>
                <w:b w:val="1"/>
                <w:bCs w:val="1"/>
                <w:color w:val="auto"/>
              </w:rPr>
              <w:t>(3,150)</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4"/>
                <w:szCs w:val="14"/>
                <w:b w:val="1"/>
                <w:bCs w:val="1"/>
                <w:color w:val="auto"/>
              </w:rPr>
              <w:t>(14,959)</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4"/>
                <w:szCs w:val="14"/>
                <w:b w:val="1"/>
                <w:bCs w:val="1"/>
                <w:color w:val="auto"/>
              </w:rPr>
              <w:t>(762)</w:t>
            </w:r>
          </w:p>
        </w:tc>
        <w:tc>
          <w:tcPr>
            <w:tcW w:w="0" w:type="dxa"/>
            <w:vAlign w:val="bottom"/>
          </w:tcPr>
          <w:p>
            <w:pPr>
              <w:spacing w:after="0"/>
              <w:rPr>
                <w:sz w:val="1"/>
                <w:szCs w:val="1"/>
                <w:color w:val="auto"/>
              </w:rPr>
            </w:pPr>
          </w:p>
        </w:tc>
      </w:tr>
      <w:tr>
        <w:trPr>
          <w:trHeight w:val="177"/>
        </w:trPr>
        <w:tc>
          <w:tcPr>
            <w:tcW w:w="2260" w:type="dxa"/>
            <w:vAlign w:val="bottom"/>
            <w:shd w:val="clear" w:color="auto" w:fill="CCEEFF"/>
          </w:tcPr>
          <w:p>
            <w:pPr>
              <w:ind w:left="20"/>
              <w:spacing w:after="0"/>
              <w:rPr>
                <w:sz w:val="20"/>
                <w:szCs w:val="20"/>
                <w:color w:val="auto"/>
              </w:rPr>
            </w:pPr>
            <w:r>
              <w:rPr>
                <w:rFonts w:ascii="Arial" w:cs="Arial" w:eastAsia="Arial" w:hAnsi="Arial"/>
                <w:sz w:val="14"/>
                <w:szCs w:val="14"/>
                <w:color w:val="auto"/>
              </w:rPr>
              <w:t>Provision for (benefit from) income</w:t>
            </w:r>
          </w:p>
        </w:tc>
        <w:tc>
          <w:tcPr>
            <w:tcW w:w="120" w:type="dxa"/>
            <w:vAlign w:val="bottom"/>
            <w:shd w:val="clear" w:color="auto" w:fill="CCEEFF"/>
          </w:tcPr>
          <w:p>
            <w:pPr>
              <w:spacing w:after="0"/>
              <w:rPr>
                <w:sz w:val="15"/>
                <w:szCs w:val="15"/>
                <w:color w:val="auto"/>
              </w:rPr>
            </w:pPr>
          </w:p>
        </w:tc>
        <w:tc>
          <w:tcPr>
            <w:tcW w:w="74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927</w:t>
            </w: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4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(5)</w:t>
            </w: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4"/>
                <w:szCs w:val="14"/>
                <w:b w:val="1"/>
                <w:bCs w:val="1"/>
                <w:color w:val="auto"/>
              </w:rPr>
              <w:t>(10)</w:t>
            </w: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4"/>
                <w:szCs w:val="14"/>
                <w:b w:val="1"/>
                <w:bCs w:val="1"/>
                <w:color w:val="auto"/>
              </w:rPr>
              <w:t>(3)</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2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4"/>
                <w:szCs w:val="14"/>
                <w:b w:val="1"/>
                <w:bCs w:val="1"/>
                <w:color w:val="auto"/>
              </w:rPr>
              <w:t>—</w:t>
            </w:r>
          </w:p>
        </w:tc>
        <w:tc>
          <w:tcPr>
            <w:tcW w:w="120" w:type="dxa"/>
            <w:vAlign w:val="bottom"/>
            <w:shd w:val="clear" w:color="auto" w:fill="CCEEFF"/>
          </w:tcPr>
          <w:p>
            <w:pPr>
              <w:spacing w:after="0"/>
              <w:rPr>
                <w:sz w:val="15"/>
                <w:szCs w:val="15"/>
                <w:color w:val="auto"/>
              </w:rPr>
            </w:pPr>
          </w:p>
        </w:tc>
        <w:tc>
          <w:tcPr>
            <w:tcW w:w="94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4"/>
                <w:szCs w:val="14"/>
                <w:b w:val="1"/>
                <w:bCs w:val="1"/>
                <w:color w:val="auto"/>
              </w:rPr>
              <w:t>—</w:t>
            </w:r>
          </w:p>
        </w:tc>
        <w:tc>
          <w:tcPr>
            <w:tcW w:w="100" w:type="dxa"/>
            <w:vAlign w:val="bottom"/>
            <w:shd w:val="clear" w:color="auto" w:fill="CCEEFF"/>
          </w:tcPr>
          <w:p>
            <w:pPr>
              <w:spacing w:after="0"/>
              <w:rPr>
                <w:sz w:val="15"/>
                <w:szCs w:val="15"/>
                <w:color w:val="auto"/>
              </w:rPr>
            </w:pPr>
          </w:p>
        </w:tc>
        <w:tc>
          <w:tcPr>
            <w:tcW w:w="94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4"/>
                <w:szCs w:val="14"/>
                <w:b w:val="1"/>
                <w:bCs w:val="1"/>
                <w:color w:val="auto"/>
              </w:rPr>
              <w:t>—</w:t>
            </w:r>
          </w:p>
        </w:tc>
        <w:tc>
          <w:tcPr>
            <w:tcW w:w="200" w:type="dxa"/>
            <w:vAlign w:val="bottom"/>
            <w:shd w:val="clear" w:color="auto" w:fill="CCEEFF"/>
          </w:tcPr>
          <w:p>
            <w:pPr>
              <w:spacing w:after="0"/>
              <w:rPr>
                <w:sz w:val="15"/>
                <w:szCs w:val="15"/>
                <w:color w:val="auto"/>
              </w:rPr>
            </w:pPr>
          </w:p>
        </w:tc>
        <w:tc>
          <w:tcPr>
            <w:tcW w:w="76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909</w:t>
            </w:r>
          </w:p>
        </w:tc>
        <w:tc>
          <w:tcPr>
            <w:tcW w:w="0" w:type="dxa"/>
            <w:vAlign w:val="bottom"/>
          </w:tcPr>
          <w:p>
            <w:pPr>
              <w:spacing w:after="0"/>
              <w:rPr>
                <w:sz w:val="1"/>
                <w:szCs w:val="1"/>
                <w:color w:val="auto"/>
              </w:rPr>
            </w:pPr>
          </w:p>
        </w:tc>
      </w:tr>
      <w:tr>
        <w:trPr>
          <w:trHeight w:val="201"/>
        </w:trPr>
        <w:tc>
          <w:tcPr>
            <w:tcW w:w="2260" w:type="dxa"/>
            <w:vAlign w:val="bottom"/>
            <w:shd w:val="clear" w:color="auto" w:fill="CCEEFF"/>
          </w:tcPr>
          <w:p>
            <w:pPr>
              <w:ind w:left="20"/>
              <w:spacing w:after="0"/>
              <w:rPr>
                <w:sz w:val="20"/>
                <w:szCs w:val="20"/>
                <w:color w:val="auto"/>
              </w:rPr>
            </w:pPr>
            <w:r>
              <w:rPr>
                <w:rFonts w:ascii="Arial" w:cs="Arial" w:eastAsia="Arial" w:hAnsi="Arial"/>
                <w:sz w:val="14"/>
                <w:szCs w:val="14"/>
                <w:color w:val="auto"/>
              </w:rPr>
              <w:t>taxes</w:t>
            </w:r>
          </w:p>
        </w:tc>
        <w:tc>
          <w:tcPr>
            <w:tcW w:w="120" w:type="dxa"/>
            <w:vAlign w:val="bottom"/>
            <w:shd w:val="clear" w:color="auto" w:fill="CCEEFF"/>
          </w:tcPr>
          <w:p>
            <w:pPr>
              <w:spacing w:after="0"/>
              <w:rPr>
                <w:sz w:val="17"/>
                <w:szCs w:val="17"/>
                <w:color w:val="auto"/>
              </w:rPr>
            </w:pPr>
          </w:p>
        </w:tc>
        <w:tc>
          <w:tcPr>
            <w:tcW w:w="740" w:type="dxa"/>
            <w:vAlign w:val="bottom"/>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40" w:type="dxa"/>
            <w:vAlign w:val="bottom"/>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20" w:type="dxa"/>
            <w:vAlign w:val="bottom"/>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20" w:type="dxa"/>
            <w:vAlign w:val="bottom"/>
            <w:gridSpan w:val="2"/>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40" w:type="dxa"/>
            <w:vAlign w:val="bottom"/>
            <w:gridSpan w:val="2"/>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40" w:type="dxa"/>
            <w:vAlign w:val="bottom"/>
            <w:gridSpan w:val="2"/>
            <w:vMerge w:val="continue"/>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6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226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Net income (loss)</w:t>
            </w:r>
          </w:p>
        </w:tc>
        <w:tc>
          <w:tcPr>
            <w:tcW w:w="120" w:type="dxa"/>
            <w:vAlign w:val="bottom"/>
            <w:tcBorders>
              <w:top w:val="single" w:sz="8" w:color="auto"/>
              <w:bottom w:val="single" w:sz="8" w:color="auto"/>
            </w:tcBorders>
          </w:tcPr>
          <w:p>
            <w:pPr>
              <w:spacing w:after="0"/>
              <w:rPr>
                <w:sz w:val="21"/>
                <w:szCs w:val="21"/>
                <w:color w:val="auto"/>
              </w:rPr>
            </w:pPr>
          </w:p>
        </w:tc>
        <w:tc>
          <w:tcPr>
            <w:tcW w:w="74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25,645</w:t>
            </w:r>
          </w:p>
        </w:tc>
        <w:tc>
          <w:tcPr>
            <w:tcW w:w="120" w:type="dxa"/>
            <w:vAlign w:val="bottom"/>
            <w:tcBorders>
              <w:bottom w:val="single" w:sz="8" w:color="CCEEFF"/>
            </w:tcBorders>
          </w:tcPr>
          <w:p>
            <w:pPr>
              <w:spacing w:after="0"/>
              <w:rPr>
                <w:sz w:val="21"/>
                <w:szCs w:val="21"/>
                <w:color w:val="auto"/>
              </w:rPr>
            </w:pPr>
          </w:p>
        </w:tc>
        <w:tc>
          <w:tcPr>
            <w:tcW w:w="160" w:type="dxa"/>
            <w:vAlign w:val="bottom"/>
            <w:tcBorders>
              <w:top w:val="single" w:sz="8" w:color="auto"/>
              <w:bottom w:val="single" w:sz="8" w:color="auto"/>
            </w:tcBorders>
          </w:tcPr>
          <w:p>
            <w:pPr>
              <w:spacing w:after="0"/>
              <w:rPr>
                <w:sz w:val="21"/>
                <w:szCs w:val="21"/>
                <w:color w:val="auto"/>
              </w:rPr>
            </w:pPr>
          </w:p>
        </w:tc>
        <w:tc>
          <w:tcPr>
            <w:tcW w:w="84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(437)</w:t>
            </w:r>
          </w:p>
        </w:tc>
        <w:tc>
          <w:tcPr>
            <w:tcW w:w="120" w:type="dxa"/>
            <w:vAlign w:val="bottom"/>
            <w:tcBorders>
              <w:bottom w:val="single" w:sz="8" w:color="CCEEFF"/>
            </w:tcBorders>
          </w:tcPr>
          <w:p>
            <w:pPr>
              <w:spacing w:after="0"/>
              <w:rPr>
                <w:sz w:val="21"/>
                <w:szCs w:val="21"/>
                <w:color w:val="auto"/>
              </w:rPr>
            </w:pPr>
          </w:p>
        </w:tc>
        <w:tc>
          <w:tcPr>
            <w:tcW w:w="140" w:type="dxa"/>
            <w:vAlign w:val="bottom"/>
            <w:tcBorders>
              <w:top w:val="single" w:sz="8" w:color="auto"/>
              <w:bottom w:val="single" w:sz="8" w:color="auto"/>
            </w:tcBorders>
          </w:tcPr>
          <w:p>
            <w:pPr>
              <w:spacing w:after="0"/>
              <w:rPr>
                <w:sz w:val="21"/>
                <w:szCs w:val="21"/>
                <w:color w:val="auto"/>
              </w:rPr>
            </w:pPr>
          </w:p>
        </w:tc>
        <w:tc>
          <w:tcPr>
            <w:tcW w:w="92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386</w:t>
            </w:r>
          </w:p>
        </w:tc>
        <w:tc>
          <w:tcPr>
            <w:tcW w:w="120" w:type="dxa"/>
            <w:vAlign w:val="bottom"/>
            <w:tcBorders>
              <w:bottom w:val="single" w:sz="8" w:color="CCEEFF"/>
            </w:tcBorders>
          </w:tcPr>
          <w:p>
            <w:pPr>
              <w:spacing w:after="0"/>
              <w:rPr>
                <w:sz w:val="21"/>
                <w:szCs w:val="21"/>
                <w:color w:val="auto"/>
              </w:rPr>
            </w:pPr>
          </w:p>
        </w:tc>
        <w:tc>
          <w:tcPr>
            <w:tcW w:w="120" w:type="dxa"/>
            <w:vAlign w:val="bottom"/>
            <w:tcBorders>
              <w:top w:val="single" w:sz="8" w:color="auto"/>
              <w:bottom w:val="single" w:sz="8" w:color="auto"/>
            </w:tcBorders>
          </w:tcPr>
          <w:p>
            <w:pPr>
              <w:spacing w:after="0"/>
              <w:rPr>
                <w:sz w:val="21"/>
                <w:szCs w:val="21"/>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(9,501)</w:t>
            </w:r>
          </w:p>
        </w:tc>
        <w:tc>
          <w:tcPr>
            <w:tcW w:w="100" w:type="dxa"/>
            <w:vAlign w:val="bottom"/>
            <w:tcBorders>
              <w:bottom w:val="single" w:sz="8" w:color="CCEEFF"/>
            </w:tcBorders>
          </w:tcPr>
          <w:p>
            <w:pPr>
              <w:spacing w:after="0"/>
              <w:rPr>
                <w:sz w:val="21"/>
                <w:szCs w:val="21"/>
                <w:color w:val="auto"/>
              </w:rPr>
            </w:pPr>
          </w:p>
        </w:tc>
        <w:tc>
          <w:tcPr>
            <w:tcW w:w="140" w:type="dxa"/>
            <w:vAlign w:val="bottom"/>
            <w:tcBorders>
              <w:top w:val="single" w:sz="8" w:color="auto"/>
              <w:bottom w:val="single" w:sz="8" w:color="auto"/>
            </w:tcBorders>
          </w:tcPr>
          <w:p>
            <w:pPr>
              <w:spacing w:after="0"/>
              <w:rPr>
                <w:sz w:val="21"/>
                <w:szCs w:val="21"/>
                <w:color w:val="auto"/>
              </w:rPr>
            </w:pPr>
          </w:p>
        </w:tc>
        <w:tc>
          <w:tcPr>
            <w:tcW w:w="82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345</w:t>
            </w:r>
          </w:p>
        </w:tc>
        <w:tc>
          <w:tcPr>
            <w:tcW w:w="100" w:type="dxa"/>
            <w:vAlign w:val="bottom"/>
            <w:tcBorders>
              <w:bottom w:val="single" w:sz="8" w:color="CCEEFF"/>
            </w:tcBorders>
          </w:tcPr>
          <w:p>
            <w:pPr>
              <w:spacing w:after="0"/>
              <w:rPr>
                <w:sz w:val="21"/>
                <w:szCs w:val="21"/>
                <w:color w:val="auto"/>
              </w:rPr>
            </w:pPr>
          </w:p>
        </w:tc>
        <w:tc>
          <w:tcPr>
            <w:tcW w:w="120" w:type="dxa"/>
            <w:vAlign w:val="bottom"/>
            <w:tcBorders>
              <w:top w:val="single" w:sz="8" w:color="auto"/>
              <w:bottom w:val="single" w:sz="8" w:color="auto"/>
            </w:tcBorders>
          </w:tcPr>
          <w:p>
            <w:pPr>
              <w:spacing w:after="0"/>
              <w:rPr>
                <w:sz w:val="21"/>
                <w:szCs w:val="21"/>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(3,150)</w:t>
            </w:r>
          </w:p>
        </w:tc>
        <w:tc>
          <w:tcPr>
            <w:tcW w:w="120" w:type="dxa"/>
            <w:vAlign w:val="bottom"/>
            <w:tcBorders>
              <w:bottom w:val="single" w:sz="8" w:color="CCEEFF"/>
            </w:tcBorders>
          </w:tcPr>
          <w:p>
            <w:pPr>
              <w:spacing w:after="0"/>
              <w:rPr>
                <w:sz w:val="21"/>
                <w:szCs w:val="21"/>
                <w:color w:val="auto"/>
              </w:rPr>
            </w:pPr>
          </w:p>
        </w:tc>
        <w:tc>
          <w:tcPr>
            <w:tcW w:w="100" w:type="dxa"/>
            <w:vAlign w:val="bottom"/>
            <w:tcBorders>
              <w:top w:val="single" w:sz="8" w:color="auto"/>
              <w:bottom w:val="single" w:sz="8" w:color="auto"/>
            </w:tcBorders>
          </w:tcPr>
          <w:p>
            <w:pPr>
              <w:spacing w:after="0"/>
              <w:rPr>
                <w:sz w:val="21"/>
                <w:szCs w:val="21"/>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(14,959)</w:t>
            </w:r>
          </w:p>
        </w:tc>
        <w:tc>
          <w:tcPr>
            <w:tcW w:w="100" w:type="dxa"/>
            <w:vAlign w:val="bottom"/>
            <w:tcBorders>
              <w:bottom w:val="single" w:sz="8" w:color="CCEEFF"/>
            </w:tcBorders>
          </w:tcPr>
          <w:p>
            <w:pPr>
              <w:spacing w:after="0"/>
              <w:rPr>
                <w:sz w:val="21"/>
                <w:szCs w:val="21"/>
                <w:color w:val="auto"/>
              </w:rPr>
            </w:pPr>
          </w:p>
        </w:tc>
        <w:tc>
          <w:tcPr>
            <w:tcW w:w="200" w:type="dxa"/>
            <w:vAlign w:val="bottom"/>
            <w:tcBorders>
              <w:top w:val="single" w:sz="8" w:color="auto"/>
              <w:bottom w:val="single" w:sz="8" w:color="auto"/>
            </w:tcBorders>
          </w:tcPr>
          <w:p>
            <w:pPr>
              <w:spacing w:after="0"/>
              <w:rPr>
                <w:sz w:val="21"/>
                <w:szCs w:val="21"/>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(1,671)</w:t>
            </w:r>
          </w:p>
        </w:tc>
        <w:tc>
          <w:tcPr>
            <w:tcW w:w="0" w:type="dxa"/>
            <w:vAlign w:val="bottom"/>
          </w:tcPr>
          <w:p>
            <w:pPr>
              <w:spacing w:after="0"/>
              <w:rPr>
                <w:sz w:val="1"/>
                <w:szCs w:val="1"/>
                <w:color w:val="auto"/>
              </w:rPr>
            </w:pPr>
          </w:p>
        </w:tc>
      </w:tr>
      <w:tr>
        <w:trPr>
          <w:trHeight w:val="157"/>
        </w:trPr>
        <w:tc>
          <w:tcPr>
            <w:tcW w:w="2260" w:type="dxa"/>
            <w:vAlign w:val="bottom"/>
            <w:shd w:val="clear" w:color="auto" w:fill="CCEEFF"/>
          </w:tcPr>
          <w:p>
            <w:pPr>
              <w:ind w:left="20"/>
              <w:spacing w:after="0" w:line="157" w:lineRule="exact"/>
              <w:rPr>
                <w:sz w:val="20"/>
                <w:szCs w:val="20"/>
                <w:color w:val="auto"/>
              </w:rPr>
            </w:pPr>
            <w:r>
              <w:rPr>
                <w:rFonts w:ascii="Arial" w:cs="Arial" w:eastAsia="Arial" w:hAnsi="Arial"/>
                <w:sz w:val="14"/>
                <w:szCs w:val="14"/>
                <w:color w:val="auto"/>
              </w:rPr>
              <w:t>Less: Net income (loss)</w:t>
            </w:r>
          </w:p>
        </w:tc>
        <w:tc>
          <w:tcPr>
            <w:tcW w:w="12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260" w:type="dxa"/>
            <w:vAlign w:val="bottom"/>
            <w:shd w:val="clear" w:color="auto" w:fill="CCEEFF"/>
          </w:tcPr>
          <w:p>
            <w:pPr>
              <w:ind w:left="20"/>
              <w:spacing w:after="0"/>
              <w:rPr>
                <w:sz w:val="20"/>
                <w:szCs w:val="20"/>
                <w:color w:val="auto"/>
              </w:rPr>
            </w:pPr>
            <w:r>
              <w:rPr>
                <w:rFonts w:ascii="Arial" w:cs="Arial" w:eastAsia="Arial" w:hAnsi="Arial"/>
                <w:sz w:val="14"/>
                <w:szCs w:val="14"/>
                <w:color w:val="auto"/>
              </w:rPr>
              <w:t>attributable to non-controlling</w:t>
            </w:r>
          </w:p>
        </w:tc>
        <w:tc>
          <w:tcPr>
            <w:tcW w:w="12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260" w:type="dxa"/>
            <w:vAlign w:val="bottom"/>
            <w:shd w:val="clear" w:color="auto" w:fill="CCEEFF"/>
          </w:tcPr>
          <w:p>
            <w:pPr>
              <w:ind w:left="20"/>
              <w:spacing w:after="0"/>
              <w:rPr>
                <w:sz w:val="20"/>
                <w:szCs w:val="20"/>
                <w:color w:val="auto"/>
              </w:rPr>
            </w:pPr>
            <w:r>
              <w:rPr>
                <w:rFonts w:ascii="Arial" w:cs="Arial" w:eastAsia="Arial" w:hAnsi="Arial"/>
                <w:sz w:val="14"/>
                <w:szCs w:val="14"/>
                <w:color w:val="auto"/>
              </w:rPr>
              <w:t>interests in consolidated</w:t>
            </w:r>
          </w:p>
        </w:tc>
        <w:tc>
          <w:tcPr>
            <w:tcW w:w="120" w:type="dxa"/>
            <w:vAlign w:val="bottom"/>
            <w:shd w:val="clear" w:color="auto" w:fill="CCEEFF"/>
          </w:tcPr>
          <w:p>
            <w:pPr>
              <w:spacing w:after="0"/>
              <w:rPr>
                <w:sz w:val="14"/>
                <w:szCs w:val="14"/>
                <w:color w:val="auto"/>
              </w:rPr>
            </w:pPr>
          </w:p>
        </w:tc>
        <w:tc>
          <w:tcPr>
            <w:tcW w:w="74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303</w:t>
            </w: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4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(62)</w:t>
            </w: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2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w:t>
            </w:r>
          </w:p>
        </w:tc>
        <w:tc>
          <w:tcPr>
            <w:tcW w:w="120" w:type="dxa"/>
            <w:vAlign w:val="bottom"/>
            <w:vMerge w:val="restart"/>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4"/>
                <w:szCs w:val="14"/>
                <w:b w:val="1"/>
                <w:bCs w:val="1"/>
                <w:color w:val="auto"/>
              </w:rPr>
              <w:t>(4,806)</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4"/>
                <w:szCs w:val="14"/>
                <w:b w:val="1"/>
                <w:bCs w:val="1"/>
                <w:color w:val="auto"/>
              </w:rPr>
              <w:t>(104)</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2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w:t>
            </w:r>
          </w:p>
        </w:tc>
        <w:tc>
          <w:tcPr>
            <w:tcW w:w="120" w:type="dxa"/>
            <w:vAlign w:val="bottom"/>
            <w:vMerge w:val="restart"/>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4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w:t>
            </w:r>
          </w:p>
        </w:tc>
        <w:tc>
          <w:tcPr>
            <w:tcW w:w="100" w:type="dxa"/>
            <w:vAlign w:val="bottom"/>
            <w:vMerge w:val="restart"/>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4"/>
                <w:szCs w:val="14"/>
                <w:b w:val="1"/>
                <w:bCs w:val="1"/>
                <w:color w:val="auto"/>
              </w:rPr>
              <w:t>(4,669)</w:t>
            </w:r>
          </w:p>
        </w:tc>
        <w:tc>
          <w:tcPr>
            <w:tcW w:w="0" w:type="dxa"/>
            <w:vAlign w:val="bottom"/>
          </w:tcPr>
          <w:p>
            <w:pPr>
              <w:spacing w:after="0"/>
              <w:rPr>
                <w:sz w:val="1"/>
                <w:szCs w:val="1"/>
                <w:color w:val="auto"/>
              </w:rPr>
            </w:pPr>
          </w:p>
        </w:tc>
      </w:tr>
      <w:tr>
        <w:trPr>
          <w:trHeight w:val="202"/>
        </w:trPr>
        <w:tc>
          <w:tcPr>
            <w:tcW w:w="2260" w:type="dxa"/>
            <w:vAlign w:val="bottom"/>
            <w:shd w:val="clear" w:color="auto" w:fill="CCEEFF"/>
          </w:tcPr>
          <w:p>
            <w:pPr>
              <w:ind w:left="20"/>
              <w:spacing w:after="0"/>
              <w:rPr>
                <w:sz w:val="20"/>
                <w:szCs w:val="20"/>
                <w:color w:val="auto"/>
              </w:rPr>
            </w:pPr>
            <w:r>
              <w:rPr>
                <w:rFonts w:ascii="Arial" w:cs="Arial" w:eastAsia="Arial" w:hAnsi="Arial"/>
                <w:sz w:val="14"/>
                <w:szCs w:val="14"/>
                <w:color w:val="auto"/>
              </w:rPr>
              <w:t>subsidiaries</w:t>
            </w:r>
          </w:p>
        </w:tc>
        <w:tc>
          <w:tcPr>
            <w:tcW w:w="120" w:type="dxa"/>
            <w:vAlign w:val="bottom"/>
            <w:tcBorders>
              <w:bottom w:val="single" w:sz="8" w:color="auto"/>
            </w:tcBorders>
            <w:shd w:val="clear" w:color="auto" w:fill="CCEEFF"/>
          </w:tcPr>
          <w:p>
            <w:pPr>
              <w:spacing w:after="0"/>
              <w:rPr>
                <w:sz w:val="17"/>
                <w:szCs w:val="17"/>
                <w:color w:val="auto"/>
              </w:rPr>
            </w:pPr>
          </w:p>
        </w:tc>
        <w:tc>
          <w:tcPr>
            <w:tcW w:w="740" w:type="dxa"/>
            <w:vAlign w:val="bottom"/>
            <w:tcBorders>
              <w:bottom w:val="single" w:sz="8" w:color="auto"/>
            </w:tcBorders>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840" w:type="dxa"/>
            <w:vAlign w:val="bottom"/>
            <w:tcBorders>
              <w:bottom w:val="single" w:sz="8" w:color="auto"/>
            </w:tcBorders>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920" w:type="dxa"/>
            <w:vAlign w:val="bottom"/>
            <w:tcBorders>
              <w:bottom w:val="single" w:sz="8" w:color="auto"/>
            </w:tcBorders>
            <w:vMerge w:val="continue"/>
            <w:shd w:val="clear" w:color="auto" w:fill="CCEEFF"/>
          </w:tcPr>
          <w:p>
            <w:pPr>
              <w:spacing w:after="0"/>
              <w:rPr>
                <w:sz w:val="17"/>
                <w:szCs w:val="17"/>
                <w:color w:val="auto"/>
              </w:rPr>
            </w:pPr>
          </w:p>
        </w:tc>
        <w:tc>
          <w:tcPr>
            <w:tcW w:w="120" w:type="dxa"/>
            <w:vAlign w:val="bottom"/>
            <w:vMerge w:val="continue"/>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820" w:type="dxa"/>
            <w:vAlign w:val="bottom"/>
            <w:tcBorders>
              <w:bottom w:val="single" w:sz="8" w:color="auto"/>
            </w:tcBorders>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820" w:type="dxa"/>
            <w:vAlign w:val="bottom"/>
            <w:tcBorders>
              <w:bottom w:val="single" w:sz="8" w:color="auto"/>
            </w:tcBorders>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820" w:type="dxa"/>
            <w:vAlign w:val="bottom"/>
            <w:tcBorders>
              <w:bottom w:val="single" w:sz="8" w:color="auto"/>
            </w:tcBorders>
            <w:vMerge w:val="continue"/>
            <w:shd w:val="clear" w:color="auto" w:fill="CCEEFF"/>
          </w:tcPr>
          <w:p>
            <w:pPr>
              <w:spacing w:after="0"/>
              <w:rPr>
                <w:sz w:val="17"/>
                <w:szCs w:val="17"/>
                <w:color w:val="auto"/>
              </w:rPr>
            </w:pPr>
          </w:p>
        </w:tc>
        <w:tc>
          <w:tcPr>
            <w:tcW w:w="120" w:type="dxa"/>
            <w:vAlign w:val="bottom"/>
            <w:vMerge w:val="continue"/>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840" w:type="dxa"/>
            <w:vAlign w:val="bottom"/>
            <w:tcBorders>
              <w:bottom w:val="single" w:sz="8" w:color="auto"/>
            </w:tcBorders>
            <w:vMerge w:val="continue"/>
            <w:shd w:val="clear" w:color="auto" w:fill="CCEEFF"/>
          </w:tcPr>
          <w:p>
            <w:pPr>
              <w:spacing w:after="0"/>
              <w:rPr>
                <w:sz w:val="17"/>
                <w:szCs w:val="17"/>
                <w:color w:val="auto"/>
              </w:rPr>
            </w:pPr>
          </w:p>
        </w:tc>
        <w:tc>
          <w:tcPr>
            <w:tcW w:w="100" w:type="dxa"/>
            <w:vAlign w:val="bottom"/>
            <w:vMerge w:val="continue"/>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760" w:type="dxa"/>
            <w:vAlign w:val="bottom"/>
            <w:tcBorders>
              <w:bottom w:val="single" w:sz="8" w:color="auto"/>
            </w:tcBorders>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54"/>
        </w:trPr>
        <w:tc>
          <w:tcPr>
            <w:tcW w:w="2260" w:type="dxa"/>
            <w:vAlign w:val="bottom"/>
          </w:tcPr>
          <w:p>
            <w:pPr>
              <w:ind w:left="20"/>
              <w:spacing w:after="0" w:line="154" w:lineRule="exact"/>
              <w:rPr>
                <w:sz w:val="20"/>
                <w:szCs w:val="20"/>
                <w:color w:val="auto"/>
              </w:rPr>
            </w:pPr>
            <w:r>
              <w:rPr>
                <w:rFonts w:ascii="Arial" w:cs="Arial" w:eastAsia="Arial" w:hAnsi="Arial"/>
                <w:sz w:val="14"/>
                <w:szCs w:val="14"/>
                <w:b w:val="1"/>
                <w:bCs w:val="1"/>
                <w:color w:val="auto"/>
              </w:rPr>
              <w:t>Net income (loss) attributable to</w:t>
            </w:r>
          </w:p>
        </w:tc>
        <w:tc>
          <w:tcPr>
            <w:tcW w:w="12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w:t>
            </w:r>
          </w:p>
        </w:tc>
        <w:tc>
          <w:tcPr>
            <w:tcW w:w="740" w:type="dxa"/>
            <w:vAlign w:val="bottom"/>
            <w:vMerge w:val="restart"/>
          </w:tcPr>
          <w:p>
            <w:pPr>
              <w:jc w:val="right"/>
              <w:ind w:right="28"/>
              <w:spacing w:after="0"/>
              <w:rPr>
                <w:sz w:val="20"/>
                <w:szCs w:val="20"/>
                <w:color w:val="auto"/>
              </w:rPr>
            </w:pPr>
            <w:r>
              <w:rPr>
                <w:rFonts w:ascii="Arial" w:cs="Arial" w:eastAsia="Arial" w:hAnsi="Arial"/>
                <w:sz w:val="14"/>
                <w:szCs w:val="14"/>
                <w:b w:val="1"/>
                <w:bCs w:val="1"/>
                <w:color w:val="auto"/>
              </w:rPr>
              <w:t>25,342</w:t>
            </w:r>
          </w:p>
        </w:tc>
        <w:tc>
          <w:tcPr>
            <w:tcW w:w="280" w:type="dxa"/>
            <w:vAlign w:val="bottom"/>
            <w:gridSpan w:val="2"/>
            <w:vMerge w:val="restart"/>
          </w:tcPr>
          <w:p>
            <w:pPr>
              <w:jc w:val="right"/>
              <w:ind w:right="60"/>
              <w:spacing w:after="0"/>
              <w:rPr>
                <w:sz w:val="20"/>
                <w:szCs w:val="20"/>
                <w:color w:val="auto"/>
              </w:rPr>
            </w:pPr>
            <w:r>
              <w:rPr>
                <w:rFonts w:ascii="Arial" w:cs="Arial" w:eastAsia="Arial" w:hAnsi="Arial"/>
                <w:sz w:val="14"/>
                <w:szCs w:val="14"/>
                <w:b w:val="1"/>
                <w:bCs w:val="1"/>
                <w:color w:val="auto"/>
              </w:rPr>
              <w:t>$</w:t>
            </w:r>
          </w:p>
        </w:tc>
        <w:tc>
          <w:tcPr>
            <w:tcW w:w="840" w:type="dxa"/>
            <w:vAlign w:val="bottom"/>
            <w:vMerge w:val="restart"/>
          </w:tcPr>
          <w:p>
            <w:pPr>
              <w:jc w:val="right"/>
              <w:ind w:right="8"/>
              <w:spacing w:after="0"/>
              <w:rPr>
                <w:sz w:val="20"/>
                <w:szCs w:val="20"/>
                <w:color w:val="auto"/>
              </w:rPr>
            </w:pPr>
            <w:r>
              <w:rPr>
                <w:rFonts w:ascii="Arial" w:cs="Arial" w:eastAsia="Arial" w:hAnsi="Arial"/>
                <w:sz w:val="14"/>
                <w:szCs w:val="14"/>
                <w:b w:val="1"/>
                <w:bCs w:val="1"/>
                <w:color w:val="auto"/>
              </w:rPr>
              <w:t>(375)</w:t>
            </w:r>
          </w:p>
        </w:tc>
        <w:tc>
          <w:tcPr>
            <w:tcW w:w="120" w:type="dxa"/>
            <w:vAlign w:val="bottom"/>
          </w:tcPr>
          <w:p>
            <w:pPr>
              <w:spacing w:after="0"/>
              <w:rPr>
                <w:sz w:val="13"/>
                <w:szCs w:val="13"/>
                <w:color w:val="auto"/>
              </w:rPr>
            </w:pPr>
          </w:p>
        </w:tc>
        <w:tc>
          <w:tcPr>
            <w:tcW w:w="14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w:t>
            </w:r>
          </w:p>
        </w:tc>
        <w:tc>
          <w:tcPr>
            <w:tcW w:w="920" w:type="dxa"/>
            <w:vAlign w:val="bottom"/>
            <w:vMerge w:val="restart"/>
          </w:tcPr>
          <w:p>
            <w:pPr>
              <w:jc w:val="right"/>
              <w:ind w:right="28"/>
              <w:spacing w:after="0"/>
              <w:rPr>
                <w:sz w:val="20"/>
                <w:szCs w:val="20"/>
                <w:color w:val="auto"/>
              </w:rPr>
            </w:pPr>
            <w:r>
              <w:rPr>
                <w:rFonts w:ascii="Arial" w:cs="Arial" w:eastAsia="Arial" w:hAnsi="Arial"/>
                <w:sz w:val="14"/>
                <w:szCs w:val="14"/>
                <w:b w:val="1"/>
                <w:bCs w:val="1"/>
                <w:color w:val="auto"/>
              </w:rPr>
              <w:t>386</w:t>
            </w:r>
          </w:p>
        </w:tc>
        <w:tc>
          <w:tcPr>
            <w:tcW w:w="120" w:type="dxa"/>
            <w:vAlign w:val="bottom"/>
          </w:tcPr>
          <w:p>
            <w:pPr>
              <w:spacing w:after="0"/>
              <w:rPr>
                <w:sz w:val="13"/>
                <w:szCs w:val="13"/>
                <w:color w:val="auto"/>
              </w:rPr>
            </w:pPr>
          </w:p>
        </w:tc>
        <w:tc>
          <w:tcPr>
            <w:tcW w:w="12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w:t>
            </w:r>
          </w:p>
        </w:tc>
        <w:tc>
          <w:tcPr>
            <w:tcW w:w="82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(4,695)</w:t>
            </w:r>
          </w:p>
        </w:tc>
        <w:tc>
          <w:tcPr>
            <w:tcW w:w="100" w:type="dxa"/>
            <w:vAlign w:val="bottom"/>
          </w:tcPr>
          <w:p>
            <w:pPr>
              <w:spacing w:after="0"/>
              <w:rPr>
                <w:sz w:val="13"/>
                <w:szCs w:val="13"/>
                <w:color w:val="auto"/>
              </w:rPr>
            </w:pPr>
          </w:p>
        </w:tc>
        <w:tc>
          <w:tcPr>
            <w:tcW w:w="14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w:t>
            </w:r>
          </w:p>
        </w:tc>
        <w:tc>
          <w:tcPr>
            <w:tcW w:w="820" w:type="dxa"/>
            <w:vAlign w:val="bottom"/>
            <w:vMerge w:val="restart"/>
          </w:tcPr>
          <w:p>
            <w:pPr>
              <w:jc w:val="right"/>
              <w:ind w:right="48"/>
              <w:spacing w:after="0"/>
              <w:rPr>
                <w:sz w:val="20"/>
                <w:szCs w:val="20"/>
                <w:color w:val="auto"/>
              </w:rPr>
            </w:pPr>
            <w:r>
              <w:rPr>
                <w:rFonts w:ascii="Arial" w:cs="Arial" w:eastAsia="Arial" w:hAnsi="Arial"/>
                <w:sz w:val="14"/>
                <w:szCs w:val="14"/>
                <w:b w:val="1"/>
                <w:bCs w:val="1"/>
                <w:color w:val="auto"/>
              </w:rPr>
              <w:t>449</w:t>
            </w:r>
          </w:p>
        </w:tc>
        <w:tc>
          <w:tcPr>
            <w:tcW w:w="100" w:type="dxa"/>
            <w:vAlign w:val="bottom"/>
          </w:tcPr>
          <w:p>
            <w:pPr>
              <w:spacing w:after="0"/>
              <w:rPr>
                <w:sz w:val="13"/>
                <w:szCs w:val="13"/>
                <w:color w:val="auto"/>
              </w:rPr>
            </w:pPr>
          </w:p>
        </w:tc>
        <w:tc>
          <w:tcPr>
            <w:tcW w:w="12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w:t>
            </w:r>
          </w:p>
        </w:tc>
        <w:tc>
          <w:tcPr>
            <w:tcW w:w="82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(3,150)</w:t>
            </w:r>
          </w:p>
        </w:tc>
        <w:tc>
          <w:tcPr>
            <w:tcW w:w="120" w:type="dxa"/>
            <w:vAlign w:val="bottom"/>
          </w:tcPr>
          <w:p>
            <w:pPr>
              <w:spacing w:after="0"/>
              <w:rPr>
                <w:sz w:val="13"/>
                <w:szCs w:val="13"/>
                <w:color w:val="auto"/>
              </w:rPr>
            </w:pPr>
          </w:p>
        </w:tc>
        <w:tc>
          <w:tcPr>
            <w:tcW w:w="10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w:t>
            </w:r>
          </w:p>
        </w:tc>
        <w:tc>
          <w:tcPr>
            <w:tcW w:w="84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(14,959)</w:t>
            </w:r>
          </w:p>
        </w:tc>
        <w:tc>
          <w:tcPr>
            <w:tcW w:w="100" w:type="dxa"/>
            <w:vAlign w:val="bottom"/>
          </w:tcPr>
          <w:p>
            <w:pPr>
              <w:spacing w:after="0"/>
              <w:rPr>
                <w:sz w:val="13"/>
                <w:szCs w:val="13"/>
                <w:color w:val="auto"/>
              </w:rPr>
            </w:pPr>
          </w:p>
        </w:tc>
        <w:tc>
          <w:tcPr>
            <w:tcW w:w="200" w:type="dxa"/>
            <w:vAlign w:val="bottom"/>
            <w:vMerge w:val="restart"/>
          </w:tcPr>
          <w:p>
            <w:pPr>
              <w:jc w:val="right"/>
              <w:ind w:right="28"/>
              <w:spacing w:after="0"/>
              <w:rPr>
                <w:sz w:val="20"/>
                <w:szCs w:val="20"/>
                <w:color w:val="auto"/>
              </w:rPr>
            </w:pPr>
            <w:r>
              <w:rPr>
                <w:rFonts w:ascii="Arial" w:cs="Arial" w:eastAsia="Arial" w:hAnsi="Arial"/>
                <w:sz w:val="14"/>
                <w:szCs w:val="14"/>
                <w:b w:val="1"/>
                <w:bCs w:val="1"/>
                <w:color w:val="auto"/>
              </w:rPr>
              <w:t>$</w:t>
            </w:r>
          </w:p>
        </w:tc>
        <w:tc>
          <w:tcPr>
            <w:tcW w:w="760" w:type="dxa"/>
            <w:vAlign w:val="bottom"/>
            <w:vMerge w:val="restart"/>
          </w:tcPr>
          <w:p>
            <w:pPr>
              <w:jc w:val="right"/>
              <w:ind w:right="48"/>
              <w:spacing w:after="0"/>
              <w:rPr>
                <w:sz w:val="20"/>
                <w:szCs w:val="20"/>
                <w:color w:val="auto"/>
              </w:rPr>
            </w:pPr>
            <w:r>
              <w:rPr>
                <w:rFonts w:ascii="Arial" w:cs="Arial" w:eastAsia="Arial" w:hAnsi="Arial"/>
                <w:sz w:val="14"/>
                <w:szCs w:val="14"/>
                <w:b w:val="1"/>
                <w:bCs w:val="1"/>
                <w:color w:val="auto"/>
              </w:rPr>
              <w:t>2,998</w:t>
            </w:r>
          </w:p>
        </w:tc>
        <w:tc>
          <w:tcPr>
            <w:tcW w:w="0" w:type="dxa"/>
            <w:vAlign w:val="bottom"/>
          </w:tcPr>
          <w:p>
            <w:pPr>
              <w:spacing w:after="0"/>
              <w:rPr>
                <w:sz w:val="1"/>
                <w:szCs w:val="1"/>
                <w:color w:val="auto"/>
              </w:rPr>
            </w:pPr>
          </w:p>
        </w:tc>
      </w:tr>
      <w:tr>
        <w:trPr>
          <w:trHeight w:val="191"/>
        </w:trPr>
        <w:tc>
          <w:tcPr>
            <w:tcW w:w="2260" w:type="dxa"/>
            <w:vAlign w:val="bottom"/>
          </w:tcPr>
          <w:p>
            <w:pPr>
              <w:ind w:left="20"/>
              <w:spacing w:after="0"/>
              <w:rPr>
                <w:sz w:val="20"/>
                <w:szCs w:val="20"/>
                <w:color w:val="auto"/>
              </w:rPr>
            </w:pPr>
            <w:r>
              <w:rPr>
                <w:rFonts w:ascii="Arial" w:cs="Arial" w:eastAsia="Arial" w:hAnsi="Arial"/>
                <w:sz w:val="14"/>
                <w:szCs w:val="14"/>
                <w:b w:val="1"/>
                <w:bCs w:val="1"/>
                <w:color w:val="auto"/>
              </w:rPr>
              <w:t>shareholders</w:t>
            </w:r>
          </w:p>
        </w:tc>
        <w:tc>
          <w:tcPr>
            <w:tcW w:w="120" w:type="dxa"/>
            <w:vAlign w:val="bottom"/>
            <w:vMerge w:val="continue"/>
          </w:tcPr>
          <w:p>
            <w:pPr>
              <w:spacing w:after="0"/>
              <w:rPr>
                <w:sz w:val="16"/>
                <w:szCs w:val="16"/>
                <w:color w:val="auto"/>
              </w:rPr>
            </w:pPr>
          </w:p>
        </w:tc>
        <w:tc>
          <w:tcPr>
            <w:tcW w:w="740" w:type="dxa"/>
            <w:vAlign w:val="bottom"/>
            <w:vMerge w:val="continue"/>
          </w:tcPr>
          <w:p>
            <w:pPr>
              <w:spacing w:after="0"/>
              <w:rPr>
                <w:sz w:val="16"/>
                <w:szCs w:val="16"/>
                <w:color w:val="auto"/>
              </w:rPr>
            </w:pPr>
          </w:p>
        </w:tc>
        <w:tc>
          <w:tcPr>
            <w:tcW w:w="280" w:type="dxa"/>
            <w:vAlign w:val="bottom"/>
            <w:gridSpan w:val="2"/>
            <w:vMerge w:val="continue"/>
          </w:tcPr>
          <w:p>
            <w:pPr>
              <w:spacing w:after="0"/>
              <w:rPr>
                <w:sz w:val="16"/>
                <w:szCs w:val="16"/>
                <w:color w:val="auto"/>
              </w:rPr>
            </w:pPr>
          </w:p>
        </w:tc>
        <w:tc>
          <w:tcPr>
            <w:tcW w:w="84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vMerge w:val="continue"/>
          </w:tcPr>
          <w:p>
            <w:pPr>
              <w:spacing w:after="0"/>
              <w:rPr>
                <w:sz w:val="16"/>
                <w:szCs w:val="16"/>
                <w:color w:val="auto"/>
              </w:rPr>
            </w:pPr>
          </w:p>
        </w:tc>
        <w:tc>
          <w:tcPr>
            <w:tcW w:w="92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vMerge w:val="continue"/>
          </w:tcPr>
          <w:p>
            <w:pPr>
              <w:spacing w:after="0"/>
              <w:rPr>
                <w:sz w:val="16"/>
                <w:szCs w:val="16"/>
                <w:color w:val="auto"/>
              </w:rPr>
            </w:pPr>
          </w:p>
        </w:tc>
        <w:tc>
          <w:tcPr>
            <w:tcW w:w="8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vMerge w:val="continue"/>
          </w:tcPr>
          <w:p>
            <w:pPr>
              <w:spacing w:after="0"/>
              <w:rPr>
                <w:sz w:val="16"/>
                <w:szCs w:val="16"/>
                <w:color w:val="auto"/>
              </w:rPr>
            </w:pPr>
          </w:p>
        </w:tc>
        <w:tc>
          <w:tcPr>
            <w:tcW w:w="8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vMerge w:val="continue"/>
          </w:tcPr>
          <w:p>
            <w:pPr>
              <w:spacing w:after="0"/>
              <w:rPr>
                <w:sz w:val="16"/>
                <w:szCs w:val="16"/>
                <w:color w:val="auto"/>
              </w:rPr>
            </w:pPr>
          </w:p>
        </w:tc>
        <w:tc>
          <w:tcPr>
            <w:tcW w:w="82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vMerge w:val="continue"/>
          </w:tcPr>
          <w:p>
            <w:pPr>
              <w:spacing w:after="0"/>
              <w:rPr>
                <w:sz w:val="16"/>
                <w:szCs w:val="16"/>
                <w:color w:val="auto"/>
              </w:rPr>
            </w:pPr>
          </w:p>
        </w:tc>
        <w:tc>
          <w:tcPr>
            <w:tcW w:w="8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vMerge w:val="continue"/>
          </w:tcPr>
          <w:p>
            <w:pPr>
              <w:spacing w:after="0"/>
              <w:rPr>
                <w:sz w:val="16"/>
                <w:szCs w:val="16"/>
                <w:color w:val="auto"/>
              </w:rPr>
            </w:pPr>
          </w:p>
        </w:tc>
        <w:tc>
          <w:tcPr>
            <w:tcW w:w="7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2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240" w:top="117" w:right="4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ind w:right="-179"/>
        <w:spacing w:after="0"/>
        <w:rPr>
          <w:sz w:val="20"/>
          <w:szCs w:val="20"/>
          <w:color w:val="auto"/>
        </w:rPr>
      </w:pPr>
      <w:r>
        <w:rPr>
          <w:rFonts w:ascii="Arial" w:cs="Arial" w:eastAsia="Arial" w:hAnsi="Arial"/>
          <w:sz w:val="16"/>
          <w:szCs w:val="16"/>
          <w:color w:val="auto"/>
        </w:rPr>
        <w:t>32</w:t>
      </w:r>
    </w:p>
    <w:p>
      <w:pPr>
        <w:sectPr>
          <w:pgSz w:w="11900" w:h="16838" w:orient="portrait"/>
          <w:cols w:equalWidth="0" w:num="1">
            <w:col w:w="11240"/>
          </w:cols>
          <w:pgMar w:left="240" w:top="117" w:right="419" w:bottom="1440" w:gutter="0" w:footer="0" w:header="0"/>
          <w:type w:val="continuous"/>
        </w:sectPr>
      </w:pPr>
    </w:p>
    <w:bookmarkStart w:id="32" w:name="page33"/>
    <w:bookmarkEnd w:id="32"/>
    <w:p>
      <w:pPr>
        <w:ind w:right="3640"/>
        <w:spacing w:after="0" w:line="305" w:lineRule="auto"/>
        <w:rPr>
          <w:sz w:val="20"/>
          <w:szCs w:val="20"/>
          <w:color w:val="auto"/>
        </w:rPr>
      </w:pPr>
      <w:r>
        <w:rPr>
          <w:rFonts w:ascii="Arial" w:cs="Arial" w:eastAsia="Arial" w:hAnsi="Arial"/>
          <w:sz w:val="22"/>
          <w:szCs w:val="22"/>
          <w:b w:val="1"/>
          <w:bCs w:val="1"/>
          <w:color w:val="00497F"/>
        </w:rPr>
        <w:t xml:space="preserve">FORTRESS TRANSPORTATION AND INFRASTRUCTURE INVESTORS LLC NOTES TO CONSOLIDATED FINANCIAL STATEMENTS </w:t>
      </w:r>
      <w:r>
        <w:rPr>
          <w:rFonts w:ascii="Arial" w:cs="Arial" w:eastAsia="Arial" w:hAnsi="Arial"/>
          <w:sz w:val="22"/>
          <w:szCs w:val="22"/>
          <w:b w:val="1"/>
          <w:bCs w:val="1"/>
          <w:i w:val="1"/>
          <w:iCs w:val="1"/>
          <w:color w:val="00497F"/>
        </w:rPr>
        <w:t>(unaudited)</w:t>
      </w:r>
    </w:p>
    <w:p>
      <w:pPr>
        <w:spacing w:after="0"/>
        <w:rPr>
          <w:sz w:val="20"/>
          <w:szCs w:val="20"/>
          <w:color w:val="auto"/>
        </w:rPr>
      </w:pPr>
      <w:r>
        <w:rPr>
          <w:rFonts w:ascii="Arial" w:cs="Arial" w:eastAsia="Arial" w:hAnsi="Arial"/>
          <w:sz w:val="18"/>
          <w:szCs w:val="18"/>
          <w:i w:val="1"/>
          <w:iCs w:val="1"/>
          <w:color w:val="00497F"/>
        </w:rPr>
        <w:t>(Dollar amounts in thousands, unless otherwise noted)</w:t>
      </w:r>
    </w:p>
    <w:p>
      <w:pPr>
        <w:spacing w:after="0" w:line="397"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sets forth a reconciliation of Adjusted Net Income (Loss) to net income attributable to shareholders:</w:t>
      </w:r>
    </w:p>
    <w:p>
      <w:pPr>
        <w:spacing w:after="0" w:line="386" w:lineRule="exact"/>
        <w:rPr>
          <w:sz w:val="20"/>
          <w:szCs w:val="20"/>
          <w:color w:val="auto"/>
        </w:rPr>
      </w:pPr>
    </w:p>
    <w:tbl>
      <w:tblPr>
        <w:tblLayout w:type="fixed"/>
        <w:tblInd w:w="540" w:type="dxa"/>
        <w:tblCellMar>
          <w:top w:w="0" w:type="dxa"/>
          <w:left w:w="0" w:type="dxa"/>
          <w:bottom w:w="0" w:type="dxa"/>
          <w:right w:w="0" w:type="dxa"/>
        </w:tblCellMar>
      </w:tblPr>
      <w:tr>
        <w:trPr>
          <w:trHeight w:val="203"/>
        </w:trPr>
        <w:tc>
          <w:tcPr>
            <w:tcW w:w="204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4320" w:type="dxa"/>
            <w:vAlign w:val="bottom"/>
            <w:tcBorders>
              <w:bottom w:val="single" w:sz="8" w:color="auto"/>
            </w:tcBorders>
            <w:gridSpan w:val="11"/>
          </w:tcPr>
          <w:p>
            <w:pPr>
              <w:ind w:left="580"/>
              <w:spacing w:after="0"/>
              <w:rPr>
                <w:sz w:val="20"/>
                <w:szCs w:val="20"/>
                <w:color w:val="auto"/>
              </w:rPr>
            </w:pPr>
            <w:r>
              <w:rPr>
                <w:rFonts w:ascii="Arial" w:cs="Arial" w:eastAsia="Arial" w:hAnsi="Arial"/>
                <w:sz w:val="14"/>
                <w:szCs w:val="14"/>
                <w:b w:val="1"/>
                <w:bCs w:val="1"/>
                <w:color w:val="auto"/>
              </w:rPr>
              <w:t>Three months ended September 30, 2017</w:t>
            </w:r>
          </w:p>
        </w:tc>
        <w:tc>
          <w:tcPr>
            <w:tcW w:w="10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64"/>
        </w:trPr>
        <w:tc>
          <w:tcPr>
            <w:tcW w:w="2040" w:type="dxa"/>
            <w:vAlign w:val="bottom"/>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spacing w:after="0"/>
              <w:rPr>
                <w:sz w:val="22"/>
                <w:szCs w:val="22"/>
                <w:color w:val="auto"/>
              </w:rPr>
            </w:pPr>
          </w:p>
        </w:tc>
        <w:tc>
          <w:tcPr>
            <w:tcW w:w="1420" w:type="dxa"/>
            <w:vAlign w:val="bottom"/>
            <w:tcBorders>
              <w:bottom w:val="single" w:sz="8" w:color="auto"/>
            </w:tcBorders>
            <w:gridSpan w:val="6"/>
          </w:tcPr>
          <w:p>
            <w:pPr>
              <w:jc w:val="right"/>
              <w:spacing w:after="0"/>
              <w:rPr>
                <w:sz w:val="20"/>
                <w:szCs w:val="20"/>
                <w:color w:val="auto"/>
              </w:rPr>
            </w:pPr>
            <w:r>
              <w:rPr>
                <w:rFonts w:ascii="Arial" w:cs="Arial" w:eastAsia="Arial" w:hAnsi="Arial"/>
                <w:sz w:val="14"/>
                <w:szCs w:val="14"/>
                <w:b w:val="1"/>
                <w:bCs w:val="1"/>
                <w:color w:val="auto"/>
              </w:rPr>
              <w:t>Equipment Leasing</w:t>
            </w:r>
          </w:p>
        </w:tc>
        <w:tc>
          <w:tcPr>
            <w:tcW w:w="94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gridSpan w:val="3"/>
          </w:tcPr>
          <w:p>
            <w:pPr>
              <w:ind w:left="60"/>
              <w:spacing w:after="0"/>
              <w:rPr>
                <w:sz w:val="20"/>
                <w:szCs w:val="20"/>
                <w:color w:val="auto"/>
              </w:rPr>
            </w:pPr>
            <w:r>
              <w:rPr>
                <w:rFonts w:ascii="Arial" w:cs="Arial" w:eastAsia="Arial" w:hAnsi="Arial"/>
                <w:sz w:val="14"/>
                <w:szCs w:val="14"/>
                <w:b w:val="1"/>
                <w:bCs w:val="1"/>
                <w:color w:val="auto"/>
              </w:rPr>
              <w:t>Infrastructure</w:t>
            </w:r>
          </w:p>
        </w:tc>
        <w:tc>
          <w:tcPr>
            <w:tcW w:w="14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68"/>
        </w:trPr>
        <w:tc>
          <w:tcPr>
            <w:tcW w:w="20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ind w:left="60"/>
              <w:spacing w:after="0"/>
              <w:rPr>
                <w:sz w:val="20"/>
                <w:szCs w:val="20"/>
                <w:color w:val="auto"/>
              </w:rPr>
            </w:pPr>
            <w:r>
              <w:rPr>
                <w:rFonts w:ascii="Arial" w:cs="Arial" w:eastAsia="Arial" w:hAnsi="Arial"/>
                <w:sz w:val="14"/>
                <w:szCs w:val="14"/>
                <w:b w:val="1"/>
                <w:bCs w:val="1"/>
                <w:color w:val="auto"/>
              </w:rPr>
              <w:t>Aviation</w:t>
            </w: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Offshore</w:t>
            </w:r>
          </w:p>
        </w:tc>
        <w:tc>
          <w:tcPr>
            <w:tcW w:w="140" w:type="dxa"/>
            <w:vAlign w:val="bottom"/>
          </w:tcPr>
          <w:p>
            <w:pPr>
              <w:spacing w:after="0"/>
              <w:rPr>
                <w:sz w:val="14"/>
                <w:szCs w:val="14"/>
                <w:color w:val="auto"/>
              </w:rPr>
            </w:pPr>
          </w:p>
        </w:tc>
        <w:tc>
          <w:tcPr>
            <w:tcW w:w="10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Shipping</w:t>
            </w:r>
          </w:p>
        </w:tc>
        <w:tc>
          <w:tcPr>
            <w:tcW w:w="120" w:type="dxa"/>
            <w:vAlign w:val="bottom"/>
          </w:tcPr>
          <w:p>
            <w:pPr>
              <w:spacing w:after="0"/>
              <w:rPr>
                <w:sz w:val="14"/>
                <w:szCs w:val="14"/>
                <w:color w:val="auto"/>
              </w:rPr>
            </w:pPr>
          </w:p>
        </w:tc>
        <w:tc>
          <w:tcPr>
            <w:tcW w:w="9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Jefferson</w:t>
            </w:r>
          </w:p>
        </w:tc>
        <w:tc>
          <w:tcPr>
            <w:tcW w:w="1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gridSpan w:val="2"/>
          </w:tcPr>
          <w:p>
            <w:pPr>
              <w:ind w:left="40"/>
              <w:spacing w:after="0"/>
              <w:rPr>
                <w:sz w:val="20"/>
                <w:szCs w:val="20"/>
                <w:color w:val="auto"/>
              </w:rPr>
            </w:pPr>
            <w:r>
              <w:rPr>
                <w:rFonts w:ascii="Arial" w:cs="Arial" w:eastAsia="Arial" w:hAnsi="Arial"/>
                <w:sz w:val="14"/>
                <w:szCs w:val="14"/>
                <w:b w:val="1"/>
                <w:bCs w:val="1"/>
                <w:color w:val="auto"/>
              </w:rPr>
              <w:t>Ports and</w:t>
            </w:r>
          </w:p>
        </w:tc>
        <w:tc>
          <w:tcPr>
            <w:tcW w:w="1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204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ind w:left="60"/>
              <w:spacing w:after="0"/>
              <w:rPr>
                <w:sz w:val="20"/>
                <w:szCs w:val="20"/>
                <w:color w:val="auto"/>
              </w:rPr>
            </w:pPr>
            <w:r>
              <w:rPr>
                <w:rFonts w:ascii="Arial" w:cs="Arial" w:eastAsia="Arial" w:hAnsi="Arial"/>
                <w:sz w:val="14"/>
                <w:szCs w:val="14"/>
                <w:b w:val="1"/>
                <w:bCs w:val="1"/>
                <w:color w:val="auto"/>
              </w:rPr>
              <w:t>Leasing</w:t>
            </w:r>
          </w:p>
        </w:tc>
        <w:tc>
          <w:tcPr>
            <w:tcW w:w="60" w:type="dxa"/>
            <w:vAlign w:val="bottom"/>
            <w:tcBorders>
              <w:bottom w:val="single" w:sz="8" w:color="auto"/>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center"/>
              <w:ind w:right="68"/>
              <w:spacing w:after="0"/>
              <w:rPr>
                <w:sz w:val="20"/>
                <w:szCs w:val="20"/>
                <w:color w:val="auto"/>
              </w:rPr>
            </w:pPr>
            <w:r>
              <w:rPr>
                <w:rFonts w:ascii="Arial" w:cs="Arial" w:eastAsia="Arial" w:hAnsi="Arial"/>
                <w:sz w:val="14"/>
                <w:szCs w:val="14"/>
                <w:b w:val="1"/>
                <w:bCs w:val="1"/>
                <w:color w:val="auto"/>
              </w:rPr>
              <w:t>Energy</w:t>
            </w:r>
          </w:p>
        </w:tc>
        <w:tc>
          <w:tcPr>
            <w:tcW w:w="12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center"/>
              <w:ind w:right="68"/>
              <w:spacing w:after="0"/>
              <w:rPr>
                <w:sz w:val="20"/>
                <w:szCs w:val="20"/>
                <w:color w:val="auto"/>
              </w:rPr>
            </w:pPr>
            <w:r>
              <w:rPr>
                <w:rFonts w:ascii="Arial" w:cs="Arial" w:eastAsia="Arial" w:hAnsi="Arial"/>
                <w:sz w:val="14"/>
                <w:szCs w:val="14"/>
                <w:b w:val="1"/>
                <w:bCs w:val="1"/>
                <w:color w:val="auto"/>
              </w:rPr>
              <w:t>Containers</w:t>
            </w:r>
          </w:p>
        </w:tc>
        <w:tc>
          <w:tcPr>
            <w:tcW w:w="10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center"/>
              <w:ind w:right="48"/>
              <w:spacing w:after="0"/>
              <w:rPr>
                <w:sz w:val="20"/>
                <w:szCs w:val="20"/>
                <w:color w:val="auto"/>
              </w:rPr>
            </w:pPr>
            <w:r>
              <w:rPr>
                <w:rFonts w:ascii="Arial" w:cs="Arial" w:eastAsia="Arial" w:hAnsi="Arial"/>
                <w:sz w:val="14"/>
                <w:szCs w:val="14"/>
                <w:b w:val="1"/>
                <w:bCs w:val="1"/>
                <w:color w:val="auto"/>
                <w:w w:val="99"/>
              </w:rPr>
              <w:t>Terminal</w:t>
            </w:r>
          </w:p>
        </w:tc>
        <w:tc>
          <w:tcPr>
            <w:tcW w:w="12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b w:val="1"/>
                <w:bCs w:val="1"/>
                <w:color w:val="auto"/>
              </w:rPr>
              <w:t>Railroad</w:t>
            </w:r>
          </w:p>
        </w:tc>
        <w:tc>
          <w:tcPr>
            <w:tcW w:w="12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Terminals</w:t>
            </w:r>
          </w:p>
        </w:tc>
        <w:tc>
          <w:tcPr>
            <w:tcW w:w="12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b w:val="1"/>
                <w:bCs w:val="1"/>
                <w:color w:val="auto"/>
              </w:rPr>
              <w:t>Corporate</w:t>
            </w:r>
          </w:p>
        </w:tc>
        <w:tc>
          <w:tcPr>
            <w:tcW w:w="10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51"/>
        </w:trPr>
        <w:tc>
          <w:tcPr>
            <w:tcW w:w="2040" w:type="dxa"/>
            <w:vAlign w:val="bottom"/>
            <w:shd w:val="clear" w:color="auto" w:fill="CCEEFF"/>
          </w:tcPr>
          <w:p>
            <w:pPr>
              <w:ind w:left="20"/>
              <w:spacing w:after="0"/>
              <w:rPr>
                <w:sz w:val="20"/>
                <w:szCs w:val="20"/>
                <w:color w:val="auto"/>
              </w:rPr>
            </w:pPr>
            <w:r>
              <w:rPr>
                <w:rFonts w:ascii="Arial" w:cs="Arial" w:eastAsia="Arial" w:hAnsi="Arial"/>
                <w:sz w:val="14"/>
                <w:szCs w:val="14"/>
                <w:color w:val="auto"/>
              </w:rPr>
              <w:t>Adjusted Net Income (Loss)</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26,274</w:t>
            </w:r>
          </w:p>
        </w:tc>
        <w:tc>
          <w:tcPr>
            <w:tcW w:w="320" w:type="dxa"/>
            <w:vAlign w:val="bottom"/>
            <w:gridSpan w:val="3"/>
            <w:shd w:val="clear" w:color="auto" w:fill="CCEEFF"/>
          </w:tcPr>
          <w:p>
            <w:pPr>
              <w:jc w:val="right"/>
              <w:ind w:right="40"/>
              <w:spacing w:after="0"/>
              <w:rPr>
                <w:sz w:val="20"/>
                <w:szCs w:val="20"/>
                <w:color w:val="auto"/>
              </w:rPr>
            </w:pPr>
            <w:r>
              <w:rPr>
                <w:rFonts w:ascii="Arial" w:cs="Arial" w:eastAsia="Arial" w:hAnsi="Arial"/>
                <w:sz w:val="14"/>
                <w:szCs w:val="14"/>
                <w:b w:val="1"/>
                <w:bCs w:val="1"/>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(380)</w:t>
            </w: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940" w:type="dxa"/>
            <w:vAlign w:val="bottom"/>
            <w:shd w:val="clear" w:color="auto" w:fill="CCEEFF"/>
          </w:tcPr>
          <w:p>
            <w:pPr>
              <w:ind w:left="600"/>
              <w:spacing w:after="0"/>
              <w:rPr>
                <w:sz w:val="20"/>
                <w:szCs w:val="20"/>
                <w:color w:val="auto"/>
              </w:rPr>
            </w:pPr>
            <w:r>
              <w:rPr>
                <w:rFonts w:ascii="Arial" w:cs="Arial" w:eastAsia="Arial" w:hAnsi="Arial"/>
                <w:sz w:val="14"/>
                <w:szCs w:val="14"/>
                <w:b w:val="1"/>
                <w:bCs w:val="1"/>
                <w:color w:val="auto"/>
              </w:rPr>
              <w:t>330</w:t>
            </w: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(6,081)</w:t>
            </w: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80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517</w:t>
            </w: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(3,150)</w:t>
            </w:r>
          </w:p>
        </w:tc>
        <w:tc>
          <w:tcPr>
            <w:tcW w:w="120" w:type="dxa"/>
            <w:vAlign w:val="bottom"/>
            <w:shd w:val="clear" w:color="auto" w:fill="CCEEFF"/>
          </w:tcPr>
          <w:p>
            <w:pPr>
              <w:spacing w:after="0"/>
              <w:rPr>
                <w:sz w:val="21"/>
                <w:szCs w:val="21"/>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(13,673)</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w:t>
            </w:r>
          </w:p>
        </w:tc>
        <w:tc>
          <w:tcPr>
            <w:tcW w:w="76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3,837</w:t>
            </w:r>
          </w:p>
        </w:tc>
        <w:tc>
          <w:tcPr>
            <w:tcW w:w="0" w:type="dxa"/>
            <w:vAlign w:val="bottom"/>
          </w:tcPr>
          <w:p>
            <w:pPr>
              <w:spacing w:after="0"/>
              <w:rPr>
                <w:sz w:val="1"/>
                <w:szCs w:val="1"/>
                <w:color w:val="auto"/>
              </w:rPr>
            </w:pPr>
          </w:p>
        </w:tc>
      </w:tr>
      <w:tr>
        <w:trPr>
          <w:trHeight w:val="156"/>
        </w:trPr>
        <w:tc>
          <w:tcPr>
            <w:tcW w:w="2040" w:type="dxa"/>
            <w:vAlign w:val="bottom"/>
          </w:tcPr>
          <w:p>
            <w:pPr>
              <w:ind w:left="20"/>
              <w:spacing w:after="0" w:line="156" w:lineRule="exact"/>
              <w:rPr>
                <w:sz w:val="20"/>
                <w:szCs w:val="20"/>
                <w:color w:val="auto"/>
              </w:rPr>
            </w:pPr>
            <w:r>
              <w:rPr>
                <w:rFonts w:ascii="Arial" w:cs="Arial" w:eastAsia="Arial" w:hAnsi="Arial"/>
                <w:sz w:val="14"/>
                <w:szCs w:val="14"/>
                <w:color w:val="auto"/>
              </w:rPr>
              <w:t>Add: Non-controlling share of</w:t>
            </w:r>
          </w:p>
        </w:tc>
        <w:tc>
          <w:tcPr>
            <w:tcW w:w="140" w:type="dxa"/>
            <w:vAlign w:val="bottom"/>
            <w:tcBorders>
              <w:top w:val="single" w:sz="8" w:color="auto"/>
            </w:tcBorders>
          </w:tcPr>
          <w:p>
            <w:pPr>
              <w:spacing w:after="0"/>
              <w:rPr>
                <w:sz w:val="13"/>
                <w:szCs w:val="13"/>
                <w:color w:val="auto"/>
              </w:rPr>
            </w:pPr>
          </w:p>
        </w:tc>
        <w:tc>
          <w:tcPr>
            <w:tcW w:w="780" w:type="dxa"/>
            <w:vAlign w:val="bottom"/>
            <w:tcBorders>
              <w:top w:val="single" w:sz="8" w:color="auto"/>
            </w:tcBorders>
          </w:tcPr>
          <w:p>
            <w:pPr>
              <w:spacing w:after="0"/>
              <w:rPr>
                <w:sz w:val="13"/>
                <w:szCs w:val="13"/>
                <w:color w:val="auto"/>
              </w:rPr>
            </w:pPr>
          </w:p>
        </w:tc>
        <w:tc>
          <w:tcPr>
            <w:tcW w:w="6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84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94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82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80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90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84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760" w:type="dxa"/>
            <w:vAlign w:val="bottom"/>
            <w:tcBorders>
              <w:top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040" w:type="dxa"/>
            <w:vAlign w:val="bottom"/>
          </w:tcPr>
          <w:p>
            <w:pPr>
              <w:ind w:left="20"/>
              <w:spacing w:after="0"/>
              <w:rPr>
                <w:sz w:val="20"/>
                <w:szCs w:val="20"/>
                <w:color w:val="auto"/>
              </w:rPr>
            </w:pPr>
            <w:r>
              <w:rPr>
                <w:rFonts w:ascii="Arial" w:cs="Arial" w:eastAsia="Arial" w:hAnsi="Arial"/>
                <w:sz w:val="14"/>
                <w:szCs w:val="14"/>
                <w:color w:val="auto"/>
              </w:rPr>
              <w:t>adjustments to Adjusted Net</w:t>
            </w:r>
          </w:p>
        </w:tc>
        <w:tc>
          <w:tcPr>
            <w:tcW w:w="1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60" w:type="dxa"/>
            <w:vAlign w:val="bottom"/>
            <w:vMerge w:val="restart"/>
          </w:tcPr>
          <w:p>
            <w:pPr>
              <w:jc w:val="right"/>
              <w:ind w:right="48"/>
              <w:spacing w:after="0"/>
              <w:rPr>
                <w:sz w:val="20"/>
                <w:szCs w:val="20"/>
                <w:color w:val="auto"/>
              </w:rPr>
            </w:pPr>
            <w:r>
              <w:rPr>
                <w:rFonts w:ascii="Arial" w:cs="Arial" w:eastAsia="Arial" w:hAnsi="Arial"/>
                <w:sz w:val="14"/>
                <w:szCs w:val="14"/>
                <w:b w:val="1"/>
                <w:bCs w:val="1"/>
                <w:color w:val="auto"/>
              </w:rPr>
              <w:t>447</w:t>
            </w:r>
          </w:p>
        </w:tc>
        <w:tc>
          <w:tcPr>
            <w:tcW w:w="0" w:type="dxa"/>
            <w:vAlign w:val="bottom"/>
          </w:tcPr>
          <w:p>
            <w:pPr>
              <w:spacing w:after="0"/>
              <w:rPr>
                <w:sz w:val="1"/>
                <w:szCs w:val="1"/>
                <w:color w:val="auto"/>
              </w:rPr>
            </w:pPr>
          </w:p>
        </w:tc>
      </w:tr>
      <w:tr>
        <w:trPr>
          <w:trHeight w:val="201"/>
        </w:trPr>
        <w:tc>
          <w:tcPr>
            <w:tcW w:w="2040" w:type="dxa"/>
            <w:vAlign w:val="bottom"/>
          </w:tcPr>
          <w:p>
            <w:pPr>
              <w:ind w:left="20"/>
              <w:spacing w:after="0"/>
              <w:rPr>
                <w:sz w:val="20"/>
                <w:szCs w:val="20"/>
                <w:color w:val="auto"/>
              </w:rPr>
            </w:pPr>
            <w:r>
              <w:rPr>
                <w:rFonts w:ascii="Arial" w:cs="Arial" w:eastAsia="Arial" w:hAnsi="Arial"/>
                <w:sz w:val="14"/>
                <w:szCs w:val="14"/>
                <w:color w:val="auto"/>
              </w:rPr>
              <w:t>Income</w:t>
            </w: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7"/>
        </w:trPr>
        <w:tc>
          <w:tcPr>
            <w:tcW w:w="2040" w:type="dxa"/>
            <w:vAlign w:val="bottom"/>
            <w:shd w:val="clear" w:color="auto" w:fill="CCEEFF"/>
          </w:tcPr>
          <w:p>
            <w:pPr>
              <w:ind w:left="20"/>
              <w:spacing w:after="0"/>
              <w:rPr>
                <w:sz w:val="20"/>
                <w:szCs w:val="20"/>
                <w:color w:val="auto"/>
              </w:rPr>
            </w:pPr>
            <w:r>
              <w:rPr>
                <w:rFonts w:ascii="Arial" w:cs="Arial" w:eastAsia="Arial" w:hAnsi="Arial"/>
                <w:sz w:val="14"/>
                <w:szCs w:val="14"/>
                <w:color w:val="auto"/>
              </w:rPr>
              <w:t>Add: Equity in earnings of</w:t>
            </w:r>
          </w:p>
        </w:tc>
        <w:tc>
          <w:tcPr>
            <w:tcW w:w="14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6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132</w:t>
            </w:r>
          </w:p>
        </w:tc>
        <w:tc>
          <w:tcPr>
            <w:tcW w:w="0" w:type="dxa"/>
            <w:vAlign w:val="bottom"/>
          </w:tcPr>
          <w:p>
            <w:pPr>
              <w:spacing w:after="0"/>
              <w:rPr>
                <w:sz w:val="1"/>
                <w:szCs w:val="1"/>
                <w:color w:val="auto"/>
              </w:rPr>
            </w:pPr>
          </w:p>
        </w:tc>
      </w:tr>
      <w:tr>
        <w:trPr>
          <w:trHeight w:val="202"/>
        </w:trPr>
        <w:tc>
          <w:tcPr>
            <w:tcW w:w="2040" w:type="dxa"/>
            <w:vAlign w:val="bottom"/>
            <w:shd w:val="clear" w:color="auto" w:fill="CCEEFF"/>
          </w:tcPr>
          <w:p>
            <w:pPr>
              <w:ind w:left="20"/>
              <w:spacing w:after="0"/>
              <w:rPr>
                <w:sz w:val="20"/>
                <w:szCs w:val="20"/>
                <w:color w:val="auto"/>
              </w:rPr>
            </w:pPr>
            <w:r>
              <w:rPr>
                <w:rFonts w:ascii="Arial" w:cs="Arial" w:eastAsia="Arial" w:hAnsi="Arial"/>
                <w:sz w:val="14"/>
                <w:szCs w:val="14"/>
                <w:color w:val="auto"/>
              </w:rPr>
              <w:t>unconsolidated entities</w:t>
            </w: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6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2040" w:type="dxa"/>
            <w:vAlign w:val="bottom"/>
          </w:tcPr>
          <w:p>
            <w:pPr>
              <w:ind w:left="20"/>
              <w:spacing w:after="0"/>
              <w:rPr>
                <w:sz w:val="20"/>
                <w:szCs w:val="20"/>
                <w:color w:val="auto"/>
              </w:rPr>
            </w:pPr>
            <w:r>
              <w:rPr>
                <w:rFonts w:ascii="Arial" w:cs="Arial" w:eastAsia="Arial" w:hAnsi="Arial"/>
                <w:sz w:val="14"/>
                <w:szCs w:val="14"/>
                <w:color w:val="auto"/>
              </w:rPr>
              <w:t>Add: Cash payments for</w:t>
            </w:r>
          </w:p>
        </w:tc>
        <w:tc>
          <w:tcPr>
            <w:tcW w:w="1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60" w:type="dxa"/>
            <w:vAlign w:val="bottom"/>
            <w:vMerge w:val="restart"/>
          </w:tcPr>
          <w:p>
            <w:pPr>
              <w:jc w:val="right"/>
              <w:ind w:right="48"/>
              <w:spacing w:after="0"/>
              <w:rPr>
                <w:sz w:val="20"/>
                <w:szCs w:val="20"/>
                <w:color w:val="auto"/>
              </w:rPr>
            </w:pPr>
            <w:r>
              <w:rPr>
                <w:rFonts w:ascii="Arial" w:cs="Arial" w:eastAsia="Arial" w:hAnsi="Arial"/>
                <w:sz w:val="14"/>
                <w:szCs w:val="14"/>
                <w:b w:val="1"/>
                <w:bCs w:val="1"/>
                <w:color w:val="auto"/>
              </w:rPr>
              <w:t>438</w:t>
            </w:r>
          </w:p>
        </w:tc>
        <w:tc>
          <w:tcPr>
            <w:tcW w:w="0" w:type="dxa"/>
            <w:vAlign w:val="bottom"/>
          </w:tcPr>
          <w:p>
            <w:pPr>
              <w:spacing w:after="0"/>
              <w:rPr>
                <w:sz w:val="1"/>
                <w:szCs w:val="1"/>
                <w:color w:val="auto"/>
              </w:rPr>
            </w:pPr>
          </w:p>
        </w:tc>
      </w:tr>
      <w:tr>
        <w:trPr>
          <w:trHeight w:val="201"/>
        </w:trPr>
        <w:tc>
          <w:tcPr>
            <w:tcW w:w="2040" w:type="dxa"/>
            <w:vAlign w:val="bottom"/>
          </w:tcPr>
          <w:p>
            <w:pPr>
              <w:ind w:left="20"/>
              <w:spacing w:after="0"/>
              <w:rPr>
                <w:sz w:val="20"/>
                <w:szCs w:val="20"/>
                <w:color w:val="auto"/>
              </w:rPr>
            </w:pPr>
            <w:r>
              <w:rPr>
                <w:rFonts w:ascii="Arial" w:cs="Arial" w:eastAsia="Arial" w:hAnsi="Arial"/>
                <w:sz w:val="14"/>
                <w:szCs w:val="14"/>
                <w:color w:val="auto"/>
              </w:rPr>
              <w:t>income taxes</w:t>
            </w: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71"/>
        </w:trPr>
        <w:tc>
          <w:tcPr>
            <w:tcW w:w="2040" w:type="dxa"/>
            <w:vAlign w:val="bottom"/>
            <w:shd w:val="clear" w:color="auto" w:fill="CCEEFF"/>
          </w:tcPr>
          <w:p>
            <w:pPr>
              <w:ind w:left="20"/>
              <w:spacing w:after="0"/>
              <w:rPr>
                <w:sz w:val="20"/>
                <w:szCs w:val="20"/>
                <w:color w:val="auto"/>
              </w:rPr>
            </w:pPr>
            <w:r>
              <w:rPr>
                <w:rFonts w:ascii="Arial" w:cs="Arial" w:eastAsia="Arial" w:hAnsi="Arial"/>
                <w:sz w:val="14"/>
                <w:szCs w:val="14"/>
                <w:color w:val="auto"/>
              </w:rPr>
              <w:t>Less: Incentive allocations</w:t>
            </w:r>
          </w:p>
        </w:tc>
        <w:tc>
          <w:tcPr>
            <w:tcW w:w="140" w:type="dxa"/>
            <w:vAlign w:val="bottom"/>
            <w:shd w:val="clear" w:color="auto" w:fill="CCEEFF"/>
          </w:tcPr>
          <w:p>
            <w:pPr>
              <w:spacing w:after="0"/>
              <w:rPr>
                <w:sz w:val="23"/>
                <w:szCs w:val="23"/>
                <w:color w:val="auto"/>
              </w:rPr>
            </w:pPr>
          </w:p>
        </w:tc>
        <w:tc>
          <w:tcPr>
            <w:tcW w:w="780" w:type="dxa"/>
            <w:vAlign w:val="bottom"/>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8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9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8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8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9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8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76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76"/>
        </w:trPr>
        <w:tc>
          <w:tcPr>
            <w:tcW w:w="2040" w:type="dxa"/>
            <w:vAlign w:val="bottom"/>
          </w:tcPr>
          <w:p>
            <w:pPr>
              <w:ind w:left="20"/>
              <w:spacing w:after="0"/>
              <w:rPr>
                <w:sz w:val="20"/>
                <w:szCs w:val="20"/>
                <w:color w:val="auto"/>
              </w:rPr>
            </w:pPr>
            <w:r>
              <w:rPr>
                <w:rFonts w:ascii="Arial" w:cs="Arial" w:eastAsia="Arial" w:hAnsi="Arial"/>
                <w:sz w:val="14"/>
                <w:szCs w:val="14"/>
                <w:color w:val="auto"/>
              </w:rPr>
              <w:t>Less: Pro-rata share of</w:t>
            </w:r>
          </w:p>
        </w:tc>
        <w:tc>
          <w:tcPr>
            <w:tcW w:w="1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2040" w:type="dxa"/>
            <w:vAlign w:val="bottom"/>
          </w:tcPr>
          <w:p>
            <w:pPr>
              <w:ind w:left="20"/>
              <w:spacing w:after="0"/>
              <w:rPr>
                <w:sz w:val="20"/>
                <w:szCs w:val="20"/>
                <w:color w:val="auto"/>
              </w:rPr>
            </w:pPr>
            <w:r>
              <w:rPr>
                <w:rFonts w:ascii="Arial" w:cs="Arial" w:eastAsia="Arial" w:hAnsi="Arial"/>
                <w:sz w:val="14"/>
                <w:szCs w:val="14"/>
                <w:color w:val="auto"/>
              </w:rPr>
              <w:t>Adjusted Net Income from</w:t>
            </w:r>
          </w:p>
        </w:tc>
        <w:tc>
          <w:tcPr>
            <w:tcW w:w="1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40" w:type="dxa"/>
            <w:vAlign w:val="bottom"/>
          </w:tcPr>
          <w:p>
            <w:pPr>
              <w:ind w:left="20"/>
              <w:spacing w:after="0"/>
              <w:rPr>
                <w:sz w:val="20"/>
                <w:szCs w:val="20"/>
                <w:color w:val="auto"/>
              </w:rPr>
            </w:pPr>
            <w:r>
              <w:rPr>
                <w:rFonts w:ascii="Arial" w:cs="Arial" w:eastAsia="Arial" w:hAnsi="Arial"/>
                <w:sz w:val="14"/>
                <w:szCs w:val="14"/>
                <w:color w:val="auto"/>
              </w:rPr>
              <w:t>investments in unconsolidated</w:t>
            </w:r>
          </w:p>
        </w:tc>
        <w:tc>
          <w:tcPr>
            <w:tcW w:w="1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6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(86)</w:t>
            </w:r>
          </w:p>
        </w:tc>
        <w:tc>
          <w:tcPr>
            <w:tcW w:w="0" w:type="dxa"/>
            <w:vAlign w:val="bottom"/>
          </w:tcPr>
          <w:p>
            <w:pPr>
              <w:spacing w:after="0"/>
              <w:rPr>
                <w:sz w:val="1"/>
                <w:szCs w:val="1"/>
                <w:color w:val="auto"/>
              </w:rPr>
            </w:pPr>
          </w:p>
        </w:tc>
      </w:tr>
      <w:tr>
        <w:trPr>
          <w:trHeight w:val="201"/>
        </w:trPr>
        <w:tc>
          <w:tcPr>
            <w:tcW w:w="2040" w:type="dxa"/>
            <w:vAlign w:val="bottom"/>
          </w:tcPr>
          <w:p>
            <w:pPr>
              <w:ind w:left="20"/>
              <w:spacing w:after="0"/>
              <w:rPr>
                <w:sz w:val="20"/>
                <w:szCs w:val="20"/>
                <w:color w:val="auto"/>
              </w:rPr>
            </w:pPr>
            <w:r>
              <w:rPr>
                <w:rFonts w:ascii="Arial" w:cs="Arial" w:eastAsia="Arial" w:hAnsi="Arial"/>
                <w:sz w:val="14"/>
                <w:szCs w:val="14"/>
                <w:color w:val="auto"/>
              </w:rPr>
              <w:t>entities</w:t>
            </w: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7"/>
        </w:trPr>
        <w:tc>
          <w:tcPr>
            <w:tcW w:w="2040" w:type="dxa"/>
            <w:vAlign w:val="bottom"/>
            <w:shd w:val="clear" w:color="auto" w:fill="CCEEFF"/>
          </w:tcPr>
          <w:p>
            <w:pPr>
              <w:ind w:left="20"/>
              <w:spacing w:after="0"/>
              <w:rPr>
                <w:sz w:val="20"/>
                <w:szCs w:val="20"/>
                <w:color w:val="auto"/>
              </w:rPr>
            </w:pPr>
            <w:r>
              <w:rPr>
                <w:rFonts w:ascii="Arial" w:cs="Arial" w:eastAsia="Arial" w:hAnsi="Arial"/>
                <w:sz w:val="14"/>
                <w:szCs w:val="14"/>
                <w:color w:val="auto"/>
              </w:rPr>
              <w:t>Less: Asset impairment</w:t>
            </w:r>
          </w:p>
        </w:tc>
        <w:tc>
          <w:tcPr>
            <w:tcW w:w="14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6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202"/>
        </w:trPr>
        <w:tc>
          <w:tcPr>
            <w:tcW w:w="2040" w:type="dxa"/>
            <w:vAlign w:val="bottom"/>
            <w:shd w:val="clear" w:color="auto" w:fill="CCEEFF"/>
          </w:tcPr>
          <w:p>
            <w:pPr>
              <w:ind w:left="20"/>
              <w:spacing w:after="0"/>
              <w:rPr>
                <w:sz w:val="20"/>
                <w:szCs w:val="20"/>
                <w:color w:val="auto"/>
              </w:rPr>
            </w:pPr>
            <w:r>
              <w:rPr>
                <w:rFonts w:ascii="Arial" w:cs="Arial" w:eastAsia="Arial" w:hAnsi="Arial"/>
                <w:sz w:val="14"/>
                <w:szCs w:val="14"/>
                <w:color w:val="auto"/>
              </w:rPr>
              <w:t>charges</w:t>
            </w: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6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2040" w:type="dxa"/>
            <w:vAlign w:val="bottom"/>
          </w:tcPr>
          <w:p>
            <w:pPr>
              <w:ind w:left="20"/>
              <w:spacing w:after="0"/>
              <w:rPr>
                <w:sz w:val="20"/>
                <w:szCs w:val="20"/>
                <w:color w:val="auto"/>
              </w:rPr>
            </w:pPr>
            <w:r>
              <w:rPr>
                <w:rFonts w:ascii="Arial" w:cs="Arial" w:eastAsia="Arial" w:hAnsi="Arial"/>
                <w:sz w:val="14"/>
                <w:szCs w:val="14"/>
                <w:color w:val="auto"/>
              </w:rPr>
              <w:t>Less: Changes in fair value of</w:t>
            </w:r>
          </w:p>
        </w:tc>
        <w:tc>
          <w:tcPr>
            <w:tcW w:w="1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2040" w:type="dxa"/>
            <w:vAlign w:val="bottom"/>
          </w:tcPr>
          <w:p>
            <w:pPr>
              <w:ind w:left="20"/>
              <w:spacing w:after="0"/>
              <w:rPr>
                <w:sz w:val="20"/>
                <w:szCs w:val="20"/>
                <w:color w:val="auto"/>
              </w:rPr>
            </w:pPr>
            <w:r>
              <w:rPr>
                <w:rFonts w:ascii="Arial" w:cs="Arial" w:eastAsia="Arial" w:hAnsi="Arial"/>
                <w:sz w:val="14"/>
                <w:szCs w:val="14"/>
                <w:color w:val="auto"/>
              </w:rPr>
              <w:t>non-hedge derivative</w:t>
            </w:r>
          </w:p>
        </w:tc>
        <w:tc>
          <w:tcPr>
            <w:tcW w:w="1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60" w:type="dxa"/>
            <w:vAlign w:val="bottom"/>
            <w:vMerge w:val="restart"/>
          </w:tcPr>
          <w:p>
            <w:pPr>
              <w:jc w:val="right"/>
              <w:ind w:right="48"/>
              <w:spacing w:after="0"/>
              <w:rPr>
                <w:sz w:val="20"/>
                <w:szCs w:val="20"/>
                <w:color w:val="auto"/>
              </w:rPr>
            </w:pPr>
            <w:r>
              <w:rPr>
                <w:rFonts w:ascii="Arial" w:cs="Arial" w:eastAsia="Arial" w:hAnsi="Arial"/>
                <w:sz w:val="14"/>
                <w:szCs w:val="14"/>
                <w:b w:val="1"/>
                <w:bCs w:val="1"/>
                <w:color w:val="auto"/>
              </w:rPr>
              <w:t>1,036</w:t>
            </w:r>
          </w:p>
        </w:tc>
        <w:tc>
          <w:tcPr>
            <w:tcW w:w="0" w:type="dxa"/>
            <w:vAlign w:val="bottom"/>
          </w:tcPr>
          <w:p>
            <w:pPr>
              <w:spacing w:after="0"/>
              <w:rPr>
                <w:sz w:val="1"/>
                <w:szCs w:val="1"/>
                <w:color w:val="auto"/>
              </w:rPr>
            </w:pPr>
          </w:p>
        </w:tc>
      </w:tr>
      <w:tr>
        <w:trPr>
          <w:trHeight w:val="201"/>
        </w:trPr>
        <w:tc>
          <w:tcPr>
            <w:tcW w:w="2040" w:type="dxa"/>
            <w:vAlign w:val="bottom"/>
          </w:tcPr>
          <w:p>
            <w:pPr>
              <w:ind w:left="20"/>
              <w:spacing w:after="0"/>
              <w:rPr>
                <w:sz w:val="20"/>
                <w:szCs w:val="20"/>
                <w:color w:val="auto"/>
              </w:rPr>
            </w:pPr>
            <w:r>
              <w:rPr>
                <w:rFonts w:ascii="Arial" w:cs="Arial" w:eastAsia="Arial" w:hAnsi="Arial"/>
                <w:sz w:val="14"/>
                <w:szCs w:val="14"/>
                <w:color w:val="auto"/>
              </w:rPr>
              <w:t>instruments</w:t>
            </w: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7"/>
        </w:trPr>
        <w:tc>
          <w:tcPr>
            <w:tcW w:w="2040" w:type="dxa"/>
            <w:vAlign w:val="bottom"/>
            <w:shd w:val="clear" w:color="auto" w:fill="CCEEFF"/>
          </w:tcPr>
          <w:p>
            <w:pPr>
              <w:ind w:left="20"/>
              <w:spacing w:after="0"/>
              <w:rPr>
                <w:sz w:val="20"/>
                <w:szCs w:val="20"/>
                <w:color w:val="auto"/>
              </w:rPr>
            </w:pPr>
            <w:r>
              <w:rPr>
                <w:rFonts w:ascii="Arial" w:cs="Arial" w:eastAsia="Arial" w:hAnsi="Arial"/>
                <w:sz w:val="14"/>
                <w:szCs w:val="14"/>
                <w:color w:val="auto"/>
              </w:rPr>
              <w:t>Less: Losses on the</w:t>
            </w:r>
          </w:p>
        </w:tc>
        <w:tc>
          <w:tcPr>
            <w:tcW w:w="14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2040" w:type="dxa"/>
            <w:vAlign w:val="bottom"/>
            <w:shd w:val="clear" w:color="auto" w:fill="CCEEFF"/>
          </w:tcPr>
          <w:p>
            <w:pPr>
              <w:ind w:left="20"/>
              <w:spacing w:after="0"/>
              <w:rPr>
                <w:sz w:val="20"/>
                <w:szCs w:val="20"/>
                <w:color w:val="auto"/>
              </w:rPr>
            </w:pPr>
            <w:r>
              <w:rPr>
                <w:rFonts w:ascii="Arial" w:cs="Arial" w:eastAsia="Arial" w:hAnsi="Arial"/>
                <w:sz w:val="14"/>
                <w:szCs w:val="14"/>
                <w:color w:val="auto"/>
              </w:rPr>
              <w:t>modification or extinguishment</w:t>
            </w:r>
          </w:p>
        </w:tc>
        <w:tc>
          <w:tcPr>
            <w:tcW w:w="14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40" w:type="dxa"/>
            <w:vAlign w:val="bottom"/>
            <w:shd w:val="clear" w:color="auto" w:fill="CCEEFF"/>
          </w:tcPr>
          <w:p>
            <w:pPr>
              <w:ind w:left="20"/>
              <w:spacing w:after="0"/>
              <w:rPr>
                <w:sz w:val="20"/>
                <w:szCs w:val="20"/>
                <w:color w:val="auto"/>
              </w:rPr>
            </w:pPr>
            <w:r>
              <w:rPr>
                <w:rFonts w:ascii="Arial" w:cs="Arial" w:eastAsia="Arial" w:hAnsi="Arial"/>
                <w:sz w:val="14"/>
                <w:szCs w:val="14"/>
                <w:color w:val="auto"/>
              </w:rPr>
              <w:t>of debt and capital lease</w:t>
            </w:r>
          </w:p>
        </w:tc>
        <w:tc>
          <w:tcPr>
            <w:tcW w:w="14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6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202"/>
        </w:trPr>
        <w:tc>
          <w:tcPr>
            <w:tcW w:w="2040" w:type="dxa"/>
            <w:vAlign w:val="bottom"/>
            <w:shd w:val="clear" w:color="auto" w:fill="CCEEFF"/>
          </w:tcPr>
          <w:p>
            <w:pPr>
              <w:ind w:left="20"/>
              <w:spacing w:after="0"/>
              <w:rPr>
                <w:sz w:val="20"/>
                <w:szCs w:val="20"/>
                <w:color w:val="auto"/>
              </w:rPr>
            </w:pPr>
            <w:r>
              <w:rPr>
                <w:rFonts w:ascii="Arial" w:cs="Arial" w:eastAsia="Arial" w:hAnsi="Arial"/>
                <w:sz w:val="14"/>
                <w:szCs w:val="14"/>
                <w:color w:val="auto"/>
              </w:rPr>
              <w:t>obligations</w:t>
            </w: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6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2040" w:type="dxa"/>
            <w:vAlign w:val="bottom"/>
          </w:tcPr>
          <w:p>
            <w:pPr>
              <w:ind w:left="20"/>
              <w:spacing w:after="0"/>
              <w:rPr>
                <w:sz w:val="20"/>
                <w:szCs w:val="20"/>
                <w:color w:val="auto"/>
              </w:rPr>
            </w:pPr>
            <w:r>
              <w:rPr>
                <w:rFonts w:ascii="Arial" w:cs="Arial" w:eastAsia="Arial" w:hAnsi="Arial"/>
                <w:sz w:val="14"/>
                <w:szCs w:val="14"/>
                <w:color w:val="auto"/>
              </w:rPr>
              <w:t>Less: Acquisition and</w:t>
            </w:r>
          </w:p>
        </w:tc>
        <w:tc>
          <w:tcPr>
            <w:tcW w:w="1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6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(1,732)</w:t>
            </w:r>
          </w:p>
        </w:tc>
        <w:tc>
          <w:tcPr>
            <w:tcW w:w="0" w:type="dxa"/>
            <w:vAlign w:val="bottom"/>
          </w:tcPr>
          <w:p>
            <w:pPr>
              <w:spacing w:after="0"/>
              <w:rPr>
                <w:sz w:val="1"/>
                <w:szCs w:val="1"/>
                <w:color w:val="auto"/>
              </w:rPr>
            </w:pPr>
          </w:p>
        </w:tc>
      </w:tr>
      <w:tr>
        <w:trPr>
          <w:trHeight w:val="201"/>
        </w:trPr>
        <w:tc>
          <w:tcPr>
            <w:tcW w:w="2040" w:type="dxa"/>
            <w:vAlign w:val="bottom"/>
          </w:tcPr>
          <w:p>
            <w:pPr>
              <w:ind w:left="20"/>
              <w:spacing w:after="0"/>
              <w:rPr>
                <w:sz w:val="20"/>
                <w:szCs w:val="20"/>
                <w:color w:val="auto"/>
              </w:rPr>
            </w:pPr>
            <w:r>
              <w:rPr>
                <w:rFonts w:ascii="Arial" w:cs="Arial" w:eastAsia="Arial" w:hAnsi="Arial"/>
                <w:sz w:val="14"/>
                <w:szCs w:val="14"/>
                <w:color w:val="auto"/>
              </w:rPr>
              <w:t>transaction expenses</w:t>
            </w: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7"/>
        </w:trPr>
        <w:tc>
          <w:tcPr>
            <w:tcW w:w="2040" w:type="dxa"/>
            <w:vAlign w:val="bottom"/>
            <w:shd w:val="clear" w:color="auto" w:fill="CCEEFF"/>
          </w:tcPr>
          <w:p>
            <w:pPr>
              <w:ind w:left="20"/>
              <w:spacing w:after="0"/>
              <w:rPr>
                <w:sz w:val="20"/>
                <w:szCs w:val="20"/>
                <w:color w:val="auto"/>
              </w:rPr>
            </w:pPr>
            <w:r>
              <w:rPr>
                <w:rFonts w:ascii="Arial" w:cs="Arial" w:eastAsia="Arial" w:hAnsi="Arial"/>
                <w:sz w:val="14"/>
                <w:szCs w:val="14"/>
                <w:color w:val="auto"/>
              </w:rPr>
              <w:t>Less: Equity-based</w:t>
            </w:r>
          </w:p>
        </w:tc>
        <w:tc>
          <w:tcPr>
            <w:tcW w:w="14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4"/>
                <w:szCs w:val="14"/>
                <w:b w:val="1"/>
                <w:bCs w:val="1"/>
                <w:color w:val="auto"/>
              </w:rPr>
              <w:t>(165)</w:t>
            </w:r>
          </w:p>
        </w:tc>
        <w:tc>
          <w:tcPr>
            <w:tcW w:w="0" w:type="dxa"/>
            <w:vAlign w:val="bottom"/>
          </w:tcPr>
          <w:p>
            <w:pPr>
              <w:spacing w:after="0"/>
              <w:rPr>
                <w:sz w:val="1"/>
                <w:szCs w:val="1"/>
                <w:color w:val="auto"/>
              </w:rPr>
            </w:pPr>
          </w:p>
        </w:tc>
      </w:tr>
      <w:tr>
        <w:trPr>
          <w:trHeight w:val="202"/>
        </w:trPr>
        <w:tc>
          <w:tcPr>
            <w:tcW w:w="2040" w:type="dxa"/>
            <w:vAlign w:val="bottom"/>
            <w:shd w:val="clear" w:color="auto" w:fill="CCEEFF"/>
          </w:tcPr>
          <w:p>
            <w:pPr>
              <w:ind w:left="20"/>
              <w:spacing w:after="0"/>
              <w:rPr>
                <w:sz w:val="20"/>
                <w:szCs w:val="20"/>
                <w:color w:val="auto"/>
              </w:rPr>
            </w:pPr>
            <w:r>
              <w:rPr>
                <w:rFonts w:ascii="Arial" w:cs="Arial" w:eastAsia="Arial" w:hAnsi="Arial"/>
                <w:sz w:val="14"/>
                <w:szCs w:val="14"/>
                <w:color w:val="auto"/>
              </w:rPr>
              <w:t>compensation expense</w:t>
            </w: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6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2040" w:type="dxa"/>
            <w:vAlign w:val="bottom"/>
          </w:tcPr>
          <w:p>
            <w:pPr>
              <w:ind w:left="20"/>
              <w:spacing w:after="0"/>
              <w:rPr>
                <w:sz w:val="20"/>
                <w:szCs w:val="20"/>
                <w:color w:val="auto"/>
              </w:rPr>
            </w:pPr>
            <w:r>
              <w:rPr>
                <w:rFonts w:ascii="Arial" w:cs="Arial" w:eastAsia="Arial" w:hAnsi="Arial"/>
                <w:sz w:val="14"/>
                <w:szCs w:val="14"/>
                <w:color w:val="auto"/>
              </w:rPr>
              <w:t>Less: Provision for income</w:t>
            </w:r>
          </w:p>
        </w:tc>
        <w:tc>
          <w:tcPr>
            <w:tcW w:w="1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6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(909)</w:t>
            </w:r>
          </w:p>
        </w:tc>
        <w:tc>
          <w:tcPr>
            <w:tcW w:w="0" w:type="dxa"/>
            <w:vAlign w:val="bottom"/>
          </w:tcPr>
          <w:p>
            <w:pPr>
              <w:spacing w:after="0"/>
              <w:rPr>
                <w:sz w:val="1"/>
                <w:szCs w:val="1"/>
                <w:color w:val="auto"/>
              </w:rPr>
            </w:pPr>
          </w:p>
        </w:tc>
      </w:tr>
      <w:tr>
        <w:trPr>
          <w:trHeight w:val="201"/>
        </w:trPr>
        <w:tc>
          <w:tcPr>
            <w:tcW w:w="204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taxes</w:t>
            </w:r>
          </w:p>
        </w:tc>
        <w:tc>
          <w:tcPr>
            <w:tcW w:w="140" w:type="dxa"/>
            <w:vAlign w:val="bottom"/>
            <w:tcBorders>
              <w:bottom w:val="single" w:sz="8" w:color="CCEEFF"/>
            </w:tcBorders>
          </w:tcPr>
          <w:p>
            <w:pPr>
              <w:spacing w:after="0"/>
              <w:rPr>
                <w:sz w:val="17"/>
                <w:szCs w:val="17"/>
                <w:color w:val="auto"/>
              </w:rPr>
            </w:pPr>
          </w:p>
        </w:tc>
        <w:tc>
          <w:tcPr>
            <w:tcW w:w="780" w:type="dxa"/>
            <w:vAlign w:val="bottom"/>
            <w:tcBorders>
              <w:bottom w:val="single" w:sz="8" w:color="CCEEFF"/>
            </w:tcBorders>
          </w:tcPr>
          <w:p>
            <w:pPr>
              <w:spacing w:after="0"/>
              <w:rPr>
                <w:sz w:val="17"/>
                <w:szCs w:val="17"/>
                <w:color w:val="auto"/>
              </w:rPr>
            </w:pPr>
          </w:p>
        </w:tc>
        <w:tc>
          <w:tcPr>
            <w:tcW w:w="60" w:type="dxa"/>
            <w:vAlign w:val="bottom"/>
            <w:tcBorders>
              <w:bottom w:val="single" w:sz="8" w:color="CCEEFF"/>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140" w:type="dxa"/>
            <w:vAlign w:val="bottom"/>
            <w:tcBorders>
              <w:bottom w:val="single" w:sz="8" w:color="CCEEFF"/>
            </w:tcBorders>
          </w:tcPr>
          <w:p>
            <w:pPr>
              <w:spacing w:after="0"/>
              <w:rPr>
                <w:sz w:val="17"/>
                <w:szCs w:val="17"/>
                <w:color w:val="auto"/>
              </w:rPr>
            </w:pPr>
          </w:p>
        </w:tc>
        <w:tc>
          <w:tcPr>
            <w:tcW w:w="840" w:type="dxa"/>
            <w:vAlign w:val="bottom"/>
            <w:tcBorders>
              <w:bottom w:val="single" w:sz="8" w:color="CCEEFF"/>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140" w:type="dxa"/>
            <w:vAlign w:val="bottom"/>
            <w:tcBorders>
              <w:bottom w:val="single" w:sz="8" w:color="CCEEFF"/>
            </w:tcBorders>
          </w:tcPr>
          <w:p>
            <w:pPr>
              <w:spacing w:after="0"/>
              <w:rPr>
                <w:sz w:val="17"/>
                <w:szCs w:val="17"/>
                <w:color w:val="auto"/>
              </w:rPr>
            </w:pPr>
          </w:p>
        </w:tc>
        <w:tc>
          <w:tcPr>
            <w:tcW w:w="94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820" w:type="dxa"/>
            <w:vAlign w:val="bottom"/>
            <w:tcBorders>
              <w:bottom w:val="single" w:sz="8" w:color="CCEEFF"/>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140" w:type="dxa"/>
            <w:vAlign w:val="bottom"/>
            <w:tcBorders>
              <w:bottom w:val="single" w:sz="8" w:color="CCEEFF"/>
            </w:tcBorders>
          </w:tcPr>
          <w:p>
            <w:pPr>
              <w:spacing w:after="0"/>
              <w:rPr>
                <w:sz w:val="17"/>
                <w:szCs w:val="17"/>
                <w:color w:val="auto"/>
              </w:rPr>
            </w:pPr>
          </w:p>
        </w:tc>
        <w:tc>
          <w:tcPr>
            <w:tcW w:w="800" w:type="dxa"/>
            <w:vAlign w:val="bottom"/>
            <w:tcBorders>
              <w:bottom w:val="single" w:sz="8" w:color="CCEEFF"/>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140" w:type="dxa"/>
            <w:vAlign w:val="bottom"/>
            <w:tcBorders>
              <w:bottom w:val="single" w:sz="8" w:color="CCEEFF"/>
            </w:tcBorders>
          </w:tcPr>
          <w:p>
            <w:pPr>
              <w:spacing w:after="0"/>
              <w:rPr>
                <w:sz w:val="17"/>
                <w:szCs w:val="17"/>
                <w:color w:val="auto"/>
              </w:rPr>
            </w:pPr>
          </w:p>
        </w:tc>
        <w:tc>
          <w:tcPr>
            <w:tcW w:w="900" w:type="dxa"/>
            <w:vAlign w:val="bottom"/>
            <w:tcBorders>
              <w:bottom w:val="single" w:sz="8" w:color="CCEEFF"/>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84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57"/>
        </w:trPr>
        <w:tc>
          <w:tcPr>
            <w:tcW w:w="2040" w:type="dxa"/>
            <w:vAlign w:val="bottom"/>
            <w:shd w:val="clear" w:color="auto" w:fill="CCEEFF"/>
          </w:tcPr>
          <w:p>
            <w:pPr>
              <w:ind w:left="20"/>
              <w:spacing w:after="0" w:line="157" w:lineRule="exact"/>
              <w:rPr>
                <w:sz w:val="20"/>
                <w:szCs w:val="20"/>
                <w:color w:val="auto"/>
              </w:rPr>
            </w:pPr>
            <w:r>
              <w:rPr>
                <w:rFonts w:ascii="Arial" w:cs="Arial" w:eastAsia="Arial" w:hAnsi="Arial"/>
                <w:sz w:val="14"/>
                <w:szCs w:val="14"/>
                <w:color w:val="auto"/>
              </w:rPr>
              <w:t>Net income attributable to</w:t>
            </w:r>
          </w:p>
        </w:tc>
        <w:tc>
          <w:tcPr>
            <w:tcW w:w="14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9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0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w:t>
            </w:r>
          </w:p>
        </w:tc>
        <w:tc>
          <w:tcPr>
            <w:tcW w:w="76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2,998</w:t>
            </w:r>
          </w:p>
        </w:tc>
        <w:tc>
          <w:tcPr>
            <w:tcW w:w="0" w:type="dxa"/>
            <w:vAlign w:val="bottom"/>
          </w:tcPr>
          <w:p>
            <w:pPr>
              <w:spacing w:after="0"/>
              <w:rPr>
                <w:sz w:val="1"/>
                <w:szCs w:val="1"/>
                <w:color w:val="auto"/>
              </w:rPr>
            </w:pPr>
          </w:p>
        </w:tc>
      </w:tr>
      <w:tr>
        <w:trPr>
          <w:trHeight w:val="189"/>
        </w:trPr>
        <w:tc>
          <w:tcPr>
            <w:tcW w:w="2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shareholders</w:t>
            </w:r>
          </w:p>
        </w:tc>
        <w:tc>
          <w:tcPr>
            <w:tcW w:w="140" w:type="dxa"/>
            <w:vAlign w:val="bottom"/>
            <w:tcBorders>
              <w:bottom w:val="single" w:sz="8" w:color="CCEEFF"/>
            </w:tcBorders>
            <w:shd w:val="clear" w:color="auto" w:fill="CCEEFF"/>
          </w:tcPr>
          <w:p>
            <w:pPr>
              <w:spacing w:after="0"/>
              <w:rPr>
                <w:sz w:val="16"/>
                <w:szCs w:val="16"/>
                <w:color w:val="auto"/>
              </w:rPr>
            </w:pPr>
          </w:p>
        </w:tc>
        <w:tc>
          <w:tcPr>
            <w:tcW w:w="780" w:type="dxa"/>
            <w:vAlign w:val="bottom"/>
            <w:tcBorders>
              <w:bottom w:val="single" w:sz="8" w:color="CCEEFF"/>
            </w:tcBorders>
            <w:shd w:val="clear" w:color="auto" w:fill="CCEEFF"/>
          </w:tcPr>
          <w:p>
            <w:pPr>
              <w:spacing w:after="0"/>
              <w:rPr>
                <w:sz w:val="16"/>
                <w:szCs w:val="16"/>
                <w:color w:val="auto"/>
              </w:rPr>
            </w:pPr>
          </w:p>
        </w:tc>
        <w:tc>
          <w:tcPr>
            <w:tcW w:w="6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84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94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82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80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90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84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auto"/>
            </w:tcBorders>
            <w:vMerge w:val="continue"/>
            <w:shd w:val="clear" w:color="auto" w:fill="CCEEFF"/>
          </w:tcPr>
          <w:p>
            <w:pPr>
              <w:spacing w:after="0"/>
              <w:rPr>
                <w:sz w:val="16"/>
                <w:szCs w:val="16"/>
                <w:color w:val="auto"/>
              </w:rPr>
            </w:pPr>
          </w:p>
        </w:tc>
        <w:tc>
          <w:tcPr>
            <w:tcW w:w="760" w:type="dxa"/>
            <w:vAlign w:val="bottom"/>
            <w:tcBorders>
              <w:bottom w:val="single" w:sz="8" w:color="auto"/>
            </w:tcBorders>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4" w:lineRule="exact"/>
        <w:rPr>
          <w:sz w:val="20"/>
          <w:szCs w:val="20"/>
          <w:color w:val="auto"/>
        </w:rPr>
      </w:pPr>
    </w:p>
    <w:p>
      <w:pPr>
        <w:ind w:left="340"/>
        <w:spacing w:after="0"/>
        <w:rPr>
          <w:sz w:val="20"/>
          <w:szCs w:val="20"/>
          <w:color w:val="auto"/>
        </w:rPr>
      </w:pPr>
      <w:r>
        <w:rPr>
          <w:rFonts w:ascii="Arial" w:cs="Arial" w:eastAsia="Arial" w:hAnsi="Arial"/>
          <w:sz w:val="16"/>
          <w:szCs w:val="16"/>
          <w:color w:val="auto"/>
        </w:rPr>
        <w:t>Summary information with respect to the Company’s geographic sources of revenue, based on location of customer, is as follows:</w:t>
      </w:r>
    </w:p>
    <w:p>
      <w:pPr>
        <w:spacing w:after="0" w:line="386" w:lineRule="exact"/>
        <w:rPr>
          <w:sz w:val="20"/>
          <w:szCs w:val="20"/>
          <w:color w:val="auto"/>
        </w:rPr>
      </w:pPr>
    </w:p>
    <w:tbl>
      <w:tblPr>
        <w:tblLayout w:type="fixed"/>
        <w:tblInd w:w="540" w:type="dxa"/>
        <w:tblCellMar>
          <w:top w:w="0" w:type="dxa"/>
          <w:left w:w="0" w:type="dxa"/>
          <w:bottom w:w="0" w:type="dxa"/>
          <w:right w:w="0" w:type="dxa"/>
        </w:tblCellMar>
      </w:tblPr>
      <w:tr>
        <w:trPr>
          <w:trHeight w:val="203"/>
        </w:trPr>
        <w:tc>
          <w:tcPr>
            <w:tcW w:w="1820" w:type="dxa"/>
            <w:vAlign w:val="bottom"/>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3660" w:type="dxa"/>
            <w:vAlign w:val="bottom"/>
            <w:tcBorders>
              <w:bottom w:val="single" w:sz="8" w:color="auto"/>
            </w:tcBorders>
            <w:gridSpan w:val="8"/>
          </w:tcPr>
          <w:p>
            <w:pPr>
              <w:ind w:left="260"/>
              <w:spacing w:after="0"/>
              <w:rPr>
                <w:sz w:val="20"/>
                <w:szCs w:val="20"/>
                <w:color w:val="auto"/>
              </w:rPr>
            </w:pPr>
            <w:r>
              <w:rPr>
                <w:rFonts w:ascii="Arial" w:cs="Arial" w:eastAsia="Arial" w:hAnsi="Arial"/>
                <w:sz w:val="14"/>
                <w:szCs w:val="14"/>
                <w:b w:val="1"/>
                <w:bCs w:val="1"/>
                <w:color w:val="auto"/>
              </w:rPr>
              <w:t>Three months ended September 30, 2017</w:t>
            </w:r>
          </w:p>
        </w:tc>
        <w:tc>
          <w:tcPr>
            <w:tcW w:w="16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spacing w:after="0"/>
              <w:rPr>
                <w:sz w:val="17"/>
                <w:szCs w:val="17"/>
                <w:color w:val="auto"/>
              </w:rPr>
            </w:pPr>
          </w:p>
        </w:tc>
      </w:tr>
      <w:tr>
        <w:trPr>
          <w:trHeight w:val="264"/>
        </w:trPr>
        <w:tc>
          <w:tcPr>
            <w:tcW w:w="1820" w:type="dxa"/>
            <w:vAlign w:val="bottom"/>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spacing w:after="0"/>
              <w:rPr>
                <w:sz w:val="22"/>
                <w:szCs w:val="22"/>
                <w:color w:val="auto"/>
              </w:rPr>
            </w:pPr>
          </w:p>
        </w:tc>
        <w:tc>
          <w:tcPr>
            <w:tcW w:w="1440" w:type="dxa"/>
            <w:vAlign w:val="bottom"/>
            <w:tcBorders>
              <w:bottom w:val="single" w:sz="8" w:color="auto"/>
            </w:tcBorders>
            <w:gridSpan w:val="4"/>
          </w:tcPr>
          <w:p>
            <w:pPr>
              <w:ind w:left="40"/>
              <w:spacing w:after="0"/>
              <w:rPr>
                <w:sz w:val="20"/>
                <w:szCs w:val="20"/>
                <w:color w:val="auto"/>
              </w:rPr>
            </w:pPr>
            <w:r>
              <w:rPr>
                <w:rFonts w:ascii="Arial" w:cs="Arial" w:eastAsia="Arial" w:hAnsi="Arial"/>
                <w:sz w:val="14"/>
                <w:szCs w:val="14"/>
                <w:b w:val="1"/>
                <w:bCs w:val="1"/>
                <w:color w:val="auto"/>
              </w:rPr>
              <w:t>Equipment Leasing</w:t>
            </w:r>
          </w:p>
        </w:tc>
        <w:tc>
          <w:tcPr>
            <w:tcW w:w="14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gridSpan w:val="2"/>
          </w:tcPr>
          <w:p>
            <w:pPr>
              <w:jc w:val="center"/>
              <w:ind w:right="200"/>
              <w:spacing w:after="0"/>
              <w:rPr>
                <w:sz w:val="20"/>
                <w:szCs w:val="20"/>
                <w:color w:val="auto"/>
              </w:rPr>
            </w:pPr>
            <w:r>
              <w:rPr>
                <w:rFonts w:ascii="Arial" w:cs="Arial" w:eastAsia="Arial" w:hAnsi="Arial"/>
                <w:sz w:val="14"/>
                <w:szCs w:val="14"/>
                <w:b w:val="1"/>
                <w:bCs w:val="1"/>
                <w:color w:val="auto"/>
              </w:rPr>
              <w:t>Infrastructure</w:t>
            </w:r>
          </w:p>
        </w:tc>
        <w:tc>
          <w:tcPr>
            <w:tcW w:w="16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20" w:type="dxa"/>
            <w:vAlign w:val="bottom"/>
          </w:tcPr>
          <w:p>
            <w:pPr>
              <w:spacing w:after="0"/>
              <w:rPr>
                <w:sz w:val="22"/>
                <w:szCs w:val="22"/>
                <w:color w:val="auto"/>
              </w:rPr>
            </w:pPr>
          </w:p>
        </w:tc>
      </w:tr>
      <w:tr>
        <w:trPr>
          <w:trHeight w:val="168"/>
        </w:trPr>
        <w:tc>
          <w:tcPr>
            <w:tcW w:w="18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Shipping</w:t>
            </w:r>
          </w:p>
        </w:tc>
        <w:tc>
          <w:tcPr>
            <w:tcW w:w="180" w:type="dxa"/>
            <w:vAlign w:val="bottom"/>
          </w:tcPr>
          <w:p>
            <w:pPr>
              <w:spacing w:after="0"/>
              <w:rPr>
                <w:sz w:val="14"/>
                <w:szCs w:val="14"/>
                <w:color w:val="auto"/>
              </w:rPr>
            </w:pPr>
          </w:p>
        </w:tc>
        <w:tc>
          <w:tcPr>
            <w:tcW w:w="11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rPr>
              <w:t>Jefferson</w:t>
            </w:r>
          </w:p>
        </w:tc>
        <w:tc>
          <w:tcPr>
            <w:tcW w:w="1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00" w:type="dxa"/>
            <w:vAlign w:val="bottom"/>
            <w:gridSpan w:val="2"/>
          </w:tcPr>
          <w:p>
            <w:pPr>
              <w:ind w:left="80"/>
              <w:spacing w:after="0"/>
              <w:rPr>
                <w:sz w:val="20"/>
                <w:szCs w:val="20"/>
                <w:color w:val="auto"/>
              </w:rPr>
            </w:pPr>
            <w:r>
              <w:rPr>
                <w:rFonts w:ascii="Arial" w:cs="Arial" w:eastAsia="Arial" w:hAnsi="Arial"/>
                <w:sz w:val="14"/>
                <w:szCs w:val="14"/>
                <w:b w:val="1"/>
                <w:bCs w:val="1"/>
                <w:color w:val="auto"/>
              </w:rPr>
              <w:t>Ports and</w:t>
            </w:r>
          </w:p>
        </w:tc>
        <w:tc>
          <w:tcPr>
            <w:tcW w:w="26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203"/>
        </w:trPr>
        <w:tc>
          <w:tcPr>
            <w:tcW w:w="1820" w:type="dxa"/>
            <w:vAlign w:val="bottom"/>
          </w:tcPr>
          <w:p>
            <w:pPr>
              <w:spacing w:after="0"/>
              <w:rPr>
                <w:sz w:val="17"/>
                <w:szCs w:val="17"/>
                <w:color w:val="auto"/>
              </w:rPr>
            </w:pPr>
          </w:p>
        </w:tc>
        <w:tc>
          <w:tcPr>
            <w:tcW w:w="1200" w:type="dxa"/>
            <w:vAlign w:val="bottom"/>
            <w:gridSpan w:val="2"/>
          </w:tcPr>
          <w:p>
            <w:pPr>
              <w:ind w:left="20"/>
              <w:spacing w:after="0"/>
              <w:rPr>
                <w:sz w:val="20"/>
                <w:szCs w:val="20"/>
                <w:color w:val="auto"/>
              </w:rPr>
            </w:pPr>
            <w:r>
              <w:rPr>
                <w:rFonts w:ascii="Arial" w:cs="Arial" w:eastAsia="Arial" w:hAnsi="Arial"/>
                <w:sz w:val="14"/>
                <w:szCs w:val="14"/>
                <w:b w:val="1"/>
                <w:bCs w:val="1"/>
                <w:color w:val="auto"/>
              </w:rPr>
              <w:t>Aviation Leasing</w:t>
            </w:r>
          </w:p>
        </w:tc>
        <w:tc>
          <w:tcPr>
            <w:tcW w:w="120" w:type="dxa"/>
            <w:vAlign w:val="bottom"/>
          </w:tcPr>
          <w:p>
            <w:pPr>
              <w:spacing w:after="0"/>
              <w:rPr>
                <w:sz w:val="17"/>
                <w:szCs w:val="17"/>
                <w:color w:val="auto"/>
              </w:rPr>
            </w:pPr>
          </w:p>
        </w:tc>
        <w:tc>
          <w:tcPr>
            <w:tcW w:w="1320" w:type="dxa"/>
            <w:vAlign w:val="bottom"/>
            <w:gridSpan w:val="3"/>
          </w:tcPr>
          <w:p>
            <w:pPr>
              <w:ind w:left="40"/>
              <w:spacing w:after="0"/>
              <w:rPr>
                <w:sz w:val="20"/>
                <w:szCs w:val="20"/>
                <w:color w:val="auto"/>
              </w:rPr>
            </w:pPr>
            <w:r>
              <w:rPr>
                <w:rFonts w:ascii="Arial" w:cs="Arial" w:eastAsia="Arial" w:hAnsi="Arial"/>
                <w:sz w:val="14"/>
                <w:szCs w:val="14"/>
                <w:b w:val="1"/>
                <w:bCs w:val="1"/>
                <w:color w:val="auto"/>
              </w:rPr>
              <w:t>Offshore Energy</w:t>
            </w:r>
          </w:p>
        </w:tc>
        <w:tc>
          <w:tcPr>
            <w:tcW w:w="140" w:type="dxa"/>
            <w:vAlign w:val="bottom"/>
          </w:tcPr>
          <w:p>
            <w:pPr>
              <w:spacing w:after="0"/>
              <w:rPr>
                <w:sz w:val="17"/>
                <w:szCs w:val="17"/>
                <w:color w:val="auto"/>
              </w:rPr>
            </w:pPr>
          </w:p>
        </w:tc>
        <w:tc>
          <w:tcPr>
            <w:tcW w:w="11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Containers</w:t>
            </w:r>
          </w:p>
        </w:tc>
        <w:tc>
          <w:tcPr>
            <w:tcW w:w="180" w:type="dxa"/>
            <w:vAlign w:val="bottom"/>
          </w:tcPr>
          <w:p>
            <w:pPr>
              <w:spacing w:after="0"/>
              <w:rPr>
                <w:sz w:val="17"/>
                <w:szCs w:val="17"/>
                <w:color w:val="auto"/>
              </w:rPr>
            </w:pPr>
          </w:p>
        </w:tc>
        <w:tc>
          <w:tcPr>
            <w:tcW w:w="110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9"/>
              </w:rPr>
              <w:t>Terminal</w:t>
            </w:r>
          </w:p>
        </w:tc>
        <w:tc>
          <w:tcPr>
            <w:tcW w:w="100" w:type="dxa"/>
            <w:vAlign w:val="bottom"/>
          </w:tcPr>
          <w:p>
            <w:pPr>
              <w:spacing w:after="0"/>
              <w:rPr>
                <w:sz w:val="17"/>
                <w:szCs w:val="17"/>
                <w:color w:val="auto"/>
              </w:rPr>
            </w:pPr>
          </w:p>
        </w:tc>
        <w:tc>
          <w:tcPr>
            <w:tcW w:w="11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Railroad</w:t>
            </w:r>
          </w:p>
        </w:tc>
        <w:tc>
          <w:tcPr>
            <w:tcW w:w="160" w:type="dxa"/>
            <w:vAlign w:val="bottom"/>
          </w:tcPr>
          <w:p>
            <w:pPr>
              <w:spacing w:after="0"/>
              <w:rPr>
                <w:sz w:val="17"/>
                <w:szCs w:val="17"/>
                <w:color w:val="auto"/>
              </w:rPr>
            </w:pPr>
          </w:p>
        </w:tc>
        <w:tc>
          <w:tcPr>
            <w:tcW w:w="1100" w:type="dxa"/>
            <w:vAlign w:val="bottom"/>
            <w:gridSpan w:val="2"/>
          </w:tcPr>
          <w:p>
            <w:pPr>
              <w:ind w:left="80"/>
              <w:spacing w:after="0"/>
              <w:rPr>
                <w:sz w:val="20"/>
                <w:szCs w:val="20"/>
                <w:color w:val="auto"/>
              </w:rPr>
            </w:pPr>
            <w:r>
              <w:rPr>
                <w:rFonts w:ascii="Arial" w:cs="Arial" w:eastAsia="Arial" w:hAnsi="Arial"/>
                <w:sz w:val="14"/>
                <w:szCs w:val="14"/>
                <w:b w:val="1"/>
                <w:bCs w:val="1"/>
                <w:color w:val="auto"/>
              </w:rPr>
              <w:t>Terminals</w:t>
            </w:r>
          </w:p>
        </w:tc>
        <w:tc>
          <w:tcPr>
            <w:tcW w:w="260" w:type="dxa"/>
            <w:vAlign w:val="bottom"/>
          </w:tcPr>
          <w:p>
            <w:pPr>
              <w:spacing w:after="0"/>
              <w:rPr>
                <w:sz w:val="17"/>
                <w:szCs w:val="17"/>
                <w:color w:val="auto"/>
              </w:rPr>
            </w:pPr>
          </w:p>
        </w:tc>
        <w:tc>
          <w:tcPr>
            <w:tcW w:w="920" w:type="dxa"/>
            <w:vAlign w:val="bottom"/>
          </w:tcPr>
          <w:p>
            <w:pPr>
              <w:jc w:val="right"/>
              <w:ind w:right="348"/>
              <w:spacing w:after="0"/>
              <w:rPr>
                <w:sz w:val="20"/>
                <w:szCs w:val="20"/>
                <w:color w:val="auto"/>
              </w:rPr>
            </w:pPr>
            <w:r>
              <w:rPr>
                <w:rFonts w:ascii="Arial" w:cs="Arial" w:eastAsia="Arial" w:hAnsi="Arial"/>
                <w:sz w:val="14"/>
                <w:szCs w:val="14"/>
                <w:b w:val="1"/>
                <w:bCs w:val="1"/>
                <w:color w:val="auto"/>
              </w:rPr>
              <w:t>Total</w:t>
            </w:r>
          </w:p>
        </w:tc>
      </w:tr>
      <w:tr>
        <w:trPr>
          <w:trHeight w:val="265"/>
        </w:trPr>
        <w:tc>
          <w:tcPr>
            <w:tcW w:w="18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Revenues</w:t>
            </w:r>
          </w:p>
        </w:tc>
        <w:tc>
          <w:tcPr>
            <w:tcW w:w="380" w:type="dxa"/>
            <w:vAlign w:val="bottom"/>
            <w:tcBorders>
              <w:top w:val="single" w:sz="8" w:color="auto"/>
            </w:tcBorders>
            <w:shd w:val="clear" w:color="auto" w:fill="CCEEFF"/>
          </w:tcPr>
          <w:p>
            <w:pPr>
              <w:spacing w:after="0"/>
              <w:rPr>
                <w:sz w:val="23"/>
                <w:szCs w:val="23"/>
                <w:color w:val="auto"/>
              </w:rPr>
            </w:pPr>
          </w:p>
        </w:tc>
        <w:tc>
          <w:tcPr>
            <w:tcW w:w="82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420" w:type="dxa"/>
            <w:vAlign w:val="bottom"/>
            <w:tcBorders>
              <w:top w:val="single" w:sz="8" w:color="auto"/>
            </w:tcBorders>
            <w:shd w:val="clear" w:color="auto" w:fill="CCEEFF"/>
          </w:tcPr>
          <w:p>
            <w:pPr>
              <w:spacing w:after="0"/>
              <w:rPr>
                <w:sz w:val="23"/>
                <w:szCs w:val="23"/>
                <w:color w:val="auto"/>
              </w:rPr>
            </w:pPr>
          </w:p>
        </w:tc>
        <w:tc>
          <w:tcPr>
            <w:tcW w:w="78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140" w:type="dxa"/>
            <w:vAlign w:val="bottom"/>
            <w:tcBorders>
              <w:top w:val="single" w:sz="8" w:color="auto"/>
            </w:tcBorders>
            <w:shd w:val="clear" w:color="auto" w:fill="CCEEFF"/>
          </w:tcPr>
          <w:p>
            <w:pPr>
              <w:spacing w:after="0"/>
              <w:rPr>
                <w:sz w:val="23"/>
                <w:szCs w:val="23"/>
                <w:color w:val="auto"/>
              </w:rPr>
            </w:pPr>
          </w:p>
        </w:tc>
        <w:tc>
          <w:tcPr>
            <w:tcW w:w="102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180" w:type="dxa"/>
            <w:vAlign w:val="bottom"/>
            <w:tcBorders>
              <w:top w:val="single" w:sz="8" w:color="auto"/>
            </w:tcBorders>
            <w:shd w:val="clear" w:color="auto" w:fill="CCEEFF"/>
          </w:tcPr>
          <w:p>
            <w:pPr>
              <w:spacing w:after="0"/>
              <w:rPr>
                <w:sz w:val="23"/>
                <w:szCs w:val="23"/>
                <w:color w:val="auto"/>
              </w:rPr>
            </w:pPr>
          </w:p>
        </w:tc>
        <w:tc>
          <w:tcPr>
            <w:tcW w:w="98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100" w:type="dxa"/>
            <w:vAlign w:val="bottom"/>
            <w:tcBorders>
              <w:top w:val="single" w:sz="8" w:color="auto"/>
            </w:tcBorders>
            <w:shd w:val="clear" w:color="auto" w:fill="CCEEFF"/>
          </w:tcPr>
          <w:p>
            <w:pPr>
              <w:spacing w:after="0"/>
              <w:rPr>
                <w:sz w:val="23"/>
                <w:szCs w:val="23"/>
                <w:color w:val="auto"/>
              </w:rPr>
            </w:pPr>
          </w:p>
        </w:tc>
        <w:tc>
          <w:tcPr>
            <w:tcW w:w="106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160" w:type="dxa"/>
            <w:vAlign w:val="bottom"/>
            <w:tcBorders>
              <w:top w:val="single" w:sz="8" w:color="auto"/>
            </w:tcBorders>
            <w:shd w:val="clear" w:color="auto" w:fill="CCEEFF"/>
          </w:tcPr>
          <w:p>
            <w:pPr>
              <w:spacing w:after="0"/>
              <w:rPr>
                <w:sz w:val="23"/>
                <w:szCs w:val="23"/>
                <w:color w:val="auto"/>
              </w:rPr>
            </w:pPr>
          </w:p>
        </w:tc>
        <w:tc>
          <w:tcPr>
            <w:tcW w:w="100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260" w:type="dxa"/>
            <w:vAlign w:val="bottom"/>
            <w:tcBorders>
              <w:top w:val="single" w:sz="8" w:color="auto"/>
            </w:tcBorders>
            <w:shd w:val="clear" w:color="auto" w:fill="CCEEFF"/>
          </w:tcPr>
          <w:p>
            <w:pPr>
              <w:spacing w:after="0"/>
              <w:rPr>
                <w:sz w:val="23"/>
                <w:szCs w:val="23"/>
                <w:color w:val="auto"/>
              </w:rPr>
            </w:pPr>
          </w:p>
        </w:tc>
        <w:tc>
          <w:tcPr>
            <w:tcW w:w="920" w:type="dxa"/>
            <w:vAlign w:val="bottom"/>
            <w:tcBorders>
              <w:top w:val="single" w:sz="8" w:color="auto"/>
            </w:tcBorders>
            <w:shd w:val="clear" w:color="auto" w:fill="CCEEFF"/>
          </w:tcPr>
          <w:p>
            <w:pPr>
              <w:spacing w:after="0"/>
              <w:rPr>
                <w:sz w:val="23"/>
                <w:szCs w:val="23"/>
                <w:color w:val="auto"/>
              </w:rPr>
            </w:pPr>
          </w:p>
        </w:tc>
      </w:tr>
      <w:tr>
        <w:trPr>
          <w:trHeight w:val="269"/>
        </w:trPr>
        <w:tc>
          <w:tcPr>
            <w:tcW w:w="1820" w:type="dxa"/>
            <w:vAlign w:val="bottom"/>
          </w:tcPr>
          <w:p>
            <w:pPr>
              <w:ind w:left="20"/>
              <w:spacing w:after="0"/>
              <w:rPr>
                <w:sz w:val="20"/>
                <w:szCs w:val="20"/>
                <w:color w:val="auto"/>
              </w:rPr>
            </w:pPr>
            <w:r>
              <w:rPr>
                <w:rFonts w:ascii="Arial" w:cs="Arial" w:eastAsia="Arial" w:hAnsi="Arial"/>
                <w:sz w:val="14"/>
                <w:szCs w:val="14"/>
                <w:color w:val="auto"/>
              </w:rPr>
              <w:t>Africa</w:t>
            </w:r>
          </w:p>
        </w:tc>
        <w:tc>
          <w:tcPr>
            <w:tcW w:w="380" w:type="dxa"/>
            <w:vAlign w:val="bottom"/>
          </w:tcPr>
          <w:p>
            <w:pPr>
              <w:ind w:left="20"/>
              <w:spacing w:after="0"/>
              <w:rPr>
                <w:sz w:val="20"/>
                <w:szCs w:val="20"/>
                <w:color w:val="auto"/>
              </w:rPr>
            </w:pPr>
            <w:r>
              <w:rPr>
                <w:rFonts w:ascii="Arial" w:cs="Arial" w:eastAsia="Arial" w:hAnsi="Arial"/>
                <w:sz w:val="14"/>
                <w:szCs w:val="14"/>
                <w:b w:val="1"/>
                <w:bCs w:val="1"/>
                <w:color w:val="auto"/>
              </w:rPr>
              <w:t>$</w:t>
            </w:r>
          </w:p>
        </w:tc>
        <w:tc>
          <w:tcPr>
            <w:tcW w:w="820" w:type="dxa"/>
            <w:vAlign w:val="bottom"/>
          </w:tcPr>
          <w:p>
            <w:pPr>
              <w:jc w:val="right"/>
              <w:ind w:right="48"/>
              <w:spacing w:after="0"/>
              <w:rPr>
                <w:sz w:val="20"/>
                <w:szCs w:val="20"/>
                <w:color w:val="auto"/>
              </w:rPr>
            </w:pPr>
            <w:r>
              <w:rPr>
                <w:rFonts w:ascii="Arial" w:cs="Arial" w:eastAsia="Arial" w:hAnsi="Arial"/>
                <w:sz w:val="14"/>
                <w:szCs w:val="14"/>
                <w:b w:val="1"/>
                <w:bCs w:val="1"/>
                <w:color w:val="auto"/>
              </w:rPr>
              <w:t>1,964</w:t>
            </w:r>
          </w:p>
        </w:tc>
        <w:tc>
          <w:tcPr>
            <w:tcW w:w="540" w:type="dxa"/>
            <w:vAlign w:val="bottom"/>
            <w:gridSpan w:val="2"/>
          </w:tcPr>
          <w:p>
            <w:pPr>
              <w:ind w:left="140"/>
              <w:spacing w:after="0"/>
              <w:rPr>
                <w:sz w:val="20"/>
                <w:szCs w:val="20"/>
                <w:color w:val="auto"/>
              </w:rPr>
            </w:pPr>
            <w:r>
              <w:rPr>
                <w:rFonts w:ascii="Arial" w:cs="Arial" w:eastAsia="Arial" w:hAnsi="Arial"/>
                <w:sz w:val="14"/>
                <w:szCs w:val="14"/>
                <w:b w:val="1"/>
                <w:bCs w:val="1"/>
                <w:color w:val="auto"/>
              </w:rPr>
              <w:t>$</w:t>
            </w:r>
          </w:p>
        </w:tc>
        <w:tc>
          <w:tcPr>
            <w:tcW w:w="90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rPr>
              <w:t>—</w:t>
            </w:r>
          </w:p>
        </w:tc>
        <w:tc>
          <w:tcPr>
            <w:tcW w:w="14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12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rPr>
              <w:t>—</w:t>
            </w:r>
          </w:p>
        </w:tc>
        <w:tc>
          <w:tcPr>
            <w:tcW w:w="180" w:type="dxa"/>
            <w:vAlign w:val="bottom"/>
          </w:tcPr>
          <w:p>
            <w:pPr>
              <w:jc w:val="right"/>
              <w:ind w:right="8"/>
              <w:spacing w:after="0"/>
              <w:rPr>
                <w:sz w:val="20"/>
                <w:szCs w:val="20"/>
                <w:color w:val="auto"/>
              </w:rPr>
            </w:pPr>
            <w:r>
              <w:rPr>
                <w:rFonts w:ascii="Arial" w:cs="Arial" w:eastAsia="Arial" w:hAnsi="Arial"/>
                <w:sz w:val="14"/>
                <w:szCs w:val="14"/>
                <w:b w:val="1"/>
                <w:bCs w:val="1"/>
                <w:color w:val="auto"/>
              </w:rPr>
              <w:t>$</w:t>
            </w:r>
          </w:p>
        </w:tc>
        <w:tc>
          <w:tcPr>
            <w:tcW w:w="110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16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rPr>
              <w:t>—</w:t>
            </w:r>
          </w:p>
        </w:tc>
        <w:tc>
          <w:tcPr>
            <w:tcW w:w="16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10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rPr>
              <w:t>—</w:t>
            </w:r>
          </w:p>
        </w:tc>
        <w:tc>
          <w:tcPr>
            <w:tcW w:w="260" w:type="dxa"/>
            <w:vAlign w:val="bottom"/>
          </w:tcPr>
          <w:p>
            <w:pPr>
              <w:jc w:val="right"/>
              <w:ind w:right="88"/>
              <w:spacing w:after="0"/>
              <w:rPr>
                <w:sz w:val="20"/>
                <w:szCs w:val="20"/>
                <w:color w:val="auto"/>
              </w:rPr>
            </w:pPr>
            <w:r>
              <w:rPr>
                <w:rFonts w:ascii="Arial" w:cs="Arial" w:eastAsia="Arial" w:hAnsi="Arial"/>
                <w:sz w:val="14"/>
                <w:szCs w:val="14"/>
                <w:b w:val="1"/>
                <w:bCs w:val="1"/>
                <w:color w:val="auto"/>
              </w:rPr>
              <w:t>$</w:t>
            </w:r>
          </w:p>
        </w:tc>
        <w:tc>
          <w:tcPr>
            <w:tcW w:w="920" w:type="dxa"/>
            <w:vAlign w:val="bottom"/>
          </w:tcPr>
          <w:p>
            <w:pPr>
              <w:jc w:val="right"/>
              <w:ind w:right="48"/>
              <w:spacing w:after="0"/>
              <w:rPr>
                <w:sz w:val="20"/>
                <w:szCs w:val="20"/>
                <w:color w:val="auto"/>
              </w:rPr>
            </w:pPr>
            <w:r>
              <w:rPr>
                <w:rFonts w:ascii="Arial" w:cs="Arial" w:eastAsia="Arial" w:hAnsi="Arial"/>
                <w:sz w:val="14"/>
                <w:szCs w:val="14"/>
                <w:b w:val="1"/>
                <w:bCs w:val="1"/>
                <w:color w:val="auto"/>
              </w:rPr>
              <w:t>1,964</w:t>
            </w:r>
          </w:p>
        </w:tc>
      </w:tr>
      <w:tr>
        <w:trPr>
          <w:trHeight w:val="271"/>
        </w:trPr>
        <w:tc>
          <w:tcPr>
            <w:tcW w:w="1820" w:type="dxa"/>
            <w:vAlign w:val="bottom"/>
            <w:shd w:val="clear" w:color="auto" w:fill="CCEEFF"/>
          </w:tcPr>
          <w:p>
            <w:pPr>
              <w:ind w:left="20"/>
              <w:spacing w:after="0"/>
              <w:rPr>
                <w:sz w:val="20"/>
                <w:szCs w:val="20"/>
                <w:color w:val="auto"/>
              </w:rPr>
            </w:pPr>
            <w:r>
              <w:rPr>
                <w:rFonts w:ascii="Arial" w:cs="Arial" w:eastAsia="Arial" w:hAnsi="Arial"/>
                <w:sz w:val="14"/>
                <w:szCs w:val="14"/>
                <w:color w:val="auto"/>
              </w:rPr>
              <w:t>Asia</w:t>
            </w:r>
          </w:p>
        </w:tc>
        <w:tc>
          <w:tcPr>
            <w:tcW w:w="380" w:type="dxa"/>
            <w:vAlign w:val="bottom"/>
            <w:shd w:val="clear" w:color="auto" w:fill="CCEEFF"/>
          </w:tcPr>
          <w:p>
            <w:pPr>
              <w:spacing w:after="0"/>
              <w:rPr>
                <w:sz w:val="23"/>
                <w:szCs w:val="23"/>
                <w:color w:val="auto"/>
              </w:rPr>
            </w:pPr>
          </w:p>
        </w:tc>
        <w:tc>
          <w:tcPr>
            <w:tcW w:w="82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6,094</w:t>
            </w:r>
          </w:p>
        </w:tc>
        <w:tc>
          <w:tcPr>
            <w:tcW w:w="120" w:type="dxa"/>
            <w:vAlign w:val="bottom"/>
            <w:shd w:val="clear" w:color="auto" w:fill="CCEEFF"/>
          </w:tcPr>
          <w:p>
            <w:pPr>
              <w:spacing w:after="0"/>
              <w:rPr>
                <w:sz w:val="23"/>
                <w:szCs w:val="23"/>
                <w:color w:val="auto"/>
              </w:rPr>
            </w:pPr>
          </w:p>
        </w:tc>
        <w:tc>
          <w:tcPr>
            <w:tcW w:w="420" w:type="dxa"/>
            <w:vAlign w:val="bottom"/>
            <w:shd w:val="clear" w:color="auto" w:fill="CCEEFF"/>
          </w:tcPr>
          <w:p>
            <w:pPr>
              <w:spacing w:after="0"/>
              <w:rPr>
                <w:sz w:val="23"/>
                <w:szCs w:val="23"/>
                <w:color w:val="auto"/>
              </w:rPr>
            </w:pPr>
          </w:p>
        </w:tc>
        <w:tc>
          <w:tcPr>
            <w:tcW w:w="78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1,543</w:t>
            </w: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02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25</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b w:val="1"/>
                <w:bCs w:val="1"/>
                <w:color w:val="auto"/>
              </w:rPr>
              <w:t>—</w:t>
            </w:r>
          </w:p>
        </w:tc>
        <w:tc>
          <w:tcPr>
            <w:tcW w:w="100" w:type="dxa"/>
            <w:vAlign w:val="bottom"/>
            <w:shd w:val="clear" w:color="auto" w:fill="CCEEFF"/>
          </w:tcPr>
          <w:p>
            <w:pPr>
              <w:spacing w:after="0"/>
              <w:rPr>
                <w:sz w:val="23"/>
                <w:szCs w:val="23"/>
                <w:color w:val="auto"/>
              </w:rPr>
            </w:pP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b w:val="1"/>
                <w:bCs w:val="1"/>
                <w:color w:val="auto"/>
              </w:rPr>
              <w:t>—</w:t>
            </w:r>
          </w:p>
        </w:tc>
        <w:tc>
          <w:tcPr>
            <w:tcW w:w="160" w:type="dxa"/>
            <w:vAlign w:val="bottom"/>
            <w:shd w:val="clear" w:color="auto" w:fill="CCEEFF"/>
          </w:tcPr>
          <w:p>
            <w:pPr>
              <w:spacing w:after="0"/>
              <w:rPr>
                <w:sz w:val="23"/>
                <w:szCs w:val="23"/>
                <w:color w:val="auto"/>
              </w:rPr>
            </w:pP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b w:val="1"/>
                <w:bCs w:val="1"/>
                <w:color w:val="auto"/>
              </w:rPr>
              <w:t>—</w:t>
            </w:r>
          </w:p>
        </w:tc>
        <w:tc>
          <w:tcPr>
            <w:tcW w:w="260" w:type="dxa"/>
            <w:vAlign w:val="bottom"/>
            <w:shd w:val="clear" w:color="auto" w:fill="CCEEFF"/>
          </w:tcPr>
          <w:p>
            <w:pPr>
              <w:spacing w:after="0"/>
              <w:rPr>
                <w:sz w:val="23"/>
                <w:szCs w:val="23"/>
                <w:color w:val="auto"/>
              </w:rPr>
            </w:pPr>
          </w:p>
        </w:tc>
        <w:tc>
          <w:tcPr>
            <w:tcW w:w="92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7,662</w:t>
            </w:r>
          </w:p>
        </w:tc>
      </w:tr>
      <w:tr>
        <w:trPr>
          <w:trHeight w:val="269"/>
        </w:trPr>
        <w:tc>
          <w:tcPr>
            <w:tcW w:w="1820" w:type="dxa"/>
            <w:vAlign w:val="bottom"/>
          </w:tcPr>
          <w:p>
            <w:pPr>
              <w:ind w:left="20"/>
              <w:spacing w:after="0"/>
              <w:rPr>
                <w:sz w:val="20"/>
                <w:szCs w:val="20"/>
                <w:color w:val="auto"/>
              </w:rPr>
            </w:pPr>
            <w:r>
              <w:rPr>
                <w:rFonts w:ascii="Arial" w:cs="Arial" w:eastAsia="Arial" w:hAnsi="Arial"/>
                <w:sz w:val="14"/>
                <w:szCs w:val="14"/>
                <w:color w:val="auto"/>
              </w:rPr>
              <w:t>Europe</w:t>
            </w:r>
          </w:p>
        </w:tc>
        <w:tc>
          <w:tcPr>
            <w:tcW w:w="380" w:type="dxa"/>
            <w:vAlign w:val="bottom"/>
          </w:tcPr>
          <w:p>
            <w:pPr>
              <w:spacing w:after="0"/>
              <w:rPr>
                <w:sz w:val="23"/>
                <w:szCs w:val="23"/>
                <w:color w:val="auto"/>
              </w:rPr>
            </w:pPr>
          </w:p>
        </w:tc>
        <w:tc>
          <w:tcPr>
            <w:tcW w:w="820" w:type="dxa"/>
            <w:vAlign w:val="bottom"/>
          </w:tcPr>
          <w:p>
            <w:pPr>
              <w:jc w:val="right"/>
              <w:ind w:right="48"/>
              <w:spacing w:after="0"/>
              <w:rPr>
                <w:sz w:val="20"/>
                <w:szCs w:val="20"/>
                <w:color w:val="auto"/>
              </w:rPr>
            </w:pPr>
            <w:r>
              <w:rPr>
                <w:rFonts w:ascii="Arial" w:cs="Arial" w:eastAsia="Arial" w:hAnsi="Arial"/>
                <w:sz w:val="14"/>
                <w:szCs w:val="14"/>
                <w:b w:val="1"/>
                <w:bCs w:val="1"/>
                <w:color w:val="auto"/>
              </w:rPr>
              <w:t>28,907</w:t>
            </w:r>
          </w:p>
        </w:tc>
        <w:tc>
          <w:tcPr>
            <w:tcW w:w="1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780" w:type="dxa"/>
            <w:vAlign w:val="bottom"/>
          </w:tcPr>
          <w:p>
            <w:pPr>
              <w:jc w:val="right"/>
              <w:ind w:right="48"/>
              <w:spacing w:after="0"/>
              <w:rPr>
                <w:sz w:val="20"/>
                <w:szCs w:val="20"/>
                <w:color w:val="auto"/>
              </w:rPr>
            </w:pPr>
            <w:r>
              <w:rPr>
                <w:rFonts w:ascii="Arial" w:cs="Arial" w:eastAsia="Arial" w:hAnsi="Arial"/>
                <w:sz w:val="14"/>
                <w:szCs w:val="14"/>
                <w:b w:val="1"/>
                <w:bCs w:val="1"/>
                <w:color w:val="auto"/>
              </w:rPr>
              <w:t>4,189</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rPr>
              <w:t>—</w:t>
            </w:r>
          </w:p>
        </w:tc>
        <w:tc>
          <w:tcPr>
            <w:tcW w:w="180" w:type="dxa"/>
            <w:vAlign w:val="bottom"/>
          </w:tcPr>
          <w:p>
            <w:pPr>
              <w:spacing w:after="0"/>
              <w:rPr>
                <w:sz w:val="23"/>
                <w:szCs w:val="23"/>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23"/>
                <w:szCs w:val="23"/>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23"/>
                <w:szCs w:val="23"/>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rPr>
              <w:t>—</w:t>
            </w:r>
          </w:p>
        </w:tc>
        <w:tc>
          <w:tcPr>
            <w:tcW w:w="260" w:type="dxa"/>
            <w:vAlign w:val="bottom"/>
          </w:tcPr>
          <w:p>
            <w:pPr>
              <w:spacing w:after="0"/>
              <w:rPr>
                <w:sz w:val="23"/>
                <w:szCs w:val="23"/>
                <w:color w:val="auto"/>
              </w:rPr>
            </w:pPr>
          </w:p>
        </w:tc>
        <w:tc>
          <w:tcPr>
            <w:tcW w:w="920" w:type="dxa"/>
            <w:vAlign w:val="bottom"/>
          </w:tcPr>
          <w:p>
            <w:pPr>
              <w:jc w:val="right"/>
              <w:ind w:right="48"/>
              <w:spacing w:after="0"/>
              <w:rPr>
                <w:sz w:val="20"/>
                <w:szCs w:val="20"/>
                <w:color w:val="auto"/>
              </w:rPr>
            </w:pPr>
            <w:r>
              <w:rPr>
                <w:rFonts w:ascii="Arial" w:cs="Arial" w:eastAsia="Arial" w:hAnsi="Arial"/>
                <w:sz w:val="14"/>
                <w:szCs w:val="14"/>
                <w:b w:val="1"/>
                <w:bCs w:val="1"/>
                <w:color w:val="auto"/>
              </w:rPr>
              <w:t>33,096</w:t>
            </w:r>
          </w:p>
        </w:tc>
      </w:tr>
      <w:tr>
        <w:trPr>
          <w:trHeight w:val="271"/>
        </w:trPr>
        <w:tc>
          <w:tcPr>
            <w:tcW w:w="1820" w:type="dxa"/>
            <w:vAlign w:val="bottom"/>
            <w:shd w:val="clear" w:color="auto" w:fill="CCEEFF"/>
          </w:tcPr>
          <w:p>
            <w:pPr>
              <w:ind w:left="20"/>
              <w:spacing w:after="0"/>
              <w:rPr>
                <w:sz w:val="20"/>
                <w:szCs w:val="20"/>
                <w:color w:val="auto"/>
              </w:rPr>
            </w:pPr>
            <w:r>
              <w:rPr>
                <w:rFonts w:ascii="Arial" w:cs="Arial" w:eastAsia="Arial" w:hAnsi="Arial"/>
                <w:sz w:val="14"/>
                <w:szCs w:val="14"/>
                <w:color w:val="auto"/>
              </w:rPr>
              <w:t>North America</w:t>
            </w:r>
          </w:p>
        </w:tc>
        <w:tc>
          <w:tcPr>
            <w:tcW w:w="380" w:type="dxa"/>
            <w:vAlign w:val="bottom"/>
            <w:shd w:val="clear" w:color="auto" w:fill="CCEEFF"/>
          </w:tcPr>
          <w:p>
            <w:pPr>
              <w:spacing w:after="0"/>
              <w:rPr>
                <w:sz w:val="23"/>
                <w:szCs w:val="23"/>
                <w:color w:val="auto"/>
              </w:rPr>
            </w:pPr>
          </w:p>
        </w:tc>
        <w:tc>
          <w:tcPr>
            <w:tcW w:w="82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6,509</w:t>
            </w:r>
          </w:p>
        </w:tc>
        <w:tc>
          <w:tcPr>
            <w:tcW w:w="120" w:type="dxa"/>
            <w:vAlign w:val="bottom"/>
            <w:shd w:val="clear" w:color="auto" w:fill="CCEEFF"/>
          </w:tcPr>
          <w:p>
            <w:pPr>
              <w:spacing w:after="0"/>
              <w:rPr>
                <w:sz w:val="23"/>
                <w:szCs w:val="23"/>
                <w:color w:val="auto"/>
              </w:rPr>
            </w:pPr>
          </w:p>
        </w:tc>
        <w:tc>
          <w:tcPr>
            <w:tcW w:w="420" w:type="dxa"/>
            <w:vAlign w:val="bottom"/>
            <w:shd w:val="clear" w:color="auto" w:fill="CCEEFF"/>
          </w:tcPr>
          <w:p>
            <w:pPr>
              <w:spacing w:after="0"/>
              <w:rPr>
                <w:sz w:val="23"/>
                <w:szCs w:val="23"/>
                <w:color w:val="auto"/>
              </w:rPr>
            </w:pPr>
          </w:p>
        </w:tc>
        <w:tc>
          <w:tcPr>
            <w:tcW w:w="78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385</w:t>
            </w: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b w:val="1"/>
                <w:bCs w:val="1"/>
                <w:color w:val="auto"/>
              </w:rPr>
              <w:t>—</w:t>
            </w:r>
          </w:p>
        </w:tc>
        <w:tc>
          <w:tcPr>
            <w:tcW w:w="180" w:type="dxa"/>
            <w:vAlign w:val="bottom"/>
            <w:shd w:val="clear" w:color="auto" w:fill="CCEEFF"/>
          </w:tcPr>
          <w:p>
            <w:pPr>
              <w:spacing w:after="0"/>
              <w:rPr>
                <w:sz w:val="23"/>
                <w:szCs w:val="23"/>
                <w:color w:val="auto"/>
              </w:rPr>
            </w:pPr>
          </w:p>
        </w:tc>
        <w:tc>
          <w:tcPr>
            <w:tcW w:w="98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1,730</w:t>
            </w:r>
          </w:p>
        </w:tc>
        <w:tc>
          <w:tcPr>
            <w:tcW w:w="1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06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8,258</w:t>
            </w: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00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758</w:t>
            </w: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92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17,640</w:t>
            </w:r>
          </w:p>
        </w:tc>
      </w:tr>
      <w:tr>
        <w:trPr>
          <w:trHeight w:val="269"/>
        </w:trPr>
        <w:tc>
          <w:tcPr>
            <w:tcW w:w="182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South America</w:t>
            </w:r>
          </w:p>
        </w:tc>
        <w:tc>
          <w:tcPr>
            <w:tcW w:w="380" w:type="dxa"/>
            <w:vAlign w:val="bottom"/>
            <w:tcBorders>
              <w:bottom w:val="single" w:sz="8" w:color="auto"/>
            </w:tcBorders>
          </w:tcPr>
          <w:p>
            <w:pPr>
              <w:spacing w:after="0"/>
              <w:rPr>
                <w:sz w:val="23"/>
                <w:szCs w:val="23"/>
                <w:color w:val="auto"/>
              </w:rPr>
            </w:pPr>
          </w:p>
        </w:tc>
        <w:tc>
          <w:tcPr>
            <w:tcW w:w="8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w:t>
            </w:r>
          </w:p>
        </w:tc>
        <w:tc>
          <w:tcPr>
            <w:tcW w:w="120" w:type="dxa"/>
            <w:vAlign w:val="bottom"/>
            <w:tcBorders>
              <w:bottom w:val="single" w:sz="8" w:color="CCEEFF"/>
            </w:tcBorders>
          </w:tcPr>
          <w:p>
            <w:pPr>
              <w:spacing w:after="0"/>
              <w:rPr>
                <w:sz w:val="23"/>
                <w:szCs w:val="23"/>
                <w:color w:val="auto"/>
              </w:rPr>
            </w:pPr>
          </w:p>
        </w:tc>
        <w:tc>
          <w:tcPr>
            <w:tcW w:w="420" w:type="dxa"/>
            <w:vAlign w:val="bottom"/>
            <w:tcBorders>
              <w:bottom w:val="single" w:sz="8" w:color="auto"/>
            </w:tcBorders>
          </w:tcPr>
          <w:p>
            <w:pPr>
              <w:spacing w:after="0"/>
              <w:rPr>
                <w:sz w:val="23"/>
                <w:szCs w:val="23"/>
                <w:color w:val="auto"/>
              </w:rPr>
            </w:pPr>
          </w:p>
        </w:tc>
        <w:tc>
          <w:tcPr>
            <w:tcW w:w="7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w:t>
            </w:r>
          </w:p>
        </w:tc>
        <w:tc>
          <w:tcPr>
            <w:tcW w:w="120" w:type="dxa"/>
            <w:vAlign w:val="bottom"/>
            <w:tcBorders>
              <w:bottom w:val="single" w:sz="8" w:color="CCEEFF"/>
            </w:tcBorders>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10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w:t>
            </w:r>
          </w:p>
        </w:tc>
        <w:tc>
          <w:tcPr>
            <w:tcW w:w="100" w:type="dxa"/>
            <w:vAlign w:val="bottom"/>
            <w:tcBorders>
              <w:bottom w:val="single" w:sz="8" w:color="CCEEFF"/>
            </w:tcBorders>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9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w:t>
            </w:r>
          </w:p>
        </w:tc>
        <w:tc>
          <w:tcPr>
            <w:tcW w:w="120" w:type="dxa"/>
            <w:vAlign w:val="bottom"/>
            <w:tcBorders>
              <w:bottom w:val="single" w:sz="8" w:color="CCEEFF"/>
            </w:tcBorders>
          </w:tcPr>
          <w:p>
            <w:pPr>
              <w:spacing w:after="0"/>
              <w:rPr>
                <w:sz w:val="23"/>
                <w:szCs w:val="23"/>
                <w:color w:val="auto"/>
              </w:rPr>
            </w:pPr>
          </w:p>
        </w:tc>
        <w:tc>
          <w:tcPr>
            <w:tcW w:w="100" w:type="dxa"/>
            <w:vAlign w:val="bottom"/>
            <w:tcBorders>
              <w:bottom w:val="single" w:sz="8" w:color="auto"/>
            </w:tcBorders>
          </w:tcPr>
          <w:p>
            <w:pPr>
              <w:spacing w:after="0"/>
              <w:rPr>
                <w:sz w:val="23"/>
                <w:szCs w:val="23"/>
                <w:color w:val="auto"/>
              </w:rPr>
            </w:pPr>
          </w:p>
        </w:tc>
        <w:tc>
          <w:tcPr>
            <w:tcW w:w="10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w:t>
            </w:r>
          </w:p>
        </w:tc>
        <w:tc>
          <w:tcPr>
            <w:tcW w:w="100" w:type="dxa"/>
            <w:vAlign w:val="bottom"/>
            <w:tcBorders>
              <w:bottom w:val="single" w:sz="8" w:color="CCEEFF"/>
            </w:tcBorders>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10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w:t>
            </w:r>
          </w:p>
        </w:tc>
        <w:tc>
          <w:tcPr>
            <w:tcW w:w="100" w:type="dxa"/>
            <w:vAlign w:val="bottom"/>
            <w:tcBorders>
              <w:bottom w:val="single" w:sz="8" w:color="CCEEFF"/>
            </w:tcBorders>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9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w:t>
            </w:r>
          </w:p>
        </w:tc>
      </w:tr>
      <w:tr>
        <w:trPr>
          <w:trHeight w:val="238"/>
        </w:trPr>
        <w:tc>
          <w:tcPr>
            <w:tcW w:w="182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Total</w:t>
            </w:r>
          </w:p>
        </w:tc>
        <w:tc>
          <w:tcPr>
            <w:tcW w:w="38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w:t>
            </w:r>
          </w:p>
        </w:tc>
        <w:tc>
          <w:tcPr>
            <w:tcW w:w="82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43,474</w:t>
            </w:r>
          </w:p>
        </w:tc>
        <w:tc>
          <w:tcPr>
            <w:tcW w:w="540" w:type="dxa"/>
            <w:vAlign w:val="bottom"/>
            <w:gridSpan w:val="2"/>
            <w:shd w:val="clear" w:color="auto" w:fill="CCEEFF"/>
          </w:tcPr>
          <w:p>
            <w:pPr>
              <w:ind w:left="140"/>
              <w:spacing w:after="0"/>
              <w:rPr>
                <w:sz w:val="20"/>
                <w:szCs w:val="20"/>
                <w:color w:val="auto"/>
              </w:rPr>
            </w:pPr>
            <w:r>
              <w:rPr>
                <w:rFonts w:ascii="Arial" w:cs="Arial" w:eastAsia="Arial" w:hAnsi="Arial"/>
                <w:sz w:val="14"/>
                <w:szCs w:val="14"/>
                <w:b w:val="1"/>
                <w:bCs w:val="1"/>
                <w:color w:val="auto"/>
              </w:rPr>
              <w:t>$</w:t>
            </w:r>
          </w:p>
        </w:tc>
        <w:tc>
          <w:tcPr>
            <w:tcW w:w="78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6,117</w:t>
            </w: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02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25</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w:t>
            </w:r>
          </w:p>
        </w:tc>
        <w:tc>
          <w:tcPr>
            <w:tcW w:w="98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1,730</w:t>
            </w: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06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8,258</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00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758</w:t>
            </w: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jc w:val="right"/>
              <w:ind w:right="88"/>
              <w:spacing w:after="0"/>
              <w:rPr>
                <w:sz w:val="20"/>
                <w:szCs w:val="20"/>
                <w:color w:val="auto"/>
              </w:rPr>
            </w:pPr>
            <w:r>
              <w:rPr>
                <w:rFonts w:ascii="Arial" w:cs="Arial" w:eastAsia="Arial" w:hAnsi="Arial"/>
                <w:sz w:val="14"/>
                <w:szCs w:val="14"/>
                <w:b w:val="1"/>
                <w:bCs w:val="1"/>
                <w:color w:val="auto"/>
              </w:rPr>
              <w:t>$</w:t>
            </w:r>
          </w:p>
        </w:tc>
        <w:tc>
          <w:tcPr>
            <w:tcW w:w="92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60,362</w:t>
            </w:r>
          </w:p>
        </w:tc>
      </w:tr>
      <w:tr>
        <w:trPr>
          <w:trHeight w:val="20"/>
        </w:trPr>
        <w:tc>
          <w:tcPr>
            <w:tcW w:w="18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240" w:top="117" w:right="4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179"/>
        <w:spacing w:after="0"/>
        <w:rPr>
          <w:sz w:val="20"/>
          <w:szCs w:val="20"/>
          <w:color w:val="auto"/>
        </w:rPr>
      </w:pPr>
      <w:r>
        <w:rPr>
          <w:rFonts w:ascii="Arial" w:cs="Arial" w:eastAsia="Arial" w:hAnsi="Arial"/>
          <w:sz w:val="16"/>
          <w:szCs w:val="16"/>
          <w:color w:val="auto"/>
        </w:rPr>
        <w:t>33</w:t>
      </w:r>
    </w:p>
    <w:p>
      <w:pPr>
        <w:sectPr>
          <w:pgSz w:w="11900" w:h="16838" w:orient="portrait"/>
          <w:cols w:equalWidth="0" w:num="1">
            <w:col w:w="11240"/>
          </w:cols>
          <w:pgMar w:left="240" w:top="117" w:right="419" w:bottom="1440" w:gutter="0" w:footer="0" w:header="0"/>
          <w:type w:val="continuous"/>
        </w:sectPr>
      </w:pPr>
    </w:p>
    <w:bookmarkStart w:id="33" w:name="page34"/>
    <w:bookmarkEnd w:id="33"/>
    <w:p>
      <w:pPr>
        <w:ind w:right="3820"/>
        <w:spacing w:after="0" w:line="305" w:lineRule="auto"/>
        <w:rPr>
          <w:sz w:val="20"/>
          <w:szCs w:val="20"/>
          <w:color w:val="auto"/>
        </w:rPr>
      </w:pPr>
      <w:r>
        <w:rPr>
          <w:rFonts w:ascii="Arial" w:cs="Arial" w:eastAsia="Arial" w:hAnsi="Arial"/>
          <w:sz w:val="22"/>
          <w:szCs w:val="22"/>
          <w:b w:val="1"/>
          <w:bCs w:val="1"/>
          <w:color w:val="00497F"/>
        </w:rPr>
        <w:t xml:space="preserve">FORTRESS TRANSPORTATION AND INFRASTRUCTURE INVESTORS LLC NOTES TO CONSOLIDATED FINANCIAL STATEMENTS </w:t>
      </w:r>
      <w:r>
        <w:rPr>
          <w:rFonts w:ascii="Arial" w:cs="Arial" w:eastAsia="Arial" w:hAnsi="Arial"/>
          <w:sz w:val="22"/>
          <w:szCs w:val="22"/>
          <w:b w:val="1"/>
          <w:bCs w:val="1"/>
          <w:i w:val="1"/>
          <w:iCs w:val="1"/>
          <w:color w:val="00497F"/>
        </w:rPr>
        <w:t>(unaudited)</w:t>
      </w:r>
    </w:p>
    <w:p>
      <w:pPr>
        <w:spacing w:after="0"/>
        <w:rPr>
          <w:sz w:val="20"/>
          <w:szCs w:val="20"/>
          <w:color w:val="auto"/>
        </w:rPr>
      </w:pPr>
      <w:r>
        <w:rPr>
          <w:rFonts w:ascii="Arial" w:cs="Arial" w:eastAsia="Arial" w:hAnsi="Arial"/>
          <w:sz w:val="18"/>
          <w:szCs w:val="18"/>
          <w:i w:val="1"/>
          <w:iCs w:val="1"/>
          <w:color w:val="00497F"/>
        </w:rPr>
        <w:t>(Dollar amounts in thousands, unless otherwise noted)</w:t>
      </w:r>
    </w:p>
    <w:p>
      <w:pPr>
        <w:spacing w:after="0" w:line="395" w:lineRule="exact"/>
        <w:rPr>
          <w:sz w:val="20"/>
          <w:szCs w:val="20"/>
          <w:color w:val="auto"/>
        </w:rPr>
      </w:pPr>
    </w:p>
    <w:p>
      <w:pPr>
        <w:ind w:left="340"/>
        <w:spacing w:after="0"/>
        <w:rPr>
          <w:sz w:val="20"/>
          <w:szCs w:val="20"/>
          <w:color w:val="auto"/>
        </w:rPr>
      </w:pPr>
      <w:r>
        <w:rPr>
          <w:rFonts w:ascii="Arial" w:cs="Arial" w:eastAsia="Arial" w:hAnsi="Arial"/>
          <w:sz w:val="16"/>
          <w:szCs w:val="16"/>
          <w:b w:val="1"/>
          <w:bCs w:val="1"/>
          <w:color w:val="00497F"/>
        </w:rPr>
        <w:t>I. For the Nine Months Ended September 30, 2017</w:t>
      </w:r>
    </w:p>
    <w:p>
      <w:pPr>
        <w:spacing w:after="0" w:line="388" w:lineRule="exact"/>
        <w:rPr>
          <w:sz w:val="20"/>
          <w:szCs w:val="20"/>
          <w:color w:val="auto"/>
        </w:rPr>
      </w:pPr>
    </w:p>
    <w:tbl>
      <w:tblPr>
        <w:tblLayout w:type="fixed"/>
        <w:tblInd w:w="340" w:type="dxa"/>
        <w:tblCellMar>
          <w:top w:w="0" w:type="dxa"/>
          <w:left w:w="0" w:type="dxa"/>
          <w:bottom w:w="0" w:type="dxa"/>
          <w:right w:w="0" w:type="dxa"/>
        </w:tblCellMar>
      </w:tblPr>
      <w:tr>
        <w:trPr>
          <w:trHeight w:val="203"/>
        </w:trPr>
        <w:tc>
          <w:tcPr>
            <w:tcW w:w="222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3380" w:type="dxa"/>
            <w:vAlign w:val="bottom"/>
            <w:tcBorders>
              <w:bottom w:val="single" w:sz="8" w:color="auto"/>
            </w:tcBorders>
            <w:gridSpan w:val="9"/>
          </w:tcPr>
          <w:p>
            <w:pPr>
              <w:jc w:val="right"/>
              <w:spacing w:after="0"/>
              <w:rPr>
                <w:sz w:val="20"/>
                <w:szCs w:val="20"/>
                <w:color w:val="auto"/>
              </w:rPr>
            </w:pPr>
            <w:r>
              <w:rPr>
                <w:rFonts w:ascii="Arial" w:cs="Arial" w:eastAsia="Arial" w:hAnsi="Arial"/>
                <w:sz w:val="14"/>
                <w:szCs w:val="14"/>
                <w:b w:val="1"/>
                <w:bCs w:val="1"/>
                <w:color w:val="auto"/>
              </w:rPr>
              <w:t>Nine months ended September 30, 2017</w:t>
            </w:r>
          </w:p>
        </w:tc>
        <w:tc>
          <w:tcPr>
            <w:tcW w:w="86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64"/>
        </w:trPr>
        <w:tc>
          <w:tcPr>
            <w:tcW w:w="222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spacing w:after="0"/>
              <w:rPr>
                <w:sz w:val="22"/>
                <w:szCs w:val="22"/>
                <w:color w:val="auto"/>
              </w:rPr>
            </w:pPr>
          </w:p>
        </w:tc>
        <w:tc>
          <w:tcPr>
            <w:tcW w:w="1420" w:type="dxa"/>
            <w:vAlign w:val="bottom"/>
            <w:tcBorders>
              <w:bottom w:val="single" w:sz="8" w:color="auto"/>
            </w:tcBorders>
            <w:gridSpan w:val="5"/>
          </w:tcPr>
          <w:p>
            <w:pPr>
              <w:jc w:val="right"/>
              <w:spacing w:after="0"/>
              <w:rPr>
                <w:sz w:val="20"/>
                <w:szCs w:val="20"/>
                <w:color w:val="auto"/>
              </w:rPr>
            </w:pPr>
            <w:r>
              <w:rPr>
                <w:rFonts w:ascii="Arial" w:cs="Arial" w:eastAsia="Arial" w:hAnsi="Arial"/>
                <w:sz w:val="14"/>
                <w:szCs w:val="14"/>
                <w:b w:val="1"/>
                <w:bCs w:val="1"/>
                <w:color w:val="auto"/>
              </w:rPr>
              <w:t>Equipment Leasing</w:t>
            </w:r>
          </w:p>
        </w:tc>
        <w:tc>
          <w:tcPr>
            <w:tcW w:w="96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gridSpan w:val="3"/>
          </w:tcPr>
          <w:p>
            <w:pPr>
              <w:ind w:left="40"/>
              <w:spacing w:after="0"/>
              <w:rPr>
                <w:sz w:val="20"/>
                <w:szCs w:val="20"/>
                <w:color w:val="auto"/>
              </w:rPr>
            </w:pPr>
            <w:r>
              <w:rPr>
                <w:rFonts w:ascii="Arial" w:cs="Arial" w:eastAsia="Arial" w:hAnsi="Arial"/>
                <w:sz w:val="14"/>
                <w:szCs w:val="14"/>
                <w:b w:val="1"/>
                <w:bCs w:val="1"/>
                <w:color w:val="auto"/>
              </w:rPr>
              <w:t>Infrastructure</w:t>
            </w:r>
          </w:p>
        </w:tc>
        <w:tc>
          <w:tcPr>
            <w:tcW w:w="14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68"/>
        </w:trPr>
        <w:tc>
          <w:tcPr>
            <w:tcW w:w="2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40" w:type="dxa"/>
            <w:vAlign w:val="bottom"/>
          </w:tcPr>
          <w:p>
            <w:pPr>
              <w:jc w:val="right"/>
              <w:ind w:right="148"/>
              <w:spacing w:after="0"/>
              <w:rPr>
                <w:sz w:val="20"/>
                <w:szCs w:val="20"/>
                <w:color w:val="auto"/>
              </w:rPr>
            </w:pPr>
            <w:r>
              <w:rPr>
                <w:rFonts w:ascii="Arial" w:cs="Arial" w:eastAsia="Arial" w:hAnsi="Arial"/>
                <w:sz w:val="14"/>
                <w:szCs w:val="14"/>
                <w:b w:val="1"/>
                <w:bCs w:val="1"/>
                <w:color w:val="auto"/>
              </w:rPr>
              <w:t>Aviation</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Offshore</w:t>
            </w:r>
          </w:p>
        </w:tc>
        <w:tc>
          <w:tcPr>
            <w:tcW w:w="140" w:type="dxa"/>
            <w:vAlign w:val="bottom"/>
          </w:tcPr>
          <w:p>
            <w:pPr>
              <w:spacing w:after="0"/>
              <w:rPr>
                <w:sz w:val="14"/>
                <w:szCs w:val="14"/>
                <w:color w:val="auto"/>
              </w:rPr>
            </w:pPr>
          </w:p>
        </w:tc>
        <w:tc>
          <w:tcPr>
            <w:tcW w:w="10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Shipping</w:t>
            </w:r>
          </w:p>
        </w:tc>
        <w:tc>
          <w:tcPr>
            <w:tcW w:w="140" w:type="dxa"/>
            <w:vAlign w:val="bottom"/>
          </w:tcPr>
          <w:p>
            <w:pPr>
              <w:spacing w:after="0"/>
              <w:rPr>
                <w:sz w:val="14"/>
                <w:szCs w:val="14"/>
                <w:color w:val="auto"/>
              </w:rPr>
            </w:pPr>
          </w:p>
        </w:tc>
        <w:tc>
          <w:tcPr>
            <w:tcW w:w="9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Jefferson</w:t>
            </w:r>
          </w:p>
        </w:tc>
        <w:tc>
          <w:tcPr>
            <w:tcW w:w="1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gridSpan w:val="2"/>
          </w:tcPr>
          <w:p>
            <w:pPr>
              <w:ind w:left="20"/>
              <w:spacing w:after="0"/>
              <w:rPr>
                <w:sz w:val="20"/>
                <w:szCs w:val="20"/>
                <w:color w:val="auto"/>
              </w:rPr>
            </w:pPr>
            <w:r>
              <w:rPr>
                <w:rFonts w:ascii="Arial" w:cs="Arial" w:eastAsia="Arial" w:hAnsi="Arial"/>
                <w:sz w:val="14"/>
                <w:szCs w:val="14"/>
                <w:b w:val="1"/>
                <w:bCs w:val="1"/>
                <w:color w:val="auto"/>
              </w:rPr>
              <w:t>Ports and</w:t>
            </w:r>
          </w:p>
        </w:tc>
        <w:tc>
          <w:tcPr>
            <w:tcW w:w="1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2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jc w:val="right"/>
              <w:ind w:right="168"/>
              <w:spacing w:after="0"/>
              <w:rPr>
                <w:sz w:val="20"/>
                <w:szCs w:val="20"/>
                <w:color w:val="auto"/>
              </w:rPr>
            </w:pPr>
            <w:r>
              <w:rPr>
                <w:rFonts w:ascii="Arial" w:cs="Arial" w:eastAsia="Arial" w:hAnsi="Arial"/>
                <w:sz w:val="14"/>
                <w:szCs w:val="14"/>
                <w:b w:val="1"/>
                <w:bCs w:val="1"/>
                <w:color w:val="auto"/>
              </w:rPr>
              <w:t>Leasing</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Energy</w:t>
            </w:r>
          </w:p>
        </w:tc>
        <w:tc>
          <w:tcPr>
            <w:tcW w:w="140" w:type="dxa"/>
            <w:vAlign w:val="bottom"/>
          </w:tcPr>
          <w:p>
            <w:pPr>
              <w:spacing w:after="0"/>
              <w:rPr>
                <w:sz w:val="17"/>
                <w:szCs w:val="17"/>
                <w:color w:val="auto"/>
              </w:rPr>
            </w:pPr>
          </w:p>
        </w:tc>
        <w:tc>
          <w:tcPr>
            <w:tcW w:w="10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Containers</w:t>
            </w:r>
          </w:p>
        </w:tc>
        <w:tc>
          <w:tcPr>
            <w:tcW w:w="140" w:type="dxa"/>
            <w:vAlign w:val="bottom"/>
          </w:tcPr>
          <w:p>
            <w:pPr>
              <w:spacing w:after="0"/>
              <w:rPr>
                <w:sz w:val="17"/>
                <w:szCs w:val="17"/>
                <w:color w:val="auto"/>
              </w:rPr>
            </w:pPr>
          </w:p>
        </w:tc>
        <w:tc>
          <w:tcPr>
            <w:tcW w:w="9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9"/>
              </w:rPr>
              <w:t>Terminal</w:t>
            </w:r>
          </w:p>
        </w:tc>
        <w:tc>
          <w:tcPr>
            <w:tcW w:w="140" w:type="dxa"/>
            <w:vAlign w:val="bottom"/>
          </w:tcPr>
          <w:p>
            <w:pPr>
              <w:spacing w:after="0"/>
              <w:rPr>
                <w:sz w:val="17"/>
                <w:szCs w:val="17"/>
                <w:color w:val="auto"/>
              </w:rPr>
            </w:pPr>
          </w:p>
        </w:tc>
        <w:tc>
          <w:tcPr>
            <w:tcW w:w="940" w:type="dxa"/>
            <w:vAlign w:val="bottom"/>
            <w:gridSpan w:val="2"/>
          </w:tcPr>
          <w:p>
            <w:pPr>
              <w:ind w:left="60"/>
              <w:spacing w:after="0"/>
              <w:rPr>
                <w:sz w:val="20"/>
                <w:szCs w:val="20"/>
                <w:color w:val="auto"/>
              </w:rPr>
            </w:pPr>
            <w:r>
              <w:rPr>
                <w:rFonts w:ascii="Arial" w:cs="Arial" w:eastAsia="Arial" w:hAnsi="Arial"/>
                <w:sz w:val="14"/>
                <w:szCs w:val="14"/>
                <w:b w:val="1"/>
                <w:bCs w:val="1"/>
                <w:color w:val="auto"/>
              </w:rPr>
              <w:t>Railroad</w:t>
            </w:r>
          </w:p>
        </w:tc>
        <w:tc>
          <w:tcPr>
            <w:tcW w:w="140" w:type="dxa"/>
            <w:vAlign w:val="bottom"/>
          </w:tcPr>
          <w:p>
            <w:pPr>
              <w:spacing w:after="0"/>
              <w:rPr>
                <w:sz w:val="17"/>
                <w:szCs w:val="17"/>
                <w:color w:val="auto"/>
              </w:rPr>
            </w:pPr>
          </w:p>
        </w:tc>
        <w:tc>
          <w:tcPr>
            <w:tcW w:w="960" w:type="dxa"/>
            <w:vAlign w:val="bottom"/>
            <w:gridSpan w:val="2"/>
          </w:tcPr>
          <w:p>
            <w:pPr>
              <w:ind w:left="20"/>
              <w:spacing w:after="0"/>
              <w:rPr>
                <w:sz w:val="20"/>
                <w:szCs w:val="20"/>
                <w:color w:val="auto"/>
              </w:rPr>
            </w:pPr>
            <w:r>
              <w:rPr>
                <w:rFonts w:ascii="Arial" w:cs="Arial" w:eastAsia="Arial" w:hAnsi="Arial"/>
                <w:sz w:val="14"/>
                <w:szCs w:val="14"/>
                <w:b w:val="1"/>
                <w:bCs w:val="1"/>
                <w:color w:val="auto"/>
              </w:rPr>
              <w:t>Terminals</w:t>
            </w:r>
          </w:p>
        </w:tc>
        <w:tc>
          <w:tcPr>
            <w:tcW w:w="120" w:type="dxa"/>
            <w:vAlign w:val="bottom"/>
          </w:tcPr>
          <w:p>
            <w:pPr>
              <w:spacing w:after="0"/>
              <w:rPr>
                <w:sz w:val="17"/>
                <w:szCs w:val="17"/>
                <w:color w:val="auto"/>
              </w:rPr>
            </w:pPr>
          </w:p>
        </w:tc>
        <w:tc>
          <w:tcPr>
            <w:tcW w:w="980" w:type="dxa"/>
            <w:vAlign w:val="bottom"/>
            <w:gridSpan w:val="2"/>
          </w:tcPr>
          <w:p>
            <w:pPr>
              <w:ind w:left="20"/>
              <w:spacing w:after="0"/>
              <w:rPr>
                <w:sz w:val="20"/>
                <w:szCs w:val="20"/>
                <w:color w:val="auto"/>
              </w:rPr>
            </w:pPr>
            <w:r>
              <w:rPr>
                <w:rFonts w:ascii="Arial" w:cs="Arial" w:eastAsia="Arial" w:hAnsi="Arial"/>
                <w:sz w:val="14"/>
                <w:szCs w:val="14"/>
                <w:b w:val="1"/>
                <w:bCs w:val="1"/>
                <w:color w:val="auto"/>
              </w:rPr>
              <w:t>Corporate</w:t>
            </w:r>
          </w:p>
        </w:tc>
        <w:tc>
          <w:tcPr>
            <w:tcW w:w="220" w:type="dxa"/>
            <w:vAlign w:val="bottom"/>
          </w:tcPr>
          <w:p>
            <w:pPr>
              <w:spacing w:after="0"/>
              <w:rPr>
                <w:sz w:val="17"/>
                <w:szCs w:val="17"/>
                <w:color w:val="auto"/>
              </w:rPr>
            </w:pPr>
          </w:p>
        </w:tc>
        <w:tc>
          <w:tcPr>
            <w:tcW w:w="760" w:type="dxa"/>
            <w:vAlign w:val="bottom"/>
          </w:tcPr>
          <w:p>
            <w:pPr>
              <w:jc w:val="right"/>
              <w:ind w:right="248"/>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65"/>
        </w:trPr>
        <w:tc>
          <w:tcPr>
            <w:tcW w:w="22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Revenues</w:t>
            </w:r>
          </w:p>
        </w:tc>
        <w:tc>
          <w:tcPr>
            <w:tcW w:w="180" w:type="dxa"/>
            <w:vAlign w:val="bottom"/>
            <w:tcBorders>
              <w:top w:val="single" w:sz="8" w:color="auto"/>
            </w:tcBorders>
            <w:shd w:val="clear" w:color="auto" w:fill="CCEEFF"/>
          </w:tcPr>
          <w:p>
            <w:pPr>
              <w:spacing w:after="0"/>
              <w:rPr>
                <w:sz w:val="23"/>
                <w:szCs w:val="23"/>
                <w:color w:val="auto"/>
              </w:rPr>
            </w:pPr>
          </w:p>
        </w:tc>
        <w:tc>
          <w:tcPr>
            <w:tcW w:w="84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160" w:type="dxa"/>
            <w:vAlign w:val="bottom"/>
            <w:tcBorders>
              <w:top w:val="single" w:sz="8" w:color="auto"/>
            </w:tcBorders>
            <w:shd w:val="clear" w:color="auto" w:fill="CCEEFF"/>
          </w:tcPr>
          <w:p>
            <w:pPr>
              <w:spacing w:after="0"/>
              <w:rPr>
                <w:sz w:val="23"/>
                <w:szCs w:val="23"/>
                <w:color w:val="auto"/>
              </w:rPr>
            </w:pPr>
          </w:p>
        </w:tc>
        <w:tc>
          <w:tcPr>
            <w:tcW w:w="88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140" w:type="dxa"/>
            <w:vAlign w:val="bottom"/>
            <w:tcBorders>
              <w:top w:val="single" w:sz="8" w:color="auto"/>
            </w:tcBorders>
            <w:shd w:val="clear" w:color="auto" w:fill="CCEEFF"/>
          </w:tcPr>
          <w:p>
            <w:pPr>
              <w:spacing w:after="0"/>
              <w:rPr>
                <w:sz w:val="23"/>
                <w:szCs w:val="23"/>
                <w:color w:val="auto"/>
              </w:rPr>
            </w:pPr>
          </w:p>
        </w:tc>
        <w:tc>
          <w:tcPr>
            <w:tcW w:w="96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140" w:type="dxa"/>
            <w:vAlign w:val="bottom"/>
            <w:tcBorders>
              <w:top w:val="single" w:sz="8" w:color="auto"/>
            </w:tcBorders>
            <w:shd w:val="clear" w:color="auto" w:fill="CCEEFF"/>
          </w:tcPr>
          <w:p>
            <w:pPr>
              <w:spacing w:after="0"/>
              <w:rPr>
                <w:sz w:val="23"/>
                <w:szCs w:val="23"/>
                <w:color w:val="auto"/>
              </w:rPr>
            </w:pPr>
          </w:p>
        </w:tc>
        <w:tc>
          <w:tcPr>
            <w:tcW w:w="84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140" w:type="dxa"/>
            <w:vAlign w:val="bottom"/>
            <w:tcBorders>
              <w:top w:val="single" w:sz="8" w:color="auto"/>
            </w:tcBorders>
            <w:shd w:val="clear" w:color="auto" w:fill="CCEEFF"/>
          </w:tcPr>
          <w:p>
            <w:pPr>
              <w:spacing w:after="0"/>
              <w:rPr>
                <w:sz w:val="23"/>
                <w:szCs w:val="23"/>
                <w:color w:val="auto"/>
              </w:rPr>
            </w:pPr>
          </w:p>
        </w:tc>
        <w:tc>
          <w:tcPr>
            <w:tcW w:w="84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140" w:type="dxa"/>
            <w:vAlign w:val="bottom"/>
            <w:tcBorders>
              <w:top w:val="single" w:sz="8" w:color="auto"/>
            </w:tcBorders>
            <w:shd w:val="clear" w:color="auto" w:fill="CCEEFF"/>
          </w:tcPr>
          <w:p>
            <w:pPr>
              <w:spacing w:after="0"/>
              <w:rPr>
                <w:sz w:val="23"/>
                <w:szCs w:val="23"/>
                <w:color w:val="auto"/>
              </w:rPr>
            </w:pPr>
          </w:p>
        </w:tc>
        <w:tc>
          <w:tcPr>
            <w:tcW w:w="86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120" w:type="dxa"/>
            <w:vAlign w:val="bottom"/>
            <w:tcBorders>
              <w:top w:val="single" w:sz="8" w:color="auto"/>
            </w:tcBorders>
            <w:shd w:val="clear" w:color="auto" w:fill="CCEEFF"/>
          </w:tcPr>
          <w:p>
            <w:pPr>
              <w:spacing w:after="0"/>
              <w:rPr>
                <w:sz w:val="23"/>
                <w:szCs w:val="23"/>
                <w:color w:val="auto"/>
              </w:rPr>
            </w:pPr>
          </w:p>
        </w:tc>
        <w:tc>
          <w:tcPr>
            <w:tcW w:w="86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220" w:type="dxa"/>
            <w:vAlign w:val="bottom"/>
            <w:tcBorders>
              <w:top w:val="single" w:sz="8" w:color="auto"/>
            </w:tcBorders>
            <w:shd w:val="clear" w:color="auto" w:fill="CCEEFF"/>
          </w:tcPr>
          <w:p>
            <w:pPr>
              <w:spacing w:after="0"/>
              <w:rPr>
                <w:sz w:val="23"/>
                <w:szCs w:val="23"/>
                <w:color w:val="auto"/>
              </w:rPr>
            </w:pPr>
          </w:p>
        </w:tc>
        <w:tc>
          <w:tcPr>
            <w:tcW w:w="760" w:type="dxa"/>
            <w:vAlign w:val="bottom"/>
            <w:tcBorders>
              <w:top w:val="single" w:sz="8" w:color="auto"/>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9"/>
        </w:trPr>
        <w:tc>
          <w:tcPr>
            <w:tcW w:w="2220" w:type="dxa"/>
            <w:vAlign w:val="bottom"/>
          </w:tcPr>
          <w:p>
            <w:pPr>
              <w:ind w:left="20"/>
              <w:spacing w:after="0"/>
              <w:rPr>
                <w:sz w:val="20"/>
                <w:szCs w:val="20"/>
                <w:color w:val="auto"/>
              </w:rPr>
            </w:pPr>
            <w:r>
              <w:rPr>
                <w:rFonts w:ascii="Arial" w:cs="Arial" w:eastAsia="Arial" w:hAnsi="Arial"/>
                <w:sz w:val="14"/>
                <w:szCs w:val="14"/>
                <w:color w:val="auto"/>
              </w:rPr>
              <w:t>Equipment leasing revenues</w:t>
            </w:r>
          </w:p>
        </w:tc>
        <w:tc>
          <w:tcPr>
            <w:tcW w:w="180" w:type="dxa"/>
            <w:vAlign w:val="bottom"/>
          </w:tcPr>
          <w:p>
            <w:pPr>
              <w:jc w:val="right"/>
              <w:ind w:right="8"/>
              <w:spacing w:after="0"/>
              <w:rPr>
                <w:sz w:val="20"/>
                <w:szCs w:val="20"/>
                <w:color w:val="auto"/>
              </w:rPr>
            </w:pPr>
            <w:r>
              <w:rPr>
                <w:rFonts w:ascii="Arial" w:cs="Arial" w:eastAsia="Arial" w:hAnsi="Arial"/>
                <w:sz w:val="14"/>
                <w:szCs w:val="14"/>
                <w:b w:val="1"/>
                <w:bCs w:val="1"/>
                <w:color w:val="auto"/>
              </w:rPr>
              <w:t>$</w:t>
            </w:r>
          </w:p>
        </w:tc>
        <w:tc>
          <w:tcPr>
            <w:tcW w:w="840" w:type="dxa"/>
            <w:vAlign w:val="bottom"/>
          </w:tcPr>
          <w:p>
            <w:pPr>
              <w:jc w:val="right"/>
              <w:ind w:right="48"/>
              <w:spacing w:after="0"/>
              <w:rPr>
                <w:sz w:val="20"/>
                <w:szCs w:val="20"/>
                <w:color w:val="auto"/>
              </w:rPr>
            </w:pPr>
            <w:r>
              <w:rPr>
                <w:rFonts w:ascii="Arial" w:cs="Arial" w:eastAsia="Arial" w:hAnsi="Arial"/>
                <w:sz w:val="14"/>
                <w:szCs w:val="14"/>
                <w:b w:val="1"/>
                <w:bCs w:val="1"/>
                <w:color w:val="auto"/>
              </w:rPr>
              <w:t>110,357</w:t>
            </w:r>
          </w:p>
        </w:tc>
        <w:tc>
          <w:tcPr>
            <w:tcW w:w="280" w:type="dxa"/>
            <w:vAlign w:val="bottom"/>
            <w:gridSpan w:val="2"/>
          </w:tcPr>
          <w:p>
            <w:pPr>
              <w:jc w:val="right"/>
              <w:ind w:right="40"/>
              <w:spacing w:after="0"/>
              <w:rPr>
                <w:sz w:val="20"/>
                <w:szCs w:val="20"/>
                <w:color w:val="auto"/>
              </w:rPr>
            </w:pPr>
            <w:r>
              <w:rPr>
                <w:rFonts w:ascii="Arial" w:cs="Arial" w:eastAsia="Arial" w:hAnsi="Arial"/>
                <w:sz w:val="14"/>
                <w:szCs w:val="14"/>
                <w:b w:val="1"/>
                <w:bCs w:val="1"/>
                <w:color w:val="auto"/>
              </w:rPr>
              <w:t>$</w:t>
            </w:r>
          </w:p>
        </w:tc>
        <w:tc>
          <w:tcPr>
            <w:tcW w:w="880" w:type="dxa"/>
            <w:vAlign w:val="bottom"/>
          </w:tcPr>
          <w:p>
            <w:pPr>
              <w:jc w:val="right"/>
              <w:ind w:right="48"/>
              <w:spacing w:after="0"/>
              <w:rPr>
                <w:sz w:val="20"/>
                <w:szCs w:val="20"/>
                <w:color w:val="auto"/>
              </w:rPr>
            </w:pPr>
            <w:r>
              <w:rPr>
                <w:rFonts w:ascii="Arial" w:cs="Arial" w:eastAsia="Arial" w:hAnsi="Arial"/>
                <w:sz w:val="14"/>
                <w:szCs w:val="14"/>
                <w:b w:val="1"/>
                <w:bCs w:val="1"/>
                <w:color w:val="auto"/>
              </w:rPr>
              <w:t>10,955</w:t>
            </w:r>
          </w:p>
        </w:tc>
        <w:tc>
          <w:tcPr>
            <w:tcW w:w="120" w:type="dxa"/>
            <w:vAlign w:val="bottom"/>
          </w:tcPr>
          <w:p>
            <w:pPr>
              <w:spacing w:after="0"/>
              <w:rPr>
                <w:sz w:val="23"/>
                <w:szCs w:val="23"/>
                <w:color w:val="auto"/>
              </w:rPr>
            </w:pPr>
          </w:p>
        </w:tc>
        <w:tc>
          <w:tcPr>
            <w:tcW w:w="14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960" w:type="dxa"/>
            <w:vAlign w:val="bottom"/>
          </w:tcPr>
          <w:p>
            <w:pPr>
              <w:jc w:val="right"/>
              <w:ind w:right="48"/>
              <w:spacing w:after="0"/>
              <w:rPr>
                <w:sz w:val="20"/>
                <w:szCs w:val="20"/>
                <w:color w:val="auto"/>
              </w:rPr>
            </w:pPr>
            <w:r>
              <w:rPr>
                <w:rFonts w:ascii="Arial" w:cs="Arial" w:eastAsia="Arial" w:hAnsi="Arial"/>
                <w:sz w:val="14"/>
                <w:szCs w:val="14"/>
                <w:b w:val="1"/>
                <w:bCs w:val="1"/>
                <w:color w:val="auto"/>
              </w:rPr>
              <w:t>75</w:t>
            </w:r>
          </w:p>
        </w:tc>
        <w:tc>
          <w:tcPr>
            <w:tcW w:w="100" w:type="dxa"/>
            <w:vAlign w:val="bottom"/>
          </w:tcPr>
          <w:p>
            <w:pPr>
              <w:spacing w:after="0"/>
              <w:rPr>
                <w:sz w:val="23"/>
                <w:szCs w:val="23"/>
                <w:color w:val="auto"/>
              </w:rPr>
            </w:pPr>
          </w:p>
        </w:tc>
        <w:tc>
          <w:tcPr>
            <w:tcW w:w="14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96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rPr>
              <w:t>—</w:t>
            </w:r>
          </w:p>
        </w:tc>
        <w:tc>
          <w:tcPr>
            <w:tcW w:w="140" w:type="dxa"/>
            <w:vAlign w:val="bottom"/>
          </w:tcPr>
          <w:p>
            <w:pPr>
              <w:ind w:left="20"/>
              <w:spacing w:after="0"/>
              <w:rPr>
                <w:sz w:val="20"/>
                <w:szCs w:val="20"/>
                <w:color w:val="auto"/>
              </w:rPr>
            </w:pPr>
            <w:r>
              <w:rPr>
                <w:rFonts w:ascii="Arial" w:cs="Arial" w:eastAsia="Arial" w:hAnsi="Arial"/>
                <w:sz w:val="14"/>
                <w:szCs w:val="14"/>
                <w:b w:val="1"/>
                <w:bCs w:val="1"/>
                <w:color w:val="auto"/>
              </w:rPr>
              <w:t>$</w:t>
            </w:r>
          </w:p>
        </w:tc>
        <w:tc>
          <w:tcPr>
            <w:tcW w:w="94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rPr>
              <w:t>—</w:t>
            </w:r>
          </w:p>
        </w:tc>
        <w:tc>
          <w:tcPr>
            <w:tcW w:w="14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96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rPr>
              <w:t>—</w:t>
            </w:r>
          </w:p>
        </w:tc>
        <w:tc>
          <w:tcPr>
            <w:tcW w:w="12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98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rPr>
              <w:t>—</w:t>
            </w:r>
          </w:p>
        </w:tc>
        <w:tc>
          <w:tcPr>
            <w:tcW w:w="220" w:type="dxa"/>
            <w:vAlign w:val="bottom"/>
          </w:tcPr>
          <w:p>
            <w:pPr>
              <w:jc w:val="right"/>
              <w:ind w:right="48"/>
              <w:spacing w:after="0"/>
              <w:rPr>
                <w:sz w:val="20"/>
                <w:szCs w:val="20"/>
                <w:color w:val="auto"/>
              </w:rPr>
            </w:pPr>
            <w:r>
              <w:rPr>
                <w:rFonts w:ascii="Arial" w:cs="Arial" w:eastAsia="Arial" w:hAnsi="Arial"/>
                <w:sz w:val="14"/>
                <w:szCs w:val="14"/>
                <w:b w:val="1"/>
                <w:bCs w:val="1"/>
                <w:color w:val="auto"/>
              </w:rPr>
              <w:t>$</w:t>
            </w:r>
          </w:p>
        </w:tc>
        <w:tc>
          <w:tcPr>
            <w:tcW w:w="760" w:type="dxa"/>
            <w:vAlign w:val="bottom"/>
          </w:tcPr>
          <w:p>
            <w:pPr>
              <w:jc w:val="right"/>
              <w:ind w:right="28"/>
              <w:spacing w:after="0"/>
              <w:rPr>
                <w:sz w:val="20"/>
                <w:szCs w:val="20"/>
                <w:color w:val="auto"/>
              </w:rPr>
            </w:pPr>
            <w:r>
              <w:rPr>
                <w:rFonts w:ascii="Arial" w:cs="Arial" w:eastAsia="Arial" w:hAnsi="Arial"/>
                <w:sz w:val="14"/>
                <w:szCs w:val="14"/>
                <w:b w:val="1"/>
                <w:bCs w:val="1"/>
                <w:color w:val="auto"/>
              </w:rPr>
              <w:t>121,387</w:t>
            </w:r>
          </w:p>
        </w:tc>
        <w:tc>
          <w:tcPr>
            <w:tcW w:w="0" w:type="dxa"/>
            <w:vAlign w:val="bottom"/>
          </w:tcPr>
          <w:p>
            <w:pPr>
              <w:spacing w:after="0"/>
              <w:rPr>
                <w:sz w:val="1"/>
                <w:szCs w:val="1"/>
                <w:color w:val="auto"/>
              </w:rPr>
            </w:pPr>
          </w:p>
        </w:tc>
      </w:tr>
      <w:tr>
        <w:trPr>
          <w:trHeight w:val="270"/>
        </w:trPr>
        <w:tc>
          <w:tcPr>
            <w:tcW w:w="2220" w:type="dxa"/>
            <w:vAlign w:val="bottom"/>
            <w:shd w:val="clear" w:color="auto" w:fill="CCEEFF"/>
          </w:tcPr>
          <w:p>
            <w:pPr>
              <w:ind w:left="20"/>
              <w:spacing w:after="0"/>
              <w:rPr>
                <w:sz w:val="20"/>
                <w:szCs w:val="20"/>
                <w:color w:val="auto"/>
              </w:rPr>
            </w:pPr>
            <w:r>
              <w:rPr>
                <w:rFonts w:ascii="Arial" w:cs="Arial" w:eastAsia="Arial" w:hAnsi="Arial"/>
                <w:sz w:val="14"/>
                <w:szCs w:val="14"/>
                <w:color w:val="auto"/>
              </w:rPr>
              <w:t>Infrastructure revenues</w:t>
            </w:r>
          </w:p>
        </w:tc>
        <w:tc>
          <w:tcPr>
            <w:tcW w:w="180" w:type="dxa"/>
            <w:vAlign w:val="bottom"/>
            <w:tcBorders>
              <w:bottom w:val="single" w:sz="8" w:color="auto"/>
            </w:tcBorders>
            <w:shd w:val="clear" w:color="auto" w:fill="CCEEFF"/>
          </w:tcPr>
          <w:p>
            <w:pPr>
              <w:spacing w:after="0"/>
              <w:rPr>
                <w:sz w:val="23"/>
                <w:szCs w:val="23"/>
                <w:color w:val="auto"/>
              </w:rPr>
            </w:pPr>
          </w:p>
        </w:tc>
        <w:tc>
          <w:tcPr>
            <w:tcW w:w="84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w:t>
            </w:r>
          </w:p>
        </w:tc>
        <w:tc>
          <w:tcPr>
            <w:tcW w:w="12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88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w:t>
            </w:r>
          </w:p>
        </w:tc>
        <w:tc>
          <w:tcPr>
            <w:tcW w:w="12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96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w:t>
            </w:r>
          </w:p>
        </w:tc>
        <w:tc>
          <w:tcPr>
            <w:tcW w:w="10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8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9,622</w:t>
            </w:r>
          </w:p>
        </w:tc>
        <w:tc>
          <w:tcPr>
            <w:tcW w:w="12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8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24,323</w:t>
            </w:r>
          </w:p>
        </w:tc>
        <w:tc>
          <w:tcPr>
            <w:tcW w:w="10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86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897</w:t>
            </w:r>
          </w:p>
        </w:tc>
        <w:tc>
          <w:tcPr>
            <w:tcW w:w="10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8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w:t>
            </w:r>
          </w:p>
        </w:tc>
        <w:tc>
          <w:tcPr>
            <w:tcW w:w="120" w:type="dxa"/>
            <w:vAlign w:val="bottom"/>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spacing w:after="0"/>
              <w:rPr>
                <w:sz w:val="23"/>
                <w:szCs w:val="23"/>
                <w:color w:val="auto"/>
              </w:rPr>
            </w:pPr>
          </w:p>
        </w:tc>
        <w:tc>
          <w:tcPr>
            <w:tcW w:w="7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34,842</w:t>
            </w:r>
          </w:p>
        </w:tc>
        <w:tc>
          <w:tcPr>
            <w:tcW w:w="0" w:type="dxa"/>
            <w:vAlign w:val="bottom"/>
          </w:tcPr>
          <w:p>
            <w:pPr>
              <w:spacing w:after="0"/>
              <w:rPr>
                <w:sz w:val="1"/>
                <w:szCs w:val="1"/>
                <w:color w:val="auto"/>
              </w:rPr>
            </w:pPr>
          </w:p>
        </w:tc>
      </w:tr>
      <w:tr>
        <w:trPr>
          <w:trHeight w:val="250"/>
        </w:trPr>
        <w:tc>
          <w:tcPr>
            <w:tcW w:w="2220" w:type="dxa"/>
            <w:vAlign w:val="bottom"/>
          </w:tcPr>
          <w:p>
            <w:pPr>
              <w:ind w:left="20"/>
              <w:spacing w:after="0"/>
              <w:rPr>
                <w:sz w:val="20"/>
                <w:szCs w:val="20"/>
                <w:color w:val="auto"/>
              </w:rPr>
            </w:pPr>
            <w:r>
              <w:rPr>
                <w:rFonts w:ascii="Arial" w:cs="Arial" w:eastAsia="Arial" w:hAnsi="Arial"/>
                <w:sz w:val="14"/>
                <w:szCs w:val="14"/>
                <w:color w:val="auto"/>
              </w:rPr>
              <w:t>Total revenues</w:t>
            </w:r>
          </w:p>
        </w:tc>
        <w:tc>
          <w:tcPr>
            <w:tcW w:w="180" w:type="dxa"/>
            <w:vAlign w:val="bottom"/>
          </w:tcPr>
          <w:p>
            <w:pPr>
              <w:spacing w:after="0"/>
              <w:rPr>
                <w:sz w:val="21"/>
                <w:szCs w:val="21"/>
                <w:color w:val="auto"/>
              </w:rPr>
            </w:pPr>
          </w:p>
        </w:tc>
        <w:tc>
          <w:tcPr>
            <w:tcW w:w="840" w:type="dxa"/>
            <w:vAlign w:val="bottom"/>
          </w:tcPr>
          <w:p>
            <w:pPr>
              <w:jc w:val="right"/>
              <w:ind w:right="48"/>
              <w:spacing w:after="0"/>
              <w:rPr>
                <w:sz w:val="20"/>
                <w:szCs w:val="20"/>
                <w:color w:val="auto"/>
              </w:rPr>
            </w:pPr>
            <w:r>
              <w:rPr>
                <w:rFonts w:ascii="Arial" w:cs="Arial" w:eastAsia="Arial" w:hAnsi="Arial"/>
                <w:sz w:val="14"/>
                <w:szCs w:val="14"/>
                <w:b w:val="1"/>
                <w:bCs w:val="1"/>
                <w:color w:val="auto"/>
              </w:rPr>
              <w:t>110,357</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80" w:type="dxa"/>
            <w:vAlign w:val="bottom"/>
          </w:tcPr>
          <w:p>
            <w:pPr>
              <w:jc w:val="right"/>
              <w:ind w:right="48"/>
              <w:spacing w:after="0"/>
              <w:rPr>
                <w:sz w:val="20"/>
                <w:szCs w:val="20"/>
                <w:color w:val="auto"/>
              </w:rPr>
            </w:pPr>
            <w:r>
              <w:rPr>
                <w:rFonts w:ascii="Arial" w:cs="Arial" w:eastAsia="Arial" w:hAnsi="Arial"/>
                <w:sz w:val="14"/>
                <w:szCs w:val="14"/>
                <w:b w:val="1"/>
                <w:bCs w:val="1"/>
                <w:color w:val="auto"/>
              </w:rPr>
              <w:t>10,955</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60" w:type="dxa"/>
            <w:vAlign w:val="bottom"/>
          </w:tcPr>
          <w:p>
            <w:pPr>
              <w:jc w:val="right"/>
              <w:ind w:right="48"/>
              <w:spacing w:after="0"/>
              <w:rPr>
                <w:sz w:val="20"/>
                <w:szCs w:val="20"/>
                <w:color w:val="auto"/>
              </w:rPr>
            </w:pPr>
            <w:r>
              <w:rPr>
                <w:rFonts w:ascii="Arial" w:cs="Arial" w:eastAsia="Arial" w:hAnsi="Arial"/>
                <w:sz w:val="14"/>
                <w:szCs w:val="14"/>
                <w:b w:val="1"/>
                <w:bCs w:val="1"/>
                <w:color w:val="auto"/>
              </w:rPr>
              <w:t>75</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40" w:type="dxa"/>
            <w:vAlign w:val="bottom"/>
          </w:tcPr>
          <w:p>
            <w:pPr>
              <w:jc w:val="right"/>
              <w:ind w:right="28"/>
              <w:spacing w:after="0"/>
              <w:rPr>
                <w:sz w:val="20"/>
                <w:szCs w:val="20"/>
                <w:color w:val="auto"/>
              </w:rPr>
            </w:pPr>
            <w:r>
              <w:rPr>
                <w:rFonts w:ascii="Arial" w:cs="Arial" w:eastAsia="Arial" w:hAnsi="Arial"/>
                <w:sz w:val="14"/>
                <w:szCs w:val="14"/>
                <w:b w:val="1"/>
                <w:bCs w:val="1"/>
                <w:color w:val="auto"/>
              </w:rPr>
              <w:t>9,622</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40" w:type="dxa"/>
            <w:vAlign w:val="bottom"/>
          </w:tcPr>
          <w:p>
            <w:pPr>
              <w:jc w:val="right"/>
              <w:ind w:right="28"/>
              <w:spacing w:after="0"/>
              <w:rPr>
                <w:sz w:val="20"/>
                <w:szCs w:val="20"/>
                <w:color w:val="auto"/>
              </w:rPr>
            </w:pPr>
            <w:r>
              <w:rPr>
                <w:rFonts w:ascii="Arial" w:cs="Arial" w:eastAsia="Arial" w:hAnsi="Arial"/>
                <w:sz w:val="14"/>
                <w:szCs w:val="14"/>
                <w:b w:val="1"/>
                <w:bCs w:val="1"/>
                <w:color w:val="auto"/>
              </w:rPr>
              <w:t>24,323</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60" w:type="dxa"/>
            <w:vAlign w:val="bottom"/>
          </w:tcPr>
          <w:p>
            <w:pPr>
              <w:jc w:val="right"/>
              <w:ind w:right="48"/>
              <w:spacing w:after="0"/>
              <w:rPr>
                <w:sz w:val="20"/>
                <w:szCs w:val="20"/>
                <w:color w:val="auto"/>
              </w:rPr>
            </w:pPr>
            <w:r>
              <w:rPr>
                <w:rFonts w:ascii="Arial" w:cs="Arial" w:eastAsia="Arial" w:hAnsi="Arial"/>
                <w:sz w:val="14"/>
                <w:szCs w:val="14"/>
                <w:b w:val="1"/>
                <w:bCs w:val="1"/>
                <w:color w:val="auto"/>
              </w:rPr>
              <w:t>897</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rPr>
              <w:t>—</w:t>
            </w:r>
          </w:p>
        </w:tc>
        <w:tc>
          <w:tcPr>
            <w:tcW w:w="220" w:type="dxa"/>
            <w:vAlign w:val="bottom"/>
          </w:tcPr>
          <w:p>
            <w:pPr>
              <w:spacing w:after="0"/>
              <w:rPr>
                <w:sz w:val="21"/>
                <w:szCs w:val="21"/>
                <w:color w:val="auto"/>
              </w:rPr>
            </w:pPr>
          </w:p>
        </w:tc>
        <w:tc>
          <w:tcPr>
            <w:tcW w:w="760" w:type="dxa"/>
            <w:vAlign w:val="bottom"/>
          </w:tcPr>
          <w:p>
            <w:pPr>
              <w:jc w:val="right"/>
              <w:ind w:right="28"/>
              <w:spacing w:after="0"/>
              <w:rPr>
                <w:sz w:val="20"/>
                <w:szCs w:val="20"/>
                <w:color w:val="auto"/>
              </w:rPr>
            </w:pPr>
            <w:r>
              <w:rPr>
                <w:rFonts w:ascii="Arial" w:cs="Arial" w:eastAsia="Arial" w:hAnsi="Arial"/>
                <w:sz w:val="14"/>
                <w:szCs w:val="14"/>
                <w:b w:val="1"/>
                <w:bCs w:val="1"/>
                <w:color w:val="auto"/>
              </w:rPr>
              <w:t>156,229</w:t>
            </w:r>
          </w:p>
        </w:tc>
        <w:tc>
          <w:tcPr>
            <w:tcW w:w="0" w:type="dxa"/>
            <w:vAlign w:val="bottom"/>
          </w:tcPr>
          <w:p>
            <w:pPr>
              <w:spacing w:after="0"/>
              <w:rPr>
                <w:sz w:val="1"/>
                <w:szCs w:val="1"/>
                <w:color w:val="auto"/>
              </w:rPr>
            </w:pPr>
          </w:p>
        </w:tc>
      </w:tr>
      <w:tr>
        <w:trPr>
          <w:trHeight w:val="319"/>
        </w:trPr>
        <w:tc>
          <w:tcPr>
            <w:tcW w:w="2220" w:type="dxa"/>
            <w:vAlign w:val="bottom"/>
            <w:tcBorders>
              <w:top w:val="single" w:sz="8" w:color="CCEEFF"/>
            </w:tcBorders>
            <w:shd w:val="clear" w:color="auto" w:fill="CCEEFF"/>
          </w:tcPr>
          <w:p>
            <w:pPr>
              <w:spacing w:after="0"/>
              <w:rPr>
                <w:sz w:val="24"/>
                <w:szCs w:val="24"/>
                <w:color w:val="auto"/>
              </w:rPr>
            </w:pPr>
          </w:p>
        </w:tc>
        <w:tc>
          <w:tcPr>
            <w:tcW w:w="180" w:type="dxa"/>
            <w:vAlign w:val="bottom"/>
            <w:tcBorders>
              <w:top w:val="single" w:sz="8" w:color="auto"/>
            </w:tcBorders>
            <w:shd w:val="clear" w:color="auto" w:fill="CCEEFF"/>
          </w:tcPr>
          <w:p>
            <w:pPr>
              <w:spacing w:after="0"/>
              <w:rPr>
                <w:sz w:val="24"/>
                <w:szCs w:val="24"/>
                <w:color w:val="auto"/>
              </w:rPr>
            </w:pPr>
          </w:p>
        </w:tc>
        <w:tc>
          <w:tcPr>
            <w:tcW w:w="840" w:type="dxa"/>
            <w:vAlign w:val="bottom"/>
            <w:tcBorders>
              <w:top w:val="single" w:sz="8" w:color="auto"/>
            </w:tcBorders>
            <w:shd w:val="clear" w:color="auto" w:fill="CCEEFF"/>
          </w:tcPr>
          <w:p>
            <w:pPr>
              <w:spacing w:after="0"/>
              <w:rPr>
                <w:sz w:val="24"/>
                <w:szCs w:val="24"/>
                <w:color w:val="auto"/>
              </w:rPr>
            </w:pPr>
          </w:p>
        </w:tc>
        <w:tc>
          <w:tcPr>
            <w:tcW w:w="120" w:type="dxa"/>
            <w:vAlign w:val="bottom"/>
            <w:tcBorders>
              <w:top w:val="single" w:sz="8" w:color="CCEEFF"/>
            </w:tcBorders>
            <w:shd w:val="clear" w:color="auto" w:fill="CCEEFF"/>
          </w:tcPr>
          <w:p>
            <w:pPr>
              <w:spacing w:after="0"/>
              <w:rPr>
                <w:sz w:val="24"/>
                <w:szCs w:val="24"/>
                <w:color w:val="auto"/>
              </w:rPr>
            </w:pPr>
          </w:p>
        </w:tc>
        <w:tc>
          <w:tcPr>
            <w:tcW w:w="160" w:type="dxa"/>
            <w:vAlign w:val="bottom"/>
            <w:tcBorders>
              <w:top w:val="single" w:sz="8" w:color="auto"/>
            </w:tcBorders>
            <w:shd w:val="clear" w:color="auto" w:fill="CCEEFF"/>
          </w:tcPr>
          <w:p>
            <w:pPr>
              <w:spacing w:after="0"/>
              <w:rPr>
                <w:sz w:val="24"/>
                <w:szCs w:val="24"/>
                <w:color w:val="auto"/>
              </w:rPr>
            </w:pPr>
          </w:p>
        </w:tc>
        <w:tc>
          <w:tcPr>
            <w:tcW w:w="880" w:type="dxa"/>
            <w:vAlign w:val="bottom"/>
            <w:tcBorders>
              <w:top w:val="single" w:sz="8" w:color="auto"/>
            </w:tcBorders>
            <w:shd w:val="clear" w:color="auto" w:fill="CCEEFF"/>
          </w:tcPr>
          <w:p>
            <w:pPr>
              <w:spacing w:after="0"/>
              <w:rPr>
                <w:sz w:val="24"/>
                <w:szCs w:val="24"/>
                <w:color w:val="auto"/>
              </w:rPr>
            </w:pPr>
          </w:p>
        </w:tc>
        <w:tc>
          <w:tcPr>
            <w:tcW w:w="120" w:type="dxa"/>
            <w:vAlign w:val="bottom"/>
            <w:tcBorders>
              <w:top w:val="single" w:sz="8" w:color="CCEEFF"/>
            </w:tcBorders>
            <w:shd w:val="clear" w:color="auto" w:fill="CCEEFF"/>
          </w:tcPr>
          <w:p>
            <w:pPr>
              <w:spacing w:after="0"/>
              <w:rPr>
                <w:sz w:val="24"/>
                <w:szCs w:val="24"/>
                <w:color w:val="auto"/>
              </w:rPr>
            </w:pPr>
          </w:p>
        </w:tc>
        <w:tc>
          <w:tcPr>
            <w:tcW w:w="140" w:type="dxa"/>
            <w:vAlign w:val="bottom"/>
            <w:tcBorders>
              <w:top w:val="single" w:sz="8" w:color="auto"/>
            </w:tcBorders>
            <w:shd w:val="clear" w:color="auto" w:fill="CCEEFF"/>
          </w:tcPr>
          <w:p>
            <w:pPr>
              <w:spacing w:after="0"/>
              <w:rPr>
                <w:sz w:val="24"/>
                <w:szCs w:val="24"/>
                <w:color w:val="auto"/>
              </w:rPr>
            </w:pPr>
          </w:p>
        </w:tc>
        <w:tc>
          <w:tcPr>
            <w:tcW w:w="960" w:type="dxa"/>
            <w:vAlign w:val="bottom"/>
            <w:tcBorders>
              <w:top w:val="single" w:sz="8" w:color="auto"/>
            </w:tcBorders>
            <w:shd w:val="clear" w:color="auto" w:fill="CCEEFF"/>
          </w:tcPr>
          <w:p>
            <w:pPr>
              <w:spacing w:after="0"/>
              <w:rPr>
                <w:sz w:val="24"/>
                <w:szCs w:val="24"/>
                <w:color w:val="auto"/>
              </w:rPr>
            </w:pPr>
          </w:p>
        </w:tc>
        <w:tc>
          <w:tcPr>
            <w:tcW w:w="100" w:type="dxa"/>
            <w:vAlign w:val="bottom"/>
            <w:tcBorders>
              <w:top w:val="single" w:sz="8" w:color="CCEEFF"/>
            </w:tcBorders>
            <w:shd w:val="clear" w:color="auto" w:fill="CCEEFF"/>
          </w:tcPr>
          <w:p>
            <w:pPr>
              <w:spacing w:after="0"/>
              <w:rPr>
                <w:sz w:val="24"/>
                <w:szCs w:val="24"/>
                <w:color w:val="auto"/>
              </w:rPr>
            </w:pPr>
          </w:p>
        </w:tc>
        <w:tc>
          <w:tcPr>
            <w:tcW w:w="140" w:type="dxa"/>
            <w:vAlign w:val="bottom"/>
            <w:tcBorders>
              <w:top w:val="single" w:sz="8" w:color="auto"/>
            </w:tcBorders>
            <w:shd w:val="clear" w:color="auto" w:fill="CCEEFF"/>
          </w:tcPr>
          <w:p>
            <w:pPr>
              <w:spacing w:after="0"/>
              <w:rPr>
                <w:sz w:val="24"/>
                <w:szCs w:val="24"/>
                <w:color w:val="auto"/>
              </w:rPr>
            </w:pPr>
          </w:p>
        </w:tc>
        <w:tc>
          <w:tcPr>
            <w:tcW w:w="840" w:type="dxa"/>
            <w:vAlign w:val="bottom"/>
            <w:tcBorders>
              <w:top w:val="single" w:sz="8" w:color="auto"/>
            </w:tcBorders>
            <w:shd w:val="clear" w:color="auto" w:fill="CCEEFF"/>
          </w:tcPr>
          <w:p>
            <w:pPr>
              <w:spacing w:after="0"/>
              <w:rPr>
                <w:sz w:val="24"/>
                <w:szCs w:val="24"/>
                <w:color w:val="auto"/>
              </w:rPr>
            </w:pPr>
          </w:p>
        </w:tc>
        <w:tc>
          <w:tcPr>
            <w:tcW w:w="120" w:type="dxa"/>
            <w:vAlign w:val="bottom"/>
            <w:tcBorders>
              <w:top w:val="single" w:sz="8" w:color="CCEEFF"/>
            </w:tcBorders>
            <w:shd w:val="clear" w:color="auto" w:fill="CCEEFF"/>
          </w:tcPr>
          <w:p>
            <w:pPr>
              <w:spacing w:after="0"/>
              <w:rPr>
                <w:sz w:val="24"/>
                <w:szCs w:val="24"/>
                <w:color w:val="auto"/>
              </w:rPr>
            </w:pPr>
          </w:p>
        </w:tc>
        <w:tc>
          <w:tcPr>
            <w:tcW w:w="140" w:type="dxa"/>
            <w:vAlign w:val="bottom"/>
            <w:tcBorders>
              <w:top w:val="single" w:sz="8" w:color="auto"/>
            </w:tcBorders>
            <w:shd w:val="clear" w:color="auto" w:fill="CCEEFF"/>
          </w:tcPr>
          <w:p>
            <w:pPr>
              <w:spacing w:after="0"/>
              <w:rPr>
                <w:sz w:val="24"/>
                <w:szCs w:val="24"/>
                <w:color w:val="auto"/>
              </w:rPr>
            </w:pPr>
          </w:p>
        </w:tc>
        <w:tc>
          <w:tcPr>
            <w:tcW w:w="840" w:type="dxa"/>
            <w:vAlign w:val="bottom"/>
            <w:tcBorders>
              <w:top w:val="single" w:sz="8" w:color="auto"/>
            </w:tcBorders>
            <w:shd w:val="clear" w:color="auto" w:fill="CCEEFF"/>
          </w:tcPr>
          <w:p>
            <w:pPr>
              <w:spacing w:after="0"/>
              <w:rPr>
                <w:sz w:val="24"/>
                <w:szCs w:val="24"/>
                <w:color w:val="auto"/>
              </w:rPr>
            </w:pPr>
          </w:p>
        </w:tc>
        <w:tc>
          <w:tcPr>
            <w:tcW w:w="100" w:type="dxa"/>
            <w:vAlign w:val="bottom"/>
            <w:tcBorders>
              <w:top w:val="single" w:sz="8" w:color="CCEEFF"/>
            </w:tcBorders>
            <w:shd w:val="clear" w:color="auto" w:fill="CCEEFF"/>
          </w:tcPr>
          <w:p>
            <w:pPr>
              <w:spacing w:after="0"/>
              <w:rPr>
                <w:sz w:val="24"/>
                <w:szCs w:val="24"/>
                <w:color w:val="auto"/>
              </w:rPr>
            </w:pPr>
          </w:p>
        </w:tc>
        <w:tc>
          <w:tcPr>
            <w:tcW w:w="140" w:type="dxa"/>
            <w:vAlign w:val="bottom"/>
            <w:tcBorders>
              <w:top w:val="single" w:sz="8" w:color="auto"/>
            </w:tcBorders>
            <w:shd w:val="clear" w:color="auto" w:fill="CCEEFF"/>
          </w:tcPr>
          <w:p>
            <w:pPr>
              <w:spacing w:after="0"/>
              <w:rPr>
                <w:sz w:val="24"/>
                <w:szCs w:val="24"/>
                <w:color w:val="auto"/>
              </w:rPr>
            </w:pPr>
          </w:p>
        </w:tc>
        <w:tc>
          <w:tcPr>
            <w:tcW w:w="860" w:type="dxa"/>
            <w:vAlign w:val="bottom"/>
            <w:tcBorders>
              <w:top w:val="single" w:sz="8" w:color="auto"/>
            </w:tcBorders>
            <w:shd w:val="clear" w:color="auto" w:fill="CCEEFF"/>
          </w:tcPr>
          <w:p>
            <w:pPr>
              <w:spacing w:after="0"/>
              <w:rPr>
                <w:sz w:val="24"/>
                <w:szCs w:val="24"/>
                <w:color w:val="auto"/>
              </w:rPr>
            </w:pPr>
          </w:p>
        </w:tc>
        <w:tc>
          <w:tcPr>
            <w:tcW w:w="100" w:type="dxa"/>
            <w:vAlign w:val="bottom"/>
            <w:tcBorders>
              <w:top w:val="single" w:sz="8" w:color="CCEEFF"/>
            </w:tcBorders>
            <w:shd w:val="clear" w:color="auto" w:fill="CCEEFF"/>
          </w:tcPr>
          <w:p>
            <w:pPr>
              <w:spacing w:after="0"/>
              <w:rPr>
                <w:sz w:val="24"/>
                <w:szCs w:val="24"/>
                <w:color w:val="auto"/>
              </w:rPr>
            </w:pPr>
          </w:p>
        </w:tc>
        <w:tc>
          <w:tcPr>
            <w:tcW w:w="120" w:type="dxa"/>
            <w:vAlign w:val="bottom"/>
            <w:tcBorders>
              <w:top w:val="single" w:sz="8" w:color="auto"/>
            </w:tcBorders>
            <w:shd w:val="clear" w:color="auto" w:fill="CCEEFF"/>
          </w:tcPr>
          <w:p>
            <w:pPr>
              <w:spacing w:after="0"/>
              <w:rPr>
                <w:sz w:val="24"/>
                <w:szCs w:val="24"/>
                <w:color w:val="auto"/>
              </w:rPr>
            </w:pPr>
          </w:p>
        </w:tc>
        <w:tc>
          <w:tcPr>
            <w:tcW w:w="860" w:type="dxa"/>
            <w:vAlign w:val="bottom"/>
            <w:tcBorders>
              <w:top w:val="single" w:sz="8" w:color="auto"/>
            </w:tcBorders>
            <w:shd w:val="clear" w:color="auto" w:fill="CCEEFF"/>
          </w:tcPr>
          <w:p>
            <w:pPr>
              <w:spacing w:after="0"/>
              <w:rPr>
                <w:sz w:val="24"/>
                <w:szCs w:val="24"/>
                <w:color w:val="auto"/>
              </w:rPr>
            </w:pPr>
          </w:p>
        </w:tc>
        <w:tc>
          <w:tcPr>
            <w:tcW w:w="120" w:type="dxa"/>
            <w:vAlign w:val="bottom"/>
            <w:tcBorders>
              <w:top w:val="single" w:sz="8" w:color="CCEEFF"/>
            </w:tcBorders>
            <w:shd w:val="clear" w:color="auto" w:fill="CCEEFF"/>
          </w:tcPr>
          <w:p>
            <w:pPr>
              <w:spacing w:after="0"/>
              <w:rPr>
                <w:sz w:val="24"/>
                <w:szCs w:val="24"/>
                <w:color w:val="auto"/>
              </w:rPr>
            </w:pPr>
          </w:p>
        </w:tc>
        <w:tc>
          <w:tcPr>
            <w:tcW w:w="220" w:type="dxa"/>
            <w:vAlign w:val="bottom"/>
            <w:tcBorders>
              <w:top w:val="single" w:sz="8" w:color="auto"/>
            </w:tcBorders>
            <w:shd w:val="clear" w:color="auto" w:fill="CCEEFF"/>
          </w:tcPr>
          <w:p>
            <w:pPr>
              <w:spacing w:after="0"/>
              <w:rPr>
                <w:sz w:val="24"/>
                <w:szCs w:val="24"/>
                <w:color w:val="auto"/>
              </w:rPr>
            </w:pPr>
          </w:p>
        </w:tc>
        <w:tc>
          <w:tcPr>
            <w:tcW w:w="760" w:type="dxa"/>
            <w:vAlign w:val="bottom"/>
            <w:tcBorders>
              <w:top w:val="single" w:sz="8" w:color="auto"/>
            </w:tcBorders>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9"/>
        </w:trPr>
        <w:tc>
          <w:tcPr>
            <w:tcW w:w="2220" w:type="dxa"/>
            <w:vAlign w:val="bottom"/>
          </w:tcPr>
          <w:p>
            <w:pPr>
              <w:ind w:left="20"/>
              <w:spacing w:after="0"/>
              <w:rPr>
                <w:sz w:val="20"/>
                <w:szCs w:val="20"/>
                <w:color w:val="auto"/>
              </w:rPr>
            </w:pPr>
            <w:r>
              <w:rPr>
                <w:rFonts w:ascii="Arial" w:cs="Arial" w:eastAsia="Arial" w:hAnsi="Arial"/>
                <w:sz w:val="14"/>
                <w:szCs w:val="14"/>
                <w:b w:val="1"/>
                <w:bCs w:val="1"/>
                <w:color w:val="auto"/>
              </w:rPr>
              <w:t>Expenses</w:t>
            </w:r>
          </w:p>
        </w:tc>
        <w:tc>
          <w:tcPr>
            <w:tcW w:w="18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1"/>
        </w:trPr>
        <w:tc>
          <w:tcPr>
            <w:tcW w:w="2220" w:type="dxa"/>
            <w:vAlign w:val="bottom"/>
            <w:shd w:val="clear" w:color="auto" w:fill="CCEEFF"/>
          </w:tcPr>
          <w:p>
            <w:pPr>
              <w:ind w:left="20"/>
              <w:spacing w:after="0"/>
              <w:rPr>
                <w:sz w:val="20"/>
                <w:szCs w:val="20"/>
                <w:color w:val="auto"/>
              </w:rPr>
            </w:pPr>
            <w:r>
              <w:rPr>
                <w:rFonts w:ascii="Arial" w:cs="Arial" w:eastAsia="Arial" w:hAnsi="Arial"/>
                <w:sz w:val="14"/>
                <w:szCs w:val="14"/>
                <w:color w:val="auto"/>
              </w:rPr>
              <w:t>Operating expenses</w:t>
            </w:r>
          </w:p>
        </w:tc>
        <w:tc>
          <w:tcPr>
            <w:tcW w:w="180" w:type="dxa"/>
            <w:vAlign w:val="bottom"/>
            <w:shd w:val="clear" w:color="auto" w:fill="CCEEFF"/>
          </w:tcPr>
          <w:p>
            <w:pPr>
              <w:spacing w:after="0"/>
              <w:rPr>
                <w:sz w:val="23"/>
                <w:szCs w:val="23"/>
                <w:color w:val="auto"/>
              </w:rPr>
            </w:pPr>
          </w:p>
        </w:tc>
        <w:tc>
          <w:tcPr>
            <w:tcW w:w="84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4,496</w:t>
            </w: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88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12,661</w:t>
            </w: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96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8</w:t>
            </w: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84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21,919</w:t>
            </w: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84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22,431</w:t>
            </w: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86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4,510</w:t>
            </w: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b w:val="1"/>
                <w:bCs w:val="1"/>
                <w:color w:val="auto"/>
              </w:rPr>
              <w:t>—</w:t>
            </w:r>
          </w:p>
        </w:tc>
        <w:tc>
          <w:tcPr>
            <w:tcW w:w="220" w:type="dxa"/>
            <w:vAlign w:val="bottom"/>
            <w:shd w:val="clear" w:color="auto" w:fill="CCEEFF"/>
          </w:tcPr>
          <w:p>
            <w:pPr>
              <w:spacing w:after="0"/>
              <w:rPr>
                <w:sz w:val="23"/>
                <w:szCs w:val="23"/>
                <w:color w:val="auto"/>
              </w:rPr>
            </w:pPr>
          </w:p>
        </w:tc>
        <w:tc>
          <w:tcPr>
            <w:tcW w:w="76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66,025</w:t>
            </w:r>
          </w:p>
        </w:tc>
        <w:tc>
          <w:tcPr>
            <w:tcW w:w="0" w:type="dxa"/>
            <w:vAlign w:val="bottom"/>
          </w:tcPr>
          <w:p>
            <w:pPr>
              <w:spacing w:after="0"/>
              <w:rPr>
                <w:sz w:val="1"/>
                <w:szCs w:val="1"/>
                <w:color w:val="auto"/>
              </w:rPr>
            </w:pPr>
          </w:p>
        </w:tc>
      </w:tr>
      <w:tr>
        <w:trPr>
          <w:trHeight w:val="269"/>
        </w:trPr>
        <w:tc>
          <w:tcPr>
            <w:tcW w:w="2220" w:type="dxa"/>
            <w:vAlign w:val="bottom"/>
          </w:tcPr>
          <w:p>
            <w:pPr>
              <w:ind w:left="20"/>
              <w:spacing w:after="0"/>
              <w:rPr>
                <w:sz w:val="20"/>
                <w:szCs w:val="20"/>
                <w:color w:val="auto"/>
              </w:rPr>
            </w:pPr>
            <w:r>
              <w:rPr>
                <w:rFonts w:ascii="Arial" w:cs="Arial" w:eastAsia="Arial" w:hAnsi="Arial"/>
                <w:sz w:val="14"/>
                <w:szCs w:val="14"/>
                <w:color w:val="auto"/>
              </w:rPr>
              <w:t>General and administrative</w:t>
            </w:r>
          </w:p>
        </w:tc>
        <w:tc>
          <w:tcPr>
            <w:tcW w:w="180" w:type="dxa"/>
            <w:vAlign w:val="bottom"/>
          </w:tcPr>
          <w:p>
            <w:pPr>
              <w:spacing w:after="0"/>
              <w:rPr>
                <w:sz w:val="23"/>
                <w:szCs w:val="23"/>
                <w:color w:val="auto"/>
              </w:rPr>
            </w:pPr>
          </w:p>
        </w:tc>
        <w:tc>
          <w:tcPr>
            <w:tcW w:w="840" w:type="dxa"/>
            <w:vAlign w:val="bottom"/>
          </w:tcPr>
          <w:p>
            <w:pPr>
              <w:jc w:val="right"/>
              <w:ind w:right="48"/>
              <w:spacing w:after="0"/>
              <w:rPr>
                <w:sz w:val="20"/>
                <w:szCs w:val="20"/>
                <w:color w:val="auto"/>
              </w:rPr>
            </w:pPr>
            <w:r>
              <w:rPr>
                <w:rFonts w:ascii="Arial" w:cs="Arial" w:eastAsia="Arial" w:hAnsi="Arial"/>
                <w:sz w:val="14"/>
                <w:szCs w:val="14"/>
                <w:b w:val="1"/>
                <w:bCs w:val="1"/>
                <w:color w:val="auto"/>
              </w:rPr>
              <w:t>—</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rPr>
              <w:t>—</w:t>
            </w:r>
          </w:p>
        </w:tc>
        <w:tc>
          <w:tcPr>
            <w:tcW w:w="140" w:type="dxa"/>
            <w:vAlign w:val="bottom"/>
          </w:tcPr>
          <w:p>
            <w:pPr>
              <w:spacing w:after="0"/>
              <w:rPr>
                <w:sz w:val="23"/>
                <w:szCs w:val="23"/>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rPr>
              <w:t>—</w:t>
            </w:r>
          </w:p>
        </w:tc>
        <w:tc>
          <w:tcPr>
            <w:tcW w:w="140" w:type="dxa"/>
            <w:vAlign w:val="bottom"/>
          </w:tcPr>
          <w:p>
            <w:pPr>
              <w:spacing w:after="0"/>
              <w:rPr>
                <w:sz w:val="23"/>
                <w:szCs w:val="23"/>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rPr>
              <w:t>—</w:t>
            </w:r>
          </w:p>
        </w:tc>
        <w:tc>
          <w:tcPr>
            <w:tcW w:w="140" w:type="dxa"/>
            <w:vAlign w:val="bottom"/>
          </w:tcPr>
          <w:p>
            <w:pPr>
              <w:spacing w:after="0"/>
              <w:rPr>
                <w:sz w:val="23"/>
                <w:szCs w:val="23"/>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rPr>
              <w:t>—</w:t>
            </w:r>
          </w:p>
        </w:tc>
        <w:tc>
          <w:tcPr>
            <w:tcW w:w="140" w:type="dxa"/>
            <w:vAlign w:val="bottom"/>
          </w:tcPr>
          <w:p>
            <w:pPr>
              <w:spacing w:after="0"/>
              <w:rPr>
                <w:sz w:val="23"/>
                <w:szCs w:val="23"/>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rPr>
              <w:t>—</w:t>
            </w:r>
          </w:p>
        </w:tc>
        <w:tc>
          <w:tcPr>
            <w:tcW w:w="120" w:type="dxa"/>
            <w:vAlign w:val="bottom"/>
          </w:tcPr>
          <w:p>
            <w:pPr>
              <w:spacing w:after="0"/>
              <w:rPr>
                <w:sz w:val="23"/>
                <w:szCs w:val="23"/>
                <w:color w:val="auto"/>
              </w:rPr>
            </w:pPr>
          </w:p>
        </w:tc>
        <w:tc>
          <w:tcPr>
            <w:tcW w:w="860" w:type="dxa"/>
            <w:vAlign w:val="bottom"/>
          </w:tcPr>
          <w:p>
            <w:pPr>
              <w:jc w:val="right"/>
              <w:ind w:right="28"/>
              <w:spacing w:after="0"/>
              <w:rPr>
                <w:sz w:val="20"/>
                <w:szCs w:val="20"/>
                <w:color w:val="auto"/>
              </w:rPr>
            </w:pPr>
            <w:r>
              <w:rPr>
                <w:rFonts w:ascii="Arial" w:cs="Arial" w:eastAsia="Arial" w:hAnsi="Arial"/>
                <w:sz w:val="14"/>
                <w:szCs w:val="14"/>
                <w:b w:val="1"/>
                <w:bCs w:val="1"/>
                <w:color w:val="auto"/>
              </w:rPr>
              <w:t>10,615</w:t>
            </w: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60" w:type="dxa"/>
            <w:vAlign w:val="bottom"/>
          </w:tcPr>
          <w:p>
            <w:pPr>
              <w:jc w:val="right"/>
              <w:ind w:right="28"/>
              <w:spacing w:after="0"/>
              <w:rPr>
                <w:sz w:val="20"/>
                <w:szCs w:val="20"/>
                <w:color w:val="auto"/>
              </w:rPr>
            </w:pPr>
            <w:r>
              <w:rPr>
                <w:rFonts w:ascii="Arial" w:cs="Arial" w:eastAsia="Arial" w:hAnsi="Arial"/>
                <w:sz w:val="14"/>
                <w:szCs w:val="14"/>
                <w:b w:val="1"/>
                <w:bCs w:val="1"/>
                <w:color w:val="auto"/>
              </w:rPr>
              <w:t>10,615</w:t>
            </w:r>
          </w:p>
        </w:tc>
        <w:tc>
          <w:tcPr>
            <w:tcW w:w="0" w:type="dxa"/>
            <w:vAlign w:val="bottom"/>
          </w:tcPr>
          <w:p>
            <w:pPr>
              <w:spacing w:after="0"/>
              <w:rPr>
                <w:sz w:val="1"/>
                <w:szCs w:val="1"/>
                <w:color w:val="auto"/>
              </w:rPr>
            </w:pPr>
          </w:p>
        </w:tc>
      </w:tr>
      <w:tr>
        <w:trPr>
          <w:trHeight w:val="177"/>
        </w:trPr>
        <w:tc>
          <w:tcPr>
            <w:tcW w:w="2220" w:type="dxa"/>
            <w:vAlign w:val="bottom"/>
            <w:shd w:val="clear" w:color="auto" w:fill="CCEEFF"/>
          </w:tcPr>
          <w:p>
            <w:pPr>
              <w:ind w:left="20"/>
              <w:spacing w:after="0"/>
              <w:rPr>
                <w:sz w:val="20"/>
                <w:szCs w:val="20"/>
                <w:color w:val="auto"/>
              </w:rPr>
            </w:pPr>
            <w:r>
              <w:rPr>
                <w:rFonts w:ascii="Arial" w:cs="Arial" w:eastAsia="Arial" w:hAnsi="Arial"/>
                <w:sz w:val="14"/>
                <w:szCs w:val="14"/>
                <w:color w:val="auto"/>
              </w:rPr>
              <w:t>Acquisition and transaction</w:t>
            </w:r>
          </w:p>
        </w:tc>
        <w:tc>
          <w:tcPr>
            <w:tcW w:w="180" w:type="dxa"/>
            <w:vAlign w:val="bottom"/>
            <w:shd w:val="clear" w:color="auto" w:fill="CCEEFF"/>
          </w:tcPr>
          <w:p>
            <w:pPr>
              <w:spacing w:after="0"/>
              <w:rPr>
                <w:sz w:val="15"/>
                <w:szCs w:val="15"/>
                <w:color w:val="auto"/>
              </w:rPr>
            </w:pPr>
          </w:p>
        </w:tc>
        <w:tc>
          <w:tcPr>
            <w:tcW w:w="84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276</w:t>
            </w: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0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4"/>
                <w:szCs w:val="14"/>
                <w:b w:val="1"/>
                <w:bCs w:val="1"/>
                <w:color w:val="auto"/>
              </w:rPr>
              <w:t>—</w:t>
            </w:r>
          </w:p>
        </w:tc>
        <w:tc>
          <w:tcPr>
            <w:tcW w:w="140" w:type="dxa"/>
            <w:vAlign w:val="bottom"/>
            <w:shd w:val="clear" w:color="auto" w:fill="CCEEFF"/>
          </w:tcPr>
          <w:p>
            <w:pPr>
              <w:spacing w:after="0"/>
              <w:rPr>
                <w:sz w:val="15"/>
                <w:szCs w:val="15"/>
                <w:color w:val="auto"/>
              </w:rPr>
            </w:pPr>
          </w:p>
        </w:tc>
        <w:tc>
          <w:tcPr>
            <w:tcW w:w="106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4"/>
                <w:szCs w:val="14"/>
                <w:b w:val="1"/>
                <w:bCs w:val="1"/>
                <w:color w:val="auto"/>
              </w:rPr>
              <w:t>—</w:t>
            </w:r>
          </w:p>
        </w:tc>
        <w:tc>
          <w:tcPr>
            <w:tcW w:w="140" w:type="dxa"/>
            <w:vAlign w:val="bottom"/>
            <w:shd w:val="clear" w:color="auto" w:fill="CCEEFF"/>
          </w:tcPr>
          <w:p>
            <w:pPr>
              <w:spacing w:after="0"/>
              <w:rPr>
                <w:sz w:val="15"/>
                <w:szCs w:val="15"/>
                <w:color w:val="auto"/>
              </w:rPr>
            </w:pPr>
          </w:p>
        </w:tc>
        <w:tc>
          <w:tcPr>
            <w:tcW w:w="96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4"/>
                <w:szCs w:val="14"/>
                <w:b w:val="1"/>
                <w:bCs w:val="1"/>
                <w:color w:val="auto"/>
              </w:rPr>
              <w:t>—</w:t>
            </w:r>
          </w:p>
        </w:tc>
        <w:tc>
          <w:tcPr>
            <w:tcW w:w="140" w:type="dxa"/>
            <w:vAlign w:val="bottom"/>
            <w:shd w:val="clear" w:color="auto" w:fill="CCEEFF"/>
          </w:tcPr>
          <w:p>
            <w:pPr>
              <w:spacing w:after="0"/>
              <w:rPr>
                <w:sz w:val="15"/>
                <w:szCs w:val="15"/>
                <w:color w:val="auto"/>
              </w:rPr>
            </w:pPr>
          </w:p>
        </w:tc>
        <w:tc>
          <w:tcPr>
            <w:tcW w:w="94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4"/>
                <w:szCs w:val="14"/>
                <w:b w:val="1"/>
                <w:bCs w:val="1"/>
                <w:color w:val="auto"/>
              </w:rPr>
              <w:t>—</w:t>
            </w:r>
          </w:p>
        </w:tc>
        <w:tc>
          <w:tcPr>
            <w:tcW w:w="140" w:type="dxa"/>
            <w:vAlign w:val="bottom"/>
            <w:shd w:val="clear" w:color="auto" w:fill="CCEEFF"/>
          </w:tcPr>
          <w:p>
            <w:pPr>
              <w:spacing w:after="0"/>
              <w:rPr>
                <w:sz w:val="15"/>
                <w:szCs w:val="15"/>
                <w:color w:val="auto"/>
              </w:rPr>
            </w:pPr>
          </w:p>
        </w:tc>
        <w:tc>
          <w:tcPr>
            <w:tcW w:w="96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4"/>
                <w:szCs w:val="14"/>
                <w:b w:val="1"/>
                <w:bCs w:val="1"/>
                <w:color w:val="auto"/>
              </w:rPr>
              <w:t>—</w:t>
            </w:r>
          </w:p>
        </w:tc>
        <w:tc>
          <w:tcPr>
            <w:tcW w:w="120" w:type="dxa"/>
            <w:vAlign w:val="bottom"/>
            <w:shd w:val="clear" w:color="auto" w:fill="CCEEFF"/>
          </w:tcPr>
          <w:p>
            <w:pPr>
              <w:spacing w:after="0"/>
              <w:rPr>
                <w:sz w:val="15"/>
                <w:szCs w:val="15"/>
                <w:color w:val="auto"/>
              </w:rPr>
            </w:pPr>
          </w:p>
        </w:tc>
        <w:tc>
          <w:tcPr>
            <w:tcW w:w="86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4,788</w:t>
            </w:r>
          </w:p>
        </w:tc>
        <w:tc>
          <w:tcPr>
            <w:tcW w:w="1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76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5,064</w:t>
            </w:r>
          </w:p>
        </w:tc>
        <w:tc>
          <w:tcPr>
            <w:tcW w:w="0" w:type="dxa"/>
            <w:vAlign w:val="bottom"/>
          </w:tcPr>
          <w:p>
            <w:pPr>
              <w:spacing w:after="0"/>
              <w:rPr>
                <w:sz w:val="1"/>
                <w:szCs w:val="1"/>
                <w:color w:val="auto"/>
              </w:rPr>
            </w:pPr>
          </w:p>
        </w:tc>
      </w:tr>
      <w:tr>
        <w:trPr>
          <w:trHeight w:val="202"/>
        </w:trPr>
        <w:tc>
          <w:tcPr>
            <w:tcW w:w="2220" w:type="dxa"/>
            <w:vAlign w:val="bottom"/>
            <w:shd w:val="clear" w:color="auto" w:fill="CCEEFF"/>
          </w:tcPr>
          <w:p>
            <w:pPr>
              <w:ind w:left="20"/>
              <w:spacing w:after="0"/>
              <w:rPr>
                <w:sz w:val="20"/>
                <w:szCs w:val="20"/>
                <w:color w:val="auto"/>
              </w:rPr>
            </w:pPr>
            <w:r>
              <w:rPr>
                <w:rFonts w:ascii="Arial" w:cs="Arial" w:eastAsia="Arial" w:hAnsi="Arial"/>
                <w:sz w:val="14"/>
                <w:szCs w:val="14"/>
                <w:color w:val="auto"/>
              </w:rPr>
              <w:t>expenses</w:t>
            </w:r>
          </w:p>
        </w:tc>
        <w:tc>
          <w:tcPr>
            <w:tcW w:w="180" w:type="dxa"/>
            <w:vAlign w:val="bottom"/>
            <w:shd w:val="clear" w:color="auto" w:fill="CCEEFF"/>
          </w:tcPr>
          <w:p>
            <w:pPr>
              <w:spacing w:after="0"/>
              <w:rPr>
                <w:sz w:val="17"/>
                <w:szCs w:val="17"/>
                <w:color w:val="auto"/>
              </w:rPr>
            </w:pPr>
          </w:p>
        </w:tc>
        <w:tc>
          <w:tcPr>
            <w:tcW w:w="840" w:type="dxa"/>
            <w:vAlign w:val="bottom"/>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0" w:type="dxa"/>
            <w:vAlign w:val="bottom"/>
            <w:gridSpan w:val="2"/>
            <w:vMerge w:val="continue"/>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60" w:type="dxa"/>
            <w:vAlign w:val="bottom"/>
            <w:gridSpan w:val="2"/>
            <w:vMerge w:val="continue"/>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60" w:type="dxa"/>
            <w:vAlign w:val="bottom"/>
            <w:gridSpan w:val="2"/>
            <w:vMerge w:val="continue"/>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40" w:type="dxa"/>
            <w:vAlign w:val="bottom"/>
            <w:gridSpan w:val="2"/>
            <w:vMerge w:val="continue"/>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60" w:type="dxa"/>
            <w:vAlign w:val="bottom"/>
            <w:gridSpan w:val="2"/>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60" w:type="dxa"/>
            <w:vAlign w:val="bottom"/>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6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2220" w:type="dxa"/>
            <w:vAlign w:val="bottom"/>
          </w:tcPr>
          <w:p>
            <w:pPr>
              <w:ind w:left="20"/>
              <w:spacing w:after="0"/>
              <w:rPr>
                <w:sz w:val="20"/>
                <w:szCs w:val="20"/>
                <w:color w:val="auto"/>
              </w:rPr>
            </w:pPr>
            <w:r>
              <w:rPr>
                <w:rFonts w:ascii="Arial" w:cs="Arial" w:eastAsia="Arial" w:hAnsi="Arial"/>
                <w:sz w:val="14"/>
                <w:szCs w:val="14"/>
                <w:color w:val="auto"/>
              </w:rPr>
              <w:t>Management fees and incentive</w:t>
            </w:r>
          </w:p>
        </w:tc>
        <w:tc>
          <w:tcPr>
            <w:tcW w:w="180" w:type="dxa"/>
            <w:vAlign w:val="bottom"/>
          </w:tcPr>
          <w:p>
            <w:pPr>
              <w:spacing w:after="0"/>
              <w:rPr>
                <w:sz w:val="15"/>
                <w:szCs w:val="15"/>
                <w:color w:val="auto"/>
              </w:rPr>
            </w:pPr>
          </w:p>
        </w:tc>
        <w:tc>
          <w:tcPr>
            <w:tcW w:w="840" w:type="dxa"/>
            <w:vAlign w:val="bottom"/>
            <w:vMerge w:val="restart"/>
          </w:tcPr>
          <w:p>
            <w:pPr>
              <w:jc w:val="right"/>
              <w:ind w:right="48"/>
              <w:spacing w:after="0"/>
              <w:rPr>
                <w:sz w:val="20"/>
                <w:szCs w:val="20"/>
                <w:color w:val="auto"/>
              </w:rPr>
            </w:pPr>
            <w:r>
              <w:rPr>
                <w:rFonts w:ascii="Arial" w:cs="Arial" w:eastAsia="Arial" w:hAnsi="Arial"/>
                <w:sz w:val="14"/>
                <w:szCs w:val="14"/>
                <w:b w:val="1"/>
                <w:bCs w:val="1"/>
                <w:color w:val="auto"/>
              </w:rPr>
              <w:t>—</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0" w:type="dxa"/>
            <w:vAlign w:val="bottom"/>
            <w:gridSpan w:val="2"/>
            <w:vMerge w:val="restart"/>
          </w:tcPr>
          <w:p>
            <w:pPr>
              <w:jc w:val="right"/>
              <w:ind w:right="240"/>
              <w:spacing w:after="0"/>
              <w:rPr>
                <w:sz w:val="20"/>
                <w:szCs w:val="20"/>
                <w:color w:val="auto"/>
              </w:rPr>
            </w:pPr>
            <w:r>
              <w:rPr>
                <w:rFonts w:ascii="Arial" w:cs="Arial" w:eastAsia="Arial" w:hAnsi="Arial"/>
                <w:sz w:val="14"/>
                <w:szCs w:val="14"/>
                <w:b w:val="1"/>
                <w:bCs w:val="1"/>
                <w:color w:val="auto"/>
              </w:rPr>
              <w:t>—</w:t>
            </w:r>
          </w:p>
        </w:tc>
        <w:tc>
          <w:tcPr>
            <w:tcW w:w="140" w:type="dxa"/>
            <w:vAlign w:val="bottom"/>
          </w:tcPr>
          <w:p>
            <w:pPr>
              <w:spacing w:after="0"/>
              <w:rPr>
                <w:sz w:val="15"/>
                <w:szCs w:val="15"/>
                <w:color w:val="auto"/>
              </w:rPr>
            </w:pPr>
          </w:p>
        </w:tc>
        <w:tc>
          <w:tcPr>
            <w:tcW w:w="1060" w:type="dxa"/>
            <w:vAlign w:val="bottom"/>
            <w:gridSpan w:val="2"/>
            <w:vMerge w:val="restart"/>
          </w:tcPr>
          <w:p>
            <w:pPr>
              <w:jc w:val="right"/>
              <w:ind w:right="220"/>
              <w:spacing w:after="0"/>
              <w:rPr>
                <w:sz w:val="20"/>
                <w:szCs w:val="20"/>
                <w:color w:val="auto"/>
              </w:rPr>
            </w:pPr>
            <w:r>
              <w:rPr>
                <w:rFonts w:ascii="Arial" w:cs="Arial" w:eastAsia="Arial" w:hAnsi="Arial"/>
                <w:sz w:val="14"/>
                <w:szCs w:val="14"/>
                <w:b w:val="1"/>
                <w:bCs w:val="1"/>
                <w:color w:val="auto"/>
              </w:rPr>
              <w:t>—</w:t>
            </w:r>
          </w:p>
        </w:tc>
        <w:tc>
          <w:tcPr>
            <w:tcW w:w="140" w:type="dxa"/>
            <w:vAlign w:val="bottom"/>
          </w:tcPr>
          <w:p>
            <w:pPr>
              <w:spacing w:after="0"/>
              <w:rPr>
                <w:sz w:val="15"/>
                <w:szCs w:val="15"/>
                <w:color w:val="auto"/>
              </w:rPr>
            </w:pPr>
          </w:p>
        </w:tc>
        <w:tc>
          <w:tcPr>
            <w:tcW w:w="960" w:type="dxa"/>
            <w:vAlign w:val="bottom"/>
            <w:gridSpan w:val="2"/>
            <w:vMerge w:val="restart"/>
          </w:tcPr>
          <w:p>
            <w:pPr>
              <w:jc w:val="right"/>
              <w:ind w:right="220"/>
              <w:spacing w:after="0"/>
              <w:rPr>
                <w:sz w:val="20"/>
                <w:szCs w:val="20"/>
                <w:color w:val="auto"/>
              </w:rPr>
            </w:pPr>
            <w:r>
              <w:rPr>
                <w:rFonts w:ascii="Arial" w:cs="Arial" w:eastAsia="Arial" w:hAnsi="Arial"/>
                <w:sz w:val="14"/>
                <w:szCs w:val="14"/>
                <w:b w:val="1"/>
                <w:bCs w:val="1"/>
                <w:color w:val="auto"/>
              </w:rPr>
              <w:t>—</w:t>
            </w:r>
          </w:p>
        </w:tc>
        <w:tc>
          <w:tcPr>
            <w:tcW w:w="140" w:type="dxa"/>
            <w:vAlign w:val="bottom"/>
          </w:tcPr>
          <w:p>
            <w:pPr>
              <w:spacing w:after="0"/>
              <w:rPr>
                <w:sz w:val="15"/>
                <w:szCs w:val="15"/>
                <w:color w:val="auto"/>
              </w:rPr>
            </w:pPr>
          </w:p>
        </w:tc>
        <w:tc>
          <w:tcPr>
            <w:tcW w:w="940" w:type="dxa"/>
            <w:vAlign w:val="bottom"/>
            <w:gridSpan w:val="2"/>
            <w:vMerge w:val="restart"/>
          </w:tcPr>
          <w:p>
            <w:pPr>
              <w:jc w:val="right"/>
              <w:ind w:right="200"/>
              <w:spacing w:after="0"/>
              <w:rPr>
                <w:sz w:val="20"/>
                <w:szCs w:val="20"/>
                <w:color w:val="auto"/>
              </w:rPr>
            </w:pPr>
            <w:r>
              <w:rPr>
                <w:rFonts w:ascii="Arial" w:cs="Arial" w:eastAsia="Arial" w:hAnsi="Arial"/>
                <w:sz w:val="14"/>
                <w:szCs w:val="14"/>
                <w:b w:val="1"/>
                <w:bCs w:val="1"/>
                <w:color w:val="auto"/>
              </w:rPr>
              <w:t>—</w:t>
            </w:r>
          </w:p>
        </w:tc>
        <w:tc>
          <w:tcPr>
            <w:tcW w:w="140" w:type="dxa"/>
            <w:vAlign w:val="bottom"/>
          </w:tcPr>
          <w:p>
            <w:pPr>
              <w:spacing w:after="0"/>
              <w:rPr>
                <w:sz w:val="15"/>
                <w:szCs w:val="15"/>
                <w:color w:val="auto"/>
              </w:rPr>
            </w:pPr>
          </w:p>
        </w:tc>
        <w:tc>
          <w:tcPr>
            <w:tcW w:w="960" w:type="dxa"/>
            <w:vAlign w:val="bottom"/>
            <w:gridSpan w:val="2"/>
            <w:vMerge w:val="restart"/>
          </w:tcPr>
          <w:p>
            <w:pPr>
              <w:jc w:val="right"/>
              <w:ind w:right="220"/>
              <w:spacing w:after="0"/>
              <w:rPr>
                <w:sz w:val="20"/>
                <w:szCs w:val="20"/>
                <w:color w:val="auto"/>
              </w:rPr>
            </w:pPr>
            <w:r>
              <w:rPr>
                <w:rFonts w:ascii="Arial" w:cs="Arial" w:eastAsia="Arial" w:hAnsi="Arial"/>
                <w:sz w:val="14"/>
                <w:szCs w:val="14"/>
                <w:b w:val="1"/>
                <w:bCs w:val="1"/>
                <w:color w:val="auto"/>
              </w:rPr>
              <w:t>—</w:t>
            </w:r>
          </w:p>
        </w:tc>
        <w:tc>
          <w:tcPr>
            <w:tcW w:w="120" w:type="dxa"/>
            <w:vAlign w:val="bottom"/>
          </w:tcPr>
          <w:p>
            <w:pPr>
              <w:spacing w:after="0"/>
              <w:rPr>
                <w:sz w:val="15"/>
                <w:szCs w:val="15"/>
                <w:color w:val="auto"/>
              </w:rPr>
            </w:pPr>
          </w:p>
        </w:tc>
        <w:tc>
          <w:tcPr>
            <w:tcW w:w="860" w:type="dxa"/>
            <w:vAlign w:val="bottom"/>
            <w:vMerge w:val="restart"/>
          </w:tcPr>
          <w:p>
            <w:pPr>
              <w:jc w:val="right"/>
              <w:ind w:right="28"/>
              <w:spacing w:after="0"/>
              <w:rPr>
                <w:sz w:val="20"/>
                <w:szCs w:val="20"/>
                <w:color w:val="auto"/>
              </w:rPr>
            </w:pPr>
            <w:r>
              <w:rPr>
                <w:rFonts w:ascii="Arial" w:cs="Arial" w:eastAsia="Arial" w:hAnsi="Arial"/>
                <w:sz w:val="14"/>
                <w:szCs w:val="14"/>
                <w:b w:val="1"/>
                <w:bCs w:val="1"/>
                <w:color w:val="auto"/>
              </w:rPr>
              <w:t>11,529</w:t>
            </w: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60" w:type="dxa"/>
            <w:vAlign w:val="bottom"/>
            <w:vMerge w:val="restart"/>
          </w:tcPr>
          <w:p>
            <w:pPr>
              <w:jc w:val="right"/>
              <w:ind w:right="28"/>
              <w:spacing w:after="0"/>
              <w:rPr>
                <w:sz w:val="20"/>
                <w:szCs w:val="20"/>
                <w:color w:val="auto"/>
              </w:rPr>
            </w:pPr>
            <w:r>
              <w:rPr>
                <w:rFonts w:ascii="Arial" w:cs="Arial" w:eastAsia="Arial" w:hAnsi="Arial"/>
                <w:sz w:val="14"/>
                <w:szCs w:val="14"/>
                <w:b w:val="1"/>
                <w:bCs w:val="1"/>
                <w:color w:val="auto"/>
              </w:rPr>
              <w:t>11,529</w:t>
            </w:r>
          </w:p>
        </w:tc>
        <w:tc>
          <w:tcPr>
            <w:tcW w:w="0" w:type="dxa"/>
            <w:vAlign w:val="bottom"/>
          </w:tcPr>
          <w:p>
            <w:pPr>
              <w:spacing w:after="0"/>
              <w:rPr>
                <w:sz w:val="1"/>
                <w:szCs w:val="1"/>
                <w:color w:val="auto"/>
              </w:rPr>
            </w:pPr>
          </w:p>
        </w:tc>
      </w:tr>
      <w:tr>
        <w:trPr>
          <w:trHeight w:val="201"/>
        </w:trPr>
        <w:tc>
          <w:tcPr>
            <w:tcW w:w="2220" w:type="dxa"/>
            <w:vAlign w:val="bottom"/>
          </w:tcPr>
          <w:p>
            <w:pPr>
              <w:ind w:left="20"/>
              <w:spacing w:after="0"/>
              <w:rPr>
                <w:sz w:val="20"/>
                <w:szCs w:val="20"/>
                <w:color w:val="auto"/>
              </w:rPr>
            </w:pPr>
            <w:r>
              <w:rPr>
                <w:rFonts w:ascii="Arial" w:cs="Arial" w:eastAsia="Arial" w:hAnsi="Arial"/>
                <w:sz w:val="14"/>
                <w:szCs w:val="14"/>
                <w:color w:val="auto"/>
              </w:rPr>
              <w:t>allocation to affiliate</w:t>
            </w:r>
          </w:p>
        </w:tc>
        <w:tc>
          <w:tcPr>
            <w:tcW w:w="180" w:type="dxa"/>
            <w:vAlign w:val="bottom"/>
          </w:tcPr>
          <w:p>
            <w:pPr>
              <w:spacing w:after="0"/>
              <w:rPr>
                <w:sz w:val="17"/>
                <w:szCs w:val="17"/>
                <w:color w:val="auto"/>
              </w:rPr>
            </w:pPr>
          </w:p>
        </w:tc>
        <w:tc>
          <w:tcPr>
            <w:tcW w:w="84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gridSpan w:val="2"/>
            <w:vMerge w:val="continue"/>
          </w:tcPr>
          <w:p>
            <w:pPr>
              <w:spacing w:after="0"/>
              <w:rPr>
                <w:sz w:val="17"/>
                <w:szCs w:val="17"/>
                <w:color w:val="auto"/>
              </w:rPr>
            </w:pPr>
          </w:p>
        </w:tc>
        <w:tc>
          <w:tcPr>
            <w:tcW w:w="140" w:type="dxa"/>
            <w:vAlign w:val="bottom"/>
          </w:tcPr>
          <w:p>
            <w:pPr>
              <w:spacing w:after="0"/>
              <w:rPr>
                <w:sz w:val="17"/>
                <w:szCs w:val="17"/>
                <w:color w:val="auto"/>
              </w:rPr>
            </w:pPr>
          </w:p>
        </w:tc>
        <w:tc>
          <w:tcPr>
            <w:tcW w:w="1060" w:type="dxa"/>
            <w:vAlign w:val="bottom"/>
            <w:gridSpan w:val="2"/>
            <w:vMerge w:val="continue"/>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gridSpan w:val="2"/>
            <w:vMerge w:val="continue"/>
          </w:tcPr>
          <w:p>
            <w:pPr>
              <w:spacing w:after="0"/>
              <w:rPr>
                <w:sz w:val="17"/>
                <w:szCs w:val="17"/>
                <w:color w:val="auto"/>
              </w:rPr>
            </w:pPr>
          </w:p>
        </w:tc>
        <w:tc>
          <w:tcPr>
            <w:tcW w:w="140" w:type="dxa"/>
            <w:vAlign w:val="bottom"/>
          </w:tcPr>
          <w:p>
            <w:pPr>
              <w:spacing w:after="0"/>
              <w:rPr>
                <w:sz w:val="17"/>
                <w:szCs w:val="17"/>
                <w:color w:val="auto"/>
              </w:rPr>
            </w:pPr>
          </w:p>
        </w:tc>
        <w:tc>
          <w:tcPr>
            <w:tcW w:w="940" w:type="dxa"/>
            <w:vAlign w:val="bottom"/>
            <w:gridSpan w:val="2"/>
            <w:vMerge w:val="continue"/>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gridSpan w:val="2"/>
            <w:vMerge w:val="continue"/>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71"/>
        </w:trPr>
        <w:tc>
          <w:tcPr>
            <w:tcW w:w="2220" w:type="dxa"/>
            <w:vAlign w:val="bottom"/>
            <w:shd w:val="clear" w:color="auto" w:fill="CCEEFF"/>
          </w:tcPr>
          <w:p>
            <w:pPr>
              <w:ind w:left="20"/>
              <w:spacing w:after="0"/>
              <w:rPr>
                <w:sz w:val="20"/>
                <w:szCs w:val="20"/>
                <w:color w:val="auto"/>
              </w:rPr>
            </w:pPr>
            <w:r>
              <w:rPr>
                <w:rFonts w:ascii="Arial" w:cs="Arial" w:eastAsia="Arial" w:hAnsi="Arial"/>
                <w:sz w:val="14"/>
                <w:szCs w:val="14"/>
                <w:color w:val="auto"/>
              </w:rPr>
              <w:t>Depreciation and amortization</w:t>
            </w:r>
          </w:p>
        </w:tc>
        <w:tc>
          <w:tcPr>
            <w:tcW w:w="180" w:type="dxa"/>
            <w:vAlign w:val="bottom"/>
            <w:shd w:val="clear" w:color="auto" w:fill="CCEEFF"/>
          </w:tcPr>
          <w:p>
            <w:pPr>
              <w:spacing w:after="0"/>
              <w:rPr>
                <w:sz w:val="23"/>
                <w:szCs w:val="23"/>
                <w:color w:val="auto"/>
              </w:rPr>
            </w:pPr>
          </w:p>
        </w:tc>
        <w:tc>
          <w:tcPr>
            <w:tcW w:w="84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43,284</w:t>
            </w: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88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4,820</w:t>
            </w: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b w:val="1"/>
                <w:bCs w:val="1"/>
                <w:color w:val="auto"/>
              </w:rPr>
              <w:t>—</w:t>
            </w:r>
          </w:p>
        </w:tc>
        <w:tc>
          <w:tcPr>
            <w:tcW w:w="140" w:type="dxa"/>
            <w:vAlign w:val="bottom"/>
            <w:shd w:val="clear" w:color="auto" w:fill="CCEEFF"/>
          </w:tcPr>
          <w:p>
            <w:pPr>
              <w:spacing w:after="0"/>
              <w:rPr>
                <w:sz w:val="23"/>
                <w:szCs w:val="23"/>
                <w:color w:val="auto"/>
              </w:rPr>
            </w:pPr>
          </w:p>
        </w:tc>
        <w:tc>
          <w:tcPr>
            <w:tcW w:w="84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11,885</w:t>
            </w: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84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1,525</w:t>
            </w: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86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868</w:t>
            </w: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b w:val="1"/>
                <w:bCs w:val="1"/>
                <w:color w:val="auto"/>
              </w:rPr>
              <w:t>—</w:t>
            </w:r>
          </w:p>
        </w:tc>
        <w:tc>
          <w:tcPr>
            <w:tcW w:w="220" w:type="dxa"/>
            <w:vAlign w:val="bottom"/>
            <w:shd w:val="clear" w:color="auto" w:fill="CCEEFF"/>
          </w:tcPr>
          <w:p>
            <w:pPr>
              <w:spacing w:after="0"/>
              <w:rPr>
                <w:sz w:val="23"/>
                <w:szCs w:val="23"/>
                <w:color w:val="auto"/>
              </w:rPr>
            </w:pPr>
          </w:p>
        </w:tc>
        <w:tc>
          <w:tcPr>
            <w:tcW w:w="76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62,382</w:t>
            </w:r>
          </w:p>
        </w:tc>
        <w:tc>
          <w:tcPr>
            <w:tcW w:w="0" w:type="dxa"/>
            <w:vAlign w:val="bottom"/>
          </w:tcPr>
          <w:p>
            <w:pPr>
              <w:spacing w:after="0"/>
              <w:rPr>
                <w:sz w:val="1"/>
                <w:szCs w:val="1"/>
                <w:color w:val="auto"/>
              </w:rPr>
            </w:pPr>
          </w:p>
        </w:tc>
      </w:tr>
      <w:tr>
        <w:trPr>
          <w:trHeight w:val="269"/>
        </w:trPr>
        <w:tc>
          <w:tcPr>
            <w:tcW w:w="2220" w:type="dxa"/>
            <w:vAlign w:val="bottom"/>
          </w:tcPr>
          <w:p>
            <w:pPr>
              <w:ind w:left="20"/>
              <w:spacing w:after="0"/>
              <w:rPr>
                <w:sz w:val="20"/>
                <w:szCs w:val="20"/>
                <w:color w:val="auto"/>
              </w:rPr>
            </w:pPr>
            <w:r>
              <w:rPr>
                <w:rFonts w:ascii="Arial" w:cs="Arial" w:eastAsia="Arial" w:hAnsi="Arial"/>
                <w:sz w:val="14"/>
                <w:szCs w:val="14"/>
                <w:color w:val="auto"/>
              </w:rPr>
              <w:t>Interest expense</w:t>
            </w:r>
          </w:p>
        </w:tc>
        <w:tc>
          <w:tcPr>
            <w:tcW w:w="180" w:type="dxa"/>
            <w:vAlign w:val="bottom"/>
          </w:tcPr>
          <w:p>
            <w:pPr>
              <w:spacing w:after="0"/>
              <w:rPr>
                <w:sz w:val="23"/>
                <w:szCs w:val="23"/>
                <w:color w:val="auto"/>
              </w:rPr>
            </w:pPr>
          </w:p>
        </w:tc>
        <w:tc>
          <w:tcPr>
            <w:tcW w:w="840" w:type="dxa"/>
            <w:vAlign w:val="bottom"/>
          </w:tcPr>
          <w:p>
            <w:pPr>
              <w:jc w:val="right"/>
              <w:ind w:right="48"/>
              <w:spacing w:after="0"/>
              <w:rPr>
                <w:sz w:val="20"/>
                <w:szCs w:val="20"/>
                <w:color w:val="auto"/>
              </w:rPr>
            </w:pPr>
            <w:r>
              <w:rPr>
                <w:rFonts w:ascii="Arial" w:cs="Arial" w:eastAsia="Arial" w:hAnsi="Arial"/>
                <w:sz w:val="14"/>
                <w:szCs w:val="14"/>
                <w:b w:val="1"/>
                <w:bCs w:val="1"/>
                <w:color w:val="auto"/>
              </w:rPr>
              <w:t>—</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880" w:type="dxa"/>
            <w:vAlign w:val="bottom"/>
          </w:tcPr>
          <w:p>
            <w:pPr>
              <w:jc w:val="right"/>
              <w:ind w:right="48"/>
              <w:spacing w:after="0"/>
              <w:rPr>
                <w:sz w:val="20"/>
                <w:szCs w:val="20"/>
                <w:color w:val="auto"/>
              </w:rPr>
            </w:pPr>
            <w:r>
              <w:rPr>
                <w:rFonts w:ascii="Arial" w:cs="Arial" w:eastAsia="Arial" w:hAnsi="Arial"/>
                <w:sz w:val="14"/>
                <w:szCs w:val="14"/>
                <w:b w:val="1"/>
                <w:bCs w:val="1"/>
                <w:color w:val="auto"/>
              </w:rPr>
              <w:t>2,800</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rPr>
              <w:t>—</w:t>
            </w:r>
          </w:p>
        </w:tc>
        <w:tc>
          <w:tcPr>
            <w:tcW w:w="140" w:type="dxa"/>
            <w:vAlign w:val="bottom"/>
          </w:tcPr>
          <w:p>
            <w:pPr>
              <w:spacing w:after="0"/>
              <w:rPr>
                <w:sz w:val="23"/>
                <w:szCs w:val="23"/>
                <w:color w:val="auto"/>
              </w:rPr>
            </w:pPr>
          </w:p>
        </w:tc>
        <w:tc>
          <w:tcPr>
            <w:tcW w:w="840" w:type="dxa"/>
            <w:vAlign w:val="bottom"/>
          </w:tcPr>
          <w:p>
            <w:pPr>
              <w:jc w:val="right"/>
              <w:ind w:right="28"/>
              <w:spacing w:after="0"/>
              <w:rPr>
                <w:sz w:val="20"/>
                <w:szCs w:val="20"/>
                <w:color w:val="auto"/>
              </w:rPr>
            </w:pPr>
            <w:r>
              <w:rPr>
                <w:rFonts w:ascii="Arial" w:cs="Arial" w:eastAsia="Arial" w:hAnsi="Arial"/>
                <w:sz w:val="14"/>
                <w:szCs w:val="14"/>
                <w:b w:val="1"/>
                <w:bCs w:val="1"/>
                <w:color w:val="auto"/>
              </w:rPr>
              <w:t>4,283</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40" w:type="dxa"/>
            <w:vAlign w:val="bottom"/>
          </w:tcPr>
          <w:p>
            <w:pPr>
              <w:jc w:val="right"/>
              <w:ind w:right="28"/>
              <w:spacing w:after="0"/>
              <w:rPr>
                <w:sz w:val="20"/>
                <w:szCs w:val="20"/>
                <w:color w:val="auto"/>
              </w:rPr>
            </w:pPr>
            <w:r>
              <w:rPr>
                <w:rFonts w:ascii="Arial" w:cs="Arial" w:eastAsia="Arial" w:hAnsi="Arial"/>
                <w:sz w:val="14"/>
                <w:szCs w:val="14"/>
                <w:b w:val="1"/>
                <w:bCs w:val="1"/>
                <w:color w:val="auto"/>
              </w:rPr>
              <w:t>710</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60" w:type="dxa"/>
            <w:vAlign w:val="bottom"/>
          </w:tcPr>
          <w:p>
            <w:pPr>
              <w:jc w:val="right"/>
              <w:ind w:right="48"/>
              <w:spacing w:after="0"/>
              <w:rPr>
                <w:sz w:val="20"/>
                <w:szCs w:val="20"/>
                <w:color w:val="auto"/>
              </w:rPr>
            </w:pPr>
            <w:r>
              <w:rPr>
                <w:rFonts w:ascii="Arial" w:cs="Arial" w:eastAsia="Arial" w:hAnsi="Arial"/>
                <w:sz w:val="14"/>
                <w:szCs w:val="14"/>
                <w:b w:val="1"/>
                <w:bCs w:val="1"/>
                <w:color w:val="auto"/>
              </w:rPr>
              <w:t>817</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60" w:type="dxa"/>
            <w:vAlign w:val="bottom"/>
          </w:tcPr>
          <w:p>
            <w:pPr>
              <w:jc w:val="right"/>
              <w:ind w:right="28"/>
              <w:spacing w:after="0"/>
              <w:rPr>
                <w:sz w:val="20"/>
                <w:szCs w:val="20"/>
                <w:color w:val="auto"/>
              </w:rPr>
            </w:pPr>
            <w:r>
              <w:rPr>
                <w:rFonts w:ascii="Arial" w:cs="Arial" w:eastAsia="Arial" w:hAnsi="Arial"/>
                <w:sz w:val="14"/>
                <w:szCs w:val="14"/>
                <w:b w:val="1"/>
                <w:bCs w:val="1"/>
                <w:color w:val="auto"/>
              </w:rPr>
              <w:t>12,682</w:t>
            </w: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60" w:type="dxa"/>
            <w:vAlign w:val="bottom"/>
          </w:tcPr>
          <w:p>
            <w:pPr>
              <w:jc w:val="right"/>
              <w:ind w:right="28"/>
              <w:spacing w:after="0"/>
              <w:rPr>
                <w:sz w:val="20"/>
                <w:szCs w:val="20"/>
                <w:color w:val="auto"/>
              </w:rPr>
            </w:pPr>
            <w:r>
              <w:rPr>
                <w:rFonts w:ascii="Arial" w:cs="Arial" w:eastAsia="Arial" w:hAnsi="Arial"/>
                <w:sz w:val="14"/>
                <w:szCs w:val="14"/>
                <w:b w:val="1"/>
                <w:bCs w:val="1"/>
                <w:color w:val="auto"/>
              </w:rPr>
              <w:t>21,292</w:t>
            </w:r>
          </w:p>
        </w:tc>
        <w:tc>
          <w:tcPr>
            <w:tcW w:w="0" w:type="dxa"/>
            <w:vAlign w:val="bottom"/>
          </w:tcPr>
          <w:p>
            <w:pPr>
              <w:spacing w:after="0"/>
              <w:rPr>
                <w:sz w:val="1"/>
                <w:szCs w:val="1"/>
                <w:color w:val="auto"/>
              </w:rPr>
            </w:pPr>
          </w:p>
        </w:tc>
      </w:tr>
      <w:tr>
        <w:trPr>
          <w:trHeight w:val="250"/>
        </w:trPr>
        <w:tc>
          <w:tcPr>
            <w:tcW w:w="22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Total expenses</w:t>
            </w:r>
          </w:p>
        </w:tc>
        <w:tc>
          <w:tcPr>
            <w:tcW w:w="180" w:type="dxa"/>
            <w:vAlign w:val="bottom"/>
            <w:tcBorders>
              <w:top w:val="single" w:sz="8" w:color="auto"/>
              <w:bottom w:val="single" w:sz="8" w:color="auto"/>
            </w:tcBorders>
            <w:shd w:val="clear" w:color="auto" w:fill="CCEEFF"/>
          </w:tcPr>
          <w:p>
            <w:pPr>
              <w:spacing w:after="0"/>
              <w:rPr>
                <w:sz w:val="21"/>
                <w:szCs w:val="21"/>
                <w:color w:val="auto"/>
              </w:rPr>
            </w:pPr>
          </w:p>
        </w:tc>
        <w:tc>
          <w:tcPr>
            <w:tcW w:w="84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48,056</w:t>
            </w:r>
          </w:p>
        </w:tc>
        <w:tc>
          <w:tcPr>
            <w:tcW w:w="120" w:type="dxa"/>
            <w:vAlign w:val="bottom"/>
            <w:tcBorders>
              <w:top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spacing w:after="0"/>
              <w:rPr>
                <w:sz w:val="21"/>
                <w:szCs w:val="21"/>
                <w:color w:val="auto"/>
              </w:rPr>
            </w:pPr>
          </w:p>
        </w:tc>
        <w:tc>
          <w:tcPr>
            <w:tcW w:w="88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20,281</w:t>
            </w:r>
          </w:p>
        </w:tc>
        <w:tc>
          <w:tcPr>
            <w:tcW w:w="120" w:type="dxa"/>
            <w:vAlign w:val="bottom"/>
            <w:tcBorders>
              <w:top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spacing w:after="0"/>
              <w:rPr>
                <w:sz w:val="21"/>
                <w:szCs w:val="21"/>
                <w:color w:val="auto"/>
              </w:rPr>
            </w:pPr>
          </w:p>
        </w:tc>
        <w:tc>
          <w:tcPr>
            <w:tcW w:w="96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8</w:t>
            </w:r>
          </w:p>
        </w:tc>
        <w:tc>
          <w:tcPr>
            <w:tcW w:w="100" w:type="dxa"/>
            <w:vAlign w:val="bottom"/>
            <w:tcBorders>
              <w:top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spacing w:after="0"/>
              <w:rPr>
                <w:sz w:val="21"/>
                <w:szCs w:val="21"/>
                <w:color w:val="auto"/>
              </w:rPr>
            </w:pPr>
          </w:p>
        </w:tc>
        <w:tc>
          <w:tcPr>
            <w:tcW w:w="84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38,087</w:t>
            </w:r>
          </w:p>
        </w:tc>
        <w:tc>
          <w:tcPr>
            <w:tcW w:w="120" w:type="dxa"/>
            <w:vAlign w:val="bottom"/>
            <w:tcBorders>
              <w:top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spacing w:after="0"/>
              <w:rPr>
                <w:sz w:val="21"/>
                <w:szCs w:val="21"/>
                <w:color w:val="auto"/>
              </w:rPr>
            </w:pPr>
          </w:p>
        </w:tc>
        <w:tc>
          <w:tcPr>
            <w:tcW w:w="84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24,666</w:t>
            </w:r>
          </w:p>
        </w:tc>
        <w:tc>
          <w:tcPr>
            <w:tcW w:w="100" w:type="dxa"/>
            <w:vAlign w:val="bottom"/>
            <w:tcBorders>
              <w:top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spacing w:after="0"/>
              <w:rPr>
                <w:sz w:val="21"/>
                <w:szCs w:val="21"/>
                <w:color w:val="auto"/>
              </w:rPr>
            </w:pPr>
          </w:p>
        </w:tc>
        <w:tc>
          <w:tcPr>
            <w:tcW w:w="86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6,195</w:t>
            </w:r>
          </w:p>
        </w:tc>
        <w:tc>
          <w:tcPr>
            <w:tcW w:w="100" w:type="dxa"/>
            <w:vAlign w:val="bottom"/>
            <w:tcBorders>
              <w:top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spacing w:after="0"/>
              <w:rPr>
                <w:sz w:val="21"/>
                <w:szCs w:val="21"/>
                <w:color w:val="auto"/>
              </w:rPr>
            </w:pPr>
          </w:p>
        </w:tc>
        <w:tc>
          <w:tcPr>
            <w:tcW w:w="86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39,614</w:t>
            </w:r>
          </w:p>
        </w:tc>
        <w:tc>
          <w:tcPr>
            <w:tcW w:w="120" w:type="dxa"/>
            <w:vAlign w:val="bottom"/>
            <w:tcBorders>
              <w:top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spacing w:after="0"/>
              <w:rPr>
                <w:sz w:val="21"/>
                <w:szCs w:val="21"/>
                <w:color w:val="auto"/>
              </w:rPr>
            </w:pPr>
          </w:p>
        </w:tc>
        <w:tc>
          <w:tcPr>
            <w:tcW w:w="76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176,907</w:t>
            </w:r>
          </w:p>
        </w:tc>
        <w:tc>
          <w:tcPr>
            <w:tcW w:w="0" w:type="dxa"/>
            <w:vAlign w:val="bottom"/>
          </w:tcPr>
          <w:p>
            <w:pPr>
              <w:spacing w:after="0"/>
              <w:rPr>
                <w:sz w:val="1"/>
                <w:szCs w:val="1"/>
                <w:color w:val="auto"/>
              </w:rPr>
            </w:pPr>
          </w:p>
        </w:tc>
      </w:tr>
      <w:tr>
        <w:trPr>
          <w:trHeight w:val="319"/>
        </w:trPr>
        <w:tc>
          <w:tcPr>
            <w:tcW w:w="2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222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Other income (expense)</w:t>
            </w:r>
          </w:p>
        </w:tc>
        <w:tc>
          <w:tcPr>
            <w:tcW w:w="180" w:type="dxa"/>
            <w:vAlign w:val="bottom"/>
            <w:shd w:val="clear" w:color="auto" w:fill="CCEEFF"/>
          </w:tcPr>
          <w:p>
            <w:pPr>
              <w:spacing w:after="0"/>
              <w:rPr>
                <w:sz w:val="23"/>
                <w:szCs w:val="23"/>
                <w:color w:val="auto"/>
              </w:rPr>
            </w:pPr>
          </w:p>
        </w:tc>
        <w:tc>
          <w:tcPr>
            <w:tcW w:w="8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8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9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8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8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8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8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76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176"/>
        </w:trPr>
        <w:tc>
          <w:tcPr>
            <w:tcW w:w="2220" w:type="dxa"/>
            <w:vAlign w:val="bottom"/>
          </w:tcPr>
          <w:p>
            <w:pPr>
              <w:ind w:left="20"/>
              <w:spacing w:after="0"/>
              <w:rPr>
                <w:sz w:val="20"/>
                <w:szCs w:val="20"/>
                <w:color w:val="auto"/>
              </w:rPr>
            </w:pPr>
            <w:r>
              <w:rPr>
                <w:rFonts w:ascii="Arial" w:cs="Arial" w:eastAsia="Arial" w:hAnsi="Arial"/>
                <w:sz w:val="14"/>
                <w:szCs w:val="14"/>
                <w:color w:val="auto"/>
              </w:rPr>
              <w:t>Equity in losses of unconsolidated</w:t>
            </w:r>
          </w:p>
        </w:tc>
        <w:tc>
          <w:tcPr>
            <w:tcW w:w="180" w:type="dxa"/>
            <w:vAlign w:val="bottom"/>
          </w:tcPr>
          <w:p>
            <w:pPr>
              <w:spacing w:after="0"/>
              <w:rPr>
                <w:sz w:val="15"/>
                <w:szCs w:val="15"/>
                <w:color w:val="auto"/>
              </w:rPr>
            </w:pPr>
          </w:p>
        </w:tc>
        <w:tc>
          <w:tcPr>
            <w:tcW w:w="84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(1,046)</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0" w:type="dxa"/>
            <w:vAlign w:val="bottom"/>
            <w:gridSpan w:val="2"/>
            <w:vMerge w:val="restart"/>
          </w:tcPr>
          <w:p>
            <w:pPr>
              <w:jc w:val="right"/>
              <w:ind w:right="240"/>
              <w:spacing w:after="0"/>
              <w:rPr>
                <w:sz w:val="20"/>
                <w:szCs w:val="20"/>
                <w:color w:val="auto"/>
              </w:rPr>
            </w:pPr>
            <w:r>
              <w:rPr>
                <w:rFonts w:ascii="Arial" w:cs="Arial" w:eastAsia="Arial" w:hAnsi="Arial"/>
                <w:sz w:val="14"/>
                <w:szCs w:val="14"/>
                <w:b w:val="1"/>
                <w:bCs w:val="1"/>
                <w:color w:val="auto"/>
              </w:rPr>
              <w:t>—</w:t>
            </w:r>
          </w:p>
        </w:tc>
        <w:tc>
          <w:tcPr>
            <w:tcW w:w="140" w:type="dxa"/>
            <w:vAlign w:val="bottom"/>
          </w:tcPr>
          <w:p>
            <w:pPr>
              <w:spacing w:after="0"/>
              <w:rPr>
                <w:sz w:val="15"/>
                <w:szCs w:val="15"/>
                <w:color w:val="auto"/>
              </w:rPr>
            </w:pPr>
          </w:p>
        </w:tc>
        <w:tc>
          <w:tcPr>
            <w:tcW w:w="96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(316)</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4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(99)</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40" w:type="dxa"/>
            <w:vAlign w:val="bottom"/>
            <w:gridSpan w:val="2"/>
            <w:vMerge w:val="restart"/>
          </w:tcPr>
          <w:p>
            <w:pPr>
              <w:jc w:val="right"/>
              <w:ind w:right="200"/>
              <w:spacing w:after="0"/>
              <w:rPr>
                <w:sz w:val="20"/>
                <w:szCs w:val="20"/>
                <w:color w:val="auto"/>
              </w:rPr>
            </w:pPr>
            <w:r>
              <w:rPr>
                <w:rFonts w:ascii="Arial" w:cs="Arial" w:eastAsia="Arial" w:hAnsi="Arial"/>
                <w:sz w:val="14"/>
                <w:szCs w:val="14"/>
                <w:b w:val="1"/>
                <w:bCs w:val="1"/>
                <w:color w:val="auto"/>
              </w:rPr>
              <w:t>—</w:t>
            </w:r>
          </w:p>
        </w:tc>
        <w:tc>
          <w:tcPr>
            <w:tcW w:w="140" w:type="dxa"/>
            <w:vAlign w:val="bottom"/>
          </w:tcPr>
          <w:p>
            <w:pPr>
              <w:spacing w:after="0"/>
              <w:rPr>
                <w:sz w:val="15"/>
                <w:szCs w:val="15"/>
                <w:color w:val="auto"/>
              </w:rPr>
            </w:pPr>
          </w:p>
        </w:tc>
        <w:tc>
          <w:tcPr>
            <w:tcW w:w="960" w:type="dxa"/>
            <w:vAlign w:val="bottom"/>
            <w:gridSpan w:val="2"/>
            <w:vMerge w:val="restart"/>
          </w:tcPr>
          <w:p>
            <w:pPr>
              <w:jc w:val="right"/>
              <w:ind w:right="220"/>
              <w:spacing w:after="0"/>
              <w:rPr>
                <w:sz w:val="20"/>
                <w:szCs w:val="20"/>
                <w:color w:val="auto"/>
              </w:rPr>
            </w:pPr>
            <w:r>
              <w:rPr>
                <w:rFonts w:ascii="Arial" w:cs="Arial" w:eastAsia="Arial" w:hAnsi="Arial"/>
                <w:sz w:val="14"/>
                <w:szCs w:val="14"/>
                <w:b w:val="1"/>
                <w:bCs w:val="1"/>
                <w:color w:val="auto"/>
              </w:rPr>
              <w:t>—</w:t>
            </w:r>
          </w:p>
        </w:tc>
        <w:tc>
          <w:tcPr>
            <w:tcW w:w="120" w:type="dxa"/>
            <w:vAlign w:val="bottom"/>
          </w:tcPr>
          <w:p>
            <w:pPr>
              <w:spacing w:after="0"/>
              <w:rPr>
                <w:sz w:val="15"/>
                <w:szCs w:val="15"/>
                <w:color w:val="auto"/>
              </w:rPr>
            </w:pPr>
          </w:p>
        </w:tc>
        <w:tc>
          <w:tcPr>
            <w:tcW w:w="980" w:type="dxa"/>
            <w:vAlign w:val="bottom"/>
            <w:gridSpan w:val="2"/>
            <w:vMerge w:val="restart"/>
          </w:tcPr>
          <w:p>
            <w:pPr>
              <w:jc w:val="right"/>
              <w:ind w:right="220"/>
              <w:spacing w:after="0"/>
              <w:rPr>
                <w:sz w:val="20"/>
                <w:szCs w:val="20"/>
                <w:color w:val="auto"/>
              </w:rPr>
            </w:pPr>
            <w:r>
              <w:rPr>
                <w:rFonts w:ascii="Arial" w:cs="Arial" w:eastAsia="Arial" w:hAnsi="Arial"/>
                <w:sz w:val="14"/>
                <w:szCs w:val="14"/>
                <w:b w:val="1"/>
                <w:bCs w:val="1"/>
                <w:color w:val="auto"/>
              </w:rPr>
              <w:t>—</w:t>
            </w:r>
          </w:p>
        </w:tc>
        <w:tc>
          <w:tcPr>
            <w:tcW w:w="220" w:type="dxa"/>
            <w:vAlign w:val="bottom"/>
          </w:tcPr>
          <w:p>
            <w:pPr>
              <w:spacing w:after="0"/>
              <w:rPr>
                <w:sz w:val="15"/>
                <w:szCs w:val="15"/>
                <w:color w:val="auto"/>
              </w:rPr>
            </w:pPr>
          </w:p>
        </w:tc>
        <w:tc>
          <w:tcPr>
            <w:tcW w:w="76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(1,461)</w:t>
            </w:r>
          </w:p>
        </w:tc>
        <w:tc>
          <w:tcPr>
            <w:tcW w:w="0" w:type="dxa"/>
            <w:vAlign w:val="bottom"/>
          </w:tcPr>
          <w:p>
            <w:pPr>
              <w:spacing w:after="0"/>
              <w:rPr>
                <w:sz w:val="1"/>
                <w:szCs w:val="1"/>
                <w:color w:val="auto"/>
              </w:rPr>
            </w:pPr>
          </w:p>
        </w:tc>
      </w:tr>
      <w:tr>
        <w:trPr>
          <w:trHeight w:val="201"/>
        </w:trPr>
        <w:tc>
          <w:tcPr>
            <w:tcW w:w="2220" w:type="dxa"/>
            <w:vAlign w:val="bottom"/>
          </w:tcPr>
          <w:p>
            <w:pPr>
              <w:ind w:left="20"/>
              <w:spacing w:after="0"/>
              <w:rPr>
                <w:sz w:val="20"/>
                <w:szCs w:val="20"/>
                <w:color w:val="auto"/>
              </w:rPr>
            </w:pPr>
            <w:r>
              <w:rPr>
                <w:rFonts w:ascii="Arial" w:cs="Arial" w:eastAsia="Arial" w:hAnsi="Arial"/>
                <w:sz w:val="14"/>
                <w:szCs w:val="14"/>
                <w:color w:val="auto"/>
              </w:rPr>
              <w:t>entities</w:t>
            </w:r>
          </w:p>
        </w:tc>
        <w:tc>
          <w:tcPr>
            <w:tcW w:w="180" w:type="dxa"/>
            <w:vAlign w:val="bottom"/>
          </w:tcPr>
          <w:p>
            <w:pPr>
              <w:spacing w:after="0"/>
              <w:rPr>
                <w:sz w:val="17"/>
                <w:szCs w:val="17"/>
                <w:color w:val="auto"/>
              </w:rPr>
            </w:pPr>
          </w:p>
        </w:tc>
        <w:tc>
          <w:tcPr>
            <w:tcW w:w="84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gridSpan w:val="2"/>
            <w:vMerge w:val="continue"/>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40" w:type="dxa"/>
            <w:vAlign w:val="bottom"/>
            <w:gridSpan w:val="2"/>
            <w:vMerge w:val="continue"/>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gridSpan w:val="2"/>
            <w:vMerge w:val="continue"/>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gridSpan w:val="2"/>
            <w:vMerge w:val="continue"/>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7"/>
        </w:trPr>
        <w:tc>
          <w:tcPr>
            <w:tcW w:w="2220" w:type="dxa"/>
            <w:vAlign w:val="bottom"/>
            <w:shd w:val="clear" w:color="auto" w:fill="CCEEFF"/>
          </w:tcPr>
          <w:p>
            <w:pPr>
              <w:ind w:left="20"/>
              <w:spacing w:after="0"/>
              <w:rPr>
                <w:sz w:val="20"/>
                <w:szCs w:val="20"/>
                <w:color w:val="auto"/>
              </w:rPr>
            </w:pPr>
            <w:r>
              <w:rPr>
                <w:rFonts w:ascii="Arial" w:cs="Arial" w:eastAsia="Arial" w:hAnsi="Arial"/>
                <w:sz w:val="14"/>
                <w:szCs w:val="14"/>
                <w:color w:val="auto"/>
              </w:rPr>
              <w:t>Gain (loss) on sale of equipment,</w:t>
            </w:r>
          </w:p>
        </w:tc>
        <w:tc>
          <w:tcPr>
            <w:tcW w:w="180" w:type="dxa"/>
            <w:vAlign w:val="bottom"/>
            <w:shd w:val="clear" w:color="auto" w:fill="CCEEFF"/>
          </w:tcPr>
          <w:p>
            <w:pPr>
              <w:spacing w:after="0"/>
              <w:rPr>
                <w:sz w:val="15"/>
                <w:szCs w:val="15"/>
                <w:color w:val="auto"/>
              </w:rPr>
            </w:pPr>
          </w:p>
        </w:tc>
        <w:tc>
          <w:tcPr>
            <w:tcW w:w="84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6,932</w:t>
            </w: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0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4"/>
                <w:szCs w:val="14"/>
                <w:b w:val="1"/>
                <w:bCs w:val="1"/>
                <w:color w:val="auto"/>
              </w:rPr>
              <w:t>—</w:t>
            </w:r>
          </w:p>
        </w:tc>
        <w:tc>
          <w:tcPr>
            <w:tcW w:w="140" w:type="dxa"/>
            <w:vAlign w:val="bottom"/>
            <w:shd w:val="clear" w:color="auto" w:fill="CCEEFF"/>
          </w:tcPr>
          <w:p>
            <w:pPr>
              <w:spacing w:after="0"/>
              <w:rPr>
                <w:sz w:val="15"/>
                <w:szCs w:val="15"/>
                <w:color w:val="auto"/>
              </w:rPr>
            </w:pPr>
          </w:p>
        </w:tc>
        <w:tc>
          <w:tcPr>
            <w:tcW w:w="106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4"/>
                <w:szCs w:val="14"/>
                <w:b w:val="1"/>
                <w:bCs w:val="1"/>
                <w:color w:val="auto"/>
              </w:rPr>
              <w:t>—</w:t>
            </w:r>
          </w:p>
        </w:tc>
        <w:tc>
          <w:tcPr>
            <w:tcW w:w="140" w:type="dxa"/>
            <w:vAlign w:val="bottom"/>
            <w:shd w:val="clear" w:color="auto" w:fill="CCEEFF"/>
          </w:tcPr>
          <w:p>
            <w:pPr>
              <w:spacing w:after="0"/>
              <w:rPr>
                <w:sz w:val="15"/>
                <w:szCs w:val="15"/>
                <w:color w:val="auto"/>
              </w:rPr>
            </w:pPr>
          </w:p>
        </w:tc>
        <w:tc>
          <w:tcPr>
            <w:tcW w:w="96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4"/>
                <w:szCs w:val="14"/>
                <w:b w:val="1"/>
                <w:bCs w:val="1"/>
                <w:color w:val="auto"/>
              </w:rPr>
              <w:t>—</w:t>
            </w:r>
          </w:p>
        </w:tc>
        <w:tc>
          <w:tcPr>
            <w:tcW w:w="140" w:type="dxa"/>
            <w:vAlign w:val="bottom"/>
            <w:shd w:val="clear" w:color="auto" w:fill="CCEEFF"/>
          </w:tcPr>
          <w:p>
            <w:pPr>
              <w:spacing w:after="0"/>
              <w:rPr>
                <w:sz w:val="15"/>
                <w:szCs w:val="15"/>
                <w:color w:val="auto"/>
              </w:rPr>
            </w:pP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4"/>
                <w:szCs w:val="14"/>
                <w:b w:val="1"/>
                <w:bCs w:val="1"/>
                <w:color w:val="auto"/>
              </w:rPr>
              <w:t>(206)</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6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4"/>
                <w:szCs w:val="14"/>
                <w:b w:val="1"/>
                <w:bCs w:val="1"/>
                <w:color w:val="auto"/>
              </w:rPr>
              <w:t>—</w:t>
            </w:r>
          </w:p>
        </w:tc>
        <w:tc>
          <w:tcPr>
            <w:tcW w:w="120" w:type="dxa"/>
            <w:vAlign w:val="bottom"/>
            <w:shd w:val="clear" w:color="auto" w:fill="CCEEFF"/>
          </w:tcPr>
          <w:p>
            <w:pPr>
              <w:spacing w:after="0"/>
              <w:rPr>
                <w:sz w:val="15"/>
                <w:szCs w:val="15"/>
                <w:color w:val="auto"/>
              </w:rPr>
            </w:pPr>
          </w:p>
        </w:tc>
        <w:tc>
          <w:tcPr>
            <w:tcW w:w="98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4"/>
                <w:szCs w:val="14"/>
                <w:b w:val="1"/>
                <w:bCs w:val="1"/>
                <w:color w:val="auto"/>
              </w:rPr>
              <w:t>—</w:t>
            </w:r>
          </w:p>
        </w:tc>
        <w:tc>
          <w:tcPr>
            <w:tcW w:w="220" w:type="dxa"/>
            <w:vAlign w:val="bottom"/>
            <w:shd w:val="clear" w:color="auto" w:fill="CCEEFF"/>
          </w:tcPr>
          <w:p>
            <w:pPr>
              <w:spacing w:after="0"/>
              <w:rPr>
                <w:sz w:val="15"/>
                <w:szCs w:val="15"/>
                <w:color w:val="auto"/>
              </w:rPr>
            </w:pPr>
          </w:p>
        </w:tc>
        <w:tc>
          <w:tcPr>
            <w:tcW w:w="76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6,726</w:t>
            </w:r>
          </w:p>
        </w:tc>
        <w:tc>
          <w:tcPr>
            <w:tcW w:w="0" w:type="dxa"/>
            <w:vAlign w:val="bottom"/>
          </w:tcPr>
          <w:p>
            <w:pPr>
              <w:spacing w:after="0"/>
              <w:rPr>
                <w:sz w:val="1"/>
                <w:szCs w:val="1"/>
                <w:color w:val="auto"/>
              </w:rPr>
            </w:pPr>
          </w:p>
        </w:tc>
      </w:tr>
      <w:tr>
        <w:trPr>
          <w:trHeight w:val="202"/>
        </w:trPr>
        <w:tc>
          <w:tcPr>
            <w:tcW w:w="2220" w:type="dxa"/>
            <w:vAlign w:val="bottom"/>
            <w:shd w:val="clear" w:color="auto" w:fill="CCEEFF"/>
          </w:tcPr>
          <w:p>
            <w:pPr>
              <w:ind w:left="20"/>
              <w:spacing w:after="0"/>
              <w:rPr>
                <w:sz w:val="20"/>
                <w:szCs w:val="20"/>
                <w:color w:val="auto"/>
              </w:rPr>
            </w:pPr>
            <w:r>
              <w:rPr>
                <w:rFonts w:ascii="Arial" w:cs="Arial" w:eastAsia="Arial" w:hAnsi="Arial"/>
                <w:sz w:val="14"/>
                <w:szCs w:val="14"/>
                <w:color w:val="auto"/>
              </w:rPr>
              <w:t>net</w:t>
            </w:r>
          </w:p>
        </w:tc>
        <w:tc>
          <w:tcPr>
            <w:tcW w:w="180" w:type="dxa"/>
            <w:vAlign w:val="bottom"/>
            <w:shd w:val="clear" w:color="auto" w:fill="CCEEFF"/>
          </w:tcPr>
          <w:p>
            <w:pPr>
              <w:spacing w:after="0"/>
              <w:rPr>
                <w:sz w:val="17"/>
                <w:szCs w:val="17"/>
                <w:color w:val="auto"/>
              </w:rPr>
            </w:pPr>
          </w:p>
        </w:tc>
        <w:tc>
          <w:tcPr>
            <w:tcW w:w="840" w:type="dxa"/>
            <w:vAlign w:val="bottom"/>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0" w:type="dxa"/>
            <w:vAlign w:val="bottom"/>
            <w:gridSpan w:val="2"/>
            <w:vMerge w:val="continue"/>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60" w:type="dxa"/>
            <w:vAlign w:val="bottom"/>
            <w:gridSpan w:val="2"/>
            <w:vMerge w:val="continue"/>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60" w:type="dxa"/>
            <w:vAlign w:val="bottom"/>
            <w:gridSpan w:val="2"/>
            <w:vMerge w:val="continue"/>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4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60" w:type="dxa"/>
            <w:vAlign w:val="bottom"/>
            <w:gridSpan w:val="2"/>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80" w:type="dxa"/>
            <w:vAlign w:val="bottom"/>
            <w:gridSpan w:val="2"/>
            <w:vMerge w:val="continue"/>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6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69"/>
        </w:trPr>
        <w:tc>
          <w:tcPr>
            <w:tcW w:w="2220" w:type="dxa"/>
            <w:vAlign w:val="bottom"/>
          </w:tcPr>
          <w:p>
            <w:pPr>
              <w:ind w:left="20"/>
              <w:spacing w:after="0"/>
              <w:rPr>
                <w:sz w:val="20"/>
                <w:szCs w:val="20"/>
                <w:color w:val="auto"/>
              </w:rPr>
            </w:pPr>
            <w:r>
              <w:rPr>
                <w:rFonts w:ascii="Arial" w:cs="Arial" w:eastAsia="Arial" w:hAnsi="Arial"/>
                <w:sz w:val="14"/>
                <w:szCs w:val="14"/>
                <w:color w:val="auto"/>
              </w:rPr>
              <w:t>Loss on extinguishment of debt</w:t>
            </w:r>
          </w:p>
        </w:tc>
        <w:tc>
          <w:tcPr>
            <w:tcW w:w="180" w:type="dxa"/>
            <w:vAlign w:val="bottom"/>
          </w:tcPr>
          <w:p>
            <w:pPr>
              <w:spacing w:after="0"/>
              <w:rPr>
                <w:sz w:val="23"/>
                <w:szCs w:val="23"/>
                <w:color w:val="auto"/>
              </w:rPr>
            </w:pPr>
          </w:p>
        </w:tc>
        <w:tc>
          <w:tcPr>
            <w:tcW w:w="840" w:type="dxa"/>
            <w:vAlign w:val="bottom"/>
          </w:tcPr>
          <w:p>
            <w:pPr>
              <w:jc w:val="right"/>
              <w:ind w:right="48"/>
              <w:spacing w:after="0"/>
              <w:rPr>
                <w:sz w:val="20"/>
                <w:szCs w:val="20"/>
                <w:color w:val="auto"/>
              </w:rPr>
            </w:pPr>
            <w:r>
              <w:rPr>
                <w:rFonts w:ascii="Arial" w:cs="Arial" w:eastAsia="Arial" w:hAnsi="Arial"/>
                <w:sz w:val="14"/>
                <w:szCs w:val="14"/>
                <w:b w:val="1"/>
                <w:bCs w:val="1"/>
                <w:color w:val="auto"/>
              </w:rPr>
              <w:t>—</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rPr>
              <w:t>—</w:t>
            </w:r>
          </w:p>
        </w:tc>
        <w:tc>
          <w:tcPr>
            <w:tcW w:w="140" w:type="dxa"/>
            <w:vAlign w:val="bottom"/>
          </w:tcPr>
          <w:p>
            <w:pPr>
              <w:spacing w:after="0"/>
              <w:rPr>
                <w:sz w:val="23"/>
                <w:szCs w:val="23"/>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rPr>
              <w:t>—</w:t>
            </w:r>
          </w:p>
        </w:tc>
        <w:tc>
          <w:tcPr>
            <w:tcW w:w="140" w:type="dxa"/>
            <w:vAlign w:val="bottom"/>
          </w:tcPr>
          <w:p>
            <w:pPr>
              <w:spacing w:after="0"/>
              <w:rPr>
                <w:sz w:val="23"/>
                <w:szCs w:val="23"/>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rPr>
              <w:t>—</w:t>
            </w:r>
          </w:p>
        </w:tc>
        <w:tc>
          <w:tcPr>
            <w:tcW w:w="140" w:type="dxa"/>
            <w:vAlign w:val="bottom"/>
          </w:tcPr>
          <w:p>
            <w:pPr>
              <w:spacing w:after="0"/>
              <w:rPr>
                <w:sz w:val="23"/>
                <w:szCs w:val="23"/>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rPr>
              <w:t>—</w:t>
            </w:r>
          </w:p>
        </w:tc>
        <w:tc>
          <w:tcPr>
            <w:tcW w:w="140" w:type="dxa"/>
            <w:vAlign w:val="bottom"/>
          </w:tcPr>
          <w:p>
            <w:pPr>
              <w:spacing w:after="0"/>
              <w:rPr>
                <w:sz w:val="23"/>
                <w:szCs w:val="23"/>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rPr>
              <w:t>—</w:t>
            </w:r>
          </w:p>
        </w:tc>
        <w:tc>
          <w:tcPr>
            <w:tcW w:w="12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Arial" w:cs="Arial" w:eastAsia="Arial" w:hAnsi="Arial"/>
                <w:sz w:val="14"/>
                <w:szCs w:val="14"/>
                <w:b w:val="1"/>
                <w:bCs w:val="1"/>
                <w:color w:val="auto"/>
              </w:rPr>
              <w:t>(2,456)</w:t>
            </w: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Arial" w:cs="Arial" w:eastAsia="Arial" w:hAnsi="Arial"/>
                <w:sz w:val="14"/>
                <w:szCs w:val="14"/>
                <w:b w:val="1"/>
                <w:bCs w:val="1"/>
                <w:color w:val="auto"/>
              </w:rPr>
              <w:t>(2,456)</w:t>
            </w:r>
          </w:p>
        </w:tc>
        <w:tc>
          <w:tcPr>
            <w:tcW w:w="0" w:type="dxa"/>
            <w:vAlign w:val="bottom"/>
          </w:tcPr>
          <w:p>
            <w:pPr>
              <w:spacing w:after="0"/>
              <w:rPr>
                <w:sz w:val="1"/>
                <w:szCs w:val="1"/>
                <w:color w:val="auto"/>
              </w:rPr>
            </w:pPr>
          </w:p>
        </w:tc>
      </w:tr>
      <w:tr>
        <w:trPr>
          <w:trHeight w:val="271"/>
        </w:trPr>
        <w:tc>
          <w:tcPr>
            <w:tcW w:w="2220" w:type="dxa"/>
            <w:vAlign w:val="bottom"/>
            <w:shd w:val="clear" w:color="auto" w:fill="CCEEFF"/>
          </w:tcPr>
          <w:p>
            <w:pPr>
              <w:ind w:left="20"/>
              <w:spacing w:after="0"/>
              <w:rPr>
                <w:sz w:val="20"/>
                <w:szCs w:val="20"/>
                <w:color w:val="auto"/>
              </w:rPr>
            </w:pPr>
            <w:r>
              <w:rPr>
                <w:rFonts w:ascii="Arial" w:cs="Arial" w:eastAsia="Arial" w:hAnsi="Arial"/>
                <w:sz w:val="14"/>
                <w:szCs w:val="14"/>
                <w:color w:val="auto"/>
              </w:rPr>
              <w:t>Interest income</w:t>
            </w:r>
          </w:p>
        </w:tc>
        <w:tc>
          <w:tcPr>
            <w:tcW w:w="180" w:type="dxa"/>
            <w:vAlign w:val="bottom"/>
            <w:shd w:val="clear" w:color="auto" w:fill="CCEEFF"/>
          </w:tcPr>
          <w:p>
            <w:pPr>
              <w:spacing w:after="0"/>
              <w:rPr>
                <w:sz w:val="23"/>
                <w:szCs w:val="23"/>
                <w:color w:val="auto"/>
              </w:rPr>
            </w:pPr>
          </w:p>
        </w:tc>
        <w:tc>
          <w:tcPr>
            <w:tcW w:w="84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210</w:t>
            </w: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88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11</w:t>
            </w: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b w:val="1"/>
                <w:bCs w:val="1"/>
                <w:color w:val="auto"/>
              </w:rPr>
              <w:t>—</w:t>
            </w:r>
          </w:p>
        </w:tc>
        <w:tc>
          <w:tcPr>
            <w:tcW w:w="140" w:type="dxa"/>
            <w:vAlign w:val="bottom"/>
            <w:shd w:val="clear" w:color="auto" w:fill="CCEEFF"/>
          </w:tcPr>
          <w:p>
            <w:pPr>
              <w:spacing w:after="0"/>
              <w:rPr>
                <w:sz w:val="23"/>
                <w:szCs w:val="23"/>
                <w:color w:val="auto"/>
              </w:rPr>
            </w:pPr>
          </w:p>
        </w:tc>
        <w:tc>
          <w:tcPr>
            <w:tcW w:w="84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361</w:t>
            </w: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b w:val="1"/>
                <w:bCs w:val="1"/>
                <w:color w:val="auto"/>
              </w:rPr>
              <w:t>—</w:t>
            </w:r>
          </w:p>
        </w:tc>
        <w:tc>
          <w:tcPr>
            <w:tcW w:w="140" w:type="dxa"/>
            <w:vAlign w:val="bottom"/>
            <w:shd w:val="clear" w:color="auto" w:fill="CCEEFF"/>
          </w:tcPr>
          <w:p>
            <w:pPr>
              <w:spacing w:after="0"/>
              <w:rPr>
                <w:sz w:val="23"/>
                <w:szCs w:val="23"/>
                <w:color w:val="auto"/>
              </w:rPr>
            </w:pP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b w:val="1"/>
                <w:bCs w:val="1"/>
                <w:color w:val="auto"/>
              </w:rPr>
              <w:t>—</w:t>
            </w:r>
          </w:p>
        </w:tc>
        <w:tc>
          <w:tcPr>
            <w:tcW w:w="120" w:type="dxa"/>
            <w:vAlign w:val="bottom"/>
            <w:shd w:val="clear" w:color="auto" w:fill="CCEEFF"/>
          </w:tcPr>
          <w:p>
            <w:pPr>
              <w:spacing w:after="0"/>
              <w:rPr>
                <w:sz w:val="23"/>
                <w:szCs w:val="23"/>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b w:val="1"/>
                <w:bCs w:val="1"/>
                <w:color w:val="auto"/>
              </w:rPr>
              <w:t>—</w:t>
            </w:r>
          </w:p>
        </w:tc>
        <w:tc>
          <w:tcPr>
            <w:tcW w:w="220" w:type="dxa"/>
            <w:vAlign w:val="bottom"/>
            <w:shd w:val="clear" w:color="auto" w:fill="CCEEFF"/>
          </w:tcPr>
          <w:p>
            <w:pPr>
              <w:spacing w:after="0"/>
              <w:rPr>
                <w:sz w:val="23"/>
                <w:szCs w:val="23"/>
                <w:color w:val="auto"/>
              </w:rPr>
            </w:pPr>
          </w:p>
        </w:tc>
        <w:tc>
          <w:tcPr>
            <w:tcW w:w="76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582</w:t>
            </w:r>
          </w:p>
        </w:tc>
        <w:tc>
          <w:tcPr>
            <w:tcW w:w="0" w:type="dxa"/>
            <w:vAlign w:val="bottom"/>
          </w:tcPr>
          <w:p>
            <w:pPr>
              <w:spacing w:after="0"/>
              <w:rPr>
                <w:sz w:val="1"/>
                <w:szCs w:val="1"/>
                <w:color w:val="auto"/>
              </w:rPr>
            </w:pPr>
          </w:p>
        </w:tc>
      </w:tr>
      <w:tr>
        <w:trPr>
          <w:trHeight w:val="269"/>
        </w:trPr>
        <w:tc>
          <w:tcPr>
            <w:tcW w:w="222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Other income</w:t>
            </w:r>
          </w:p>
        </w:tc>
        <w:tc>
          <w:tcPr>
            <w:tcW w:w="180" w:type="dxa"/>
            <w:vAlign w:val="bottom"/>
            <w:tcBorders>
              <w:bottom w:val="single" w:sz="8" w:color="auto"/>
            </w:tcBorders>
          </w:tcPr>
          <w:p>
            <w:pPr>
              <w:spacing w:after="0"/>
              <w:rPr>
                <w:sz w:val="23"/>
                <w:szCs w:val="23"/>
                <w:color w:val="auto"/>
              </w:rPr>
            </w:pPr>
          </w:p>
        </w:tc>
        <w:tc>
          <w:tcPr>
            <w:tcW w:w="8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w:t>
            </w:r>
          </w:p>
        </w:tc>
        <w:tc>
          <w:tcPr>
            <w:tcW w:w="120" w:type="dxa"/>
            <w:vAlign w:val="bottom"/>
            <w:tcBorders>
              <w:bottom w:val="single" w:sz="8" w:color="CCEEFF"/>
            </w:tcBorders>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8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1,093</w:t>
            </w:r>
          </w:p>
        </w:tc>
        <w:tc>
          <w:tcPr>
            <w:tcW w:w="120" w:type="dxa"/>
            <w:vAlign w:val="bottom"/>
            <w:tcBorders>
              <w:bottom w:val="single" w:sz="8" w:color="CCEEFF"/>
            </w:tcBorders>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9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w:t>
            </w:r>
          </w:p>
        </w:tc>
        <w:tc>
          <w:tcPr>
            <w:tcW w:w="100" w:type="dxa"/>
            <w:vAlign w:val="bottom"/>
            <w:tcBorders>
              <w:bottom w:val="single" w:sz="8" w:color="CCEEFF"/>
            </w:tcBorders>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8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1,087</w:t>
            </w:r>
          </w:p>
        </w:tc>
        <w:tc>
          <w:tcPr>
            <w:tcW w:w="120" w:type="dxa"/>
            <w:vAlign w:val="bottom"/>
            <w:tcBorders>
              <w:bottom w:val="single" w:sz="8" w:color="CCEEFF"/>
            </w:tcBorders>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8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w:t>
            </w:r>
          </w:p>
        </w:tc>
        <w:tc>
          <w:tcPr>
            <w:tcW w:w="100" w:type="dxa"/>
            <w:vAlign w:val="bottom"/>
            <w:tcBorders>
              <w:bottom w:val="single" w:sz="8" w:color="CCEEFF"/>
            </w:tcBorders>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8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w:t>
            </w:r>
          </w:p>
        </w:tc>
        <w:tc>
          <w:tcPr>
            <w:tcW w:w="100" w:type="dxa"/>
            <w:vAlign w:val="bottom"/>
            <w:tcBorders>
              <w:bottom w:val="single" w:sz="8" w:color="CCEEFF"/>
            </w:tcBorders>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8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w:t>
            </w:r>
          </w:p>
        </w:tc>
        <w:tc>
          <w:tcPr>
            <w:tcW w:w="120" w:type="dxa"/>
            <w:vAlign w:val="bottom"/>
            <w:tcBorders>
              <w:bottom w:val="single" w:sz="8" w:color="CCEEFF"/>
            </w:tcBorders>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7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2,180</w:t>
            </w:r>
          </w:p>
        </w:tc>
        <w:tc>
          <w:tcPr>
            <w:tcW w:w="0" w:type="dxa"/>
            <w:vAlign w:val="bottom"/>
          </w:tcPr>
          <w:p>
            <w:pPr>
              <w:spacing w:after="0"/>
              <w:rPr>
                <w:sz w:val="1"/>
                <w:szCs w:val="1"/>
                <w:color w:val="auto"/>
              </w:rPr>
            </w:pPr>
          </w:p>
        </w:tc>
      </w:tr>
      <w:tr>
        <w:trPr>
          <w:trHeight w:val="251"/>
        </w:trPr>
        <w:tc>
          <w:tcPr>
            <w:tcW w:w="2220" w:type="dxa"/>
            <w:vAlign w:val="bottom"/>
            <w:shd w:val="clear" w:color="auto" w:fill="CCEEFF"/>
          </w:tcPr>
          <w:p>
            <w:pPr>
              <w:ind w:left="20"/>
              <w:spacing w:after="0"/>
              <w:rPr>
                <w:sz w:val="20"/>
                <w:szCs w:val="20"/>
                <w:color w:val="auto"/>
              </w:rPr>
            </w:pPr>
            <w:r>
              <w:rPr>
                <w:rFonts w:ascii="Arial" w:cs="Arial" w:eastAsia="Arial" w:hAnsi="Arial"/>
                <w:sz w:val="14"/>
                <w:szCs w:val="14"/>
                <w:color w:val="auto"/>
              </w:rPr>
              <w:t>Total other income (expense)</w:t>
            </w:r>
          </w:p>
        </w:tc>
        <w:tc>
          <w:tcPr>
            <w:tcW w:w="180" w:type="dxa"/>
            <w:vAlign w:val="bottom"/>
            <w:shd w:val="clear" w:color="auto" w:fill="CCEEFF"/>
          </w:tcPr>
          <w:p>
            <w:pPr>
              <w:spacing w:after="0"/>
              <w:rPr>
                <w:sz w:val="21"/>
                <w:szCs w:val="21"/>
                <w:color w:val="auto"/>
              </w:rPr>
            </w:pPr>
          </w:p>
        </w:tc>
        <w:tc>
          <w:tcPr>
            <w:tcW w:w="84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6,096</w:t>
            </w: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88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1,104</w:t>
            </w: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(316)</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84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1,349</w:t>
            </w: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(206)</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b w:val="1"/>
                <w:bCs w:val="1"/>
                <w:color w:val="auto"/>
              </w:rPr>
              <w:t>—</w:t>
            </w:r>
          </w:p>
        </w:tc>
        <w:tc>
          <w:tcPr>
            <w:tcW w:w="120" w:type="dxa"/>
            <w:vAlign w:val="bottom"/>
            <w:shd w:val="clear" w:color="auto" w:fill="CCEEFF"/>
          </w:tcPr>
          <w:p>
            <w:pPr>
              <w:spacing w:after="0"/>
              <w:rPr>
                <w:sz w:val="21"/>
                <w:szCs w:val="21"/>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(2,456)</w:t>
            </w:r>
          </w:p>
        </w:tc>
        <w:tc>
          <w:tcPr>
            <w:tcW w:w="1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76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5,571</w:t>
            </w:r>
          </w:p>
        </w:tc>
        <w:tc>
          <w:tcPr>
            <w:tcW w:w="0" w:type="dxa"/>
            <w:vAlign w:val="bottom"/>
          </w:tcPr>
          <w:p>
            <w:pPr>
              <w:spacing w:after="0"/>
              <w:rPr>
                <w:sz w:val="1"/>
                <w:szCs w:val="1"/>
                <w:color w:val="auto"/>
              </w:rPr>
            </w:pPr>
          </w:p>
        </w:tc>
      </w:tr>
      <w:tr>
        <w:trPr>
          <w:trHeight w:val="154"/>
        </w:trPr>
        <w:tc>
          <w:tcPr>
            <w:tcW w:w="2220" w:type="dxa"/>
            <w:vAlign w:val="bottom"/>
          </w:tcPr>
          <w:p>
            <w:pPr>
              <w:ind w:left="20"/>
              <w:spacing w:after="0" w:line="154" w:lineRule="exact"/>
              <w:rPr>
                <w:sz w:val="20"/>
                <w:szCs w:val="20"/>
                <w:color w:val="auto"/>
              </w:rPr>
            </w:pPr>
            <w:r>
              <w:rPr>
                <w:rFonts w:ascii="Arial" w:cs="Arial" w:eastAsia="Arial" w:hAnsi="Arial"/>
                <w:sz w:val="14"/>
                <w:szCs w:val="14"/>
                <w:b w:val="1"/>
                <w:bCs w:val="1"/>
                <w:color w:val="auto"/>
              </w:rPr>
              <w:t>Income (loss) before income</w:t>
            </w:r>
          </w:p>
        </w:tc>
        <w:tc>
          <w:tcPr>
            <w:tcW w:w="180" w:type="dxa"/>
            <w:vAlign w:val="bottom"/>
            <w:tcBorders>
              <w:top w:val="single" w:sz="8" w:color="auto"/>
            </w:tcBorders>
          </w:tcPr>
          <w:p>
            <w:pPr>
              <w:spacing w:after="0"/>
              <w:rPr>
                <w:sz w:val="13"/>
                <w:szCs w:val="13"/>
                <w:color w:val="auto"/>
              </w:rPr>
            </w:pPr>
          </w:p>
        </w:tc>
        <w:tc>
          <w:tcPr>
            <w:tcW w:w="84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88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96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84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84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86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86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760" w:type="dxa"/>
            <w:vAlign w:val="bottom"/>
            <w:tcBorders>
              <w:top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203"/>
        </w:trPr>
        <w:tc>
          <w:tcPr>
            <w:tcW w:w="2220" w:type="dxa"/>
            <w:vAlign w:val="bottom"/>
          </w:tcPr>
          <w:p>
            <w:pPr>
              <w:ind w:left="20"/>
              <w:spacing w:after="0"/>
              <w:rPr>
                <w:sz w:val="20"/>
                <w:szCs w:val="20"/>
                <w:color w:val="auto"/>
              </w:rPr>
            </w:pPr>
            <w:r>
              <w:rPr>
                <w:rFonts w:ascii="Arial" w:cs="Arial" w:eastAsia="Arial" w:hAnsi="Arial"/>
                <w:sz w:val="14"/>
                <w:szCs w:val="14"/>
                <w:b w:val="1"/>
                <w:bCs w:val="1"/>
                <w:color w:val="auto"/>
              </w:rPr>
              <w:t>taxes</w:t>
            </w:r>
          </w:p>
        </w:tc>
        <w:tc>
          <w:tcPr>
            <w:tcW w:w="180" w:type="dxa"/>
            <w:vAlign w:val="bottom"/>
          </w:tcPr>
          <w:p>
            <w:pPr>
              <w:spacing w:after="0"/>
              <w:rPr>
                <w:sz w:val="17"/>
                <w:szCs w:val="17"/>
                <w:color w:val="auto"/>
              </w:rPr>
            </w:pPr>
          </w:p>
        </w:tc>
        <w:tc>
          <w:tcPr>
            <w:tcW w:w="840" w:type="dxa"/>
            <w:vAlign w:val="bottom"/>
          </w:tcPr>
          <w:p>
            <w:pPr>
              <w:jc w:val="right"/>
              <w:ind w:right="48"/>
              <w:spacing w:after="0"/>
              <w:rPr>
                <w:sz w:val="20"/>
                <w:szCs w:val="20"/>
                <w:color w:val="auto"/>
              </w:rPr>
            </w:pPr>
            <w:r>
              <w:rPr>
                <w:rFonts w:ascii="Arial" w:cs="Arial" w:eastAsia="Arial" w:hAnsi="Arial"/>
                <w:sz w:val="14"/>
                <w:szCs w:val="14"/>
                <w:b w:val="1"/>
                <w:bCs w:val="1"/>
                <w:color w:val="auto"/>
              </w:rPr>
              <w:t>68,397</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jc w:val="right"/>
              <w:ind w:right="8"/>
              <w:spacing w:after="0"/>
              <w:rPr>
                <w:sz w:val="20"/>
                <w:szCs w:val="20"/>
                <w:color w:val="auto"/>
              </w:rPr>
            </w:pPr>
            <w:r>
              <w:rPr>
                <w:rFonts w:ascii="Arial" w:cs="Arial" w:eastAsia="Arial" w:hAnsi="Arial"/>
                <w:sz w:val="14"/>
                <w:szCs w:val="14"/>
                <w:b w:val="1"/>
                <w:bCs w:val="1"/>
                <w:color w:val="auto"/>
              </w:rPr>
              <w:t>(8,222)</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4"/>
                <w:szCs w:val="14"/>
                <w:b w:val="1"/>
                <w:bCs w:val="1"/>
                <w:color w:val="auto"/>
              </w:rPr>
              <w:t>(249)</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4"/>
                <w:szCs w:val="14"/>
                <w:b w:val="1"/>
                <w:bCs w:val="1"/>
                <w:color w:val="auto"/>
              </w:rPr>
              <w:t>(27,116)</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4"/>
                <w:szCs w:val="14"/>
                <w:b w:val="1"/>
                <w:bCs w:val="1"/>
                <w:color w:val="auto"/>
              </w:rPr>
              <w:t>(549)</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4"/>
                <w:szCs w:val="14"/>
                <w:b w:val="1"/>
                <w:bCs w:val="1"/>
                <w:color w:val="auto"/>
              </w:rPr>
              <w:t>(5,298)</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4"/>
                <w:szCs w:val="14"/>
                <w:b w:val="1"/>
                <w:bCs w:val="1"/>
                <w:color w:val="auto"/>
              </w:rPr>
              <w:t>(42,070)</w:t>
            </w: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4"/>
                <w:szCs w:val="14"/>
                <w:b w:val="1"/>
                <w:bCs w:val="1"/>
                <w:color w:val="auto"/>
              </w:rPr>
              <w:t>(15,107)</w:t>
            </w:r>
          </w:p>
        </w:tc>
        <w:tc>
          <w:tcPr>
            <w:tcW w:w="0" w:type="dxa"/>
            <w:vAlign w:val="bottom"/>
          </w:tcPr>
          <w:p>
            <w:pPr>
              <w:spacing w:after="0"/>
              <w:rPr>
                <w:sz w:val="1"/>
                <w:szCs w:val="1"/>
                <w:color w:val="auto"/>
              </w:rPr>
            </w:pPr>
          </w:p>
        </w:tc>
      </w:tr>
      <w:tr>
        <w:trPr>
          <w:trHeight w:val="177"/>
        </w:trPr>
        <w:tc>
          <w:tcPr>
            <w:tcW w:w="2220" w:type="dxa"/>
            <w:vAlign w:val="bottom"/>
            <w:shd w:val="clear" w:color="auto" w:fill="CCEEFF"/>
          </w:tcPr>
          <w:p>
            <w:pPr>
              <w:ind w:left="20"/>
              <w:spacing w:after="0"/>
              <w:rPr>
                <w:sz w:val="20"/>
                <w:szCs w:val="20"/>
                <w:color w:val="auto"/>
              </w:rPr>
            </w:pPr>
            <w:r>
              <w:rPr>
                <w:rFonts w:ascii="Arial" w:cs="Arial" w:eastAsia="Arial" w:hAnsi="Arial"/>
                <w:sz w:val="14"/>
                <w:szCs w:val="14"/>
                <w:color w:val="auto"/>
              </w:rPr>
              <w:t>Provision for (benefit from)</w:t>
            </w:r>
          </w:p>
        </w:tc>
        <w:tc>
          <w:tcPr>
            <w:tcW w:w="180" w:type="dxa"/>
            <w:vAlign w:val="bottom"/>
            <w:shd w:val="clear" w:color="auto" w:fill="CCEEFF"/>
          </w:tcPr>
          <w:p>
            <w:pPr>
              <w:spacing w:after="0"/>
              <w:rPr>
                <w:sz w:val="15"/>
                <w:szCs w:val="15"/>
                <w:color w:val="auto"/>
              </w:rPr>
            </w:pPr>
          </w:p>
        </w:tc>
        <w:tc>
          <w:tcPr>
            <w:tcW w:w="84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1,598</w:t>
            </w: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0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4"/>
                <w:szCs w:val="14"/>
                <w:b w:val="1"/>
                <w:bCs w:val="1"/>
                <w:color w:val="auto"/>
              </w:rPr>
              <w:t>—</w:t>
            </w:r>
          </w:p>
        </w:tc>
        <w:tc>
          <w:tcPr>
            <w:tcW w:w="140" w:type="dxa"/>
            <w:vAlign w:val="bottom"/>
            <w:shd w:val="clear" w:color="auto" w:fill="CCEEFF"/>
          </w:tcPr>
          <w:p>
            <w:pPr>
              <w:spacing w:after="0"/>
              <w:rPr>
                <w:sz w:val="15"/>
                <w:szCs w:val="15"/>
                <w:color w:val="auto"/>
              </w:rPr>
            </w:pP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4"/>
                <w:szCs w:val="14"/>
                <w:b w:val="1"/>
                <w:bCs w:val="1"/>
                <w:color w:val="auto"/>
              </w:rPr>
              <w:t>(44)</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4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31</w:t>
            </w: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4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4"/>
                <w:szCs w:val="14"/>
                <w:b w:val="1"/>
                <w:bCs w:val="1"/>
                <w:color w:val="auto"/>
              </w:rPr>
              <w:t>—</w:t>
            </w:r>
          </w:p>
        </w:tc>
        <w:tc>
          <w:tcPr>
            <w:tcW w:w="140" w:type="dxa"/>
            <w:vAlign w:val="bottom"/>
            <w:shd w:val="clear" w:color="auto" w:fill="CCEEFF"/>
          </w:tcPr>
          <w:p>
            <w:pPr>
              <w:spacing w:after="0"/>
              <w:rPr>
                <w:sz w:val="15"/>
                <w:szCs w:val="15"/>
                <w:color w:val="auto"/>
              </w:rPr>
            </w:pPr>
          </w:p>
        </w:tc>
        <w:tc>
          <w:tcPr>
            <w:tcW w:w="96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4"/>
                <w:szCs w:val="14"/>
                <w:b w:val="1"/>
                <w:bCs w:val="1"/>
                <w:color w:val="auto"/>
              </w:rPr>
              <w:t>—</w:t>
            </w:r>
          </w:p>
        </w:tc>
        <w:tc>
          <w:tcPr>
            <w:tcW w:w="120" w:type="dxa"/>
            <w:vAlign w:val="bottom"/>
            <w:shd w:val="clear" w:color="auto" w:fill="CCEEFF"/>
          </w:tcPr>
          <w:p>
            <w:pPr>
              <w:spacing w:after="0"/>
              <w:rPr>
                <w:sz w:val="15"/>
                <w:szCs w:val="15"/>
                <w:color w:val="auto"/>
              </w:rPr>
            </w:pPr>
          </w:p>
        </w:tc>
        <w:tc>
          <w:tcPr>
            <w:tcW w:w="98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4"/>
                <w:szCs w:val="14"/>
                <w:b w:val="1"/>
                <w:bCs w:val="1"/>
                <w:color w:val="auto"/>
              </w:rPr>
              <w:t>—</w:t>
            </w:r>
          </w:p>
        </w:tc>
        <w:tc>
          <w:tcPr>
            <w:tcW w:w="220" w:type="dxa"/>
            <w:vAlign w:val="bottom"/>
            <w:shd w:val="clear" w:color="auto" w:fill="CCEEFF"/>
          </w:tcPr>
          <w:p>
            <w:pPr>
              <w:spacing w:after="0"/>
              <w:rPr>
                <w:sz w:val="15"/>
                <w:szCs w:val="15"/>
                <w:color w:val="auto"/>
              </w:rPr>
            </w:pPr>
          </w:p>
        </w:tc>
        <w:tc>
          <w:tcPr>
            <w:tcW w:w="76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1,585</w:t>
            </w:r>
          </w:p>
        </w:tc>
        <w:tc>
          <w:tcPr>
            <w:tcW w:w="0" w:type="dxa"/>
            <w:vAlign w:val="bottom"/>
          </w:tcPr>
          <w:p>
            <w:pPr>
              <w:spacing w:after="0"/>
              <w:rPr>
                <w:sz w:val="1"/>
                <w:szCs w:val="1"/>
                <w:color w:val="auto"/>
              </w:rPr>
            </w:pPr>
          </w:p>
        </w:tc>
      </w:tr>
      <w:tr>
        <w:trPr>
          <w:trHeight w:val="201"/>
        </w:trPr>
        <w:tc>
          <w:tcPr>
            <w:tcW w:w="2220" w:type="dxa"/>
            <w:vAlign w:val="bottom"/>
            <w:shd w:val="clear" w:color="auto" w:fill="CCEEFF"/>
          </w:tcPr>
          <w:p>
            <w:pPr>
              <w:ind w:left="20"/>
              <w:spacing w:after="0"/>
              <w:rPr>
                <w:sz w:val="20"/>
                <w:szCs w:val="20"/>
                <w:color w:val="auto"/>
              </w:rPr>
            </w:pPr>
            <w:r>
              <w:rPr>
                <w:rFonts w:ascii="Arial" w:cs="Arial" w:eastAsia="Arial" w:hAnsi="Arial"/>
                <w:sz w:val="14"/>
                <w:szCs w:val="14"/>
                <w:color w:val="auto"/>
              </w:rPr>
              <w:t>income taxes</w:t>
            </w:r>
          </w:p>
        </w:tc>
        <w:tc>
          <w:tcPr>
            <w:tcW w:w="180" w:type="dxa"/>
            <w:vAlign w:val="bottom"/>
            <w:shd w:val="clear" w:color="auto" w:fill="CCEEFF"/>
          </w:tcPr>
          <w:p>
            <w:pPr>
              <w:spacing w:after="0"/>
              <w:rPr>
                <w:sz w:val="17"/>
                <w:szCs w:val="17"/>
                <w:color w:val="auto"/>
              </w:rPr>
            </w:pPr>
          </w:p>
        </w:tc>
        <w:tc>
          <w:tcPr>
            <w:tcW w:w="840" w:type="dxa"/>
            <w:vAlign w:val="bottom"/>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0" w:type="dxa"/>
            <w:vAlign w:val="bottom"/>
            <w:gridSpan w:val="2"/>
            <w:vMerge w:val="continue"/>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6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40" w:type="dxa"/>
            <w:vAlign w:val="bottom"/>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40" w:type="dxa"/>
            <w:vAlign w:val="bottom"/>
            <w:gridSpan w:val="2"/>
            <w:vMerge w:val="continue"/>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60" w:type="dxa"/>
            <w:vAlign w:val="bottom"/>
            <w:gridSpan w:val="2"/>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80" w:type="dxa"/>
            <w:vAlign w:val="bottom"/>
            <w:gridSpan w:val="2"/>
            <w:vMerge w:val="continue"/>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6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222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Net income (loss)</w:t>
            </w:r>
          </w:p>
        </w:tc>
        <w:tc>
          <w:tcPr>
            <w:tcW w:w="180" w:type="dxa"/>
            <w:vAlign w:val="bottom"/>
            <w:tcBorders>
              <w:top w:val="single" w:sz="8" w:color="auto"/>
              <w:bottom w:val="single" w:sz="8" w:color="auto"/>
            </w:tcBorders>
          </w:tcPr>
          <w:p>
            <w:pPr>
              <w:spacing w:after="0"/>
              <w:rPr>
                <w:sz w:val="21"/>
                <w:szCs w:val="21"/>
                <w:color w:val="auto"/>
              </w:rPr>
            </w:pPr>
          </w:p>
        </w:tc>
        <w:tc>
          <w:tcPr>
            <w:tcW w:w="84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66,799</w:t>
            </w:r>
          </w:p>
        </w:tc>
        <w:tc>
          <w:tcPr>
            <w:tcW w:w="120" w:type="dxa"/>
            <w:vAlign w:val="bottom"/>
            <w:tcBorders>
              <w:bottom w:val="single" w:sz="8" w:color="CCEEFF"/>
            </w:tcBorders>
          </w:tcPr>
          <w:p>
            <w:pPr>
              <w:spacing w:after="0"/>
              <w:rPr>
                <w:sz w:val="21"/>
                <w:szCs w:val="21"/>
                <w:color w:val="auto"/>
              </w:rPr>
            </w:pPr>
          </w:p>
        </w:tc>
        <w:tc>
          <w:tcPr>
            <w:tcW w:w="160" w:type="dxa"/>
            <w:vAlign w:val="bottom"/>
            <w:tcBorders>
              <w:top w:val="single" w:sz="8" w:color="auto"/>
              <w:bottom w:val="single" w:sz="8" w:color="auto"/>
            </w:tcBorders>
          </w:tcPr>
          <w:p>
            <w:pPr>
              <w:spacing w:after="0"/>
              <w:rPr>
                <w:sz w:val="21"/>
                <w:szCs w:val="21"/>
                <w:color w:val="auto"/>
              </w:rPr>
            </w:pPr>
          </w:p>
        </w:tc>
        <w:tc>
          <w:tcPr>
            <w:tcW w:w="88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(8,222)</w:t>
            </w:r>
          </w:p>
        </w:tc>
        <w:tc>
          <w:tcPr>
            <w:tcW w:w="120" w:type="dxa"/>
            <w:vAlign w:val="bottom"/>
            <w:tcBorders>
              <w:bottom w:val="single" w:sz="8" w:color="CCEEFF"/>
            </w:tcBorders>
          </w:tcPr>
          <w:p>
            <w:pPr>
              <w:spacing w:after="0"/>
              <w:rPr>
                <w:sz w:val="21"/>
                <w:szCs w:val="21"/>
                <w:color w:val="auto"/>
              </w:rPr>
            </w:pPr>
          </w:p>
        </w:tc>
        <w:tc>
          <w:tcPr>
            <w:tcW w:w="140" w:type="dxa"/>
            <w:vAlign w:val="bottom"/>
            <w:tcBorders>
              <w:top w:val="single" w:sz="8" w:color="auto"/>
              <w:bottom w:val="single" w:sz="8" w:color="auto"/>
            </w:tcBorders>
          </w:tcPr>
          <w:p>
            <w:pPr>
              <w:spacing w:after="0"/>
              <w:rPr>
                <w:sz w:val="21"/>
                <w:szCs w:val="21"/>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(205)</w:t>
            </w:r>
          </w:p>
        </w:tc>
        <w:tc>
          <w:tcPr>
            <w:tcW w:w="100" w:type="dxa"/>
            <w:vAlign w:val="bottom"/>
            <w:tcBorders>
              <w:bottom w:val="single" w:sz="8" w:color="CCEEFF"/>
            </w:tcBorders>
          </w:tcPr>
          <w:p>
            <w:pPr>
              <w:spacing w:after="0"/>
              <w:rPr>
                <w:sz w:val="21"/>
                <w:szCs w:val="21"/>
                <w:color w:val="auto"/>
              </w:rPr>
            </w:pPr>
          </w:p>
        </w:tc>
        <w:tc>
          <w:tcPr>
            <w:tcW w:w="140" w:type="dxa"/>
            <w:vAlign w:val="bottom"/>
            <w:tcBorders>
              <w:top w:val="single" w:sz="8" w:color="auto"/>
              <w:bottom w:val="single" w:sz="8" w:color="auto"/>
            </w:tcBorders>
          </w:tcPr>
          <w:p>
            <w:pPr>
              <w:spacing w:after="0"/>
              <w:rPr>
                <w:sz w:val="21"/>
                <w:szCs w:val="21"/>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(27,147)</w:t>
            </w:r>
          </w:p>
        </w:tc>
        <w:tc>
          <w:tcPr>
            <w:tcW w:w="120" w:type="dxa"/>
            <w:vAlign w:val="bottom"/>
            <w:tcBorders>
              <w:bottom w:val="single" w:sz="8" w:color="CCEEFF"/>
            </w:tcBorders>
          </w:tcPr>
          <w:p>
            <w:pPr>
              <w:spacing w:after="0"/>
              <w:rPr>
                <w:sz w:val="21"/>
                <w:szCs w:val="21"/>
                <w:color w:val="auto"/>
              </w:rPr>
            </w:pPr>
          </w:p>
        </w:tc>
        <w:tc>
          <w:tcPr>
            <w:tcW w:w="140" w:type="dxa"/>
            <w:vAlign w:val="bottom"/>
            <w:tcBorders>
              <w:top w:val="single" w:sz="8" w:color="auto"/>
              <w:bottom w:val="single" w:sz="8" w:color="auto"/>
            </w:tcBorders>
          </w:tcPr>
          <w:p>
            <w:pPr>
              <w:spacing w:after="0"/>
              <w:rPr>
                <w:sz w:val="21"/>
                <w:szCs w:val="21"/>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(549)</w:t>
            </w:r>
          </w:p>
        </w:tc>
        <w:tc>
          <w:tcPr>
            <w:tcW w:w="100" w:type="dxa"/>
            <w:vAlign w:val="bottom"/>
            <w:tcBorders>
              <w:bottom w:val="single" w:sz="8" w:color="CCEEFF"/>
            </w:tcBorders>
          </w:tcPr>
          <w:p>
            <w:pPr>
              <w:spacing w:after="0"/>
              <w:rPr>
                <w:sz w:val="21"/>
                <w:szCs w:val="21"/>
                <w:color w:val="auto"/>
              </w:rPr>
            </w:pPr>
          </w:p>
        </w:tc>
        <w:tc>
          <w:tcPr>
            <w:tcW w:w="140" w:type="dxa"/>
            <w:vAlign w:val="bottom"/>
            <w:tcBorders>
              <w:top w:val="single" w:sz="8" w:color="auto"/>
              <w:bottom w:val="single" w:sz="8" w:color="auto"/>
            </w:tcBorders>
          </w:tcPr>
          <w:p>
            <w:pPr>
              <w:spacing w:after="0"/>
              <w:rPr>
                <w:sz w:val="21"/>
                <w:szCs w:val="21"/>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(5,298)</w:t>
            </w:r>
          </w:p>
        </w:tc>
        <w:tc>
          <w:tcPr>
            <w:tcW w:w="100" w:type="dxa"/>
            <w:vAlign w:val="bottom"/>
            <w:tcBorders>
              <w:bottom w:val="single" w:sz="8" w:color="CCEEFF"/>
            </w:tcBorders>
          </w:tcPr>
          <w:p>
            <w:pPr>
              <w:spacing w:after="0"/>
              <w:rPr>
                <w:sz w:val="21"/>
                <w:szCs w:val="21"/>
                <w:color w:val="auto"/>
              </w:rPr>
            </w:pPr>
          </w:p>
        </w:tc>
        <w:tc>
          <w:tcPr>
            <w:tcW w:w="120" w:type="dxa"/>
            <w:vAlign w:val="bottom"/>
            <w:tcBorders>
              <w:top w:val="single" w:sz="8" w:color="auto"/>
              <w:bottom w:val="single" w:sz="8" w:color="auto"/>
            </w:tcBorders>
          </w:tcPr>
          <w:p>
            <w:pPr>
              <w:spacing w:after="0"/>
              <w:rPr>
                <w:sz w:val="21"/>
                <w:szCs w:val="21"/>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(42,070)</w:t>
            </w:r>
          </w:p>
        </w:tc>
        <w:tc>
          <w:tcPr>
            <w:tcW w:w="120" w:type="dxa"/>
            <w:vAlign w:val="bottom"/>
            <w:tcBorders>
              <w:bottom w:val="single" w:sz="8" w:color="CCEEFF"/>
            </w:tcBorders>
          </w:tcPr>
          <w:p>
            <w:pPr>
              <w:spacing w:after="0"/>
              <w:rPr>
                <w:sz w:val="21"/>
                <w:szCs w:val="21"/>
                <w:color w:val="auto"/>
              </w:rPr>
            </w:pPr>
          </w:p>
        </w:tc>
        <w:tc>
          <w:tcPr>
            <w:tcW w:w="220" w:type="dxa"/>
            <w:vAlign w:val="bottom"/>
            <w:tcBorders>
              <w:top w:val="single" w:sz="8" w:color="auto"/>
              <w:bottom w:val="single" w:sz="8" w:color="auto"/>
            </w:tcBorders>
          </w:tcPr>
          <w:p>
            <w:pPr>
              <w:spacing w:after="0"/>
              <w:rPr>
                <w:sz w:val="21"/>
                <w:szCs w:val="21"/>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(16,692)</w:t>
            </w:r>
          </w:p>
        </w:tc>
        <w:tc>
          <w:tcPr>
            <w:tcW w:w="0" w:type="dxa"/>
            <w:vAlign w:val="bottom"/>
          </w:tcPr>
          <w:p>
            <w:pPr>
              <w:spacing w:after="0"/>
              <w:rPr>
                <w:sz w:val="1"/>
                <w:szCs w:val="1"/>
                <w:color w:val="auto"/>
              </w:rPr>
            </w:pPr>
          </w:p>
        </w:tc>
      </w:tr>
      <w:tr>
        <w:trPr>
          <w:trHeight w:val="157"/>
        </w:trPr>
        <w:tc>
          <w:tcPr>
            <w:tcW w:w="2220" w:type="dxa"/>
            <w:vAlign w:val="bottom"/>
            <w:shd w:val="clear" w:color="auto" w:fill="CCEEFF"/>
          </w:tcPr>
          <w:p>
            <w:pPr>
              <w:ind w:left="20"/>
              <w:spacing w:after="0" w:line="157" w:lineRule="exact"/>
              <w:rPr>
                <w:sz w:val="20"/>
                <w:szCs w:val="20"/>
                <w:color w:val="auto"/>
              </w:rPr>
            </w:pPr>
            <w:r>
              <w:rPr>
                <w:rFonts w:ascii="Arial" w:cs="Arial" w:eastAsia="Arial" w:hAnsi="Arial"/>
                <w:sz w:val="14"/>
                <w:szCs w:val="14"/>
                <w:color w:val="auto"/>
              </w:rPr>
              <w:t>Less: Net (loss) income</w:t>
            </w:r>
          </w:p>
        </w:tc>
        <w:tc>
          <w:tcPr>
            <w:tcW w:w="18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220" w:type="dxa"/>
            <w:vAlign w:val="bottom"/>
            <w:shd w:val="clear" w:color="auto" w:fill="CCEEFF"/>
          </w:tcPr>
          <w:p>
            <w:pPr>
              <w:ind w:left="20"/>
              <w:spacing w:after="0"/>
              <w:rPr>
                <w:sz w:val="20"/>
                <w:szCs w:val="20"/>
                <w:color w:val="auto"/>
              </w:rPr>
            </w:pPr>
            <w:r>
              <w:rPr>
                <w:rFonts w:ascii="Arial" w:cs="Arial" w:eastAsia="Arial" w:hAnsi="Arial"/>
                <w:sz w:val="14"/>
                <w:szCs w:val="14"/>
                <w:color w:val="auto"/>
              </w:rPr>
              <w:t>attributable to non-controlling</w:t>
            </w:r>
          </w:p>
        </w:tc>
        <w:tc>
          <w:tcPr>
            <w:tcW w:w="18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220" w:type="dxa"/>
            <w:vAlign w:val="bottom"/>
            <w:shd w:val="clear" w:color="auto" w:fill="CCEEFF"/>
          </w:tcPr>
          <w:p>
            <w:pPr>
              <w:ind w:left="20"/>
              <w:spacing w:after="0"/>
              <w:rPr>
                <w:sz w:val="20"/>
                <w:szCs w:val="20"/>
                <w:color w:val="auto"/>
              </w:rPr>
            </w:pPr>
            <w:r>
              <w:rPr>
                <w:rFonts w:ascii="Arial" w:cs="Arial" w:eastAsia="Arial" w:hAnsi="Arial"/>
                <w:sz w:val="14"/>
                <w:szCs w:val="14"/>
                <w:color w:val="auto"/>
              </w:rPr>
              <w:t>interests in consolidated</w:t>
            </w:r>
          </w:p>
        </w:tc>
        <w:tc>
          <w:tcPr>
            <w:tcW w:w="180" w:type="dxa"/>
            <w:vAlign w:val="bottom"/>
            <w:shd w:val="clear" w:color="auto" w:fill="CCEEFF"/>
          </w:tcPr>
          <w:p>
            <w:pPr>
              <w:spacing w:after="0"/>
              <w:rPr>
                <w:sz w:val="14"/>
                <w:szCs w:val="14"/>
                <w:color w:val="auto"/>
              </w:rPr>
            </w:pPr>
          </w:p>
        </w:tc>
        <w:tc>
          <w:tcPr>
            <w:tcW w:w="84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445</w:t>
            </w: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8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(526)</w:t>
            </w: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6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w:t>
            </w:r>
          </w:p>
        </w:tc>
        <w:tc>
          <w:tcPr>
            <w:tcW w:w="100" w:type="dxa"/>
            <w:vAlign w:val="bottom"/>
            <w:vMerge w:val="restart"/>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4"/>
                <w:szCs w:val="14"/>
                <w:b w:val="1"/>
                <w:bCs w:val="1"/>
                <w:color w:val="auto"/>
              </w:rPr>
              <w:t>(13,209)</w:t>
            </w: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4"/>
                <w:szCs w:val="14"/>
                <w:b w:val="1"/>
                <w:bCs w:val="1"/>
                <w:color w:val="auto"/>
              </w:rPr>
              <w:t>(43)</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4"/>
                <w:szCs w:val="14"/>
                <w:b w:val="1"/>
                <w:bCs w:val="1"/>
                <w:color w:val="auto"/>
              </w:rPr>
              <w:t>(483)</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6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w:t>
            </w:r>
          </w:p>
        </w:tc>
        <w:tc>
          <w:tcPr>
            <w:tcW w:w="120" w:type="dxa"/>
            <w:vAlign w:val="bottom"/>
            <w:vMerge w:val="restart"/>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4"/>
                <w:szCs w:val="14"/>
                <w:b w:val="1"/>
                <w:bCs w:val="1"/>
                <w:color w:val="auto"/>
              </w:rPr>
              <w:t>(13,816)</w:t>
            </w:r>
          </w:p>
        </w:tc>
        <w:tc>
          <w:tcPr>
            <w:tcW w:w="0" w:type="dxa"/>
            <w:vAlign w:val="bottom"/>
          </w:tcPr>
          <w:p>
            <w:pPr>
              <w:spacing w:after="0"/>
              <w:rPr>
                <w:sz w:val="1"/>
                <w:szCs w:val="1"/>
                <w:color w:val="auto"/>
              </w:rPr>
            </w:pPr>
          </w:p>
        </w:tc>
      </w:tr>
      <w:tr>
        <w:trPr>
          <w:trHeight w:val="202"/>
        </w:trPr>
        <w:tc>
          <w:tcPr>
            <w:tcW w:w="2220" w:type="dxa"/>
            <w:vAlign w:val="bottom"/>
            <w:shd w:val="clear" w:color="auto" w:fill="CCEEFF"/>
          </w:tcPr>
          <w:p>
            <w:pPr>
              <w:ind w:left="20"/>
              <w:spacing w:after="0"/>
              <w:rPr>
                <w:sz w:val="20"/>
                <w:szCs w:val="20"/>
                <w:color w:val="auto"/>
              </w:rPr>
            </w:pPr>
            <w:r>
              <w:rPr>
                <w:rFonts w:ascii="Arial" w:cs="Arial" w:eastAsia="Arial" w:hAnsi="Arial"/>
                <w:sz w:val="14"/>
                <w:szCs w:val="14"/>
                <w:color w:val="auto"/>
              </w:rPr>
              <w:t>subsidiaries</w:t>
            </w:r>
          </w:p>
        </w:tc>
        <w:tc>
          <w:tcPr>
            <w:tcW w:w="180" w:type="dxa"/>
            <w:vAlign w:val="bottom"/>
            <w:tcBorders>
              <w:bottom w:val="single" w:sz="8" w:color="auto"/>
            </w:tcBorders>
            <w:shd w:val="clear" w:color="auto" w:fill="CCEEFF"/>
          </w:tcPr>
          <w:p>
            <w:pPr>
              <w:spacing w:after="0"/>
              <w:rPr>
                <w:sz w:val="17"/>
                <w:szCs w:val="17"/>
                <w:color w:val="auto"/>
              </w:rPr>
            </w:pPr>
          </w:p>
        </w:tc>
        <w:tc>
          <w:tcPr>
            <w:tcW w:w="840" w:type="dxa"/>
            <w:vAlign w:val="bottom"/>
            <w:tcBorders>
              <w:bottom w:val="single" w:sz="8" w:color="auto"/>
            </w:tcBorders>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880" w:type="dxa"/>
            <w:vAlign w:val="bottom"/>
            <w:tcBorders>
              <w:bottom w:val="single" w:sz="8" w:color="auto"/>
            </w:tcBorders>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960" w:type="dxa"/>
            <w:vAlign w:val="bottom"/>
            <w:tcBorders>
              <w:bottom w:val="single" w:sz="8" w:color="auto"/>
            </w:tcBorders>
            <w:vMerge w:val="continue"/>
            <w:shd w:val="clear" w:color="auto" w:fill="CCEEFF"/>
          </w:tcPr>
          <w:p>
            <w:pPr>
              <w:spacing w:after="0"/>
              <w:rPr>
                <w:sz w:val="17"/>
                <w:szCs w:val="17"/>
                <w:color w:val="auto"/>
              </w:rPr>
            </w:pPr>
          </w:p>
        </w:tc>
        <w:tc>
          <w:tcPr>
            <w:tcW w:w="100" w:type="dxa"/>
            <w:vAlign w:val="bottom"/>
            <w:vMerge w:val="continue"/>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840" w:type="dxa"/>
            <w:vAlign w:val="bottom"/>
            <w:tcBorders>
              <w:bottom w:val="single" w:sz="8" w:color="auto"/>
            </w:tcBorders>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840" w:type="dxa"/>
            <w:vAlign w:val="bottom"/>
            <w:tcBorders>
              <w:bottom w:val="single" w:sz="8" w:color="auto"/>
            </w:tcBorders>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vMerge w:val="continue"/>
            <w:shd w:val="clear" w:color="auto" w:fill="CCEEFF"/>
          </w:tcPr>
          <w:p>
            <w:pPr>
              <w:spacing w:after="0"/>
              <w:rPr>
                <w:sz w:val="17"/>
                <w:szCs w:val="17"/>
                <w:color w:val="auto"/>
              </w:rPr>
            </w:pPr>
          </w:p>
        </w:tc>
        <w:tc>
          <w:tcPr>
            <w:tcW w:w="120" w:type="dxa"/>
            <w:vAlign w:val="bottom"/>
            <w:vMerge w:val="continue"/>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760" w:type="dxa"/>
            <w:vAlign w:val="bottom"/>
            <w:tcBorders>
              <w:bottom w:val="single" w:sz="8" w:color="auto"/>
            </w:tcBorders>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54"/>
        </w:trPr>
        <w:tc>
          <w:tcPr>
            <w:tcW w:w="2220" w:type="dxa"/>
            <w:vAlign w:val="bottom"/>
          </w:tcPr>
          <w:p>
            <w:pPr>
              <w:ind w:left="20"/>
              <w:spacing w:after="0" w:line="154" w:lineRule="exact"/>
              <w:rPr>
                <w:sz w:val="20"/>
                <w:szCs w:val="20"/>
                <w:color w:val="auto"/>
              </w:rPr>
            </w:pPr>
            <w:r>
              <w:rPr>
                <w:rFonts w:ascii="Arial" w:cs="Arial" w:eastAsia="Arial" w:hAnsi="Arial"/>
                <w:sz w:val="14"/>
                <w:szCs w:val="14"/>
                <w:b w:val="1"/>
                <w:bCs w:val="1"/>
                <w:color w:val="auto"/>
              </w:rPr>
              <w:t>Net income (loss) attributable</w:t>
            </w:r>
          </w:p>
        </w:tc>
        <w:tc>
          <w:tcPr>
            <w:tcW w:w="180" w:type="dxa"/>
            <w:vAlign w:val="bottom"/>
            <w:vMerge w:val="restart"/>
          </w:tcPr>
          <w:p>
            <w:pPr>
              <w:jc w:val="right"/>
              <w:ind w:right="8"/>
              <w:spacing w:after="0"/>
              <w:rPr>
                <w:sz w:val="20"/>
                <w:szCs w:val="20"/>
                <w:color w:val="auto"/>
              </w:rPr>
            </w:pPr>
            <w:r>
              <w:rPr>
                <w:rFonts w:ascii="Arial" w:cs="Arial" w:eastAsia="Arial" w:hAnsi="Arial"/>
                <w:sz w:val="14"/>
                <w:szCs w:val="14"/>
                <w:b w:val="1"/>
                <w:bCs w:val="1"/>
                <w:color w:val="auto"/>
              </w:rPr>
              <w:t>$</w:t>
            </w:r>
          </w:p>
        </w:tc>
        <w:tc>
          <w:tcPr>
            <w:tcW w:w="840" w:type="dxa"/>
            <w:vAlign w:val="bottom"/>
            <w:vMerge w:val="restart"/>
          </w:tcPr>
          <w:p>
            <w:pPr>
              <w:jc w:val="right"/>
              <w:ind w:right="48"/>
              <w:spacing w:after="0"/>
              <w:rPr>
                <w:sz w:val="20"/>
                <w:szCs w:val="20"/>
                <w:color w:val="auto"/>
              </w:rPr>
            </w:pPr>
            <w:r>
              <w:rPr>
                <w:rFonts w:ascii="Arial" w:cs="Arial" w:eastAsia="Arial" w:hAnsi="Arial"/>
                <w:sz w:val="14"/>
                <w:szCs w:val="14"/>
                <w:b w:val="1"/>
                <w:bCs w:val="1"/>
                <w:color w:val="auto"/>
              </w:rPr>
              <w:t>66,354</w:t>
            </w:r>
          </w:p>
        </w:tc>
        <w:tc>
          <w:tcPr>
            <w:tcW w:w="280" w:type="dxa"/>
            <w:vAlign w:val="bottom"/>
            <w:gridSpan w:val="2"/>
            <w:vMerge w:val="restart"/>
          </w:tcPr>
          <w:p>
            <w:pPr>
              <w:jc w:val="right"/>
              <w:ind w:right="40"/>
              <w:spacing w:after="0"/>
              <w:rPr>
                <w:sz w:val="20"/>
                <w:szCs w:val="20"/>
                <w:color w:val="auto"/>
              </w:rPr>
            </w:pPr>
            <w:r>
              <w:rPr>
                <w:rFonts w:ascii="Arial" w:cs="Arial" w:eastAsia="Arial" w:hAnsi="Arial"/>
                <w:sz w:val="14"/>
                <w:szCs w:val="14"/>
                <w:b w:val="1"/>
                <w:bCs w:val="1"/>
                <w:color w:val="auto"/>
              </w:rPr>
              <w:t>$</w:t>
            </w:r>
          </w:p>
        </w:tc>
        <w:tc>
          <w:tcPr>
            <w:tcW w:w="880" w:type="dxa"/>
            <w:vAlign w:val="bottom"/>
            <w:vMerge w:val="restart"/>
          </w:tcPr>
          <w:p>
            <w:pPr>
              <w:jc w:val="right"/>
              <w:ind w:right="8"/>
              <w:spacing w:after="0"/>
              <w:rPr>
                <w:sz w:val="20"/>
                <w:szCs w:val="20"/>
                <w:color w:val="auto"/>
              </w:rPr>
            </w:pPr>
            <w:r>
              <w:rPr>
                <w:rFonts w:ascii="Arial" w:cs="Arial" w:eastAsia="Arial" w:hAnsi="Arial"/>
                <w:sz w:val="14"/>
                <w:szCs w:val="14"/>
                <w:b w:val="1"/>
                <w:bCs w:val="1"/>
                <w:color w:val="auto"/>
              </w:rPr>
              <w:t>(7,696)</w:t>
            </w:r>
          </w:p>
        </w:tc>
        <w:tc>
          <w:tcPr>
            <w:tcW w:w="120" w:type="dxa"/>
            <w:vAlign w:val="bottom"/>
          </w:tcPr>
          <w:p>
            <w:pPr>
              <w:spacing w:after="0"/>
              <w:rPr>
                <w:sz w:val="13"/>
                <w:szCs w:val="13"/>
                <w:color w:val="auto"/>
              </w:rPr>
            </w:pPr>
          </w:p>
        </w:tc>
        <w:tc>
          <w:tcPr>
            <w:tcW w:w="14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w:t>
            </w:r>
          </w:p>
        </w:tc>
        <w:tc>
          <w:tcPr>
            <w:tcW w:w="96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(205)</w:t>
            </w:r>
          </w:p>
        </w:tc>
        <w:tc>
          <w:tcPr>
            <w:tcW w:w="100" w:type="dxa"/>
            <w:vAlign w:val="bottom"/>
          </w:tcPr>
          <w:p>
            <w:pPr>
              <w:spacing w:after="0"/>
              <w:rPr>
                <w:sz w:val="13"/>
                <w:szCs w:val="13"/>
                <w:color w:val="auto"/>
              </w:rPr>
            </w:pPr>
          </w:p>
        </w:tc>
        <w:tc>
          <w:tcPr>
            <w:tcW w:w="14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w:t>
            </w:r>
          </w:p>
        </w:tc>
        <w:tc>
          <w:tcPr>
            <w:tcW w:w="84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(13,938)</w:t>
            </w:r>
          </w:p>
        </w:tc>
        <w:tc>
          <w:tcPr>
            <w:tcW w:w="120" w:type="dxa"/>
            <w:vAlign w:val="bottom"/>
          </w:tcPr>
          <w:p>
            <w:pPr>
              <w:spacing w:after="0"/>
              <w:rPr>
                <w:sz w:val="13"/>
                <w:szCs w:val="13"/>
                <w:color w:val="auto"/>
              </w:rPr>
            </w:pPr>
          </w:p>
        </w:tc>
        <w:tc>
          <w:tcPr>
            <w:tcW w:w="14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w:t>
            </w:r>
          </w:p>
        </w:tc>
        <w:tc>
          <w:tcPr>
            <w:tcW w:w="84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(506)</w:t>
            </w:r>
          </w:p>
        </w:tc>
        <w:tc>
          <w:tcPr>
            <w:tcW w:w="100" w:type="dxa"/>
            <w:vAlign w:val="bottom"/>
          </w:tcPr>
          <w:p>
            <w:pPr>
              <w:spacing w:after="0"/>
              <w:rPr>
                <w:sz w:val="13"/>
                <w:szCs w:val="13"/>
                <w:color w:val="auto"/>
              </w:rPr>
            </w:pPr>
          </w:p>
        </w:tc>
        <w:tc>
          <w:tcPr>
            <w:tcW w:w="14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w:t>
            </w:r>
          </w:p>
        </w:tc>
        <w:tc>
          <w:tcPr>
            <w:tcW w:w="86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(4,815)</w:t>
            </w:r>
          </w:p>
        </w:tc>
        <w:tc>
          <w:tcPr>
            <w:tcW w:w="100" w:type="dxa"/>
            <w:vAlign w:val="bottom"/>
          </w:tcPr>
          <w:p>
            <w:pPr>
              <w:spacing w:after="0"/>
              <w:rPr>
                <w:sz w:val="13"/>
                <w:szCs w:val="13"/>
                <w:color w:val="auto"/>
              </w:rPr>
            </w:pPr>
          </w:p>
        </w:tc>
        <w:tc>
          <w:tcPr>
            <w:tcW w:w="12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w:t>
            </w:r>
          </w:p>
        </w:tc>
        <w:tc>
          <w:tcPr>
            <w:tcW w:w="86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(42,070)</w:t>
            </w:r>
          </w:p>
        </w:tc>
        <w:tc>
          <w:tcPr>
            <w:tcW w:w="120" w:type="dxa"/>
            <w:vAlign w:val="bottom"/>
          </w:tcPr>
          <w:p>
            <w:pPr>
              <w:spacing w:after="0"/>
              <w:rPr>
                <w:sz w:val="13"/>
                <w:szCs w:val="13"/>
                <w:color w:val="auto"/>
              </w:rPr>
            </w:pPr>
          </w:p>
        </w:tc>
        <w:tc>
          <w:tcPr>
            <w:tcW w:w="220" w:type="dxa"/>
            <w:vAlign w:val="bottom"/>
            <w:vMerge w:val="restart"/>
          </w:tcPr>
          <w:p>
            <w:pPr>
              <w:jc w:val="right"/>
              <w:ind w:right="48"/>
              <w:spacing w:after="0"/>
              <w:rPr>
                <w:sz w:val="20"/>
                <w:szCs w:val="20"/>
                <w:color w:val="auto"/>
              </w:rPr>
            </w:pPr>
            <w:r>
              <w:rPr>
                <w:rFonts w:ascii="Arial" w:cs="Arial" w:eastAsia="Arial" w:hAnsi="Arial"/>
                <w:sz w:val="14"/>
                <w:szCs w:val="14"/>
                <w:b w:val="1"/>
                <w:bCs w:val="1"/>
                <w:color w:val="auto"/>
              </w:rPr>
              <w:t>$</w:t>
            </w:r>
          </w:p>
        </w:tc>
        <w:tc>
          <w:tcPr>
            <w:tcW w:w="76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(2,876)</w:t>
            </w:r>
          </w:p>
        </w:tc>
        <w:tc>
          <w:tcPr>
            <w:tcW w:w="0" w:type="dxa"/>
            <w:vAlign w:val="bottom"/>
          </w:tcPr>
          <w:p>
            <w:pPr>
              <w:spacing w:after="0"/>
              <w:rPr>
                <w:sz w:val="1"/>
                <w:szCs w:val="1"/>
                <w:color w:val="auto"/>
              </w:rPr>
            </w:pPr>
          </w:p>
        </w:tc>
      </w:tr>
      <w:tr>
        <w:trPr>
          <w:trHeight w:val="191"/>
        </w:trPr>
        <w:tc>
          <w:tcPr>
            <w:tcW w:w="2220" w:type="dxa"/>
            <w:vAlign w:val="bottom"/>
          </w:tcPr>
          <w:p>
            <w:pPr>
              <w:ind w:left="20"/>
              <w:spacing w:after="0"/>
              <w:rPr>
                <w:sz w:val="20"/>
                <w:szCs w:val="20"/>
                <w:color w:val="auto"/>
              </w:rPr>
            </w:pPr>
            <w:r>
              <w:rPr>
                <w:rFonts w:ascii="Arial" w:cs="Arial" w:eastAsia="Arial" w:hAnsi="Arial"/>
                <w:sz w:val="14"/>
                <w:szCs w:val="14"/>
                <w:b w:val="1"/>
                <w:bCs w:val="1"/>
                <w:color w:val="auto"/>
              </w:rPr>
              <w:t>to shareholders</w:t>
            </w:r>
          </w:p>
        </w:tc>
        <w:tc>
          <w:tcPr>
            <w:tcW w:w="180" w:type="dxa"/>
            <w:vAlign w:val="bottom"/>
            <w:vMerge w:val="continue"/>
          </w:tcPr>
          <w:p>
            <w:pPr>
              <w:spacing w:after="0"/>
              <w:rPr>
                <w:sz w:val="16"/>
                <w:szCs w:val="16"/>
                <w:color w:val="auto"/>
              </w:rPr>
            </w:pPr>
          </w:p>
        </w:tc>
        <w:tc>
          <w:tcPr>
            <w:tcW w:w="840" w:type="dxa"/>
            <w:vAlign w:val="bottom"/>
            <w:vMerge w:val="continue"/>
          </w:tcPr>
          <w:p>
            <w:pPr>
              <w:spacing w:after="0"/>
              <w:rPr>
                <w:sz w:val="16"/>
                <w:szCs w:val="16"/>
                <w:color w:val="auto"/>
              </w:rPr>
            </w:pPr>
          </w:p>
        </w:tc>
        <w:tc>
          <w:tcPr>
            <w:tcW w:w="280" w:type="dxa"/>
            <w:vAlign w:val="bottom"/>
            <w:gridSpan w:val="2"/>
            <w:vMerge w:val="continue"/>
          </w:tcPr>
          <w:p>
            <w:pPr>
              <w:spacing w:after="0"/>
              <w:rPr>
                <w:sz w:val="16"/>
                <w:szCs w:val="16"/>
                <w:color w:val="auto"/>
              </w:rPr>
            </w:pPr>
          </w:p>
        </w:tc>
        <w:tc>
          <w:tcPr>
            <w:tcW w:w="88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vMerge w:val="continue"/>
          </w:tcPr>
          <w:p>
            <w:pPr>
              <w:spacing w:after="0"/>
              <w:rPr>
                <w:sz w:val="16"/>
                <w:szCs w:val="16"/>
                <w:color w:val="auto"/>
              </w:rPr>
            </w:pPr>
          </w:p>
        </w:tc>
        <w:tc>
          <w:tcPr>
            <w:tcW w:w="9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vMerge w:val="continue"/>
          </w:tcPr>
          <w:p>
            <w:pPr>
              <w:spacing w:after="0"/>
              <w:rPr>
                <w:sz w:val="16"/>
                <w:szCs w:val="16"/>
                <w:color w:val="auto"/>
              </w:rPr>
            </w:pPr>
          </w:p>
        </w:tc>
        <w:tc>
          <w:tcPr>
            <w:tcW w:w="84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vMerge w:val="continue"/>
          </w:tcPr>
          <w:p>
            <w:pPr>
              <w:spacing w:after="0"/>
              <w:rPr>
                <w:sz w:val="16"/>
                <w:szCs w:val="16"/>
                <w:color w:val="auto"/>
              </w:rPr>
            </w:pPr>
          </w:p>
        </w:tc>
        <w:tc>
          <w:tcPr>
            <w:tcW w:w="8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vMerge w:val="continue"/>
          </w:tcPr>
          <w:p>
            <w:pPr>
              <w:spacing w:after="0"/>
              <w:rPr>
                <w:sz w:val="16"/>
                <w:szCs w:val="16"/>
                <w:color w:val="auto"/>
              </w:rPr>
            </w:pPr>
          </w:p>
        </w:tc>
        <w:tc>
          <w:tcPr>
            <w:tcW w:w="8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vMerge w:val="continue"/>
          </w:tcPr>
          <w:p>
            <w:pPr>
              <w:spacing w:after="0"/>
              <w:rPr>
                <w:sz w:val="16"/>
                <w:szCs w:val="16"/>
                <w:color w:val="auto"/>
              </w:rPr>
            </w:pPr>
          </w:p>
        </w:tc>
        <w:tc>
          <w:tcPr>
            <w:tcW w:w="86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vMerge w:val="continue"/>
          </w:tcPr>
          <w:p>
            <w:pPr>
              <w:spacing w:after="0"/>
              <w:rPr>
                <w:sz w:val="16"/>
                <w:szCs w:val="16"/>
                <w:color w:val="auto"/>
              </w:rPr>
            </w:pPr>
          </w:p>
        </w:tc>
        <w:tc>
          <w:tcPr>
            <w:tcW w:w="7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17"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34</w:t>
      </w:r>
    </w:p>
    <w:p>
      <w:pPr>
        <w:sectPr>
          <w:pgSz w:w="11900" w:h="16838" w:orient="portrait"/>
          <w:cols w:equalWidth="0" w:num="1">
            <w:col w:w="11420"/>
          </w:cols>
          <w:pgMar w:left="240" w:top="117" w:right="239" w:bottom="1440" w:gutter="0" w:footer="0" w:header="0"/>
          <w:type w:val="continuous"/>
        </w:sectPr>
      </w:pPr>
    </w:p>
    <w:bookmarkStart w:id="34" w:name="page35"/>
    <w:bookmarkEnd w:id="34"/>
    <w:p>
      <w:pPr>
        <w:ind w:right="3820"/>
        <w:spacing w:after="0" w:line="305" w:lineRule="auto"/>
        <w:rPr>
          <w:sz w:val="20"/>
          <w:szCs w:val="20"/>
          <w:color w:val="auto"/>
        </w:rPr>
      </w:pPr>
      <w:r>
        <w:rPr>
          <w:rFonts w:ascii="Arial" w:cs="Arial" w:eastAsia="Arial" w:hAnsi="Arial"/>
          <w:sz w:val="22"/>
          <w:szCs w:val="22"/>
          <w:b w:val="1"/>
          <w:bCs w:val="1"/>
          <w:color w:val="00497F"/>
        </w:rPr>
        <w:t xml:space="preserve">FORTRESS TRANSPORTATION AND INFRASTRUCTURE INVESTORS LLC NOTES TO CONSOLIDATED FINANCIAL STATEMENTS </w:t>
      </w:r>
      <w:r>
        <w:rPr>
          <w:rFonts w:ascii="Arial" w:cs="Arial" w:eastAsia="Arial" w:hAnsi="Arial"/>
          <w:sz w:val="22"/>
          <w:szCs w:val="22"/>
          <w:b w:val="1"/>
          <w:bCs w:val="1"/>
          <w:i w:val="1"/>
          <w:iCs w:val="1"/>
          <w:color w:val="00497F"/>
        </w:rPr>
        <w:t>(unaudited)</w:t>
      </w:r>
    </w:p>
    <w:p>
      <w:pPr>
        <w:spacing w:after="0"/>
        <w:rPr>
          <w:sz w:val="20"/>
          <w:szCs w:val="20"/>
          <w:color w:val="auto"/>
        </w:rPr>
      </w:pPr>
      <w:r>
        <w:rPr>
          <w:rFonts w:ascii="Arial" w:cs="Arial" w:eastAsia="Arial" w:hAnsi="Arial"/>
          <w:sz w:val="18"/>
          <w:szCs w:val="18"/>
          <w:i w:val="1"/>
          <w:iCs w:val="1"/>
          <w:color w:val="00497F"/>
        </w:rPr>
        <w:t>(Dollar amounts in thousands, unless otherwise noted)</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sets forth a reconciliation of Adjusted Net Income (Loss) to net loss attributable to shareholders:</w:t>
      </w: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tbl>
      <w:tblPr>
        <w:tblLayout w:type="fixed"/>
        <w:tblInd w:w="340" w:type="dxa"/>
        <w:tblCellMar>
          <w:top w:w="0" w:type="dxa"/>
          <w:left w:w="0" w:type="dxa"/>
          <w:bottom w:w="0" w:type="dxa"/>
          <w:right w:w="0" w:type="dxa"/>
        </w:tblCellMar>
      </w:tblPr>
      <w:tr>
        <w:trPr>
          <w:trHeight w:val="203"/>
        </w:trPr>
        <w:tc>
          <w:tcPr>
            <w:tcW w:w="222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3380" w:type="dxa"/>
            <w:vAlign w:val="bottom"/>
            <w:tcBorders>
              <w:bottom w:val="single" w:sz="8" w:color="auto"/>
            </w:tcBorders>
            <w:gridSpan w:val="9"/>
          </w:tcPr>
          <w:p>
            <w:pPr>
              <w:jc w:val="right"/>
              <w:spacing w:after="0"/>
              <w:rPr>
                <w:sz w:val="20"/>
                <w:szCs w:val="20"/>
                <w:color w:val="auto"/>
              </w:rPr>
            </w:pPr>
            <w:r>
              <w:rPr>
                <w:rFonts w:ascii="Arial" w:cs="Arial" w:eastAsia="Arial" w:hAnsi="Arial"/>
                <w:sz w:val="14"/>
                <w:szCs w:val="14"/>
                <w:b w:val="1"/>
                <w:bCs w:val="1"/>
                <w:color w:val="auto"/>
              </w:rPr>
              <w:t>Nine months ended September 30, 2017</w:t>
            </w:r>
          </w:p>
        </w:tc>
        <w:tc>
          <w:tcPr>
            <w:tcW w:w="86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64"/>
        </w:trPr>
        <w:tc>
          <w:tcPr>
            <w:tcW w:w="222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spacing w:after="0"/>
              <w:rPr>
                <w:sz w:val="22"/>
                <w:szCs w:val="22"/>
                <w:color w:val="auto"/>
              </w:rPr>
            </w:pPr>
          </w:p>
        </w:tc>
        <w:tc>
          <w:tcPr>
            <w:tcW w:w="1420" w:type="dxa"/>
            <w:vAlign w:val="bottom"/>
            <w:tcBorders>
              <w:bottom w:val="single" w:sz="8" w:color="auto"/>
            </w:tcBorders>
            <w:gridSpan w:val="5"/>
          </w:tcPr>
          <w:p>
            <w:pPr>
              <w:jc w:val="right"/>
              <w:spacing w:after="0"/>
              <w:rPr>
                <w:sz w:val="20"/>
                <w:szCs w:val="20"/>
                <w:color w:val="auto"/>
              </w:rPr>
            </w:pPr>
            <w:r>
              <w:rPr>
                <w:rFonts w:ascii="Arial" w:cs="Arial" w:eastAsia="Arial" w:hAnsi="Arial"/>
                <w:sz w:val="14"/>
                <w:szCs w:val="14"/>
                <w:b w:val="1"/>
                <w:bCs w:val="1"/>
                <w:color w:val="auto"/>
              </w:rPr>
              <w:t>Equipment Leasing</w:t>
            </w:r>
          </w:p>
        </w:tc>
        <w:tc>
          <w:tcPr>
            <w:tcW w:w="96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gridSpan w:val="3"/>
          </w:tcPr>
          <w:p>
            <w:pPr>
              <w:ind w:left="40"/>
              <w:spacing w:after="0"/>
              <w:rPr>
                <w:sz w:val="20"/>
                <w:szCs w:val="20"/>
                <w:color w:val="auto"/>
              </w:rPr>
            </w:pPr>
            <w:r>
              <w:rPr>
                <w:rFonts w:ascii="Arial" w:cs="Arial" w:eastAsia="Arial" w:hAnsi="Arial"/>
                <w:sz w:val="14"/>
                <w:szCs w:val="14"/>
                <w:b w:val="1"/>
                <w:bCs w:val="1"/>
                <w:color w:val="auto"/>
              </w:rPr>
              <w:t>Infrastructure</w:t>
            </w:r>
          </w:p>
        </w:tc>
        <w:tc>
          <w:tcPr>
            <w:tcW w:w="14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68"/>
        </w:trPr>
        <w:tc>
          <w:tcPr>
            <w:tcW w:w="2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40" w:type="dxa"/>
            <w:vAlign w:val="bottom"/>
          </w:tcPr>
          <w:p>
            <w:pPr>
              <w:ind w:left="60"/>
              <w:spacing w:after="0"/>
              <w:rPr>
                <w:sz w:val="20"/>
                <w:szCs w:val="20"/>
                <w:color w:val="auto"/>
              </w:rPr>
            </w:pPr>
            <w:r>
              <w:rPr>
                <w:rFonts w:ascii="Arial" w:cs="Arial" w:eastAsia="Arial" w:hAnsi="Arial"/>
                <w:sz w:val="14"/>
                <w:szCs w:val="14"/>
                <w:b w:val="1"/>
                <w:bCs w:val="1"/>
                <w:color w:val="auto"/>
              </w:rPr>
              <w:t>Aviation</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Offshore</w:t>
            </w:r>
          </w:p>
        </w:tc>
        <w:tc>
          <w:tcPr>
            <w:tcW w:w="140" w:type="dxa"/>
            <w:vAlign w:val="bottom"/>
          </w:tcPr>
          <w:p>
            <w:pPr>
              <w:spacing w:after="0"/>
              <w:rPr>
                <w:sz w:val="14"/>
                <w:szCs w:val="14"/>
                <w:color w:val="auto"/>
              </w:rPr>
            </w:pPr>
          </w:p>
        </w:tc>
        <w:tc>
          <w:tcPr>
            <w:tcW w:w="10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Shipping</w:t>
            </w:r>
          </w:p>
        </w:tc>
        <w:tc>
          <w:tcPr>
            <w:tcW w:w="140" w:type="dxa"/>
            <w:vAlign w:val="bottom"/>
          </w:tcPr>
          <w:p>
            <w:pPr>
              <w:spacing w:after="0"/>
              <w:rPr>
                <w:sz w:val="14"/>
                <w:szCs w:val="14"/>
                <w:color w:val="auto"/>
              </w:rPr>
            </w:pPr>
          </w:p>
        </w:tc>
        <w:tc>
          <w:tcPr>
            <w:tcW w:w="9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Jefferson</w:t>
            </w:r>
          </w:p>
        </w:tc>
        <w:tc>
          <w:tcPr>
            <w:tcW w:w="1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gridSpan w:val="2"/>
          </w:tcPr>
          <w:p>
            <w:pPr>
              <w:ind w:left="20"/>
              <w:spacing w:after="0"/>
              <w:rPr>
                <w:sz w:val="20"/>
                <w:szCs w:val="20"/>
                <w:color w:val="auto"/>
              </w:rPr>
            </w:pPr>
            <w:r>
              <w:rPr>
                <w:rFonts w:ascii="Arial" w:cs="Arial" w:eastAsia="Arial" w:hAnsi="Arial"/>
                <w:sz w:val="14"/>
                <w:szCs w:val="14"/>
                <w:b w:val="1"/>
                <w:bCs w:val="1"/>
                <w:color w:val="auto"/>
              </w:rPr>
              <w:t>Ports and</w:t>
            </w:r>
          </w:p>
        </w:tc>
        <w:tc>
          <w:tcPr>
            <w:tcW w:w="1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222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ind w:left="60"/>
              <w:spacing w:after="0"/>
              <w:rPr>
                <w:sz w:val="20"/>
                <w:szCs w:val="20"/>
                <w:color w:val="auto"/>
              </w:rPr>
            </w:pPr>
            <w:r>
              <w:rPr>
                <w:rFonts w:ascii="Arial" w:cs="Arial" w:eastAsia="Arial" w:hAnsi="Arial"/>
                <w:sz w:val="14"/>
                <w:szCs w:val="14"/>
                <w:b w:val="1"/>
                <w:bCs w:val="1"/>
                <w:color w:val="auto"/>
              </w:rPr>
              <w:t>Leasing</w:t>
            </w:r>
          </w:p>
        </w:tc>
        <w:tc>
          <w:tcPr>
            <w:tcW w:w="12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center"/>
              <w:ind w:right="88"/>
              <w:spacing w:after="0"/>
              <w:rPr>
                <w:sz w:val="20"/>
                <w:szCs w:val="20"/>
                <w:color w:val="auto"/>
              </w:rPr>
            </w:pPr>
            <w:r>
              <w:rPr>
                <w:rFonts w:ascii="Arial" w:cs="Arial" w:eastAsia="Arial" w:hAnsi="Arial"/>
                <w:sz w:val="14"/>
                <w:szCs w:val="14"/>
                <w:b w:val="1"/>
                <w:bCs w:val="1"/>
                <w:color w:val="auto"/>
              </w:rPr>
              <w:t>Energy</w:t>
            </w:r>
          </w:p>
        </w:tc>
        <w:tc>
          <w:tcPr>
            <w:tcW w:w="12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center"/>
              <w:ind w:right="88"/>
              <w:spacing w:after="0"/>
              <w:rPr>
                <w:sz w:val="20"/>
                <w:szCs w:val="20"/>
                <w:color w:val="auto"/>
              </w:rPr>
            </w:pPr>
            <w:r>
              <w:rPr>
                <w:rFonts w:ascii="Arial" w:cs="Arial" w:eastAsia="Arial" w:hAnsi="Arial"/>
                <w:sz w:val="14"/>
                <w:szCs w:val="14"/>
                <w:b w:val="1"/>
                <w:bCs w:val="1"/>
                <w:color w:val="auto"/>
              </w:rPr>
              <w:t>Containers</w:t>
            </w:r>
          </w:p>
        </w:tc>
        <w:tc>
          <w:tcPr>
            <w:tcW w:w="1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center"/>
              <w:ind w:right="68"/>
              <w:spacing w:after="0"/>
              <w:rPr>
                <w:sz w:val="20"/>
                <w:szCs w:val="20"/>
                <w:color w:val="auto"/>
              </w:rPr>
            </w:pPr>
            <w:r>
              <w:rPr>
                <w:rFonts w:ascii="Arial" w:cs="Arial" w:eastAsia="Arial" w:hAnsi="Arial"/>
                <w:sz w:val="14"/>
                <w:szCs w:val="14"/>
                <w:b w:val="1"/>
                <w:bCs w:val="1"/>
                <w:color w:val="auto"/>
                <w:w w:val="99"/>
              </w:rPr>
              <w:t>Terminal</w:t>
            </w:r>
          </w:p>
        </w:tc>
        <w:tc>
          <w:tcPr>
            <w:tcW w:w="12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b w:val="1"/>
                <w:bCs w:val="1"/>
                <w:color w:val="auto"/>
              </w:rPr>
              <w:t>Railroad</w:t>
            </w:r>
          </w:p>
        </w:tc>
        <w:tc>
          <w:tcPr>
            <w:tcW w:w="1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Terminals</w:t>
            </w:r>
          </w:p>
        </w:tc>
        <w:tc>
          <w:tcPr>
            <w:tcW w:w="10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b w:val="1"/>
                <w:bCs w:val="1"/>
                <w:color w:val="auto"/>
              </w:rPr>
              <w:t>Corporate</w:t>
            </w:r>
          </w:p>
        </w:tc>
        <w:tc>
          <w:tcPr>
            <w:tcW w:w="12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51"/>
        </w:trPr>
        <w:tc>
          <w:tcPr>
            <w:tcW w:w="2220" w:type="dxa"/>
            <w:vAlign w:val="bottom"/>
            <w:shd w:val="clear" w:color="auto" w:fill="CCEEFF"/>
          </w:tcPr>
          <w:p>
            <w:pPr>
              <w:ind w:left="20"/>
              <w:spacing w:after="0"/>
              <w:rPr>
                <w:sz w:val="20"/>
                <w:szCs w:val="20"/>
                <w:color w:val="auto"/>
              </w:rPr>
            </w:pPr>
            <w:r>
              <w:rPr>
                <w:rFonts w:ascii="Arial" w:cs="Arial" w:eastAsia="Arial" w:hAnsi="Arial"/>
                <w:sz w:val="14"/>
                <w:szCs w:val="14"/>
                <w:color w:val="auto"/>
              </w:rPr>
              <w:t>Adjusted Net Income (Loss)</w:t>
            </w: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w:t>
            </w:r>
          </w:p>
        </w:tc>
        <w:tc>
          <w:tcPr>
            <w:tcW w:w="84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68,227</w:t>
            </w:r>
          </w:p>
        </w:tc>
        <w:tc>
          <w:tcPr>
            <w:tcW w:w="28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b w:val="1"/>
                <w:bCs w:val="1"/>
                <w:color w:val="auto"/>
              </w:rPr>
              <w:t>$</w:t>
            </w:r>
          </w:p>
        </w:tc>
        <w:tc>
          <w:tcPr>
            <w:tcW w:w="880" w:type="dxa"/>
            <w:vAlign w:val="bottom"/>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(7,696)</w:t>
            </w: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(387)</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(15,269)</w:t>
            </w: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(67)</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(4,815)</w:t>
            </w: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(35,779)</w:t>
            </w:r>
          </w:p>
        </w:tc>
        <w:tc>
          <w:tcPr>
            <w:tcW w:w="120" w:type="dxa"/>
            <w:vAlign w:val="bottom"/>
            <w:shd w:val="clear" w:color="auto" w:fill="CCEEFF"/>
          </w:tcPr>
          <w:p>
            <w:pPr>
              <w:spacing w:after="0"/>
              <w:rPr>
                <w:sz w:val="21"/>
                <w:szCs w:val="21"/>
                <w:color w:val="auto"/>
              </w:rPr>
            </w:pPr>
          </w:p>
        </w:tc>
        <w:tc>
          <w:tcPr>
            <w:tcW w:w="22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w:t>
            </w:r>
          </w:p>
        </w:tc>
        <w:tc>
          <w:tcPr>
            <w:tcW w:w="76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4,214</w:t>
            </w:r>
          </w:p>
        </w:tc>
        <w:tc>
          <w:tcPr>
            <w:tcW w:w="0" w:type="dxa"/>
            <w:vAlign w:val="bottom"/>
          </w:tcPr>
          <w:p>
            <w:pPr>
              <w:spacing w:after="0"/>
              <w:rPr>
                <w:sz w:val="1"/>
                <w:szCs w:val="1"/>
                <w:color w:val="auto"/>
              </w:rPr>
            </w:pPr>
          </w:p>
        </w:tc>
      </w:tr>
      <w:tr>
        <w:trPr>
          <w:trHeight w:val="156"/>
        </w:trPr>
        <w:tc>
          <w:tcPr>
            <w:tcW w:w="2220" w:type="dxa"/>
            <w:vAlign w:val="bottom"/>
          </w:tcPr>
          <w:p>
            <w:pPr>
              <w:ind w:left="20"/>
              <w:spacing w:after="0" w:line="156" w:lineRule="exact"/>
              <w:rPr>
                <w:sz w:val="20"/>
                <w:szCs w:val="20"/>
                <w:color w:val="auto"/>
              </w:rPr>
            </w:pPr>
            <w:r>
              <w:rPr>
                <w:rFonts w:ascii="Arial" w:cs="Arial" w:eastAsia="Arial" w:hAnsi="Arial"/>
                <w:sz w:val="14"/>
                <w:szCs w:val="14"/>
                <w:color w:val="auto"/>
              </w:rPr>
              <w:t>Add: Non-controlling share of</w:t>
            </w:r>
          </w:p>
        </w:tc>
        <w:tc>
          <w:tcPr>
            <w:tcW w:w="180" w:type="dxa"/>
            <w:vAlign w:val="bottom"/>
            <w:tcBorders>
              <w:top w:val="single" w:sz="8" w:color="auto"/>
            </w:tcBorders>
          </w:tcPr>
          <w:p>
            <w:pPr>
              <w:spacing w:after="0"/>
              <w:rPr>
                <w:sz w:val="13"/>
                <w:szCs w:val="13"/>
                <w:color w:val="auto"/>
              </w:rPr>
            </w:pPr>
          </w:p>
        </w:tc>
        <w:tc>
          <w:tcPr>
            <w:tcW w:w="84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88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96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84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84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86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86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760" w:type="dxa"/>
            <w:vAlign w:val="bottom"/>
            <w:tcBorders>
              <w:top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220" w:type="dxa"/>
            <w:vAlign w:val="bottom"/>
          </w:tcPr>
          <w:p>
            <w:pPr>
              <w:ind w:left="20"/>
              <w:spacing w:after="0"/>
              <w:rPr>
                <w:sz w:val="20"/>
                <w:szCs w:val="20"/>
                <w:color w:val="auto"/>
              </w:rPr>
            </w:pPr>
            <w:r>
              <w:rPr>
                <w:rFonts w:ascii="Arial" w:cs="Arial" w:eastAsia="Arial" w:hAnsi="Arial"/>
                <w:sz w:val="14"/>
                <w:szCs w:val="14"/>
                <w:color w:val="auto"/>
              </w:rPr>
              <w:t>adjustments to Adjusted Net</w:t>
            </w:r>
          </w:p>
        </w:tc>
        <w:tc>
          <w:tcPr>
            <w:tcW w:w="1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vMerge w:val="restart"/>
          </w:tcPr>
          <w:p>
            <w:pPr>
              <w:jc w:val="right"/>
              <w:ind w:right="28"/>
              <w:spacing w:after="0"/>
              <w:rPr>
                <w:sz w:val="20"/>
                <w:szCs w:val="20"/>
                <w:color w:val="auto"/>
              </w:rPr>
            </w:pPr>
            <w:r>
              <w:rPr>
                <w:rFonts w:ascii="Arial" w:cs="Arial" w:eastAsia="Arial" w:hAnsi="Arial"/>
                <w:sz w:val="14"/>
                <w:szCs w:val="14"/>
                <w:b w:val="1"/>
                <w:bCs w:val="1"/>
                <w:color w:val="auto"/>
              </w:rPr>
              <w:t>503</w:t>
            </w:r>
          </w:p>
        </w:tc>
        <w:tc>
          <w:tcPr>
            <w:tcW w:w="0" w:type="dxa"/>
            <w:vAlign w:val="bottom"/>
          </w:tcPr>
          <w:p>
            <w:pPr>
              <w:spacing w:after="0"/>
              <w:rPr>
                <w:sz w:val="1"/>
                <w:szCs w:val="1"/>
                <w:color w:val="auto"/>
              </w:rPr>
            </w:pPr>
          </w:p>
        </w:tc>
      </w:tr>
      <w:tr>
        <w:trPr>
          <w:trHeight w:val="201"/>
        </w:trPr>
        <w:tc>
          <w:tcPr>
            <w:tcW w:w="2220" w:type="dxa"/>
            <w:vAlign w:val="bottom"/>
          </w:tcPr>
          <w:p>
            <w:pPr>
              <w:ind w:left="20"/>
              <w:spacing w:after="0"/>
              <w:rPr>
                <w:sz w:val="20"/>
                <w:szCs w:val="20"/>
                <w:color w:val="auto"/>
              </w:rPr>
            </w:pPr>
            <w:r>
              <w:rPr>
                <w:rFonts w:ascii="Arial" w:cs="Arial" w:eastAsia="Arial" w:hAnsi="Arial"/>
                <w:sz w:val="14"/>
                <w:szCs w:val="14"/>
                <w:color w:val="auto"/>
              </w:rPr>
              <w:t>Income</w:t>
            </w:r>
          </w:p>
        </w:tc>
        <w:tc>
          <w:tcPr>
            <w:tcW w:w="1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7"/>
        </w:trPr>
        <w:tc>
          <w:tcPr>
            <w:tcW w:w="2220" w:type="dxa"/>
            <w:vAlign w:val="bottom"/>
            <w:shd w:val="clear" w:color="auto" w:fill="CCEEFF"/>
          </w:tcPr>
          <w:p>
            <w:pPr>
              <w:ind w:left="20"/>
              <w:spacing w:after="0"/>
              <w:rPr>
                <w:sz w:val="20"/>
                <w:szCs w:val="20"/>
                <w:color w:val="auto"/>
              </w:rPr>
            </w:pPr>
            <w:r>
              <w:rPr>
                <w:rFonts w:ascii="Arial" w:cs="Arial" w:eastAsia="Arial" w:hAnsi="Arial"/>
                <w:sz w:val="14"/>
                <w:szCs w:val="14"/>
                <w:color w:val="auto"/>
              </w:rPr>
              <w:t>Add: Equity in losses of</w:t>
            </w:r>
          </w:p>
        </w:tc>
        <w:tc>
          <w:tcPr>
            <w:tcW w:w="18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4"/>
                <w:szCs w:val="14"/>
                <w:b w:val="1"/>
                <w:bCs w:val="1"/>
                <w:color w:val="auto"/>
              </w:rPr>
              <w:t>(1,461)</w:t>
            </w:r>
          </w:p>
        </w:tc>
        <w:tc>
          <w:tcPr>
            <w:tcW w:w="0" w:type="dxa"/>
            <w:vAlign w:val="bottom"/>
          </w:tcPr>
          <w:p>
            <w:pPr>
              <w:spacing w:after="0"/>
              <w:rPr>
                <w:sz w:val="1"/>
                <w:szCs w:val="1"/>
                <w:color w:val="auto"/>
              </w:rPr>
            </w:pPr>
          </w:p>
        </w:tc>
      </w:tr>
      <w:tr>
        <w:trPr>
          <w:trHeight w:val="202"/>
        </w:trPr>
        <w:tc>
          <w:tcPr>
            <w:tcW w:w="2220" w:type="dxa"/>
            <w:vAlign w:val="bottom"/>
            <w:shd w:val="clear" w:color="auto" w:fill="CCEEFF"/>
          </w:tcPr>
          <w:p>
            <w:pPr>
              <w:ind w:left="20"/>
              <w:spacing w:after="0"/>
              <w:rPr>
                <w:sz w:val="20"/>
                <w:szCs w:val="20"/>
                <w:color w:val="auto"/>
              </w:rPr>
            </w:pPr>
            <w:r>
              <w:rPr>
                <w:rFonts w:ascii="Arial" w:cs="Arial" w:eastAsia="Arial" w:hAnsi="Arial"/>
                <w:sz w:val="14"/>
                <w:szCs w:val="14"/>
                <w:color w:val="auto"/>
              </w:rPr>
              <w:t>unconsolidated entities</w:t>
            </w:r>
          </w:p>
        </w:tc>
        <w:tc>
          <w:tcPr>
            <w:tcW w:w="1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6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2220" w:type="dxa"/>
            <w:vAlign w:val="bottom"/>
          </w:tcPr>
          <w:p>
            <w:pPr>
              <w:ind w:left="20"/>
              <w:spacing w:after="0"/>
              <w:rPr>
                <w:sz w:val="20"/>
                <w:szCs w:val="20"/>
                <w:color w:val="auto"/>
              </w:rPr>
            </w:pPr>
            <w:r>
              <w:rPr>
                <w:rFonts w:ascii="Arial" w:cs="Arial" w:eastAsia="Arial" w:hAnsi="Arial"/>
                <w:sz w:val="14"/>
                <w:szCs w:val="14"/>
                <w:color w:val="auto"/>
              </w:rPr>
              <w:t>Add: Cash payments for income</w:t>
            </w:r>
          </w:p>
        </w:tc>
        <w:tc>
          <w:tcPr>
            <w:tcW w:w="1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60" w:type="dxa"/>
            <w:vAlign w:val="bottom"/>
            <w:vMerge w:val="restart"/>
          </w:tcPr>
          <w:p>
            <w:pPr>
              <w:jc w:val="right"/>
              <w:ind w:right="28"/>
              <w:spacing w:after="0"/>
              <w:rPr>
                <w:sz w:val="20"/>
                <w:szCs w:val="20"/>
                <w:color w:val="auto"/>
              </w:rPr>
            </w:pPr>
            <w:r>
              <w:rPr>
                <w:rFonts w:ascii="Arial" w:cs="Arial" w:eastAsia="Arial" w:hAnsi="Arial"/>
                <w:sz w:val="14"/>
                <w:szCs w:val="14"/>
                <w:b w:val="1"/>
                <w:bCs w:val="1"/>
                <w:color w:val="auto"/>
              </w:rPr>
              <w:t>1,033</w:t>
            </w:r>
          </w:p>
        </w:tc>
        <w:tc>
          <w:tcPr>
            <w:tcW w:w="0" w:type="dxa"/>
            <w:vAlign w:val="bottom"/>
          </w:tcPr>
          <w:p>
            <w:pPr>
              <w:spacing w:after="0"/>
              <w:rPr>
                <w:sz w:val="1"/>
                <w:szCs w:val="1"/>
                <w:color w:val="auto"/>
              </w:rPr>
            </w:pPr>
          </w:p>
        </w:tc>
      </w:tr>
      <w:tr>
        <w:trPr>
          <w:trHeight w:val="201"/>
        </w:trPr>
        <w:tc>
          <w:tcPr>
            <w:tcW w:w="2220" w:type="dxa"/>
            <w:vAlign w:val="bottom"/>
          </w:tcPr>
          <w:p>
            <w:pPr>
              <w:ind w:left="20"/>
              <w:spacing w:after="0"/>
              <w:rPr>
                <w:sz w:val="20"/>
                <w:szCs w:val="20"/>
                <w:color w:val="auto"/>
              </w:rPr>
            </w:pPr>
            <w:r>
              <w:rPr>
                <w:rFonts w:ascii="Arial" w:cs="Arial" w:eastAsia="Arial" w:hAnsi="Arial"/>
                <w:sz w:val="14"/>
                <w:szCs w:val="14"/>
                <w:color w:val="auto"/>
              </w:rPr>
              <w:t>taxes</w:t>
            </w:r>
          </w:p>
        </w:tc>
        <w:tc>
          <w:tcPr>
            <w:tcW w:w="1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71"/>
        </w:trPr>
        <w:tc>
          <w:tcPr>
            <w:tcW w:w="2220" w:type="dxa"/>
            <w:vAlign w:val="bottom"/>
            <w:shd w:val="clear" w:color="auto" w:fill="CCEEFF"/>
          </w:tcPr>
          <w:p>
            <w:pPr>
              <w:ind w:left="20"/>
              <w:spacing w:after="0"/>
              <w:rPr>
                <w:sz w:val="20"/>
                <w:szCs w:val="20"/>
                <w:color w:val="auto"/>
              </w:rPr>
            </w:pPr>
            <w:r>
              <w:rPr>
                <w:rFonts w:ascii="Arial" w:cs="Arial" w:eastAsia="Arial" w:hAnsi="Arial"/>
                <w:sz w:val="14"/>
                <w:szCs w:val="14"/>
                <w:color w:val="auto"/>
              </w:rPr>
              <w:t>Less: Incentive allocations</w:t>
            </w:r>
          </w:p>
        </w:tc>
        <w:tc>
          <w:tcPr>
            <w:tcW w:w="180" w:type="dxa"/>
            <w:vAlign w:val="bottom"/>
            <w:shd w:val="clear" w:color="auto" w:fill="CCEEFF"/>
          </w:tcPr>
          <w:p>
            <w:pPr>
              <w:spacing w:after="0"/>
              <w:rPr>
                <w:sz w:val="23"/>
                <w:szCs w:val="23"/>
                <w:color w:val="auto"/>
              </w:rPr>
            </w:pPr>
          </w:p>
        </w:tc>
        <w:tc>
          <w:tcPr>
            <w:tcW w:w="8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8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9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8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8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8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8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76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76"/>
        </w:trPr>
        <w:tc>
          <w:tcPr>
            <w:tcW w:w="2220" w:type="dxa"/>
            <w:vAlign w:val="bottom"/>
          </w:tcPr>
          <w:p>
            <w:pPr>
              <w:ind w:left="20"/>
              <w:spacing w:after="0"/>
              <w:rPr>
                <w:sz w:val="20"/>
                <w:szCs w:val="20"/>
                <w:color w:val="auto"/>
              </w:rPr>
            </w:pPr>
            <w:r>
              <w:rPr>
                <w:rFonts w:ascii="Arial" w:cs="Arial" w:eastAsia="Arial" w:hAnsi="Arial"/>
                <w:sz w:val="14"/>
                <w:szCs w:val="14"/>
                <w:color w:val="auto"/>
              </w:rPr>
              <w:t>Less: Pro-rata share of Adjusted</w:t>
            </w:r>
          </w:p>
        </w:tc>
        <w:tc>
          <w:tcPr>
            <w:tcW w:w="1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2220" w:type="dxa"/>
            <w:vAlign w:val="bottom"/>
          </w:tcPr>
          <w:p>
            <w:pPr>
              <w:ind w:left="20"/>
              <w:spacing w:after="0"/>
              <w:rPr>
                <w:sz w:val="20"/>
                <w:szCs w:val="20"/>
                <w:color w:val="auto"/>
              </w:rPr>
            </w:pPr>
            <w:r>
              <w:rPr>
                <w:rFonts w:ascii="Arial" w:cs="Arial" w:eastAsia="Arial" w:hAnsi="Arial"/>
                <w:sz w:val="14"/>
                <w:szCs w:val="14"/>
                <w:color w:val="auto"/>
              </w:rPr>
              <w:t>Net Income from investments in</w:t>
            </w:r>
          </w:p>
        </w:tc>
        <w:tc>
          <w:tcPr>
            <w:tcW w:w="1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vMerge w:val="restart"/>
          </w:tcPr>
          <w:p>
            <w:pPr>
              <w:jc w:val="right"/>
              <w:ind w:right="28"/>
              <w:spacing w:after="0"/>
              <w:rPr>
                <w:sz w:val="20"/>
                <w:szCs w:val="20"/>
                <w:color w:val="auto"/>
              </w:rPr>
            </w:pPr>
            <w:r>
              <w:rPr>
                <w:rFonts w:ascii="Arial" w:cs="Arial" w:eastAsia="Arial" w:hAnsi="Arial"/>
                <w:sz w:val="14"/>
                <w:szCs w:val="14"/>
                <w:b w:val="1"/>
                <w:bCs w:val="1"/>
                <w:color w:val="auto"/>
              </w:rPr>
              <w:t>1,599</w:t>
            </w:r>
          </w:p>
        </w:tc>
        <w:tc>
          <w:tcPr>
            <w:tcW w:w="0" w:type="dxa"/>
            <w:vAlign w:val="bottom"/>
          </w:tcPr>
          <w:p>
            <w:pPr>
              <w:spacing w:after="0"/>
              <w:rPr>
                <w:sz w:val="1"/>
                <w:szCs w:val="1"/>
                <w:color w:val="auto"/>
              </w:rPr>
            </w:pPr>
          </w:p>
        </w:tc>
      </w:tr>
      <w:tr>
        <w:trPr>
          <w:trHeight w:val="201"/>
        </w:trPr>
        <w:tc>
          <w:tcPr>
            <w:tcW w:w="2220" w:type="dxa"/>
            <w:vAlign w:val="bottom"/>
          </w:tcPr>
          <w:p>
            <w:pPr>
              <w:ind w:left="20"/>
              <w:spacing w:after="0"/>
              <w:rPr>
                <w:sz w:val="20"/>
                <w:szCs w:val="20"/>
                <w:color w:val="auto"/>
              </w:rPr>
            </w:pPr>
            <w:r>
              <w:rPr>
                <w:rFonts w:ascii="Arial" w:cs="Arial" w:eastAsia="Arial" w:hAnsi="Arial"/>
                <w:sz w:val="14"/>
                <w:szCs w:val="14"/>
                <w:color w:val="auto"/>
              </w:rPr>
              <w:t>unconsolidated entities</w:t>
            </w:r>
          </w:p>
        </w:tc>
        <w:tc>
          <w:tcPr>
            <w:tcW w:w="1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71"/>
        </w:trPr>
        <w:tc>
          <w:tcPr>
            <w:tcW w:w="2220" w:type="dxa"/>
            <w:vAlign w:val="bottom"/>
            <w:shd w:val="clear" w:color="auto" w:fill="CCEEFF"/>
          </w:tcPr>
          <w:p>
            <w:pPr>
              <w:ind w:left="20"/>
              <w:spacing w:after="0"/>
              <w:rPr>
                <w:sz w:val="20"/>
                <w:szCs w:val="20"/>
                <w:color w:val="auto"/>
              </w:rPr>
            </w:pPr>
            <w:r>
              <w:rPr>
                <w:rFonts w:ascii="Arial" w:cs="Arial" w:eastAsia="Arial" w:hAnsi="Arial"/>
                <w:sz w:val="14"/>
                <w:szCs w:val="14"/>
                <w:color w:val="auto"/>
              </w:rPr>
              <w:t>Less: Asset impairment charges</w:t>
            </w:r>
          </w:p>
        </w:tc>
        <w:tc>
          <w:tcPr>
            <w:tcW w:w="180" w:type="dxa"/>
            <w:vAlign w:val="bottom"/>
            <w:shd w:val="clear" w:color="auto" w:fill="CCEEFF"/>
          </w:tcPr>
          <w:p>
            <w:pPr>
              <w:spacing w:after="0"/>
              <w:rPr>
                <w:sz w:val="23"/>
                <w:szCs w:val="23"/>
                <w:color w:val="auto"/>
              </w:rPr>
            </w:pPr>
          </w:p>
        </w:tc>
        <w:tc>
          <w:tcPr>
            <w:tcW w:w="8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8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9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8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8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8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8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76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76"/>
        </w:trPr>
        <w:tc>
          <w:tcPr>
            <w:tcW w:w="2220" w:type="dxa"/>
            <w:vAlign w:val="bottom"/>
          </w:tcPr>
          <w:p>
            <w:pPr>
              <w:ind w:left="20"/>
              <w:spacing w:after="0"/>
              <w:rPr>
                <w:sz w:val="20"/>
                <w:szCs w:val="20"/>
                <w:color w:val="auto"/>
              </w:rPr>
            </w:pPr>
            <w:r>
              <w:rPr>
                <w:rFonts w:ascii="Arial" w:cs="Arial" w:eastAsia="Arial" w:hAnsi="Arial"/>
                <w:sz w:val="14"/>
                <w:szCs w:val="14"/>
                <w:color w:val="auto"/>
              </w:rPr>
              <w:t>Less: Changes in fair value of</w:t>
            </w:r>
          </w:p>
        </w:tc>
        <w:tc>
          <w:tcPr>
            <w:tcW w:w="1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60" w:type="dxa"/>
            <w:vAlign w:val="bottom"/>
            <w:vMerge w:val="restart"/>
          </w:tcPr>
          <w:p>
            <w:pPr>
              <w:jc w:val="right"/>
              <w:ind w:right="28"/>
              <w:spacing w:after="0"/>
              <w:rPr>
                <w:sz w:val="20"/>
                <w:szCs w:val="20"/>
                <w:color w:val="auto"/>
              </w:rPr>
            </w:pPr>
            <w:r>
              <w:rPr>
                <w:rFonts w:ascii="Arial" w:cs="Arial" w:eastAsia="Arial" w:hAnsi="Arial"/>
                <w:sz w:val="14"/>
                <w:szCs w:val="14"/>
                <w:b w:val="1"/>
                <w:bCs w:val="1"/>
                <w:color w:val="auto"/>
              </w:rPr>
              <w:t>1,036</w:t>
            </w:r>
          </w:p>
        </w:tc>
        <w:tc>
          <w:tcPr>
            <w:tcW w:w="0" w:type="dxa"/>
            <w:vAlign w:val="bottom"/>
          </w:tcPr>
          <w:p>
            <w:pPr>
              <w:spacing w:after="0"/>
              <w:rPr>
                <w:sz w:val="1"/>
                <w:szCs w:val="1"/>
                <w:color w:val="auto"/>
              </w:rPr>
            </w:pPr>
          </w:p>
        </w:tc>
      </w:tr>
      <w:tr>
        <w:trPr>
          <w:trHeight w:val="201"/>
        </w:trPr>
        <w:tc>
          <w:tcPr>
            <w:tcW w:w="2220" w:type="dxa"/>
            <w:vAlign w:val="bottom"/>
          </w:tcPr>
          <w:p>
            <w:pPr>
              <w:ind w:left="20"/>
              <w:spacing w:after="0"/>
              <w:rPr>
                <w:sz w:val="20"/>
                <w:szCs w:val="20"/>
                <w:color w:val="auto"/>
              </w:rPr>
            </w:pPr>
            <w:r>
              <w:rPr>
                <w:rFonts w:ascii="Arial" w:cs="Arial" w:eastAsia="Arial" w:hAnsi="Arial"/>
                <w:sz w:val="14"/>
                <w:szCs w:val="14"/>
                <w:color w:val="auto"/>
              </w:rPr>
              <w:t>non-hedge derivative instruments</w:t>
            </w:r>
          </w:p>
        </w:tc>
        <w:tc>
          <w:tcPr>
            <w:tcW w:w="1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7"/>
        </w:trPr>
        <w:tc>
          <w:tcPr>
            <w:tcW w:w="2220" w:type="dxa"/>
            <w:vAlign w:val="bottom"/>
            <w:shd w:val="clear" w:color="auto" w:fill="CCEEFF"/>
          </w:tcPr>
          <w:p>
            <w:pPr>
              <w:ind w:left="20"/>
              <w:spacing w:after="0"/>
              <w:rPr>
                <w:sz w:val="20"/>
                <w:szCs w:val="20"/>
                <w:color w:val="auto"/>
              </w:rPr>
            </w:pPr>
            <w:r>
              <w:rPr>
                <w:rFonts w:ascii="Arial" w:cs="Arial" w:eastAsia="Arial" w:hAnsi="Arial"/>
                <w:sz w:val="14"/>
                <w:szCs w:val="14"/>
                <w:color w:val="auto"/>
              </w:rPr>
              <w:t>Less: Losses on the modification</w:t>
            </w:r>
          </w:p>
        </w:tc>
        <w:tc>
          <w:tcPr>
            <w:tcW w:w="18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2220" w:type="dxa"/>
            <w:vAlign w:val="bottom"/>
            <w:shd w:val="clear" w:color="auto" w:fill="CCEEFF"/>
          </w:tcPr>
          <w:p>
            <w:pPr>
              <w:ind w:left="20"/>
              <w:spacing w:after="0"/>
              <w:rPr>
                <w:sz w:val="20"/>
                <w:szCs w:val="20"/>
                <w:color w:val="auto"/>
              </w:rPr>
            </w:pPr>
            <w:r>
              <w:rPr>
                <w:rFonts w:ascii="Arial" w:cs="Arial" w:eastAsia="Arial" w:hAnsi="Arial"/>
                <w:sz w:val="14"/>
                <w:szCs w:val="14"/>
                <w:color w:val="auto"/>
              </w:rPr>
              <w:t>or extinguishment of debt and</w:t>
            </w:r>
          </w:p>
        </w:tc>
        <w:tc>
          <w:tcPr>
            <w:tcW w:w="18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4"/>
                <w:szCs w:val="14"/>
                <w:b w:val="1"/>
                <w:bCs w:val="1"/>
                <w:color w:val="auto"/>
              </w:rPr>
              <w:t>(2,456)</w:t>
            </w:r>
          </w:p>
        </w:tc>
        <w:tc>
          <w:tcPr>
            <w:tcW w:w="0" w:type="dxa"/>
            <w:vAlign w:val="bottom"/>
          </w:tcPr>
          <w:p>
            <w:pPr>
              <w:spacing w:after="0"/>
              <w:rPr>
                <w:sz w:val="1"/>
                <w:szCs w:val="1"/>
                <w:color w:val="auto"/>
              </w:rPr>
            </w:pPr>
          </w:p>
        </w:tc>
      </w:tr>
      <w:tr>
        <w:trPr>
          <w:trHeight w:val="202"/>
        </w:trPr>
        <w:tc>
          <w:tcPr>
            <w:tcW w:w="2220" w:type="dxa"/>
            <w:vAlign w:val="bottom"/>
            <w:shd w:val="clear" w:color="auto" w:fill="CCEEFF"/>
          </w:tcPr>
          <w:p>
            <w:pPr>
              <w:ind w:left="20"/>
              <w:spacing w:after="0"/>
              <w:rPr>
                <w:sz w:val="20"/>
                <w:szCs w:val="20"/>
                <w:color w:val="auto"/>
              </w:rPr>
            </w:pPr>
            <w:r>
              <w:rPr>
                <w:rFonts w:ascii="Arial" w:cs="Arial" w:eastAsia="Arial" w:hAnsi="Arial"/>
                <w:sz w:val="14"/>
                <w:szCs w:val="14"/>
                <w:color w:val="auto"/>
              </w:rPr>
              <w:t>capital lease obligations</w:t>
            </w:r>
          </w:p>
        </w:tc>
        <w:tc>
          <w:tcPr>
            <w:tcW w:w="1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6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2220" w:type="dxa"/>
            <w:vAlign w:val="bottom"/>
          </w:tcPr>
          <w:p>
            <w:pPr>
              <w:ind w:left="20"/>
              <w:spacing w:after="0"/>
              <w:rPr>
                <w:sz w:val="20"/>
                <w:szCs w:val="20"/>
                <w:color w:val="auto"/>
              </w:rPr>
            </w:pPr>
            <w:r>
              <w:rPr>
                <w:rFonts w:ascii="Arial" w:cs="Arial" w:eastAsia="Arial" w:hAnsi="Arial"/>
                <w:sz w:val="14"/>
                <w:szCs w:val="14"/>
                <w:color w:val="auto"/>
              </w:rPr>
              <w:t>Less: Acquisition and transaction</w:t>
            </w:r>
          </w:p>
        </w:tc>
        <w:tc>
          <w:tcPr>
            <w:tcW w:w="1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6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(5,064)</w:t>
            </w:r>
          </w:p>
        </w:tc>
        <w:tc>
          <w:tcPr>
            <w:tcW w:w="0" w:type="dxa"/>
            <w:vAlign w:val="bottom"/>
          </w:tcPr>
          <w:p>
            <w:pPr>
              <w:spacing w:after="0"/>
              <w:rPr>
                <w:sz w:val="1"/>
                <w:szCs w:val="1"/>
                <w:color w:val="auto"/>
              </w:rPr>
            </w:pPr>
          </w:p>
        </w:tc>
      </w:tr>
      <w:tr>
        <w:trPr>
          <w:trHeight w:val="201"/>
        </w:trPr>
        <w:tc>
          <w:tcPr>
            <w:tcW w:w="2220" w:type="dxa"/>
            <w:vAlign w:val="bottom"/>
          </w:tcPr>
          <w:p>
            <w:pPr>
              <w:ind w:left="20"/>
              <w:spacing w:after="0"/>
              <w:rPr>
                <w:sz w:val="20"/>
                <w:szCs w:val="20"/>
                <w:color w:val="auto"/>
              </w:rPr>
            </w:pPr>
            <w:r>
              <w:rPr>
                <w:rFonts w:ascii="Arial" w:cs="Arial" w:eastAsia="Arial" w:hAnsi="Arial"/>
                <w:sz w:val="14"/>
                <w:szCs w:val="14"/>
                <w:color w:val="auto"/>
              </w:rPr>
              <w:t>expenses</w:t>
            </w:r>
          </w:p>
        </w:tc>
        <w:tc>
          <w:tcPr>
            <w:tcW w:w="1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7"/>
        </w:trPr>
        <w:tc>
          <w:tcPr>
            <w:tcW w:w="2220" w:type="dxa"/>
            <w:vAlign w:val="bottom"/>
            <w:shd w:val="clear" w:color="auto" w:fill="CCEEFF"/>
          </w:tcPr>
          <w:p>
            <w:pPr>
              <w:ind w:left="20"/>
              <w:spacing w:after="0"/>
              <w:rPr>
                <w:sz w:val="20"/>
                <w:szCs w:val="20"/>
                <w:color w:val="auto"/>
              </w:rPr>
            </w:pPr>
            <w:r>
              <w:rPr>
                <w:rFonts w:ascii="Arial" w:cs="Arial" w:eastAsia="Arial" w:hAnsi="Arial"/>
                <w:sz w:val="14"/>
                <w:szCs w:val="14"/>
                <w:color w:val="auto"/>
              </w:rPr>
              <w:t>Less: Equity-based compensation</w:t>
            </w:r>
          </w:p>
        </w:tc>
        <w:tc>
          <w:tcPr>
            <w:tcW w:w="18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4"/>
                <w:szCs w:val="14"/>
                <w:b w:val="1"/>
                <w:bCs w:val="1"/>
                <w:color w:val="auto"/>
              </w:rPr>
              <w:t>(695)</w:t>
            </w:r>
          </w:p>
        </w:tc>
        <w:tc>
          <w:tcPr>
            <w:tcW w:w="0" w:type="dxa"/>
            <w:vAlign w:val="bottom"/>
          </w:tcPr>
          <w:p>
            <w:pPr>
              <w:spacing w:after="0"/>
              <w:rPr>
                <w:sz w:val="1"/>
                <w:szCs w:val="1"/>
                <w:color w:val="auto"/>
              </w:rPr>
            </w:pPr>
          </w:p>
        </w:tc>
      </w:tr>
      <w:tr>
        <w:trPr>
          <w:trHeight w:val="202"/>
        </w:trPr>
        <w:tc>
          <w:tcPr>
            <w:tcW w:w="2220" w:type="dxa"/>
            <w:vAlign w:val="bottom"/>
            <w:shd w:val="clear" w:color="auto" w:fill="CCEEFF"/>
          </w:tcPr>
          <w:p>
            <w:pPr>
              <w:ind w:left="20"/>
              <w:spacing w:after="0"/>
              <w:rPr>
                <w:sz w:val="20"/>
                <w:szCs w:val="20"/>
                <w:color w:val="auto"/>
              </w:rPr>
            </w:pPr>
            <w:r>
              <w:rPr>
                <w:rFonts w:ascii="Arial" w:cs="Arial" w:eastAsia="Arial" w:hAnsi="Arial"/>
                <w:sz w:val="14"/>
                <w:szCs w:val="14"/>
                <w:color w:val="auto"/>
              </w:rPr>
              <w:t>expense</w:t>
            </w:r>
          </w:p>
        </w:tc>
        <w:tc>
          <w:tcPr>
            <w:tcW w:w="1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6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69"/>
        </w:trPr>
        <w:tc>
          <w:tcPr>
            <w:tcW w:w="222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Less: Provision for income taxes</w:t>
            </w:r>
          </w:p>
        </w:tc>
        <w:tc>
          <w:tcPr>
            <w:tcW w:w="180" w:type="dxa"/>
            <w:vAlign w:val="bottom"/>
            <w:tcBorders>
              <w:bottom w:val="single" w:sz="8" w:color="CCEEFF"/>
            </w:tcBorders>
          </w:tcPr>
          <w:p>
            <w:pPr>
              <w:spacing w:after="0"/>
              <w:rPr>
                <w:sz w:val="23"/>
                <w:szCs w:val="23"/>
                <w:color w:val="auto"/>
              </w:rPr>
            </w:pPr>
          </w:p>
        </w:tc>
        <w:tc>
          <w:tcPr>
            <w:tcW w:w="840" w:type="dxa"/>
            <w:vAlign w:val="bottom"/>
            <w:tcBorders>
              <w:bottom w:val="single" w:sz="8" w:color="CCEEFF"/>
            </w:tcBorders>
          </w:tcPr>
          <w:p>
            <w:pPr>
              <w:spacing w:after="0"/>
              <w:rPr>
                <w:sz w:val="23"/>
                <w:szCs w:val="23"/>
                <w:color w:val="auto"/>
              </w:rPr>
            </w:pPr>
          </w:p>
        </w:tc>
        <w:tc>
          <w:tcPr>
            <w:tcW w:w="120" w:type="dxa"/>
            <w:vAlign w:val="bottom"/>
            <w:tcBorders>
              <w:bottom w:val="single" w:sz="8" w:color="CCEEFF"/>
            </w:tcBorders>
          </w:tcPr>
          <w:p>
            <w:pPr>
              <w:spacing w:after="0"/>
              <w:rPr>
                <w:sz w:val="23"/>
                <w:szCs w:val="23"/>
                <w:color w:val="auto"/>
              </w:rPr>
            </w:pPr>
          </w:p>
        </w:tc>
        <w:tc>
          <w:tcPr>
            <w:tcW w:w="160" w:type="dxa"/>
            <w:vAlign w:val="bottom"/>
            <w:tcBorders>
              <w:bottom w:val="single" w:sz="8" w:color="CCEEFF"/>
            </w:tcBorders>
          </w:tcPr>
          <w:p>
            <w:pPr>
              <w:spacing w:after="0"/>
              <w:rPr>
                <w:sz w:val="23"/>
                <w:szCs w:val="23"/>
                <w:color w:val="auto"/>
              </w:rPr>
            </w:pPr>
          </w:p>
        </w:tc>
        <w:tc>
          <w:tcPr>
            <w:tcW w:w="880" w:type="dxa"/>
            <w:vAlign w:val="bottom"/>
            <w:tcBorders>
              <w:bottom w:val="single" w:sz="8" w:color="CCEEFF"/>
            </w:tcBorders>
          </w:tcPr>
          <w:p>
            <w:pPr>
              <w:spacing w:after="0"/>
              <w:rPr>
                <w:sz w:val="23"/>
                <w:szCs w:val="23"/>
                <w:color w:val="auto"/>
              </w:rPr>
            </w:pPr>
          </w:p>
        </w:tc>
        <w:tc>
          <w:tcPr>
            <w:tcW w:w="120" w:type="dxa"/>
            <w:vAlign w:val="bottom"/>
            <w:tcBorders>
              <w:bottom w:val="single" w:sz="8" w:color="CCEEFF"/>
            </w:tcBorders>
          </w:tcPr>
          <w:p>
            <w:pPr>
              <w:spacing w:after="0"/>
              <w:rPr>
                <w:sz w:val="23"/>
                <w:szCs w:val="23"/>
                <w:color w:val="auto"/>
              </w:rPr>
            </w:pPr>
          </w:p>
        </w:tc>
        <w:tc>
          <w:tcPr>
            <w:tcW w:w="140" w:type="dxa"/>
            <w:vAlign w:val="bottom"/>
            <w:tcBorders>
              <w:bottom w:val="single" w:sz="8" w:color="CCEEFF"/>
            </w:tcBorders>
          </w:tcPr>
          <w:p>
            <w:pPr>
              <w:spacing w:after="0"/>
              <w:rPr>
                <w:sz w:val="23"/>
                <w:szCs w:val="23"/>
                <w:color w:val="auto"/>
              </w:rPr>
            </w:pPr>
          </w:p>
        </w:tc>
        <w:tc>
          <w:tcPr>
            <w:tcW w:w="960" w:type="dxa"/>
            <w:vAlign w:val="bottom"/>
            <w:tcBorders>
              <w:bottom w:val="single" w:sz="8" w:color="CCEEFF"/>
            </w:tcBorders>
          </w:tcPr>
          <w:p>
            <w:pPr>
              <w:spacing w:after="0"/>
              <w:rPr>
                <w:sz w:val="23"/>
                <w:szCs w:val="23"/>
                <w:color w:val="auto"/>
              </w:rPr>
            </w:pPr>
          </w:p>
        </w:tc>
        <w:tc>
          <w:tcPr>
            <w:tcW w:w="100" w:type="dxa"/>
            <w:vAlign w:val="bottom"/>
            <w:tcBorders>
              <w:bottom w:val="single" w:sz="8" w:color="CCEEFF"/>
            </w:tcBorders>
          </w:tcPr>
          <w:p>
            <w:pPr>
              <w:spacing w:after="0"/>
              <w:rPr>
                <w:sz w:val="23"/>
                <w:szCs w:val="23"/>
                <w:color w:val="auto"/>
              </w:rPr>
            </w:pPr>
          </w:p>
        </w:tc>
        <w:tc>
          <w:tcPr>
            <w:tcW w:w="140" w:type="dxa"/>
            <w:vAlign w:val="bottom"/>
            <w:tcBorders>
              <w:bottom w:val="single" w:sz="8" w:color="CCEEFF"/>
            </w:tcBorders>
          </w:tcPr>
          <w:p>
            <w:pPr>
              <w:spacing w:after="0"/>
              <w:rPr>
                <w:sz w:val="23"/>
                <w:szCs w:val="23"/>
                <w:color w:val="auto"/>
              </w:rPr>
            </w:pPr>
          </w:p>
        </w:tc>
        <w:tc>
          <w:tcPr>
            <w:tcW w:w="840" w:type="dxa"/>
            <w:vAlign w:val="bottom"/>
            <w:tcBorders>
              <w:bottom w:val="single" w:sz="8" w:color="CCEEFF"/>
            </w:tcBorders>
          </w:tcPr>
          <w:p>
            <w:pPr>
              <w:spacing w:after="0"/>
              <w:rPr>
                <w:sz w:val="23"/>
                <w:szCs w:val="23"/>
                <w:color w:val="auto"/>
              </w:rPr>
            </w:pPr>
          </w:p>
        </w:tc>
        <w:tc>
          <w:tcPr>
            <w:tcW w:w="120" w:type="dxa"/>
            <w:vAlign w:val="bottom"/>
            <w:tcBorders>
              <w:bottom w:val="single" w:sz="8" w:color="CCEEFF"/>
            </w:tcBorders>
          </w:tcPr>
          <w:p>
            <w:pPr>
              <w:spacing w:after="0"/>
              <w:rPr>
                <w:sz w:val="23"/>
                <w:szCs w:val="23"/>
                <w:color w:val="auto"/>
              </w:rPr>
            </w:pPr>
          </w:p>
        </w:tc>
        <w:tc>
          <w:tcPr>
            <w:tcW w:w="140" w:type="dxa"/>
            <w:vAlign w:val="bottom"/>
            <w:tcBorders>
              <w:bottom w:val="single" w:sz="8" w:color="CCEEFF"/>
            </w:tcBorders>
          </w:tcPr>
          <w:p>
            <w:pPr>
              <w:spacing w:after="0"/>
              <w:rPr>
                <w:sz w:val="23"/>
                <w:szCs w:val="23"/>
                <w:color w:val="auto"/>
              </w:rPr>
            </w:pPr>
          </w:p>
        </w:tc>
        <w:tc>
          <w:tcPr>
            <w:tcW w:w="840" w:type="dxa"/>
            <w:vAlign w:val="bottom"/>
            <w:tcBorders>
              <w:bottom w:val="single" w:sz="8" w:color="CCEEFF"/>
            </w:tcBorders>
          </w:tcPr>
          <w:p>
            <w:pPr>
              <w:spacing w:after="0"/>
              <w:rPr>
                <w:sz w:val="23"/>
                <w:szCs w:val="23"/>
                <w:color w:val="auto"/>
              </w:rPr>
            </w:pPr>
          </w:p>
        </w:tc>
        <w:tc>
          <w:tcPr>
            <w:tcW w:w="100" w:type="dxa"/>
            <w:vAlign w:val="bottom"/>
            <w:tcBorders>
              <w:bottom w:val="single" w:sz="8" w:color="CCEEFF"/>
            </w:tcBorders>
          </w:tcPr>
          <w:p>
            <w:pPr>
              <w:spacing w:after="0"/>
              <w:rPr>
                <w:sz w:val="23"/>
                <w:szCs w:val="23"/>
                <w:color w:val="auto"/>
              </w:rPr>
            </w:pPr>
          </w:p>
        </w:tc>
        <w:tc>
          <w:tcPr>
            <w:tcW w:w="140" w:type="dxa"/>
            <w:vAlign w:val="bottom"/>
            <w:tcBorders>
              <w:bottom w:val="single" w:sz="8" w:color="CCEEFF"/>
            </w:tcBorders>
          </w:tcPr>
          <w:p>
            <w:pPr>
              <w:spacing w:after="0"/>
              <w:rPr>
                <w:sz w:val="23"/>
                <w:szCs w:val="23"/>
                <w:color w:val="auto"/>
              </w:rPr>
            </w:pPr>
          </w:p>
        </w:tc>
        <w:tc>
          <w:tcPr>
            <w:tcW w:w="860" w:type="dxa"/>
            <w:vAlign w:val="bottom"/>
            <w:tcBorders>
              <w:bottom w:val="single" w:sz="8" w:color="CCEEFF"/>
            </w:tcBorders>
          </w:tcPr>
          <w:p>
            <w:pPr>
              <w:spacing w:after="0"/>
              <w:rPr>
                <w:sz w:val="23"/>
                <w:szCs w:val="23"/>
                <w:color w:val="auto"/>
              </w:rPr>
            </w:pPr>
          </w:p>
        </w:tc>
        <w:tc>
          <w:tcPr>
            <w:tcW w:w="100" w:type="dxa"/>
            <w:vAlign w:val="bottom"/>
            <w:tcBorders>
              <w:bottom w:val="single" w:sz="8" w:color="CCEEFF"/>
            </w:tcBorders>
          </w:tcPr>
          <w:p>
            <w:pPr>
              <w:spacing w:after="0"/>
              <w:rPr>
                <w:sz w:val="23"/>
                <w:szCs w:val="23"/>
                <w:color w:val="auto"/>
              </w:rPr>
            </w:pPr>
          </w:p>
        </w:tc>
        <w:tc>
          <w:tcPr>
            <w:tcW w:w="120" w:type="dxa"/>
            <w:vAlign w:val="bottom"/>
            <w:tcBorders>
              <w:bottom w:val="single" w:sz="8" w:color="CCEEFF"/>
            </w:tcBorders>
          </w:tcPr>
          <w:p>
            <w:pPr>
              <w:spacing w:after="0"/>
              <w:rPr>
                <w:sz w:val="23"/>
                <w:szCs w:val="23"/>
                <w:color w:val="auto"/>
              </w:rPr>
            </w:pPr>
          </w:p>
        </w:tc>
        <w:tc>
          <w:tcPr>
            <w:tcW w:w="860" w:type="dxa"/>
            <w:vAlign w:val="bottom"/>
            <w:tcBorders>
              <w:bottom w:val="single" w:sz="8" w:color="CCEEFF"/>
            </w:tcBorders>
          </w:tcPr>
          <w:p>
            <w:pPr>
              <w:spacing w:after="0"/>
              <w:rPr>
                <w:sz w:val="23"/>
                <w:szCs w:val="23"/>
                <w:color w:val="auto"/>
              </w:rPr>
            </w:pPr>
          </w:p>
        </w:tc>
        <w:tc>
          <w:tcPr>
            <w:tcW w:w="120" w:type="dxa"/>
            <w:vAlign w:val="bottom"/>
            <w:tcBorders>
              <w:bottom w:val="single" w:sz="8" w:color="CCEEFF"/>
            </w:tcBorders>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(1,585)</w:t>
            </w:r>
          </w:p>
        </w:tc>
        <w:tc>
          <w:tcPr>
            <w:tcW w:w="0" w:type="dxa"/>
            <w:vAlign w:val="bottom"/>
          </w:tcPr>
          <w:p>
            <w:pPr>
              <w:spacing w:after="0"/>
              <w:rPr>
                <w:sz w:val="1"/>
                <w:szCs w:val="1"/>
                <w:color w:val="auto"/>
              </w:rPr>
            </w:pPr>
          </w:p>
        </w:tc>
      </w:tr>
      <w:tr>
        <w:trPr>
          <w:trHeight w:val="157"/>
        </w:trPr>
        <w:tc>
          <w:tcPr>
            <w:tcW w:w="2220" w:type="dxa"/>
            <w:vAlign w:val="bottom"/>
            <w:shd w:val="clear" w:color="auto" w:fill="CCEEFF"/>
          </w:tcPr>
          <w:p>
            <w:pPr>
              <w:ind w:left="20"/>
              <w:spacing w:after="0" w:line="157" w:lineRule="exact"/>
              <w:rPr>
                <w:sz w:val="20"/>
                <w:szCs w:val="20"/>
                <w:color w:val="auto"/>
              </w:rPr>
            </w:pPr>
            <w:r>
              <w:rPr>
                <w:rFonts w:ascii="Arial" w:cs="Arial" w:eastAsia="Arial" w:hAnsi="Arial"/>
                <w:sz w:val="14"/>
                <w:szCs w:val="14"/>
                <w:color w:val="auto"/>
              </w:rPr>
              <w:t>Net loss attributable to</w:t>
            </w:r>
          </w:p>
        </w:tc>
        <w:tc>
          <w:tcPr>
            <w:tcW w:w="18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22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w:t>
            </w: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4"/>
                <w:szCs w:val="14"/>
                <w:b w:val="1"/>
                <w:bCs w:val="1"/>
                <w:color w:val="auto"/>
              </w:rPr>
              <w:t>(2,876)</w:t>
            </w:r>
          </w:p>
        </w:tc>
        <w:tc>
          <w:tcPr>
            <w:tcW w:w="0" w:type="dxa"/>
            <w:vAlign w:val="bottom"/>
          </w:tcPr>
          <w:p>
            <w:pPr>
              <w:spacing w:after="0"/>
              <w:rPr>
                <w:sz w:val="1"/>
                <w:szCs w:val="1"/>
                <w:color w:val="auto"/>
              </w:rPr>
            </w:pPr>
          </w:p>
        </w:tc>
      </w:tr>
      <w:tr>
        <w:trPr>
          <w:trHeight w:val="189"/>
        </w:trPr>
        <w:tc>
          <w:tcPr>
            <w:tcW w:w="2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shareholders</w:t>
            </w:r>
          </w:p>
        </w:tc>
        <w:tc>
          <w:tcPr>
            <w:tcW w:w="180" w:type="dxa"/>
            <w:vAlign w:val="bottom"/>
            <w:tcBorders>
              <w:bottom w:val="single" w:sz="8" w:color="CCEEFF"/>
            </w:tcBorders>
            <w:shd w:val="clear" w:color="auto" w:fill="CCEEFF"/>
          </w:tcPr>
          <w:p>
            <w:pPr>
              <w:spacing w:after="0"/>
              <w:rPr>
                <w:sz w:val="16"/>
                <w:szCs w:val="16"/>
                <w:color w:val="auto"/>
              </w:rPr>
            </w:pPr>
          </w:p>
        </w:tc>
        <w:tc>
          <w:tcPr>
            <w:tcW w:w="84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88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96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84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84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86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86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auto"/>
            </w:tcBorders>
            <w:vMerge w:val="continue"/>
            <w:shd w:val="clear" w:color="auto" w:fill="CCEEFF"/>
          </w:tcPr>
          <w:p>
            <w:pPr>
              <w:spacing w:after="0"/>
              <w:rPr>
                <w:sz w:val="16"/>
                <w:szCs w:val="16"/>
                <w:color w:val="auto"/>
              </w:rPr>
            </w:pPr>
          </w:p>
        </w:tc>
        <w:tc>
          <w:tcPr>
            <w:tcW w:w="760" w:type="dxa"/>
            <w:vAlign w:val="bottom"/>
            <w:tcBorders>
              <w:bottom w:val="single" w:sz="8" w:color="auto"/>
            </w:tcBorders>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4" w:lineRule="exact"/>
        <w:rPr>
          <w:sz w:val="20"/>
          <w:szCs w:val="20"/>
          <w:color w:val="auto"/>
        </w:rPr>
      </w:pPr>
    </w:p>
    <w:p>
      <w:pPr>
        <w:ind w:left="340"/>
        <w:spacing w:after="0"/>
        <w:rPr>
          <w:sz w:val="20"/>
          <w:szCs w:val="20"/>
          <w:color w:val="auto"/>
        </w:rPr>
      </w:pPr>
      <w:r>
        <w:rPr>
          <w:rFonts w:ascii="Arial" w:cs="Arial" w:eastAsia="Arial" w:hAnsi="Arial"/>
          <w:sz w:val="16"/>
          <w:szCs w:val="16"/>
          <w:color w:val="auto"/>
        </w:rPr>
        <w:t>Summary information with respect to the Company’s geographic sources of revenue, based on location of customer, is as follows:</w:t>
      </w:r>
    </w:p>
    <w:p>
      <w:pPr>
        <w:spacing w:after="0" w:line="386" w:lineRule="exact"/>
        <w:rPr>
          <w:sz w:val="20"/>
          <w:szCs w:val="20"/>
          <w:color w:val="auto"/>
        </w:rPr>
      </w:pPr>
    </w:p>
    <w:tbl>
      <w:tblPr>
        <w:tblLayout w:type="fixed"/>
        <w:tblInd w:w="340" w:type="dxa"/>
        <w:tblCellMar>
          <w:top w:w="0" w:type="dxa"/>
          <w:left w:w="0" w:type="dxa"/>
          <w:bottom w:w="0" w:type="dxa"/>
          <w:right w:w="0" w:type="dxa"/>
        </w:tblCellMar>
      </w:tblPr>
      <w:tr>
        <w:trPr>
          <w:trHeight w:val="203"/>
        </w:trPr>
        <w:tc>
          <w:tcPr>
            <w:tcW w:w="188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3780" w:type="dxa"/>
            <w:vAlign w:val="bottom"/>
            <w:tcBorders>
              <w:bottom w:val="single" w:sz="8" w:color="auto"/>
            </w:tcBorders>
            <w:gridSpan w:val="8"/>
          </w:tcPr>
          <w:p>
            <w:pPr>
              <w:ind w:left="360"/>
              <w:spacing w:after="0"/>
              <w:rPr>
                <w:sz w:val="20"/>
                <w:szCs w:val="20"/>
                <w:color w:val="auto"/>
              </w:rPr>
            </w:pPr>
            <w:r>
              <w:rPr>
                <w:rFonts w:ascii="Arial" w:cs="Arial" w:eastAsia="Arial" w:hAnsi="Arial"/>
                <w:sz w:val="14"/>
                <w:szCs w:val="14"/>
                <w:b w:val="1"/>
                <w:bCs w:val="1"/>
                <w:color w:val="auto"/>
              </w:rPr>
              <w:t>Nine months ended September 30, 2017</w:t>
            </w:r>
          </w:p>
        </w:tc>
        <w:tc>
          <w:tcPr>
            <w:tcW w:w="20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spacing w:after="0"/>
              <w:rPr>
                <w:sz w:val="17"/>
                <w:szCs w:val="17"/>
                <w:color w:val="auto"/>
              </w:rPr>
            </w:pPr>
          </w:p>
        </w:tc>
      </w:tr>
      <w:tr>
        <w:trPr>
          <w:trHeight w:val="264"/>
        </w:trPr>
        <w:tc>
          <w:tcPr>
            <w:tcW w:w="1880" w:type="dxa"/>
            <w:vAlign w:val="bottom"/>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spacing w:after="0"/>
              <w:rPr>
                <w:sz w:val="22"/>
                <w:szCs w:val="22"/>
                <w:color w:val="auto"/>
              </w:rPr>
            </w:pPr>
          </w:p>
        </w:tc>
        <w:tc>
          <w:tcPr>
            <w:tcW w:w="150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rPr>
              <w:t>Equipment Leasing</w:t>
            </w:r>
          </w:p>
        </w:tc>
        <w:tc>
          <w:tcPr>
            <w:tcW w:w="16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gridSpan w:val="2"/>
          </w:tcPr>
          <w:p>
            <w:pPr>
              <w:jc w:val="center"/>
              <w:ind w:right="200"/>
              <w:spacing w:after="0"/>
              <w:rPr>
                <w:sz w:val="20"/>
                <w:szCs w:val="20"/>
                <w:color w:val="auto"/>
              </w:rPr>
            </w:pPr>
            <w:r>
              <w:rPr>
                <w:rFonts w:ascii="Arial" w:cs="Arial" w:eastAsia="Arial" w:hAnsi="Arial"/>
                <w:sz w:val="14"/>
                <w:szCs w:val="14"/>
                <w:b w:val="1"/>
                <w:bCs w:val="1"/>
                <w:color w:val="auto"/>
              </w:rPr>
              <w:t>Infrastructure</w:t>
            </w:r>
          </w:p>
        </w:tc>
        <w:tc>
          <w:tcPr>
            <w:tcW w:w="20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40" w:type="dxa"/>
            <w:vAlign w:val="bottom"/>
          </w:tcPr>
          <w:p>
            <w:pPr>
              <w:spacing w:after="0"/>
              <w:rPr>
                <w:sz w:val="22"/>
                <w:szCs w:val="22"/>
                <w:color w:val="auto"/>
              </w:rPr>
            </w:pPr>
          </w:p>
        </w:tc>
      </w:tr>
      <w:tr>
        <w:trPr>
          <w:trHeight w:val="168"/>
        </w:trPr>
        <w:tc>
          <w:tcPr>
            <w:tcW w:w="18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Shipping</w:t>
            </w:r>
          </w:p>
        </w:tc>
        <w:tc>
          <w:tcPr>
            <w:tcW w:w="200" w:type="dxa"/>
            <w:vAlign w:val="bottom"/>
          </w:tcPr>
          <w:p>
            <w:pPr>
              <w:spacing w:after="0"/>
              <w:rPr>
                <w:sz w:val="14"/>
                <w:szCs w:val="14"/>
                <w:color w:val="auto"/>
              </w:rPr>
            </w:pPr>
          </w:p>
        </w:tc>
        <w:tc>
          <w:tcPr>
            <w:tcW w:w="112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rPr>
              <w:t>Jefferson</w:t>
            </w:r>
          </w:p>
        </w:tc>
        <w:tc>
          <w:tcPr>
            <w:tcW w:w="1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20" w:type="dxa"/>
            <w:vAlign w:val="bottom"/>
            <w:gridSpan w:val="2"/>
          </w:tcPr>
          <w:p>
            <w:pPr>
              <w:ind w:left="80"/>
              <w:spacing w:after="0"/>
              <w:rPr>
                <w:sz w:val="20"/>
                <w:szCs w:val="20"/>
                <w:color w:val="auto"/>
              </w:rPr>
            </w:pPr>
            <w:r>
              <w:rPr>
                <w:rFonts w:ascii="Arial" w:cs="Arial" w:eastAsia="Arial" w:hAnsi="Arial"/>
                <w:sz w:val="14"/>
                <w:szCs w:val="14"/>
                <w:b w:val="1"/>
                <w:bCs w:val="1"/>
                <w:color w:val="auto"/>
              </w:rPr>
              <w:t>Ports and</w:t>
            </w:r>
          </w:p>
        </w:tc>
        <w:tc>
          <w:tcPr>
            <w:tcW w:w="260" w:type="dxa"/>
            <w:vAlign w:val="bottom"/>
          </w:tcPr>
          <w:p>
            <w:pPr>
              <w:spacing w:after="0"/>
              <w:rPr>
                <w:sz w:val="14"/>
                <w:szCs w:val="14"/>
                <w:color w:val="auto"/>
              </w:rPr>
            </w:pPr>
          </w:p>
        </w:tc>
        <w:tc>
          <w:tcPr>
            <w:tcW w:w="940" w:type="dxa"/>
            <w:vAlign w:val="bottom"/>
          </w:tcPr>
          <w:p>
            <w:pPr>
              <w:spacing w:after="0"/>
              <w:rPr>
                <w:sz w:val="14"/>
                <w:szCs w:val="14"/>
                <w:color w:val="auto"/>
              </w:rPr>
            </w:pPr>
          </w:p>
        </w:tc>
      </w:tr>
      <w:tr>
        <w:trPr>
          <w:trHeight w:val="203"/>
        </w:trPr>
        <w:tc>
          <w:tcPr>
            <w:tcW w:w="1880" w:type="dxa"/>
            <w:vAlign w:val="bottom"/>
          </w:tcPr>
          <w:p>
            <w:pPr>
              <w:spacing w:after="0"/>
              <w:rPr>
                <w:sz w:val="17"/>
                <w:szCs w:val="17"/>
                <w:color w:val="auto"/>
              </w:rPr>
            </w:pPr>
          </w:p>
        </w:tc>
        <w:tc>
          <w:tcPr>
            <w:tcW w:w="1240" w:type="dxa"/>
            <w:vAlign w:val="bottom"/>
            <w:gridSpan w:val="2"/>
          </w:tcPr>
          <w:p>
            <w:pPr>
              <w:ind w:left="60"/>
              <w:spacing w:after="0"/>
              <w:rPr>
                <w:sz w:val="20"/>
                <w:szCs w:val="20"/>
                <w:color w:val="auto"/>
              </w:rPr>
            </w:pPr>
            <w:r>
              <w:rPr>
                <w:rFonts w:ascii="Arial" w:cs="Arial" w:eastAsia="Arial" w:hAnsi="Arial"/>
                <w:sz w:val="14"/>
                <w:szCs w:val="14"/>
                <w:b w:val="1"/>
                <w:bCs w:val="1"/>
                <w:color w:val="auto"/>
              </w:rPr>
              <w:t>Aviation Leasing</w:t>
            </w:r>
          </w:p>
        </w:tc>
        <w:tc>
          <w:tcPr>
            <w:tcW w:w="120" w:type="dxa"/>
            <w:vAlign w:val="bottom"/>
          </w:tcPr>
          <w:p>
            <w:pPr>
              <w:spacing w:after="0"/>
              <w:rPr>
                <w:sz w:val="17"/>
                <w:szCs w:val="17"/>
                <w:color w:val="auto"/>
              </w:rPr>
            </w:pPr>
          </w:p>
        </w:tc>
        <w:tc>
          <w:tcPr>
            <w:tcW w:w="138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rPr>
              <w:t>Offshore Energy</w:t>
            </w:r>
          </w:p>
        </w:tc>
        <w:tc>
          <w:tcPr>
            <w:tcW w:w="160" w:type="dxa"/>
            <w:vAlign w:val="bottom"/>
          </w:tcPr>
          <w:p>
            <w:pPr>
              <w:spacing w:after="0"/>
              <w:rPr>
                <w:sz w:val="17"/>
                <w:szCs w:val="17"/>
                <w:color w:val="auto"/>
              </w:rPr>
            </w:pPr>
          </w:p>
        </w:tc>
        <w:tc>
          <w:tcPr>
            <w:tcW w:w="11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Containers</w:t>
            </w:r>
          </w:p>
        </w:tc>
        <w:tc>
          <w:tcPr>
            <w:tcW w:w="200" w:type="dxa"/>
            <w:vAlign w:val="bottom"/>
          </w:tcPr>
          <w:p>
            <w:pPr>
              <w:spacing w:after="0"/>
              <w:rPr>
                <w:sz w:val="17"/>
                <w:szCs w:val="17"/>
                <w:color w:val="auto"/>
              </w:rPr>
            </w:pPr>
          </w:p>
        </w:tc>
        <w:tc>
          <w:tcPr>
            <w:tcW w:w="112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9"/>
              </w:rPr>
              <w:t>Terminal</w:t>
            </w:r>
          </w:p>
        </w:tc>
        <w:tc>
          <w:tcPr>
            <w:tcW w:w="120" w:type="dxa"/>
            <w:vAlign w:val="bottom"/>
          </w:tcPr>
          <w:p>
            <w:pPr>
              <w:spacing w:after="0"/>
              <w:rPr>
                <w:sz w:val="17"/>
                <w:szCs w:val="17"/>
                <w:color w:val="auto"/>
              </w:rPr>
            </w:pPr>
          </w:p>
        </w:tc>
        <w:tc>
          <w:tcPr>
            <w:tcW w:w="11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9"/>
              </w:rPr>
              <w:t>Railroad</w:t>
            </w:r>
          </w:p>
        </w:tc>
        <w:tc>
          <w:tcPr>
            <w:tcW w:w="200" w:type="dxa"/>
            <w:vAlign w:val="bottom"/>
          </w:tcPr>
          <w:p>
            <w:pPr>
              <w:spacing w:after="0"/>
              <w:rPr>
                <w:sz w:val="17"/>
                <w:szCs w:val="17"/>
                <w:color w:val="auto"/>
              </w:rPr>
            </w:pPr>
          </w:p>
        </w:tc>
        <w:tc>
          <w:tcPr>
            <w:tcW w:w="1120" w:type="dxa"/>
            <w:vAlign w:val="bottom"/>
            <w:gridSpan w:val="2"/>
          </w:tcPr>
          <w:p>
            <w:pPr>
              <w:ind w:left="80"/>
              <w:spacing w:after="0"/>
              <w:rPr>
                <w:sz w:val="20"/>
                <w:szCs w:val="20"/>
                <w:color w:val="auto"/>
              </w:rPr>
            </w:pPr>
            <w:r>
              <w:rPr>
                <w:rFonts w:ascii="Arial" w:cs="Arial" w:eastAsia="Arial" w:hAnsi="Arial"/>
                <w:sz w:val="14"/>
                <w:szCs w:val="14"/>
                <w:b w:val="1"/>
                <w:bCs w:val="1"/>
                <w:color w:val="auto"/>
              </w:rPr>
              <w:t>Terminals</w:t>
            </w:r>
          </w:p>
        </w:tc>
        <w:tc>
          <w:tcPr>
            <w:tcW w:w="260" w:type="dxa"/>
            <w:vAlign w:val="bottom"/>
          </w:tcPr>
          <w:p>
            <w:pPr>
              <w:spacing w:after="0"/>
              <w:rPr>
                <w:sz w:val="17"/>
                <w:szCs w:val="17"/>
                <w:color w:val="auto"/>
              </w:rPr>
            </w:pPr>
          </w:p>
        </w:tc>
        <w:tc>
          <w:tcPr>
            <w:tcW w:w="940" w:type="dxa"/>
            <w:vAlign w:val="bottom"/>
          </w:tcPr>
          <w:p>
            <w:pPr>
              <w:jc w:val="right"/>
              <w:ind w:right="368"/>
              <w:spacing w:after="0"/>
              <w:rPr>
                <w:sz w:val="20"/>
                <w:szCs w:val="20"/>
                <w:color w:val="auto"/>
              </w:rPr>
            </w:pPr>
            <w:r>
              <w:rPr>
                <w:rFonts w:ascii="Arial" w:cs="Arial" w:eastAsia="Arial" w:hAnsi="Arial"/>
                <w:sz w:val="14"/>
                <w:szCs w:val="14"/>
                <w:b w:val="1"/>
                <w:bCs w:val="1"/>
                <w:color w:val="auto"/>
              </w:rPr>
              <w:t>Total</w:t>
            </w:r>
          </w:p>
        </w:tc>
      </w:tr>
      <w:tr>
        <w:trPr>
          <w:trHeight w:val="265"/>
        </w:trPr>
        <w:tc>
          <w:tcPr>
            <w:tcW w:w="18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Revenues</w:t>
            </w:r>
          </w:p>
        </w:tc>
        <w:tc>
          <w:tcPr>
            <w:tcW w:w="360" w:type="dxa"/>
            <w:vAlign w:val="bottom"/>
            <w:tcBorders>
              <w:top w:val="single" w:sz="8" w:color="auto"/>
            </w:tcBorders>
            <w:shd w:val="clear" w:color="auto" w:fill="CCEEFF"/>
          </w:tcPr>
          <w:p>
            <w:pPr>
              <w:spacing w:after="0"/>
              <w:rPr>
                <w:sz w:val="23"/>
                <w:szCs w:val="23"/>
                <w:color w:val="auto"/>
              </w:rPr>
            </w:pPr>
          </w:p>
        </w:tc>
        <w:tc>
          <w:tcPr>
            <w:tcW w:w="88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400" w:type="dxa"/>
            <w:vAlign w:val="bottom"/>
            <w:tcBorders>
              <w:top w:val="single" w:sz="8" w:color="auto"/>
            </w:tcBorders>
            <w:shd w:val="clear" w:color="auto" w:fill="CCEEFF"/>
          </w:tcPr>
          <w:p>
            <w:pPr>
              <w:spacing w:after="0"/>
              <w:rPr>
                <w:sz w:val="23"/>
                <w:szCs w:val="23"/>
                <w:color w:val="auto"/>
              </w:rPr>
            </w:pPr>
          </w:p>
        </w:tc>
        <w:tc>
          <w:tcPr>
            <w:tcW w:w="840" w:type="dxa"/>
            <w:vAlign w:val="bottom"/>
            <w:tcBorders>
              <w:top w:val="single" w:sz="8" w:color="auto"/>
            </w:tcBorders>
            <w:shd w:val="clear" w:color="auto" w:fill="CCEEFF"/>
          </w:tcPr>
          <w:p>
            <w:pPr>
              <w:spacing w:after="0"/>
              <w:rPr>
                <w:sz w:val="23"/>
                <w:szCs w:val="23"/>
                <w:color w:val="auto"/>
              </w:rPr>
            </w:pPr>
          </w:p>
        </w:tc>
        <w:tc>
          <w:tcPr>
            <w:tcW w:w="140" w:type="dxa"/>
            <w:vAlign w:val="bottom"/>
            <w:tcBorders>
              <w:top w:val="single" w:sz="8" w:color="CCEEFF"/>
            </w:tcBorders>
            <w:shd w:val="clear" w:color="auto" w:fill="CCEEFF"/>
          </w:tcPr>
          <w:p>
            <w:pPr>
              <w:spacing w:after="0"/>
              <w:rPr>
                <w:sz w:val="23"/>
                <w:szCs w:val="23"/>
                <w:color w:val="auto"/>
              </w:rPr>
            </w:pPr>
          </w:p>
        </w:tc>
        <w:tc>
          <w:tcPr>
            <w:tcW w:w="160" w:type="dxa"/>
            <w:vAlign w:val="bottom"/>
            <w:tcBorders>
              <w:top w:val="single" w:sz="8" w:color="auto"/>
            </w:tcBorders>
            <w:shd w:val="clear" w:color="auto" w:fill="CCEEFF"/>
          </w:tcPr>
          <w:p>
            <w:pPr>
              <w:spacing w:after="0"/>
              <w:rPr>
                <w:sz w:val="23"/>
                <w:szCs w:val="23"/>
                <w:color w:val="auto"/>
              </w:rPr>
            </w:pPr>
          </w:p>
        </w:tc>
        <w:tc>
          <w:tcPr>
            <w:tcW w:w="106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200" w:type="dxa"/>
            <w:vAlign w:val="bottom"/>
            <w:tcBorders>
              <w:top w:val="single" w:sz="8" w:color="auto"/>
            </w:tcBorders>
            <w:shd w:val="clear" w:color="auto" w:fill="CCEEFF"/>
          </w:tcPr>
          <w:p>
            <w:pPr>
              <w:spacing w:after="0"/>
              <w:rPr>
                <w:sz w:val="23"/>
                <w:szCs w:val="23"/>
                <w:color w:val="auto"/>
              </w:rPr>
            </w:pPr>
          </w:p>
        </w:tc>
        <w:tc>
          <w:tcPr>
            <w:tcW w:w="100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120" w:type="dxa"/>
            <w:vAlign w:val="bottom"/>
            <w:tcBorders>
              <w:top w:val="single" w:sz="8" w:color="auto"/>
            </w:tcBorders>
            <w:shd w:val="clear" w:color="auto" w:fill="CCEEFF"/>
          </w:tcPr>
          <w:p>
            <w:pPr>
              <w:spacing w:after="0"/>
              <w:rPr>
                <w:sz w:val="23"/>
                <w:szCs w:val="23"/>
                <w:color w:val="auto"/>
              </w:rPr>
            </w:pPr>
          </w:p>
        </w:tc>
        <w:tc>
          <w:tcPr>
            <w:tcW w:w="108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200" w:type="dxa"/>
            <w:vAlign w:val="bottom"/>
            <w:tcBorders>
              <w:top w:val="single" w:sz="8" w:color="auto"/>
            </w:tcBorders>
            <w:shd w:val="clear" w:color="auto" w:fill="CCEEFF"/>
          </w:tcPr>
          <w:p>
            <w:pPr>
              <w:spacing w:after="0"/>
              <w:rPr>
                <w:sz w:val="23"/>
                <w:szCs w:val="23"/>
                <w:color w:val="auto"/>
              </w:rPr>
            </w:pPr>
          </w:p>
        </w:tc>
        <w:tc>
          <w:tcPr>
            <w:tcW w:w="100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260" w:type="dxa"/>
            <w:vAlign w:val="bottom"/>
            <w:tcBorders>
              <w:top w:val="single" w:sz="8" w:color="auto"/>
            </w:tcBorders>
            <w:shd w:val="clear" w:color="auto" w:fill="CCEEFF"/>
          </w:tcPr>
          <w:p>
            <w:pPr>
              <w:spacing w:after="0"/>
              <w:rPr>
                <w:sz w:val="23"/>
                <w:szCs w:val="23"/>
                <w:color w:val="auto"/>
              </w:rPr>
            </w:pPr>
          </w:p>
        </w:tc>
        <w:tc>
          <w:tcPr>
            <w:tcW w:w="940" w:type="dxa"/>
            <w:vAlign w:val="bottom"/>
            <w:tcBorders>
              <w:top w:val="single" w:sz="8" w:color="auto"/>
            </w:tcBorders>
            <w:shd w:val="clear" w:color="auto" w:fill="CCEEFF"/>
          </w:tcPr>
          <w:p>
            <w:pPr>
              <w:spacing w:after="0"/>
              <w:rPr>
                <w:sz w:val="23"/>
                <w:szCs w:val="23"/>
                <w:color w:val="auto"/>
              </w:rPr>
            </w:pPr>
          </w:p>
        </w:tc>
      </w:tr>
      <w:tr>
        <w:trPr>
          <w:trHeight w:val="269"/>
        </w:trPr>
        <w:tc>
          <w:tcPr>
            <w:tcW w:w="1880" w:type="dxa"/>
            <w:vAlign w:val="bottom"/>
          </w:tcPr>
          <w:p>
            <w:pPr>
              <w:ind w:left="20"/>
              <w:spacing w:after="0"/>
              <w:rPr>
                <w:sz w:val="20"/>
                <w:szCs w:val="20"/>
                <w:color w:val="auto"/>
              </w:rPr>
            </w:pPr>
            <w:r>
              <w:rPr>
                <w:rFonts w:ascii="Arial" w:cs="Arial" w:eastAsia="Arial" w:hAnsi="Arial"/>
                <w:sz w:val="14"/>
                <w:szCs w:val="14"/>
                <w:color w:val="auto"/>
              </w:rPr>
              <w:t>Africa</w:t>
            </w:r>
          </w:p>
        </w:tc>
        <w:tc>
          <w:tcPr>
            <w:tcW w:w="360" w:type="dxa"/>
            <w:vAlign w:val="bottom"/>
          </w:tcPr>
          <w:p>
            <w:pPr>
              <w:ind w:left="40"/>
              <w:spacing w:after="0"/>
              <w:rPr>
                <w:sz w:val="20"/>
                <w:szCs w:val="20"/>
                <w:color w:val="auto"/>
              </w:rPr>
            </w:pPr>
            <w:r>
              <w:rPr>
                <w:rFonts w:ascii="Arial" w:cs="Arial" w:eastAsia="Arial" w:hAnsi="Arial"/>
                <w:sz w:val="14"/>
                <w:szCs w:val="14"/>
                <w:b w:val="1"/>
                <w:bCs w:val="1"/>
                <w:color w:val="auto"/>
              </w:rPr>
              <w:t>$</w:t>
            </w:r>
          </w:p>
        </w:tc>
        <w:tc>
          <w:tcPr>
            <w:tcW w:w="880" w:type="dxa"/>
            <w:vAlign w:val="bottom"/>
          </w:tcPr>
          <w:p>
            <w:pPr>
              <w:jc w:val="right"/>
              <w:ind w:right="48"/>
              <w:spacing w:after="0"/>
              <w:rPr>
                <w:sz w:val="20"/>
                <w:szCs w:val="20"/>
                <w:color w:val="auto"/>
              </w:rPr>
            </w:pPr>
            <w:r>
              <w:rPr>
                <w:rFonts w:ascii="Arial" w:cs="Arial" w:eastAsia="Arial" w:hAnsi="Arial"/>
                <w:sz w:val="14"/>
                <w:szCs w:val="14"/>
                <w:b w:val="1"/>
                <w:bCs w:val="1"/>
                <w:color w:val="auto"/>
              </w:rPr>
              <w:t>6,744</w:t>
            </w:r>
          </w:p>
        </w:tc>
        <w:tc>
          <w:tcPr>
            <w:tcW w:w="520" w:type="dxa"/>
            <w:vAlign w:val="bottom"/>
            <w:gridSpan w:val="2"/>
          </w:tcPr>
          <w:p>
            <w:pPr>
              <w:jc w:val="right"/>
              <w:ind w:right="208"/>
              <w:spacing w:after="0"/>
              <w:rPr>
                <w:sz w:val="20"/>
                <w:szCs w:val="20"/>
                <w:color w:val="auto"/>
              </w:rPr>
            </w:pPr>
            <w:r>
              <w:rPr>
                <w:rFonts w:ascii="Arial" w:cs="Arial" w:eastAsia="Arial" w:hAnsi="Arial"/>
                <w:sz w:val="14"/>
                <w:szCs w:val="14"/>
                <w:b w:val="1"/>
                <w:bCs w:val="1"/>
                <w:color w:val="auto"/>
              </w:rPr>
              <w:t>$</w:t>
            </w:r>
          </w:p>
        </w:tc>
        <w:tc>
          <w:tcPr>
            <w:tcW w:w="98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rPr>
              <w:t>—</w:t>
            </w:r>
          </w:p>
        </w:tc>
        <w:tc>
          <w:tcPr>
            <w:tcW w:w="16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16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rPr>
              <w:t>—</w:t>
            </w:r>
          </w:p>
        </w:tc>
        <w:tc>
          <w:tcPr>
            <w:tcW w:w="200" w:type="dxa"/>
            <w:vAlign w:val="bottom"/>
          </w:tcPr>
          <w:p>
            <w:pPr>
              <w:jc w:val="right"/>
              <w:ind w:right="8"/>
              <w:spacing w:after="0"/>
              <w:rPr>
                <w:sz w:val="20"/>
                <w:szCs w:val="20"/>
                <w:color w:val="auto"/>
              </w:rPr>
            </w:pPr>
            <w:r>
              <w:rPr>
                <w:rFonts w:ascii="Arial" w:cs="Arial" w:eastAsia="Arial" w:hAnsi="Arial"/>
                <w:sz w:val="14"/>
                <w:szCs w:val="14"/>
                <w:b w:val="1"/>
                <w:bCs w:val="1"/>
                <w:color w:val="auto"/>
              </w:rPr>
              <w:t>$</w:t>
            </w:r>
          </w:p>
        </w:tc>
        <w:tc>
          <w:tcPr>
            <w:tcW w:w="112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rPr>
              <w:t>—</w:t>
            </w:r>
          </w:p>
        </w:tc>
        <w:tc>
          <w:tcPr>
            <w:tcW w:w="12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18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rPr>
              <w:t>—</w:t>
            </w:r>
          </w:p>
        </w:tc>
        <w:tc>
          <w:tcPr>
            <w:tcW w:w="200" w:type="dxa"/>
            <w:vAlign w:val="bottom"/>
          </w:tcPr>
          <w:p>
            <w:pPr>
              <w:jc w:val="right"/>
              <w:ind w:right="8"/>
              <w:spacing w:after="0"/>
              <w:rPr>
                <w:sz w:val="20"/>
                <w:szCs w:val="20"/>
                <w:color w:val="auto"/>
              </w:rPr>
            </w:pPr>
            <w:r>
              <w:rPr>
                <w:rFonts w:ascii="Arial" w:cs="Arial" w:eastAsia="Arial" w:hAnsi="Arial"/>
                <w:sz w:val="14"/>
                <w:szCs w:val="14"/>
                <w:b w:val="1"/>
                <w:bCs w:val="1"/>
                <w:color w:val="auto"/>
              </w:rPr>
              <w:t>$</w:t>
            </w:r>
          </w:p>
        </w:tc>
        <w:tc>
          <w:tcPr>
            <w:tcW w:w="112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rPr>
              <w:t>—</w:t>
            </w:r>
          </w:p>
        </w:tc>
        <w:tc>
          <w:tcPr>
            <w:tcW w:w="260" w:type="dxa"/>
            <w:vAlign w:val="bottom"/>
          </w:tcPr>
          <w:p>
            <w:pPr>
              <w:jc w:val="right"/>
              <w:ind w:right="88"/>
              <w:spacing w:after="0"/>
              <w:rPr>
                <w:sz w:val="20"/>
                <w:szCs w:val="20"/>
                <w:color w:val="auto"/>
              </w:rPr>
            </w:pPr>
            <w:r>
              <w:rPr>
                <w:rFonts w:ascii="Arial" w:cs="Arial" w:eastAsia="Arial" w:hAnsi="Arial"/>
                <w:sz w:val="14"/>
                <w:szCs w:val="14"/>
                <w:b w:val="1"/>
                <w:bCs w:val="1"/>
                <w:color w:val="auto"/>
              </w:rPr>
              <w:t>$</w:t>
            </w:r>
          </w:p>
        </w:tc>
        <w:tc>
          <w:tcPr>
            <w:tcW w:w="940" w:type="dxa"/>
            <w:vAlign w:val="bottom"/>
          </w:tcPr>
          <w:p>
            <w:pPr>
              <w:jc w:val="right"/>
              <w:ind w:right="28"/>
              <w:spacing w:after="0"/>
              <w:rPr>
                <w:sz w:val="20"/>
                <w:szCs w:val="20"/>
                <w:color w:val="auto"/>
              </w:rPr>
            </w:pPr>
            <w:r>
              <w:rPr>
                <w:rFonts w:ascii="Arial" w:cs="Arial" w:eastAsia="Arial" w:hAnsi="Arial"/>
                <w:sz w:val="14"/>
                <w:szCs w:val="14"/>
                <w:b w:val="1"/>
                <w:bCs w:val="1"/>
                <w:color w:val="auto"/>
              </w:rPr>
              <w:t>6,744</w:t>
            </w:r>
          </w:p>
        </w:tc>
      </w:tr>
      <w:tr>
        <w:trPr>
          <w:trHeight w:val="271"/>
        </w:trPr>
        <w:tc>
          <w:tcPr>
            <w:tcW w:w="1880" w:type="dxa"/>
            <w:vAlign w:val="bottom"/>
            <w:shd w:val="clear" w:color="auto" w:fill="CCEEFF"/>
          </w:tcPr>
          <w:p>
            <w:pPr>
              <w:ind w:left="20"/>
              <w:spacing w:after="0"/>
              <w:rPr>
                <w:sz w:val="20"/>
                <w:szCs w:val="20"/>
                <w:color w:val="auto"/>
              </w:rPr>
            </w:pPr>
            <w:r>
              <w:rPr>
                <w:rFonts w:ascii="Arial" w:cs="Arial" w:eastAsia="Arial" w:hAnsi="Arial"/>
                <w:sz w:val="14"/>
                <w:szCs w:val="14"/>
                <w:color w:val="auto"/>
              </w:rPr>
              <w:t>Asia</w:t>
            </w:r>
          </w:p>
        </w:tc>
        <w:tc>
          <w:tcPr>
            <w:tcW w:w="360" w:type="dxa"/>
            <w:vAlign w:val="bottom"/>
            <w:shd w:val="clear" w:color="auto" w:fill="CCEEFF"/>
          </w:tcPr>
          <w:p>
            <w:pPr>
              <w:spacing w:after="0"/>
              <w:rPr>
                <w:sz w:val="23"/>
                <w:szCs w:val="23"/>
                <w:color w:val="auto"/>
              </w:rPr>
            </w:pPr>
          </w:p>
        </w:tc>
        <w:tc>
          <w:tcPr>
            <w:tcW w:w="88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29,207</w:t>
            </w:r>
          </w:p>
        </w:tc>
        <w:tc>
          <w:tcPr>
            <w:tcW w:w="12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84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4,657</w:t>
            </w:r>
          </w:p>
        </w:tc>
        <w:tc>
          <w:tcPr>
            <w:tcW w:w="14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06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75</w:t>
            </w: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b w:val="1"/>
                <w:bCs w:val="1"/>
                <w:color w:val="auto"/>
              </w:rPr>
              <w:t>—</w:t>
            </w:r>
          </w:p>
        </w:tc>
        <w:tc>
          <w:tcPr>
            <w:tcW w:w="120" w:type="dxa"/>
            <w:vAlign w:val="bottom"/>
            <w:shd w:val="clear" w:color="auto" w:fill="CCEEFF"/>
          </w:tcPr>
          <w:p>
            <w:pPr>
              <w:spacing w:after="0"/>
              <w:rPr>
                <w:sz w:val="23"/>
                <w:szCs w:val="23"/>
                <w:color w:val="auto"/>
              </w:rPr>
            </w:pP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b w:val="1"/>
                <w:bCs w:val="1"/>
                <w:color w:val="auto"/>
              </w:rPr>
              <w:t>—</w:t>
            </w:r>
          </w:p>
        </w:tc>
        <w:tc>
          <w:tcPr>
            <w:tcW w:w="200" w:type="dxa"/>
            <w:vAlign w:val="bottom"/>
            <w:shd w:val="clear" w:color="auto" w:fill="CCEEFF"/>
          </w:tcPr>
          <w:p>
            <w:pPr>
              <w:spacing w:after="0"/>
              <w:rPr>
                <w:sz w:val="23"/>
                <w:szCs w:val="23"/>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b w:val="1"/>
                <w:bCs w:val="1"/>
                <w:color w:val="auto"/>
              </w:rPr>
              <w:t>—</w:t>
            </w:r>
          </w:p>
        </w:tc>
        <w:tc>
          <w:tcPr>
            <w:tcW w:w="260" w:type="dxa"/>
            <w:vAlign w:val="bottom"/>
            <w:shd w:val="clear" w:color="auto" w:fill="CCEEFF"/>
          </w:tcPr>
          <w:p>
            <w:pPr>
              <w:spacing w:after="0"/>
              <w:rPr>
                <w:sz w:val="23"/>
                <w:szCs w:val="23"/>
                <w:color w:val="auto"/>
              </w:rPr>
            </w:pPr>
          </w:p>
        </w:tc>
        <w:tc>
          <w:tcPr>
            <w:tcW w:w="94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33,939</w:t>
            </w:r>
          </w:p>
        </w:tc>
      </w:tr>
      <w:tr>
        <w:trPr>
          <w:trHeight w:val="269"/>
        </w:trPr>
        <w:tc>
          <w:tcPr>
            <w:tcW w:w="1880" w:type="dxa"/>
            <w:vAlign w:val="bottom"/>
          </w:tcPr>
          <w:p>
            <w:pPr>
              <w:ind w:left="20"/>
              <w:spacing w:after="0"/>
              <w:rPr>
                <w:sz w:val="20"/>
                <w:szCs w:val="20"/>
                <w:color w:val="auto"/>
              </w:rPr>
            </w:pPr>
            <w:r>
              <w:rPr>
                <w:rFonts w:ascii="Arial" w:cs="Arial" w:eastAsia="Arial" w:hAnsi="Arial"/>
                <w:sz w:val="14"/>
                <w:szCs w:val="14"/>
                <w:color w:val="auto"/>
              </w:rPr>
              <w:t>Europe</w:t>
            </w:r>
          </w:p>
        </w:tc>
        <w:tc>
          <w:tcPr>
            <w:tcW w:w="360" w:type="dxa"/>
            <w:vAlign w:val="bottom"/>
          </w:tcPr>
          <w:p>
            <w:pPr>
              <w:spacing w:after="0"/>
              <w:rPr>
                <w:sz w:val="23"/>
                <w:szCs w:val="23"/>
                <w:color w:val="auto"/>
              </w:rPr>
            </w:pPr>
          </w:p>
        </w:tc>
        <w:tc>
          <w:tcPr>
            <w:tcW w:w="880" w:type="dxa"/>
            <w:vAlign w:val="bottom"/>
          </w:tcPr>
          <w:p>
            <w:pPr>
              <w:jc w:val="right"/>
              <w:ind w:right="48"/>
              <w:spacing w:after="0"/>
              <w:rPr>
                <w:sz w:val="20"/>
                <w:szCs w:val="20"/>
                <w:color w:val="auto"/>
              </w:rPr>
            </w:pPr>
            <w:r>
              <w:rPr>
                <w:rFonts w:ascii="Arial" w:cs="Arial" w:eastAsia="Arial" w:hAnsi="Arial"/>
                <w:sz w:val="14"/>
                <w:szCs w:val="14"/>
                <w:b w:val="1"/>
                <w:bCs w:val="1"/>
                <w:color w:val="auto"/>
              </w:rPr>
              <w:t>63,229</w:t>
            </w:r>
          </w:p>
        </w:tc>
        <w:tc>
          <w:tcPr>
            <w:tcW w:w="12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840" w:type="dxa"/>
            <w:vAlign w:val="bottom"/>
          </w:tcPr>
          <w:p>
            <w:pPr>
              <w:jc w:val="right"/>
              <w:ind w:right="48"/>
              <w:spacing w:after="0"/>
              <w:rPr>
                <w:sz w:val="20"/>
                <w:szCs w:val="20"/>
                <w:color w:val="auto"/>
              </w:rPr>
            </w:pPr>
            <w:r>
              <w:rPr>
                <w:rFonts w:ascii="Arial" w:cs="Arial" w:eastAsia="Arial" w:hAnsi="Arial"/>
                <w:sz w:val="14"/>
                <w:szCs w:val="14"/>
                <w:b w:val="1"/>
                <w:bCs w:val="1"/>
                <w:color w:val="auto"/>
              </w:rPr>
              <w:t>5,142</w:t>
            </w:r>
          </w:p>
        </w:tc>
        <w:tc>
          <w:tcPr>
            <w:tcW w:w="1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rPr>
              <w:t>—</w:t>
            </w:r>
          </w:p>
        </w:tc>
        <w:tc>
          <w:tcPr>
            <w:tcW w:w="200" w:type="dxa"/>
            <w:vAlign w:val="bottom"/>
          </w:tcPr>
          <w:p>
            <w:pPr>
              <w:spacing w:after="0"/>
              <w:rPr>
                <w:sz w:val="23"/>
                <w:szCs w:val="23"/>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rPr>
              <w:t>—</w:t>
            </w:r>
          </w:p>
        </w:tc>
        <w:tc>
          <w:tcPr>
            <w:tcW w:w="120" w:type="dxa"/>
            <w:vAlign w:val="bottom"/>
          </w:tcPr>
          <w:p>
            <w:pPr>
              <w:spacing w:after="0"/>
              <w:rPr>
                <w:sz w:val="23"/>
                <w:szCs w:val="23"/>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rPr>
              <w:t>—</w:t>
            </w:r>
          </w:p>
        </w:tc>
        <w:tc>
          <w:tcPr>
            <w:tcW w:w="200" w:type="dxa"/>
            <w:vAlign w:val="bottom"/>
          </w:tcPr>
          <w:p>
            <w:pPr>
              <w:spacing w:after="0"/>
              <w:rPr>
                <w:sz w:val="23"/>
                <w:szCs w:val="23"/>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rPr>
              <w:t>—</w:t>
            </w:r>
          </w:p>
        </w:tc>
        <w:tc>
          <w:tcPr>
            <w:tcW w:w="260" w:type="dxa"/>
            <w:vAlign w:val="bottom"/>
          </w:tcPr>
          <w:p>
            <w:pPr>
              <w:spacing w:after="0"/>
              <w:rPr>
                <w:sz w:val="23"/>
                <w:szCs w:val="23"/>
                <w:color w:val="auto"/>
              </w:rPr>
            </w:pPr>
          </w:p>
        </w:tc>
        <w:tc>
          <w:tcPr>
            <w:tcW w:w="940" w:type="dxa"/>
            <w:vAlign w:val="bottom"/>
          </w:tcPr>
          <w:p>
            <w:pPr>
              <w:jc w:val="right"/>
              <w:ind w:right="28"/>
              <w:spacing w:after="0"/>
              <w:rPr>
                <w:sz w:val="20"/>
                <w:szCs w:val="20"/>
                <w:color w:val="auto"/>
              </w:rPr>
            </w:pPr>
            <w:r>
              <w:rPr>
                <w:rFonts w:ascii="Arial" w:cs="Arial" w:eastAsia="Arial" w:hAnsi="Arial"/>
                <w:sz w:val="14"/>
                <w:szCs w:val="14"/>
                <w:b w:val="1"/>
                <w:bCs w:val="1"/>
                <w:color w:val="auto"/>
              </w:rPr>
              <w:t>68,371</w:t>
            </w:r>
          </w:p>
        </w:tc>
      </w:tr>
      <w:tr>
        <w:trPr>
          <w:trHeight w:val="271"/>
        </w:trPr>
        <w:tc>
          <w:tcPr>
            <w:tcW w:w="1880" w:type="dxa"/>
            <w:vAlign w:val="bottom"/>
            <w:shd w:val="clear" w:color="auto" w:fill="CCEEFF"/>
          </w:tcPr>
          <w:p>
            <w:pPr>
              <w:ind w:left="20"/>
              <w:spacing w:after="0"/>
              <w:rPr>
                <w:sz w:val="20"/>
                <w:szCs w:val="20"/>
                <w:color w:val="auto"/>
              </w:rPr>
            </w:pPr>
            <w:r>
              <w:rPr>
                <w:rFonts w:ascii="Arial" w:cs="Arial" w:eastAsia="Arial" w:hAnsi="Arial"/>
                <w:sz w:val="14"/>
                <w:szCs w:val="14"/>
                <w:color w:val="auto"/>
              </w:rPr>
              <w:t>North America</w:t>
            </w:r>
          </w:p>
        </w:tc>
        <w:tc>
          <w:tcPr>
            <w:tcW w:w="360" w:type="dxa"/>
            <w:vAlign w:val="bottom"/>
            <w:shd w:val="clear" w:color="auto" w:fill="CCEEFF"/>
          </w:tcPr>
          <w:p>
            <w:pPr>
              <w:spacing w:after="0"/>
              <w:rPr>
                <w:sz w:val="23"/>
                <w:szCs w:val="23"/>
                <w:color w:val="auto"/>
              </w:rPr>
            </w:pPr>
          </w:p>
        </w:tc>
        <w:tc>
          <w:tcPr>
            <w:tcW w:w="88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10,472</w:t>
            </w:r>
          </w:p>
        </w:tc>
        <w:tc>
          <w:tcPr>
            <w:tcW w:w="12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84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1,156</w:t>
            </w:r>
          </w:p>
        </w:tc>
        <w:tc>
          <w:tcPr>
            <w:tcW w:w="14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b w:val="1"/>
                <w:bCs w:val="1"/>
                <w:color w:val="auto"/>
              </w:rPr>
              <w:t>—</w:t>
            </w:r>
          </w:p>
        </w:tc>
        <w:tc>
          <w:tcPr>
            <w:tcW w:w="200" w:type="dxa"/>
            <w:vAlign w:val="bottom"/>
            <w:shd w:val="clear" w:color="auto" w:fill="CCEEFF"/>
          </w:tcPr>
          <w:p>
            <w:pPr>
              <w:spacing w:after="0"/>
              <w:rPr>
                <w:sz w:val="23"/>
                <w:szCs w:val="23"/>
                <w:color w:val="auto"/>
              </w:rPr>
            </w:pPr>
          </w:p>
        </w:tc>
        <w:tc>
          <w:tcPr>
            <w:tcW w:w="100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9,622</w:t>
            </w: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08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24,323</w:t>
            </w: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00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897</w:t>
            </w:r>
          </w:p>
        </w:tc>
        <w:tc>
          <w:tcPr>
            <w:tcW w:w="12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94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46,470</w:t>
            </w:r>
          </w:p>
        </w:tc>
      </w:tr>
      <w:tr>
        <w:trPr>
          <w:trHeight w:val="269"/>
        </w:trPr>
        <w:tc>
          <w:tcPr>
            <w:tcW w:w="188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South America</w:t>
            </w:r>
          </w:p>
        </w:tc>
        <w:tc>
          <w:tcPr>
            <w:tcW w:w="360" w:type="dxa"/>
            <w:vAlign w:val="bottom"/>
            <w:tcBorders>
              <w:bottom w:val="single" w:sz="8" w:color="auto"/>
            </w:tcBorders>
          </w:tcPr>
          <w:p>
            <w:pPr>
              <w:spacing w:after="0"/>
              <w:rPr>
                <w:sz w:val="23"/>
                <w:szCs w:val="23"/>
                <w:color w:val="auto"/>
              </w:rPr>
            </w:pPr>
          </w:p>
        </w:tc>
        <w:tc>
          <w:tcPr>
            <w:tcW w:w="8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705</w:t>
            </w:r>
          </w:p>
        </w:tc>
        <w:tc>
          <w:tcPr>
            <w:tcW w:w="120" w:type="dxa"/>
            <w:vAlign w:val="bottom"/>
            <w:tcBorders>
              <w:bottom w:val="single" w:sz="8" w:color="CCEEFF"/>
            </w:tcBorders>
          </w:tcPr>
          <w:p>
            <w:pPr>
              <w:spacing w:after="0"/>
              <w:rPr>
                <w:sz w:val="23"/>
                <w:szCs w:val="23"/>
                <w:color w:val="auto"/>
              </w:rPr>
            </w:pPr>
          </w:p>
        </w:tc>
        <w:tc>
          <w:tcPr>
            <w:tcW w:w="400" w:type="dxa"/>
            <w:vAlign w:val="bottom"/>
            <w:tcBorders>
              <w:bottom w:val="single" w:sz="8" w:color="auto"/>
            </w:tcBorders>
          </w:tcPr>
          <w:p>
            <w:pPr>
              <w:spacing w:after="0"/>
              <w:rPr>
                <w:sz w:val="23"/>
                <w:szCs w:val="23"/>
                <w:color w:val="auto"/>
              </w:rPr>
            </w:pPr>
          </w:p>
        </w:tc>
        <w:tc>
          <w:tcPr>
            <w:tcW w:w="8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w:t>
            </w:r>
          </w:p>
        </w:tc>
        <w:tc>
          <w:tcPr>
            <w:tcW w:w="140" w:type="dxa"/>
            <w:vAlign w:val="bottom"/>
            <w:tcBorders>
              <w:bottom w:val="single" w:sz="8" w:color="CCEEFF"/>
            </w:tcBorders>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10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w:t>
            </w:r>
          </w:p>
        </w:tc>
        <w:tc>
          <w:tcPr>
            <w:tcW w:w="100" w:type="dxa"/>
            <w:vAlign w:val="bottom"/>
            <w:tcBorders>
              <w:bottom w:val="single" w:sz="8" w:color="CCEEFF"/>
            </w:tcBorders>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10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w:t>
            </w:r>
          </w:p>
        </w:tc>
        <w:tc>
          <w:tcPr>
            <w:tcW w:w="120" w:type="dxa"/>
            <w:vAlign w:val="bottom"/>
            <w:tcBorders>
              <w:bottom w:val="single" w:sz="8" w:color="CCEEFF"/>
            </w:tcBorders>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10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w:t>
            </w:r>
          </w:p>
        </w:tc>
        <w:tc>
          <w:tcPr>
            <w:tcW w:w="100" w:type="dxa"/>
            <w:vAlign w:val="bottom"/>
            <w:tcBorders>
              <w:bottom w:val="single" w:sz="8" w:color="CCEEFF"/>
            </w:tcBorders>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10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w:t>
            </w:r>
          </w:p>
        </w:tc>
        <w:tc>
          <w:tcPr>
            <w:tcW w:w="120" w:type="dxa"/>
            <w:vAlign w:val="bottom"/>
            <w:tcBorders>
              <w:bottom w:val="single" w:sz="8" w:color="CCEEFF"/>
            </w:tcBorders>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9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705</w:t>
            </w:r>
          </w:p>
        </w:tc>
      </w:tr>
      <w:tr>
        <w:trPr>
          <w:trHeight w:val="238"/>
        </w:trPr>
        <w:tc>
          <w:tcPr>
            <w:tcW w:w="188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Total</w:t>
            </w:r>
          </w:p>
        </w:tc>
        <w:tc>
          <w:tcPr>
            <w:tcW w:w="36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w:t>
            </w:r>
          </w:p>
        </w:tc>
        <w:tc>
          <w:tcPr>
            <w:tcW w:w="88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110,357</w:t>
            </w:r>
          </w:p>
        </w:tc>
        <w:tc>
          <w:tcPr>
            <w:tcW w:w="520" w:type="dxa"/>
            <w:vAlign w:val="bottom"/>
            <w:gridSpan w:val="2"/>
            <w:shd w:val="clear" w:color="auto" w:fill="CCEEFF"/>
          </w:tcPr>
          <w:p>
            <w:pPr>
              <w:jc w:val="right"/>
              <w:ind w:right="208"/>
              <w:spacing w:after="0"/>
              <w:rPr>
                <w:sz w:val="20"/>
                <w:szCs w:val="20"/>
                <w:color w:val="auto"/>
              </w:rPr>
            </w:pPr>
            <w:r>
              <w:rPr>
                <w:rFonts w:ascii="Arial" w:cs="Arial" w:eastAsia="Arial" w:hAnsi="Arial"/>
                <w:sz w:val="14"/>
                <w:szCs w:val="14"/>
                <w:b w:val="1"/>
                <w:bCs w:val="1"/>
                <w:color w:val="auto"/>
              </w:rPr>
              <w:t>$</w:t>
            </w:r>
          </w:p>
        </w:tc>
        <w:tc>
          <w:tcPr>
            <w:tcW w:w="84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10,955</w:t>
            </w:r>
          </w:p>
        </w:tc>
        <w:tc>
          <w:tcPr>
            <w:tcW w:w="14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06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75</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w:t>
            </w:r>
          </w:p>
        </w:tc>
        <w:tc>
          <w:tcPr>
            <w:tcW w:w="100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9,622</w:t>
            </w: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08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24,323</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w:t>
            </w:r>
          </w:p>
        </w:tc>
        <w:tc>
          <w:tcPr>
            <w:tcW w:w="100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897</w:t>
            </w:r>
          </w:p>
        </w:tc>
        <w:tc>
          <w:tcPr>
            <w:tcW w:w="120" w:type="dxa"/>
            <w:vAlign w:val="bottom"/>
            <w:shd w:val="clear" w:color="auto" w:fill="CCEEFF"/>
          </w:tcPr>
          <w:p>
            <w:pPr>
              <w:spacing w:after="0"/>
              <w:rPr>
                <w:sz w:val="20"/>
                <w:szCs w:val="20"/>
                <w:color w:val="auto"/>
              </w:rPr>
            </w:pPr>
          </w:p>
        </w:tc>
        <w:tc>
          <w:tcPr>
            <w:tcW w:w="260" w:type="dxa"/>
            <w:vAlign w:val="bottom"/>
            <w:shd w:val="clear" w:color="auto" w:fill="CCEEFF"/>
          </w:tcPr>
          <w:p>
            <w:pPr>
              <w:jc w:val="right"/>
              <w:ind w:right="88"/>
              <w:spacing w:after="0"/>
              <w:rPr>
                <w:sz w:val="20"/>
                <w:szCs w:val="20"/>
                <w:color w:val="auto"/>
              </w:rPr>
            </w:pPr>
            <w:r>
              <w:rPr>
                <w:rFonts w:ascii="Arial" w:cs="Arial" w:eastAsia="Arial" w:hAnsi="Arial"/>
                <w:sz w:val="14"/>
                <w:szCs w:val="14"/>
                <w:b w:val="1"/>
                <w:bCs w:val="1"/>
                <w:color w:val="auto"/>
              </w:rPr>
              <w:t>$</w:t>
            </w:r>
          </w:p>
        </w:tc>
        <w:tc>
          <w:tcPr>
            <w:tcW w:w="94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156,229</w:t>
            </w:r>
          </w:p>
        </w:tc>
      </w:tr>
      <w:tr>
        <w:trPr>
          <w:trHeight w:val="20"/>
        </w:trPr>
        <w:tc>
          <w:tcPr>
            <w:tcW w:w="18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35</w:t>
      </w:r>
    </w:p>
    <w:p>
      <w:pPr>
        <w:sectPr>
          <w:pgSz w:w="11900" w:h="16838" w:orient="portrait"/>
          <w:cols w:equalWidth="0" w:num="1">
            <w:col w:w="11420"/>
          </w:cols>
          <w:pgMar w:left="240" w:top="117" w:right="239" w:bottom="1440" w:gutter="0" w:footer="0" w:header="0"/>
        </w:sectPr>
      </w:pPr>
    </w:p>
    <w:bookmarkStart w:id="35" w:name="page36"/>
    <w:bookmarkEnd w:id="35"/>
    <w:p>
      <w:pPr>
        <w:ind w:right="3640"/>
        <w:spacing w:after="0" w:line="305" w:lineRule="auto"/>
        <w:rPr>
          <w:sz w:val="20"/>
          <w:szCs w:val="20"/>
          <w:color w:val="auto"/>
        </w:rPr>
      </w:pPr>
      <w:r>
        <w:rPr>
          <w:rFonts w:ascii="Arial" w:cs="Arial" w:eastAsia="Arial" w:hAnsi="Arial"/>
          <w:sz w:val="22"/>
          <w:szCs w:val="22"/>
          <w:b w:val="1"/>
          <w:bCs w:val="1"/>
          <w:color w:val="00497F"/>
        </w:rPr>
        <w:t xml:space="preserve">FORTRESS TRANSPORTATION AND INFRASTRUCTURE INVESTORS LLC NOTES TO CONSOLIDATED FINANCIAL STATEMENTS </w:t>
      </w:r>
      <w:r>
        <w:rPr>
          <w:rFonts w:ascii="Arial" w:cs="Arial" w:eastAsia="Arial" w:hAnsi="Arial"/>
          <w:sz w:val="22"/>
          <w:szCs w:val="22"/>
          <w:b w:val="1"/>
          <w:bCs w:val="1"/>
          <w:i w:val="1"/>
          <w:iCs w:val="1"/>
          <w:color w:val="00497F"/>
        </w:rPr>
        <w:t>(unaudited)</w:t>
      </w:r>
    </w:p>
    <w:p>
      <w:pPr>
        <w:spacing w:after="0"/>
        <w:rPr>
          <w:sz w:val="20"/>
          <w:szCs w:val="20"/>
          <w:color w:val="auto"/>
        </w:rPr>
      </w:pPr>
      <w:r>
        <w:rPr>
          <w:rFonts w:ascii="Arial" w:cs="Arial" w:eastAsia="Arial" w:hAnsi="Arial"/>
          <w:sz w:val="18"/>
          <w:szCs w:val="18"/>
          <w:i w:val="1"/>
          <w:iCs w:val="1"/>
          <w:color w:val="00497F"/>
        </w:rPr>
        <w:t>(Dollar amounts in thousands, unless otherwise noted)</w:t>
      </w:r>
    </w:p>
    <w:p>
      <w:pPr>
        <w:spacing w:after="0" w:line="395" w:lineRule="exact"/>
        <w:rPr>
          <w:sz w:val="20"/>
          <w:szCs w:val="20"/>
          <w:color w:val="auto"/>
        </w:rPr>
      </w:pPr>
    </w:p>
    <w:p>
      <w:pPr>
        <w:ind w:left="340"/>
        <w:spacing w:after="0"/>
        <w:rPr>
          <w:sz w:val="20"/>
          <w:szCs w:val="20"/>
          <w:color w:val="auto"/>
        </w:rPr>
      </w:pPr>
      <w:r>
        <w:rPr>
          <w:rFonts w:ascii="Arial" w:cs="Arial" w:eastAsia="Arial" w:hAnsi="Arial"/>
          <w:sz w:val="16"/>
          <w:szCs w:val="16"/>
          <w:b w:val="1"/>
          <w:bCs w:val="1"/>
          <w:color w:val="00497F"/>
        </w:rPr>
        <w:t>III. For the Three Months Ended September 30, 2016</w:t>
      </w:r>
    </w:p>
    <w:p>
      <w:pPr>
        <w:spacing w:after="0" w:line="388" w:lineRule="exact"/>
        <w:rPr>
          <w:sz w:val="20"/>
          <w:szCs w:val="20"/>
          <w:color w:val="auto"/>
        </w:rPr>
      </w:pPr>
    </w:p>
    <w:tbl>
      <w:tblPr>
        <w:tblLayout w:type="fixed"/>
        <w:tblInd w:w="540" w:type="dxa"/>
        <w:tblCellMar>
          <w:top w:w="0" w:type="dxa"/>
          <w:left w:w="0" w:type="dxa"/>
          <w:bottom w:w="0" w:type="dxa"/>
          <w:right w:w="0" w:type="dxa"/>
        </w:tblCellMar>
      </w:tblPr>
      <w:tr>
        <w:trPr>
          <w:trHeight w:val="203"/>
        </w:trPr>
        <w:tc>
          <w:tcPr>
            <w:tcW w:w="226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4200" w:type="dxa"/>
            <w:vAlign w:val="bottom"/>
            <w:tcBorders>
              <w:bottom w:val="single" w:sz="8" w:color="auto"/>
            </w:tcBorders>
            <w:gridSpan w:val="11"/>
          </w:tcPr>
          <w:p>
            <w:pPr>
              <w:ind w:left="480"/>
              <w:spacing w:after="0"/>
              <w:rPr>
                <w:sz w:val="20"/>
                <w:szCs w:val="20"/>
                <w:color w:val="auto"/>
              </w:rPr>
            </w:pPr>
            <w:r>
              <w:rPr>
                <w:rFonts w:ascii="Arial" w:cs="Arial" w:eastAsia="Arial" w:hAnsi="Arial"/>
                <w:sz w:val="14"/>
                <w:szCs w:val="14"/>
                <w:b w:val="1"/>
                <w:bCs w:val="1"/>
                <w:color w:val="auto"/>
              </w:rPr>
              <w:t>Three Months Ended September 30, 2016</w:t>
            </w:r>
          </w:p>
        </w:tc>
        <w:tc>
          <w:tcPr>
            <w:tcW w:w="12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64"/>
        </w:trPr>
        <w:tc>
          <w:tcPr>
            <w:tcW w:w="2260" w:type="dxa"/>
            <w:vAlign w:val="bottom"/>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spacing w:after="0"/>
              <w:rPr>
                <w:sz w:val="22"/>
                <w:szCs w:val="22"/>
                <w:color w:val="auto"/>
              </w:rPr>
            </w:pPr>
          </w:p>
        </w:tc>
        <w:tc>
          <w:tcPr>
            <w:tcW w:w="1420" w:type="dxa"/>
            <w:vAlign w:val="bottom"/>
            <w:tcBorders>
              <w:bottom w:val="single" w:sz="8" w:color="auto"/>
            </w:tcBorders>
            <w:gridSpan w:val="6"/>
          </w:tcPr>
          <w:p>
            <w:pPr>
              <w:jc w:val="right"/>
              <w:spacing w:after="0"/>
              <w:rPr>
                <w:sz w:val="20"/>
                <w:szCs w:val="20"/>
                <w:color w:val="auto"/>
              </w:rPr>
            </w:pPr>
            <w:r>
              <w:rPr>
                <w:rFonts w:ascii="Arial" w:cs="Arial" w:eastAsia="Arial" w:hAnsi="Arial"/>
                <w:sz w:val="14"/>
                <w:szCs w:val="14"/>
                <w:b w:val="1"/>
                <w:bCs w:val="1"/>
                <w:color w:val="auto"/>
              </w:rPr>
              <w:t>Equipment Leasing</w:t>
            </w:r>
          </w:p>
        </w:tc>
        <w:tc>
          <w:tcPr>
            <w:tcW w:w="94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gridSpan w:val="3"/>
          </w:tcPr>
          <w:p>
            <w:pPr>
              <w:spacing w:after="0"/>
              <w:rPr>
                <w:sz w:val="20"/>
                <w:szCs w:val="20"/>
                <w:color w:val="auto"/>
              </w:rPr>
            </w:pPr>
            <w:r>
              <w:rPr>
                <w:rFonts w:ascii="Arial" w:cs="Arial" w:eastAsia="Arial" w:hAnsi="Arial"/>
                <w:sz w:val="14"/>
                <w:szCs w:val="14"/>
                <w:b w:val="1"/>
                <w:bCs w:val="1"/>
                <w:color w:val="auto"/>
              </w:rPr>
              <w:t>Infrastructure</w:t>
            </w:r>
          </w:p>
        </w:tc>
        <w:tc>
          <w:tcPr>
            <w:tcW w:w="12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68"/>
        </w:trPr>
        <w:tc>
          <w:tcPr>
            <w:tcW w:w="2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jc w:val="right"/>
              <w:ind w:right="88"/>
              <w:spacing w:after="0"/>
              <w:rPr>
                <w:sz w:val="20"/>
                <w:szCs w:val="20"/>
                <w:color w:val="auto"/>
              </w:rPr>
            </w:pPr>
            <w:r>
              <w:rPr>
                <w:rFonts w:ascii="Arial" w:cs="Arial" w:eastAsia="Arial" w:hAnsi="Arial"/>
                <w:sz w:val="14"/>
                <w:szCs w:val="14"/>
                <w:b w:val="1"/>
                <w:bCs w:val="1"/>
                <w:color w:val="auto"/>
              </w:rPr>
              <w:t>Aviation</w:t>
            </w: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Offshore</w:t>
            </w:r>
          </w:p>
        </w:tc>
        <w:tc>
          <w:tcPr>
            <w:tcW w:w="140" w:type="dxa"/>
            <w:vAlign w:val="bottom"/>
          </w:tcPr>
          <w:p>
            <w:pPr>
              <w:spacing w:after="0"/>
              <w:rPr>
                <w:sz w:val="14"/>
                <w:szCs w:val="14"/>
                <w:color w:val="auto"/>
              </w:rPr>
            </w:pPr>
          </w:p>
        </w:tc>
        <w:tc>
          <w:tcPr>
            <w:tcW w:w="10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Shipping</w:t>
            </w:r>
          </w:p>
        </w:tc>
        <w:tc>
          <w:tcPr>
            <w:tcW w:w="120" w:type="dxa"/>
            <w:vAlign w:val="bottom"/>
          </w:tcPr>
          <w:p>
            <w:pPr>
              <w:spacing w:after="0"/>
              <w:rPr>
                <w:sz w:val="14"/>
                <w:szCs w:val="14"/>
                <w:color w:val="auto"/>
              </w:rPr>
            </w:pPr>
          </w:p>
        </w:tc>
        <w:tc>
          <w:tcPr>
            <w:tcW w:w="9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Jefferson</w:t>
            </w:r>
          </w:p>
        </w:tc>
        <w:tc>
          <w:tcPr>
            <w:tcW w:w="1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gridSpan w:val="2"/>
          </w:tcPr>
          <w:p>
            <w:pPr>
              <w:ind w:left="20"/>
              <w:spacing w:after="0"/>
              <w:rPr>
                <w:sz w:val="20"/>
                <w:szCs w:val="20"/>
                <w:color w:val="auto"/>
              </w:rPr>
            </w:pPr>
            <w:r>
              <w:rPr>
                <w:rFonts w:ascii="Arial" w:cs="Arial" w:eastAsia="Arial" w:hAnsi="Arial"/>
                <w:sz w:val="14"/>
                <w:szCs w:val="14"/>
                <w:b w:val="1"/>
                <w:bCs w:val="1"/>
                <w:color w:val="auto"/>
              </w:rPr>
              <w:t>Ports and</w:t>
            </w:r>
          </w:p>
        </w:tc>
        <w:tc>
          <w:tcPr>
            <w:tcW w:w="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2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jc w:val="right"/>
              <w:ind w:right="108"/>
              <w:spacing w:after="0"/>
              <w:rPr>
                <w:sz w:val="20"/>
                <w:szCs w:val="20"/>
                <w:color w:val="auto"/>
              </w:rPr>
            </w:pPr>
            <w:r>
              <w:rPr>
                <w:rFonts w:ascii="Arial" w:cs="Arial" w:eastAsia="Arial" w:hAnsi="Arial"/>
                <w:sz w:val="14"/>
                <w:szCs w:val="14"/>
                <w:b w:val="1"/>
                <w:bCs w:val="1"/>
                <w:color w:val="auto"/>
              </w:rPr>
              <w:t>Leasing</w:t>
            </w: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Energy</w:t>
            </w:r>
          </w:p>
        </w:tc>
        <w:tc>
          <w:tcPr>
            <w:tcW w:w="140" w:type="dxa"/>
            <w:vAlign w:val="bottom"/>
          </w:tcPr>
          <w:p>
            <w:pPr>
              <w:spacing w:after="0"/>
              <w:rPr>
                <w:sz w:val="17"/>
                <w:szCs w:val="17"/>
                <w:color w:val="auto"/>
              </w:rPr>
            </w:pPr>
          </w:p>
        </w:tc>
        <w:tc>
          <w:tcPr>
            <w:tcW w:w="10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Containers</w:t>
            </w:r>
          </w:p>
        </w:tc>
        <w:tc>
          <w:tcPr>
            <w:tcW w:w="120" w:type="dxa"/>
            <w:vAlign w:val="bottom"/>
          </w:tcPr>
          <w:p>
            <w:pPr>
              <w:spacing w:after="0"/>
              <w:rPr>
                <w:sz w:val="17"/>
                <w:szCs w:val="17"/>
                <w:color w:val="auto"/>
              </w:rPr>
            </w:pPr>
          </w:p>
        </w:tc>
        <w:tc>
          <w:tcPr>
            <w:tcW w:w="9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9"/>
              </w:rPr>
              <w:t>Terminal</w:t>
            </w:r>
          </w:p>
        </w:tc>
        <w:tc>
          <w:tcPr>
            <w:tcW w:w="140" w:type="dxa"/>
            <w:vAlign w:val="bottom"/>
          </w:tcPr>
          <w:p>
            <w:pPr>
              <w:spacing w:after="0"/>
              <w:rPr>
                <w:sz w:val="17"/>
                <w:szCs w:val="17"/>
                <w:color w:val="auto"/>
              </w:rPr>
            </w:pPr>
          </w:p>
        </w:tc>
        <w:tc>
          <w:tcPr>
            <w:tcW w:w="900" w:type="dxa"/>
            <w:vAlign w:val="bottom"/>
            <w:gridSpan w:val="2"/>
          </w:tcPr>
          <w:p>
            <w:pPr>
              <w:ind w:left="40"/>
              <w:spacing w:after="0"/>
              <w:rPr>
                <w:sz w:val="20"/>
                <w:szCs w:val="20"/>
                <w:color w:val="auto"/>
              </w:rPr>
            </w:pPr>
            <w:r>
              <w:rPr>
                <w:rFonts w:ascii="Arial" w:cs="Arial" w:eastAsia="Arial" w:hAnsi="Arial"/>
                <w:sz w:val="14"/>
                <w:szCs w:val="14"/>
                <w:b w:val="1"/>
                <w:bCs w:val="1"/>
                <w:color w:val="auto"/>
              </w:rPr>
              <w:t>Railroad</w:t>
            </w:r>
          </w:p>
        </w:tc>
        <w:tc>
          <w:tcPr>
            <w:tcW w:w="120" w:type="dxa"/>
            <w:vAlign w:val="bottom"/>
          </w:tcPr>
          <w:p>
            <w:pPr>
              <w:spacing w:after="0"/>
              <w:rPr>
                <w:sz w:val="17"/>
                <w:szCs w:val="17"/>
                <w:color w:val="auto"/>
              </w:rPr>
            </w:pPr>
          </w:p>
        </w:tc>
        <w:tc>
          <w:tcPr>
            <w:tcW w:w="940" w:type="dxa"/>
            <w:vAlign w:val="bottom"/>
            <w:gridSpan w:val="2"/>
          </w:tcPr>
          <w:p>
            <w:pPr>
              <w:ind w:left="20"/>
              <w:spacing w:after="0"/>
              <w:rPr>
                <w:sz w:val="20"/>
                <w:szCs w:val="20"/>
                <w:color w:val="auto"/>
              </w:rPr>
            </w:pPr>
            <w:r>
              <w:rPr>
                <w:rFonts w:ascii="Arial" w:cs="Arial" w:eastAsia="Arial" w:hAnsi="Arial"/>
                <w:sz w:val="14"/>
                <w:szCs w:val="14"/>
                <w:b w:val="1"/>
                <w:bCs w:val="1"/>
                <w:color w:val="auto"/>
              </w:rPr>
              <w:t>Terminals</w:t>
            </w:r>
          </w:p>
        </w:tc>
        <w:tc>
          <w:tcPr>
            <w:tcW w:w="120" w:type="dxa"/>
            <w:vAlign w:val="bottom"/>
          </w:tcPr>
          <w:p>
            <w:pPr>
              <w:spacing w:after="0"/>
              <w:rPr>
                <w:sz w:val="17"/>
                <w:szCs w:val="17"/>
                <w:color w:val="auto"/>
              </w:rPr>
            </w:pPr>
          </w:p>
        </w:tc>
        <w:tc>
          <w:tcPr>
            <w:tcW w:w="940" w:type="dxa"/>
            <w:vAlign w:val="bottom"/>
            <w:gridSpan w:val="2"/>
          </w:tcPr>
          <w:p>
            <w:pPr>
              <w:spacing w:after="0"/>
              <w:rPr>
                <w:sz w:val="20"/>
                <w:szCs w:val="20"/>
                <w:color w:val="auto"/>
              </w:rPr>
            </w:pPr>
            <w:r>
              <w:rPr>
                <w:rFonts w:ascii="Arial" w:cs="Arial" w:eastAsia="Arial" w:hAnsi="Arial"/>
                <w:sz w:val="14"/>
                <w:szCs w:val="14"/>
                <w:b w:val="1"/>
                <w:bCs w:val="1"/>
                <w:color w:val="auto"/>
              </w:rPr>
              <w:t>Corporate</w:t>
            </w:r>
          </w:p>
        </w:tc>
        <w:tc>
          <w:tcPr>
            <w:tcW w:w="160" w:type="dxa"/>
            <w:vAlign w:val="bottom"/>
          </w:tcPr>
          <w:p>
            <w:pPr>
              <w:spacing w:after="0"/>
              <w:rPr>
                <w:sz w:val="17"/>
                <w:szCs w:val="17"/>
                <w:color w:val="auto"/>
              </w:rPr>
            </w:pPr>
          </w:p>
        </w:tc>
        <w:tc>
          <w:tcPr>
            <w:tcW w:w="680" w:type="dxa"/>
            <w:vAlign w:val="bottom"/>
          </w:tcPr>
          <w:p>
            <w:pPr>
              <w:jc w:val="right"/>
              <w:ind w:right="188"/>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65"/>
        </w:trPr>
        <w:tc>
          <w:tcPr>
            <w:tcW w:w="22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Revenues</w:t>
            </w:r>
          </w:p>
        </w:tc>
        <w:tc>
          <w:tcPr>
            <w:tcW w:w="140" w:type="dxa"/>
            <w:vAlign w:val="bottom"/>
            <w:tcBorders>
              <w:top w:val="single" w:sz="8" w:color="auto"/>
            </w:tcBorders>
            <w:shd w:val="clear" w:color="auto" w:fill="CCEEFF"/>
          </w:tcPr>
          <w:p>
            <w:pPr>
              <w:spacing w:after="0"/>
              <w:rPr>
                <w:sz w:val="23"/>
                <w:szCs w:val="23"/>
                <w:color w:val="auto"/>
              </w:rPr>
            </w:pPr>
          </w:p>
        </w:tc>
        <w:tc>
          <w:tcPr>
            <w:tcW w:w="780" w:type="dxa"/>
            <w:vAlign w:val="bottom"/>
            <w:tcBorders>
              <w:top w:val="single" w:sz="8" w:color="auto"/>
            </w:tcBorders>
            <w:shd w:val="clear" w:color="auto" w:fill="CCEEFF"/>
          </w:tcPr>
          <w:p>
            <w:pPr>
              <w:spacing w:after="0"/>
              <w:rPr>
                <w:sz w:val="23"/>
                <w:szCs w:val="23"/>
                <w:color w:val="auto"/>
              </w:rPr>
            </w:pPr>
          </w:p>
        </w:tc>
        <w:tc>
          <w:tcPr>
            <w:tcW w:w="6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140" w:type="dxa"/>
            <w:vAlign w:val="bottom"/>
            <w:tcBorders>
              <w:top w:val="single" w:sz="8" w:color="auto"/>
            </w:tcBorders>
            <w:shd w:val="clear" w:color="auto" w:fill="CCEEFF"/>
          </w:tcPr>
          <w:p>
            <w:pPr>
              <w:spacing w:after="0"/>
              <w:rPr>
                <w:sz w:val="23"/>
                <w:szCs w:val="23"/>
                <w:color w:val="auto"/>
              </w:rPr>
            </w:pPr>
          </w:p>
        </w:tc>
        <w:tc>
          <w:tcPr>
            <w:tcW w:w="84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140" w:type="dxa"/>
            <w:vAlign w:val="bottom"/>
            <w:tcBorders>
              <w:top w:val="single" w:sz="8" w:color="auto"/>
            </w:tcBorders>
            <w:shd w:val="clear" w:color="auto" w:fill="CCEEFF"/>
          </w:tcPr>
          <w:p>
            <w:pPr>
              <w:spacing w:after="0"/>
              <w:rPr>
                <w:sz w:val="23"/>
                <w:szCs w:val="23"/>
                <w:color w:val="auto"/>
              </w:rPr>
            </w:pPr>
          </w:p>
        </w:tc>
        <w:tc>
          <w:tcPr>
            <w:tcW w:w="94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120" w:type="dxa"/>
            <w:vAlign w:val="bottom"/>
            <w:tcBorders>
              <w:top w:val="single" w:sz="8" w:color="auto"/>
            </w:tcBorders>
            <w:shd w:val="clear" w:color="auto" w:fill="CCEEFF"/>
          </w:tcPr>
          <w:p>
            <w:pPr>
              <w:spacing w:after="0"/>
              <w:rPr>
                <w:sz w:val="23"/>
                <w:szCs w:val="23"/>
                <w:color w:val="auto"/>
              </w:rPr>
            </w:pPr>
          </w:p>
        </w:tc>
        <w:tc>
          <w:tcPr>
            <w:tcW w:w="82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140" w:type="dxa"/>
            <w:vAlign w:val="bottom"/>
            <w:tcBorders>
              <w:top w:val="single" w:sz="8" w:color="auto"/>
            </w:tcBorders>
            <w:shd w:val="clear" w:color="auto" w:fill="CCEEFF"/>
          </w:tcPr>
          <w:p>
            <w:pPr>
              <w:spacing w:after="0"/>
              <w:rPr>
                <w:sz w:val="23"/>
                <w:szCs w:val="23"/>
                <w:color w:val="auto"/>
              </w:rPr>
            </w:pPr>
          </w:p>
        </w:tc>
        <w:tc>
          <w:tcPr>
            <w:tcW w:w="80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120" w:type="dxa"/>
            <w:vAlign w:val="bottom"/>
            <w:tcBorders>
              <w:top w:val="single" w:sz="8" w:color="auto"/>
            </w:tcBorders>
            <w:shd w:val="clear" w:color="auto" w:fill="CCEEFF"/>
          </w:tcPr>
          <w:p>
            <w:pPr>
              <w:spacing w:after="0"/>
              <w:rPr>
                <w:sz w:val="23"/>
                <w:szCs w:val="23"/>
                <w:color w:val="auto"/>
              </w:rPr>
            </w:pPr>
          </w:p>
        </w:tc>
        <w:tc>
          <w:tcPr>
            <w:tcW w:w="84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120" w:type="dxa"/>
            <w:vAlign w:val="bottom"/>
            <w:tcBorders>
              <w:top w:val="single" w:sz="8" w:color="auto"/>
            </w:tcBorders>
            <w:shd w:val="clear" w:color="auto" w:fill="CCEEFF"/>
          </w:tcPr>
          <w:p>
            <w:pPr>
              <w:spacing w:after="0"/>
              <w:rPr>
                <w:sz w:val="23"/>
                <w:szCs w:val="23"/>
                <w:color w:val="auto"/>
              </w:rPr>
            </w:pPr>
          </w:p>
        </w:tc>
        <w:tc>
          <w:tcPr>
            <w:tcW w:w="82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160" w:type="dxa"/>
            <w:vAlign w:val="bottom"/>
            <w:tcBorders>
              <w:top w:val="single" w:sz="8" w:color="auto"/>
            </w:tcBorders>
            <w:shd w:val="clear" w:color="auto" w:fill="CCEEFF"/>
          </w:tcPr>
          <w:p>
            <w:pPr>
              <w:spacing w:after="0"/>
              <w:rPr>
                <w:sz w:val="23"/>
                <w:szCs w:val="23"/>
                <w:color w:val="auto"/>
              </w:rPr>
            </w:pPr>
          </w:p>
        </w:tc>
        <w:tc>
          <w:tcPr>
            <w:tcW w:w="680" w:type="dxa"/>
            <w:vAlign w:val="bottom"/>
            <w:tcBorders>
              <w:top w:val="single" w:sz="8" w:color="auto"/>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6"/>
        </w:trPr>
        <w:tc>
          <w:tcPr>
            <w:tcW w:w="2260" w:type="dxa"/>
            <w:vAlign w:val="bottom"/>
          </w:tcPr>
          <w:p>
            <w:pPr>
              <w:ind w:left="20"/>
              <w:spacing w:after="0"/>
              <w:rPr>
                <w:sz w:val="20"/>
                <w:szCs w:val="20"/>
                <w:color w:val="auto"/>
              </w:rPr>
            </w:pPr>
            <w:r>
              <w:rPr>
                <w:rFonts w:ascii="Arial" w:cs="Arial" w:eastAsia="Arial" w:hAnsi="Arial"/>
                <w:sz w:val="14"/>
                <w:szCs w:val="14"/>
                <w:color w:val="auto"/>
              </w:rPr>
              <w:t>Equipment leasing revenues</w:t>
            </w: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780" w:type="dxa"/>
            <w:vAlign w:val="bottom"/>
          </w:tcPr>
          <w:p>
            <w:pPr>
              <w:jc w:val="right"/>
              <w:spacing w:after="0"/>
              <w:rPr>
                <w:sz w:val="20"/>
                <w:szCs w:val="20"/>
                <w:color w:val="auto"/>
              </w:rPr>
            </w:pPr>
            <w:r>
              <w:rPr>
                <w:rFonts w:ascii="Arial" w:cs="Arial" w:eastAsia="Arial" w:hAnsi="Arial"/>
                <w:sz w:val="14"/>
                <w:szCs w:val="14"/>
                <w:color w:val="auto"/>
              </w:rPr>
              <w:t>27,060</w:t>
            </w:r>
          </w:p>
        </w:tc>
        <w:tc>
          <w:tcPr>
            <w:tcW w:w="320" w:type="dxa"/>
            <w:vAlign w:val="bottom"/>
            <w:gridSpan w:val="3"/>
          </w:tcPr>
          <w:p>
            <w:pPr>
              <w:jc w:val="right"/>
              <w:ind w:right="40"/>
              <w:spacing w:after="0"/>
              <w:rPr>
                <w:sz w:val="20"/>
                <w:szCs w:val="20"/>
                <w:color w:val="auto"/>
              </w:rPr>
            </w:pPr>
            <w:r>
              <w:rPr>
                <w:rFonts w:ascii="Arial" w:cs="Arial" w:eastAsia="Arial" w:hAnsi="Arial"/>
                <w:sz w:val="14"/>
                <w:szCs w:val="14"/>
                <w:color w:val="auto"/>
              </w:rPr>
              <w:t>$</w:t>
            </w:r>
          </w:p>
        </w:tc>
        <w:tc>
          <w:tcPr>
            <w:tcW w:w="840" w:type="dxa"/>
            <w:vAlign w:val="bottom"/>
          </w:tcPr>
          <w:p>
            <w:pPr>
              <w:jc w:val="right"/>
              <w:ind w:right="48"/>
              <w:spacing w:after="0"/>
              <w:rPr>
                <w:sz w:val="20"/>
                <w:szCs w:val="20"/>
                <w:color w:val="auto"/>
              </w:rPr>
            </w:pPr>
            <w:r>
              <w:rPr>
                <w:rFonts w:ascii="Arial" w:cs="Arial" w:eastAsia="Arial" w:hAnsi="Arial"/>
                <w:sz w:val="14"/>
                <w:szCs w:val="14"/>
                <w:color w:val="auto"/>
              </w:rPr>
              <w:t>2,969</w:t>
            </w:r>
          </w:p>
        </w:tc>
        <w:tc>
          <w:tcPr>
            <w:tcW w:w="120" w:type="dxa"/>
            <w:vAlign w:val="bottom"/>
          </w:tcPr>
          <w:p>
            <w:pPr>
              <w:spacing w:after="0"/>
              <w:rPr>
                <w:sz w:val="23"/>
                <w:szCs w:val="23"/>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940" w:type="dxa"/>
            <w:vAlign w:val="bottom"/>
          </w:tcPr>
          <w:p>
            <w:pPr>
              <w:jc w:val="right"/>
              <w:ind w:right="28"/>
              <w:spacing w:after="0"/>
              <w:rPr>
                <w:sz w:val="20"/>
                <w:szCs w:val="20"/>
                <w:color w:val="auto"/>
              </w:rPr>
            </w:pPr>
            <w:r>
              <w:rPr>
                <w:rFonts w:ascii="Arial" w:cs="Arial" w:eastAsia="Arial" w:hAnsi="Arial"/>
                <w:sz w:val="14"/>
                <w:szCs w:val="14"/>
                <w:color w:val="auto"/>
              </w:rPr>
              <w:t>25</w:t>
            </w:r>
          </w:p>
        </w:tc>
        <w:tc>
          <w:tcPr>
            <w:tcW w:w="100" w:type="dxa"/>
            <w:vAlign w:val="bottom"/>
          </w:tcPr>
          <w:p>
            <w:pPr>
              <w:spacing w:after="0"/>
              <w:rPr>
                <w:sz w:val="23"/>
                <w:szCs w:val="23"/>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9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ind w:left="20"/>
              <w:spacing w:after="0"/>
              <w:rPr>
                <w:sz w:val="20"/>
                <w:szCs w:val="20"/>
                <w:color w:val="auto"/>
              </w:rPr>
            </w:pPr>
            <w:r>
              <w:rPr>
                <w:rFonts w:ascii="Arial" w:cs="Arial" w:eastAsia="Arial" w:hAnsi="Arial"/>
                <w:sz w:val="14"/>
                <w:szCs w:val="14"/>
                <w:color w:val="auto"/>
              </w:rPr>
              <w:t>$</w:t>
            </w:r>
          </w:p>
        </w:tc>
        <w:tc>
          <w:tcPr>
            <w:tcW w:w="9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9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9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680" w:type="dxa"/>
            <w:vAlign w:val="bottom"/>
          </w:tcPr>
          <w:p>
            <w:pPr>
              <w:jc w:val="right"/>
              <w:ind w:right="48"/>
              <w:spacing w:after="0"/>
              <w:rPr>
                <w:sz w:val="20"/>
                <w:szCs w:val="20"/>
                <w:color w:val="auto"/>
              </w:rPr>
            </w:pPr>
            <w:r>
              <w:rPr>
                <w:rFonts w:ascii="Arial" w:cs="Arial" w:eastAsia="Arial" w:hAnsi="Arial"/>
                <w:sz w:val="14"/>
                <w:szCs w:val="14"/>
                <w:color w:val="auto"/>
              </w:rPr>
              <w:t>30,054</w:t>
            </w:r>
          </w:p>
        </w:tc>
        <w:tc>
          <w:tcPr>
            <w:tcW w:w="0" w:type="dxa"/>
            <w:vAlign w:val="bottom"/>
          </w:tcPr>
          <w:p>
            <w:pPr>
              <w:spacing w:after="0"/>
              <w:rPr>
                <w:sz w:val="1"/>
                <w:szCs w:val="1"/>
                <w:color w:val="auto"/>
              </w:rPr>
            </w:pPr>
          </w:p>
        </w:tc>
      </w:tr>
      <w:tr>
        <w:trPr>
          <w:trHeight w:val="270"/>
        </w:trPr>
        <w:tc>
          <w:tcPr>
            <w:tcW w:w="2260" w:type="dxa"/>
            <w:vAlign w:val="bottom"/>
            <w:shd w:val="clear" w:color="auto" w:fill="CCEEFF"/>
          </w:tcPr>
          <w:p>
            <w:pPr>
              <w:ind w:left="20"/>
              <w:spacing w:after="0"/>
              <w:rPr>
                <w:sz w:val="20"/>
                <w:szCs w:val="20"/>
                <w:color w:val="auto"/>
              </w:rPr>
            </w:pPr>
            <w:r>
              <w:rPr>
                <w:rFonts w:ascii="Arial" w:cs="Arial" w:eastAsia="Arial" w:hAnsi="Arial"/>
                <w:sz w:val="14"/>
                <w:szCs w:val="14"/>
                <w:color w:val="auto"/>
              </w:rPr>
              <w:t>Infrastructure revenues</w:t>
            </w:r>
          </w:p>
        </w:tc>
        <w:tc>
          <w:tcPr>
            <w:tcW w:w="140" w:type="dxa"/>
            <w:vAlign w:val="bottom"/>
            <w:tcBorders>
              <w:bottom w:val="single" w:sz="8" w:color="auto"/>
            </w:tcBorders>
            <w:shd w:val="clear" w:color="auto" w:fill="CCEEFF"/>
          </w:tcPr>
          <w:p>
            <w:pPr>
              <w:spacing w:after="0"/>
              <w:rPr>
                <w:sz w:val="23"/>
                <w:szCs w:val="23"/>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0" w:type="dxa"/>
            <w:vAlign w:val="bottom"/>
            <w:tcBorders>
              <w:bottom w:val="single" w:sz="8" w:color="auto"/>
            </w:tcBorders>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84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9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8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4,255</w:t>
            </w:r>
          </w:p>
        </w:tc>
        <w:tc>
          <w:tcPr>
            <w:tcW w:w="12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8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7,401</w:t>
            </w:r>
          </w:p>
        </w:tc>
        <w:tc>
          <w:tcPr>
            <w:tcW w:w="10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8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16</w:t>
            </w:r>
          </w:p>
        </w:tc>
        <w:tc>
          <w:tcPr>
            <w:tcW w:w="10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8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68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11,672</w:t>
            </w:r>
          </w:p>
        </w:tc>
        <w:tc>
          <w:tcPr>
            <w:tcW w:w="0" w:type="dxa"/>
            <w:vAlign w:val="bottom"/>
          </w:tcPr>
          <w:p>
            <w:pPr>
              <w:spacing w:after="0"/>
              <w:rPr>
                <w:sz w:val="1"/>
                <w:szCs w:val="1"/>
                <w:color w:val="auto"/>
              </w:rPr>
            </w:pPr>
          </w:p>
        </w:tc>
      </w:tr>
      <w:tr>
        <w:trPr>
          <w:trHeight w:val="250"/>
        </w:trPr>
        <w:tc>
          <w:tcPr>
            <w:tcW w:w="2260" w:type="dxa"/>
            <w:vAlign w:val="bottom"/>
          </w:tcPr>
          <w:p>
            <w:pPr>
              <w:ind w:left="20"/>
              <w:spacing w:after="0"/>
              <w:rPr>
                <w:sz w:val="20"/>
                <w:szCs w:val="20"/>
                <w:color w:val="auto"/>
              </w:rPr>
            </w:pPr>
            <w:r>
              <w:rPr>
                <w:rFonts w:ascii="Arial" w:cs="Arial" w:eastAsia="Arial" w:hAnsi="Arial"/>
                <w:sz w:val="14"/>
                <w:szCs w:val="14"/>
                <w:color w:val="auto"/>
              </w:rPr>
              <w:t>Total revenues</w:t>
            </w:r>
          </w:p>
        </w:tc>
        <w:tc>
          <w:tcPr>
            <w:tcW w:w="14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27,060</w:t>
            </w: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40" w:type="dxa"/>
            <w:vAlign w:val="bottom"/>
          </w:tcPr>
          <w:p>
            <w:pPr>
              <w:jc w:val="right"/>
              <w:ind w:right="48"/>
              <w:spacing w:after="0"/>
              <w:rPr>
                <w:sz w:val="20"/>
                <w:szCs w:val="20"/>
                <w:color w:val="auto"/>
              </w:rPr>
            </w:pPr>
            <w:r>
              <w:rPr>
                <w:rFonts w:ascii="Arial" w:cs="Arial" w:eastAsia="Arial" w:hAnsi="Arial"/>
                <w:sz w:val="14"/>
                <w:szCs w:val="14"/>
                <w:color w:val="auto"/>
              </w:rPr>
              <w:t>2,969</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40" w:type="dxa"/>
            <w:vAlign w:val="bottom"/>
          </w:tcPr>
          <w:p>
            <w:pPr>
              <w:jc w:val="right"/>
              <w:ind w:right="28"/>
              <w:spacing w:after="0"/>
              <w:rPr>
                <w:sz w:val="20"/>
                <w:szCs w:val="20"/>
                <w:color w:val="auto"/>
              </w:rPr>
            </w:pPr>
            <w:r>
              <w:rPr>
                <w:rFonts w:ascii="Arial" w:cs="Arial" w:eastAsia="Arial" w:hAnsi="Arial"/>
                <w:sz w:val="14"/>
                <w:szCs w:val="14"/>
                <w:color w:val="auto"/>
              </w:rPr>
              <w:t>25</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20" w:type="dxa"/>
            <w:vAlign w:val="bottom"/>
          </w:tcPr>
          <w:p>
            <w:pPr>
              <w:jc w:val="right"/>
              <w:ind w:right="28"/>
              <w:spacing w:after="0"/>
              <w:rPr>
                <w:sz w:val="20"/>
                <w:szCs w:val="20"/>
                <w:color w:val="auto"/>
              </w:rPr>
            </w:pPr>
            <w:r>
              <w:rPr>
                <w:rFonts w:ascii="Arial" w:cs="Arial" w:eastAsia="Arial" w:hAnsi="Arial"/>
                <w:sz w:val="14"/>
                <w:szCs w:val="14"/>
                <w:color w:val="auto"/>
              </w:rPr>
              <w:t>4,255</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00" w:type="dxa"/>
            <w:vAlign w:val="bottom"/>
          </w:tcPr>
          <w:p>
            <w:pPr>
              <w:jc w:val="right"/>
              <w:ind w:right="28"/>
              <w:spacing w:after="0"/>
              <w:rPr>
                <w:sz w:val="20"/>
                <w:szCs w:val="20"/>
                <w:color w:val="auto"/>
              </w:rPr>
            </w:pPr>
            <w:r>
              <w:rPr>
                <w:rFonts w:ascii="Arial" w:cs="Arial" w:eastAsia="Arial" w:hAnsi="Arial"/>
                <w:sz w:val="14"/>
                <w:szCs w:val="14"/>
                <w:color w:val="auto"/>
              </w:rPr>
              <w:t>7,401</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40" w:type="dxa"/>
            <w:vAlign w:val="bottom"/>
          </w:tcPr>
          <w:p>
            <w:pPr>
              <w:jc w:val="right"/>
              <w:ind w:right="28"/>
              <w:spacing w:after="0"/>
              <w:rPr>
                <w:sz w:val="20"/>
                <w:szCs w:val="20"/>
                <w:color w:val="auto"/>
              </w:rPr>
            </w:pPr>
            <w:r>
              <w:rPr>
                <w:rFonts w:ascii="Arial" w:cs="Arial" w:eastAsia="Arial" w:hAnsi="Arial"/>
                <w:sz w:val="14"/>
                <w:szCs w:val="14"/>
                <w:color w:val="auto"/>
              </w:rPr>
              <w:t>16</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1"/>
                <w:szCs w:val="21"/>
                <w:color w:val="auto"/>
              </w:rPr>
            </w:pPr>
          </w:p>
        </w:tc>
        <w:tc>
          <w:tcPr>
            <w:tcW w:w="680" w:type="dxa"/>
            <w:vAlign w:val="bottom"/>
          </w:tcPr>
          <w:p>
            <w:pPr>
              <w:jc w:val="right"/>
              <w:ind w:right="48"/>
              <w:spacing w:after="0"/>
              <w:rPr>
                <w:sz w:val="20"/>
                <w:szCs w:val="20"/>
                <w:color w:val="auto"/>
              </w:rPr>
            </w:pPr>
            <w:r>
              <w:rPr>
                <w:rFonts w:ascii="Arial" w:cs="Arial" w:eastAsia="Arial" w:hAnsi="Arial"/>
                <w:sz w:val="14"/>
                <w:szCs w:val="14"/>
                <w:color w:val="auto"/>
              </w:rPr>
              <w:t>41,726</w:t>
            </w:r>
          </w:p>
        </w:tc>
        <w:tc>
          <w:tcPr>
            <w:tcW w:w="0" w:type="dxa"/>
            <w:vAlign w:val="bottom"/>
          </w:tcPr>
          <w:p>
            <w:pPr>
              <w:spacing w:after="0"/>
              <w:rPr>
                <w:sz w:val="1"/>
                <w:szCs w:val="1"/>
                <w:color w:val="auto"/>
              </w:rPr>
            </w:pPr>
          </w:p>
        </w:tc>
      </w:tr>
      <w:tr>
        <w:trPr>
          <w:trHeight w:val="322"/>
        </w:trPr>
        <w:tc>
          <w:tcPr>
            <w:tcW w:w="2260" w:type="dxa"/>
            <w:vAlign w:val="bottom"/>
            <w:tcBorders>
              <w:top w:val="single" w:sz="8" w:color="CCEEFF"/>
            </w:tcBorders>
            <w:shd w:val="clear" w:color="auto" w:fill="CCEEFF"/>
          </w:tcPr>
          <w:p>
            <w:pPr>
              <w:spacing w:after="0"/>
              <w:rPr>
                <w:sz w:val="24"/>
                <w:szCs w:val="24"/>
                <w:color w:val="auto"/>
              </w:rPr>
            </w:pPr>
          </w:p>
        </w:tc>
        <w:tc>
          <w:tcPr>
            <w:tcW w:w="140" w:type="dxa"/>
            <w:vAlign w:val="bottom"/>
            <w:tcBorders>
              <w:top w:val="single" w:sz="8" w:color="auto"/>
            </w:tcBorders>
            <w:shd w:val="clear" w:color="auto" w:fill="CCEEFF"/>
          </w:tcPr>
          <w:p>
            <w:pPr>
              <w:spacing w:after="0"/>
              <w:rPr>
                <w:sz w:val="24"/>
                <w:szCs w:val="24"/>
                <w:color w:val="auto"/>
              </w:rPr>
            </w:pPr>
          </w:p>
        </w:tc>
        <w:tc>
          <w:tcPr>
            <w:tcW w:w="780" w:type="dxa"/>
            <w:vAlign w:val="bottom"/>
            <w:tcBorders>
              <w:top w:val="single" w:sz="8" w:color="auto"/>
            </w:tcBorders>
            <w:shd w:val="clear" w:color="auto" w:fill="CCEEFF"/>
          </w:tcPr>
          <w:p>
            <w:pPr>
              <w:spacing w:after="0"/>
              <w:rPr>
                <w:sz w:val="24"/>
                <w:szCs w:val="24"/>
                <w:color w:val="auto"/>
              </w:rPr>
            </w:pPr>
          </w:p>
        </w:tc>
        <w:tc>
          <w:tcPr>
            <w:tcW w:w="60" w:type="dxa"/>
            <w:vAlign w:val="bottom"/>
            <w:tcBorders>
              <w:top w:val="single" w:sz="8" w:color="auto"/>
            </w:tcBorders>
            <w:shd w:val="clear" w:color="auto" w:fill="CCEEFF"/>
          </w:tcPr>
          <w:p>
            <w:pPr>
              <w:spacing w:after="0"/>
              <w:rPr>
                <w:sz w:val="24"/>
                <w:szCs w:val="24"/>
                <w:color w:val="auto"/>
              </w:rPr>
            </w:pPr>
          </w:p>
        </w:tc>
        <w:tc>
          <w:tcPr>
            <w:tcW w:w="120" w:type="dxa"/>
            <w:vAlign w:val="bottom"/>
            <w:tcBorders>
              <w:top w:val="single" w:sz="8" w:color="CCEEFF"/>
            </w:tcBorders>
            <w:shd w:val="clear" w:color="auto" w:fill="CCEEFF"/>
          </w:tcPr>
          <w:p>
            <w:pPr>
              <w:spacing w:after="0"/>
              <w:rPr>
                <w:sz w:val="24"/>
                <w:szCs w:val="24"/>
                <w:color w:val="auto"/>
              </w:rPr>
            </w:pPr>
          </w:p>
        </w:tc>
        <w:tc>
          <w:tcPr>
            <w:tcW w:w="140" w:type="dxa"/>
            <w:vAlign w:val="bottom"/>
            <w:tcBorders>
              <w:top w:val="single" w:sz="8" w:color="auto"/>
            </w:tcBorders>
            <w:shd w:val="clear" w:color="auto" w:fill="CCEEFF"/>
          </w:tcPr>
          <w:p>
            <w:pPr>
              <w:spacing w:after="0"/>
              <w:rPr>
                <w:sz w:val="24"/>
                <w:szCs w:val="24"/>
                <w:color w:val="auto"/>
              </w:rPr>
            </w:pPr>
          </w:p>
        </w:tc>
        <w:tc>
          <w:tcPr>
            <w:tcW w:w="840" w:type="dxa"/>
            <w:vAlign w:val="bottom"/>
            <w:tcBorders>
              <w:top w:val="single" w:sz="8" w:color="auto"/>
            </w:tcBorders>
            <w:shd w:val="clear" w:color="auto" w:fill="CCEEFF"/>
          </w:tcPr>
          <w:p>
            <w:pPr>
              <w:spacing w:after="0"/>
              <w:rPr>
                <w:sz w:val="24"/>
                <w:szCs w:val="24"/>
                <w:color w:val="auto"/>
              </w:rPr>
            </w:pPr>
          </w:p>
        </w:tc>
        <w:tc>
          <w:tcPr>
            <w:tcW w:w="120" w:type="dxa"/>
            <w:vAlign w:val="bottom"/>
            <w:tcBorders>
              <w:top w:val="single" w:sz="8" w:color="CCEEFF"/>
            </w:tcBorders>
            <w:shd w:val="clear" w:color="auto" w:fill="CCEEFF"/>
          </w:tcPr>
          <w:p>
            <w:pPr>
              <w:spacing w:after="0"/>
              <w:rPr>
                <w:sz w:val="24"/>
                <w:szCs w:val="24"/>
                <w:color w:val="auto"/>
              </w:rPr>
            </w:pPr>
          </w:p>
        </w:tc>
        <w:tc>
          <w:tcPr>
            <w:tcW w:w="140" w:type="dxa"/>
            <w:vAlign w:val="bottom"/>
            <w:tcBorders>
              <w:top w:val="single" w:sz="8" w:color="auto"/>
            </w:tcBorders>
            <w:shd w:val="clear" w:color="auto" w:fill="CCEEFF"/>
          </w:tcPr>
          <w:p>
            <w:pPr>
              <w:spacing w:after="0"/>
              <w:rPr>
                <w:sz w:val="24"/>
                <w:szCs w:val="24"/>
                <w:color w:val="auto"/>
              </w:rPr>
            </w:pPr>
          </w:p>
        </w:tc>
        <w:tc>
          <w:tcPr>
            <w:tcW w:w="940" w:type="dxa"/>
            <w:vAlign w:val="bottom"/>
            <w:tcBorders>
              <w:top w:val="single" w:sz="8" w:color="auto"/>
            </w:tcBorders>
            <w:shd w:val="clear" w:color="auto" w:fill="CCEEFF"/>
          </w:tcPr>
          <w:p>
            <w:pPr>
              <w:spacing w:after="0"/>
              <w:rPr>
                <w:sz w:val="24"/>
                <w:szCs w:val="24"/>
                <w:color w:val="auto"/>
              </w:rPr>
            </w:pPr>
          </w:p>
        </w:tc>
        <w:tc>
          <w:tcPr>
            <w:tcW w:w="100" w:type="dxa"/>
            <w:vAlign w:val="bottom"/>
            <w:tcBorders>
              <w:top w:val="single" w:sz="8" w:color="CCEEFF"/>
            </w:tcBorders>
            <w:shd w:val="clear" w:color="auto" w:fill="CCEEFF"/>
          </w:tcPr>
          <w:p>
            <w:pPr>
              <w:spacing w:after="0"/>
              <w:rPr>
                <w:sz w:val="24"/>
                <w:szCs w:val="24"/>
                <w:color w:val="auto"/>
              </w:rPr>
            </w:pPr>
          </w:p>
        </w:tc>
        <w:tc>
          <w:tcPr>
            <w:tcW w:w="120" w:type="dxa"/>
            <w:vAlign w:val="bottom"/>
            <w:tcBorders>
              <w:top w:val="single" w:sz="8" w:color="auto"/>
            </w:tcBorders>
            <w:shd w:val="clear" w:color="auto" w:fill="CCEEFF"/>
          </w:tcPr>
          <w:p>
            <w:pPr>
              <w:spacing w:after="0"/>
              <w:rPr>
                <w:sz w:val="24"/>
                <w:szCs w:val="24"/>
                <w:color w:val="auto"/>
              </w:rPr>
            </w:pPr>
          </w:p>
        </w:tc>
        <w:tc>
          <w:tcPr>
            <w:tcW w:w="820" w:type="dxa"/>
            <w:vAlign w:val="bottom"/>
            <w:tcBorders>
              <w:top w:val="single" w:sz="8" w:color="auto"/>
            </w:tcBorders>
            <w:shd w:val="clear" w:color="auto" w:fill="CCEEFF"/>
          </w:tcPr>
          <w:p>
            <w:pPr>
              <w:spacing w:after="0"/>
              <w:rPr>
                <w:sz w:val="24"/>
                <w:szCs w:val="24"/>
                <w:color w:val="auto"/>
              </w:rPr>
            </w:pPr>
          </w:p>
        </w:tc>
        <w:tc>
          <w:tcPr>
            <w:tcW w:w="120" w:type="dxa"/>
            <w:vAlign w:val="bottom"/>
            <w:tcBorders>
              <w:top w:val="single" w:sz="8" w:color="CCEEFF"/>
            </w:tcBorders>
            <w:shd w:val="clear" w:color="auto" w:fill="CCEEFF"/>
          </w:tcPr>
          <w:p>
            <w:pPr>
              <w:spacing w:after="0"/>
              <w:rPr>
                <w:sz w:val="24"/>
                <w:szCs w:val="24"/>
                <w:color w:val="auto"/>
              </w:rPr>
            </w:pPr>
          </w:p>
        </w:tc>
        <w:tc>
          <w:tcPr>
            <w:tcW w:w="140" w:type="dxa"/>
            <w:vAlign w:val="bottom"/>
            <w:tcBorders>
              <w:top w:val="single" w:sz="8" w:color="auto"/>
            </w:tcBorders>
            <w:shd w:val="clear" w:color="auto" w:fill="CCEEFF"/>
          </w:tcPr>
          <w:p>
            <w:pPr>
              <w:spacing w:after="0"/>
              <w:rPr>
                <w:sz w:val="24"/>
                <w:szCs w:val="24"/>
                <w:color w:val="auto"/>
              </w:rPr>
            </w:pPr>
          </w:p>
        </w:tc>
        <w:tc>
          <w:tcPr>
            <w:tcW w:w="800" w:type="dxa"/>
            <w:vAlign w:val="bottom"/>
            <w:tcBorders>
              <w:top w:val="single" w:sz="8" w:color="auto"/>
            </w:tcBorders>
            <w:shd w:val="clear" w:color="auto" w:fill="CCEEFF"/>
          </w:tcPr>
          <w:p>
            <w:pPr>
              <w:spacing w:after="0"/>
              <w:rPr>
                <w:sz w:val="24"/>
                <w:szCs w:val="24"/>
                <w:color w:val="auto"/>
              </w:rPr>
            </w:pPr>
          </w:p>
        </w:tc>
        <w:tc>
          <w:tcPr>
            <w:tcW w:w="100" w:type="dxa"/>
            <w:vAlign w:val="bottom"/>
            <w:tcBorders>
              <w:top w:val="single" w:sz="8" w:color="CCEEFF"/>
            </w:tcBorders>
            <w:shd w:val="clear" w:color="auto" w:fill="CCEEFF"/>
          </w:tcPr>
          <w:p>
            <w:pPr>
              <w:spacing w:after="0"/>
              <w:rPr>
                <w:sz w:val="24"/>
                <w:szCs w:val="24"/>
                <w:color w:val="auto"/>
              </w:rPr>
            </w:pPr>
          </w:p>
        </w:tc>
        <w:tc>
          <w:tcPr>
            <w:tcW w:w="120" w:type="dxa"/>
            <w:vAlign w:val="bottom"/>
            <w:tcBorders>
              <w:top w:val="single" w:sz="8" w:color="auto"/>
            </w:tcBorders>
            <w:shd w:val="clear" w:color="auto" w:fill="CCEEFF"/>
          </w:tcPr>
          <w:p>
            <w:pPr>
              <w:spacing w:after="0"/>
              <w:rPr>
                <w:sz w:val="24"/>
                <w:szCs w:val="24"/>
                <w:color w:val="auto"/>
              </w:rPr>
            </w:pPr>
          </w:p>
        </w:tc>
        <w:tc>
          <w:tcPr>
            <w:tcW w:w="840" w:type="dxa"/>
            <w:vAlign w:val="bottom"/>
            <w:tcBorders>
              <w:top w:val="single" w:sz="8" w:color="auto"/>
            </w:tcBorders>
            <w:shd w:val="clear" w:color="auto" w:fill="CCEEFF"/>
          </w:tcPr>
          <w:p>
            <w:pPr>
              <w:spacing w:after="0"/>
              <w:rPr>
                <w:sz w:val="24"/>
                <w:szCs w:val="24"/>
                <w:color w:val="auto"/>
              </w:rPr>
            </w:pPr>
          </w:p>
        </w:tc>
        <w:tc>
          <w:tcPr>
            <w:tcW w:w="100" w:type="dxa"/>
            <w:vAlign w:val="bottom"/>
            <w:tcBorders>
              <w:top w:val="single" w:sz="8" w:color="CCEEFF"/>
            </w:tcBorders>
            <w:shd w:val="clear" w:color="auto" w:fill="CCEEFF"/>
          </w:tcPr>
          <w:p>
            <w:pPr>
              <w:spacing w:after="0"/>
              <w:rPr>
                <w:sz w:val="24"/>
                <w:szCs w:val="24"/>
                <w:color w:val="auto"/>
              </w:rPr>
            </w:pPr>
          </w:p>
        </w:tc>
        <w:tc>
          <w:tcPr>
            <w:tcW w:w="120" w:type="dxa"/>
            <w:vAlign w:val="bottom"/>
            <w:tcBorders>
              <w:top w:val="single" w:sz="8" w:color="auto"/>
            </w:tcBorders>
            <w:shd w:val="clear" w:color="auto" w:fill="CCEEFF"/>
          </w:tcPr>
          <w:p>
            <w:pPr>
              <w:spacing w:after="0"/>
              <w:rPr>
                <w:sz w:val="24"/>
                <w:szCs w:val="24"/>
                <w:color w:val="auto"/>
              </w:rPr>
            </w:pPr>
          </w:p>
        </w:tc>
        <w:tc>
          <w:tcPr>
            <w:tcW w:w="820" w:type="dxa"/>
            <w:vAlign w:val="bottom"/>
            <w:tcBorders>
              <w:top w:val="single" w:sz="8" w:color="auto"/>
            </w:tcBorders>
            <w:shd w:val="clear" w:color="auto" w:fill="CCEEFF"/>
          </w:tcPr>
          <w:p>
            <w:pPr>
              <w:spacing w:after="0"/>
              <w:rPr>
                <w:sz w:val="24"/>
                <w:szCs w:val="24"/>
                <w:color w:val="auto"/>
              </w:rPr>
            </w:pPr>
          </w:p>
        </w:tc>
        <w:tc>
          <w:tcPr>
            <w:tcW w:w="120" w:type="dxa"/>
            <w:vAlign w:val="bottom"/>
            <w:tcBorders>
              <w:top w:val="single" w:sz="8" w:color="CCEEFF"/>
            </w:tcBorders>
            <w:shd w:val="clear" w:color="auto" w:fill="CCEEFF"/>
          </w:tcPr>
          <w:p>
            <w:pPr>
              <w:spacing w:after="0"/>
              <w:rPr>
                <w:sz w:val="24"/>
                <w:szCs w:val="24"/>
                <w:color w:val="auto"/>
              </w:rPr>
            </w:pPr>
          </w:p>
        </w:tc>
        <w:tc>
          <w:tcPr>
            <w:tcW w:w="160" w:type="dxa"/>
            <w:vAlign w:val="bottom"/>
            <w:tcBorders>
              <w:top w:val="single" w:sz="8" w:color="auto"/>
            </w:tcBorders>
            <w:shd w:val="clear" w:color="auto" w:fill="CCEEFF"/>
          </w:tcPr>
          <w:p>
            <w:pPr>
              <w:spacing w:after="0"/>
              <w:rPr>
                <w:sz w:val="24"/>
                <w:szCs w:val="24"/>
                <w:color w:val="auto"/>
              </w:rPr>
            </w:pPr>
          </w:p>
        </w:tc>
        <w:tc>
          <w:tcPr>
            <w:tcW w:w="680" w:type="dxa"/>
            <w:vAlign w:val="bottom"/>
            <w:tcBorders>
              <w:top w:val="single" w:sz="8" w:color="auto"/>
            </w:tcBorders>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9"/>
        </w:trPr>
        <w:tc>
          <w:tcPr>
            <w:tcW w:w="2260" w:type="dxa"/>
            <w:vAlign w:val="bottom"/>
          </w:tcPr>
          <w:p>
            <w:pPr>
              <w:ind w:left="20"/>
              <w:spacing w:after="0"/>
              <w:rPr>
                <w:sz w:val="20"/>
                <w:szCs w:val="20"/>
                <w:color w:val="auto"/>
              </w:rPr>
            </w:pPr>
            <w:r>
              <w:rPr>
                <w:rFonts w:ascii="Arial" w:cs="Arial" w:eastAsia="Arial" w:hAnsi="Arial"/>
                <w:sz w:val="14"/>
                <w:szCs w:val="14"/>
                <w:b w:val="1"/>
                <w:bCs w:val="1"/>
                <w:color w:val="auto"/>
              </w:rPr>
              <w:t>Expenses</w:t>
            </w:r>
          </w:p>
        </w:tc>
        <w:tc>
          <w:tcPr>
            <w:tcW w:w="14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1"/>
        </w:trPr>
        <w:tc>
          <w:tcPr>
            <w:tcW w:w="2260" w:type="dxa"/>
            <w:vAlign w:val="bottom"/>
            <w:shd w:val="clear" w:color="auto" w:fill="CCEEFF"/>
          </w:tcPr>
          <w:p>
            <w:pPr>
              <w:ind w:left="20"/>
              <w:spacing w:after="0"/>
              <w:rPr>
                <w:sz w:val="20"/>
                <w:szCs w:val="20"/>
                <w:color w:val="auto"/>
              </w:rPr>
            </w:pPr>
            <w:r>
              <w:rPr>
                <w:rFonts w:ascii="Arial" w:cs="Arial" w:eastAsia="Arial" w:hAnsi="Arial"/>
                <w:sz w:val="14"/>
                <w:szCs w:val="14"/>
                <w:color w:val="auto"/>
              </w:rPr>
              <w:t>Operating expenses</w:t>
            </w:r>
          </w:p>
        </w:tc>
        <w:tc>
          <w:tcPr>
            <w:tcW w:w="140" w:type="dxa"/>
            <w:vAlign w:val="bottom"/>
            <w:shd w:val="clear" w:color="auto" w:fill="CCEEFF"/>
          </w:tcPr>
          <w:p>
            <w:pPr>
              <w:spacing w:after="0"/>
              <w:rPr>
                <w:sz w:val="23"/>
                <w:szCs w:val="23"/>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892</w:t>
            </w:r>
          </w:p>
        </w:tc>
        <w:tc>
          <w:tcPr>
            <w:tcW w:w="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8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2,408</w:t>
            </w: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9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w:t>
            </w: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8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6,796</w:t>
            </w: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8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6,514</w:t>
            </w: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8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417</w:t>
            </w: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3"/>
                <w:szCs w:val="23"/>
                <w:color w:val="auto"/>
              </w:rPr>
            </w:pPr>
          </w:p>
        </w:tc>
        <w:tc>
          <w:tcPr>
            <w:tcW w:w="6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17,028</w:t>
            </w:r>
          </w:p>
        </w:tc>
        <w:tc>
          <w:tcPr>
            <w:tcW w:w="0" w:type="dxa"/>
            <w:vAlign w:val="bottom"/>
          </w:tcPr>
          <w:p>
            <w:pPr>
              <w:spacing w:after="0"/>
              <w:rPr>
                <w:sz w:val="1"/>
                <w:szCs w:val="1"/>
                <w:color w:val="auto"/>
              </w:rPr>
            </w:pPr>
          </w:p>
        </w:tc>
      </w:tr>
      <w:tr>
        <w:trPr>
          <w:trHeight w:val="266"/>
        </w:trPr>
        <w:tc>
          <w:tcPr>
            <w:tcW w:w="2260" w:type="dxa"/>
            <w:vAlign w:val="bottom"/>
          </w:tcPr>
          <w:p>
            <w:pPr>
              <w:ind w:left="20"/>
              <w:spacing w:after="0"/>
              <w:rPr>
                <w:sz w:val="20"/>
                <w:szCs w:val="20"/>
                <w:color w:val="auto"/>
              </w:rPr>
            </w:pPr>
            <w:r>
              <w:rPr>
                <w:rFonts w:ascii="Arial" w:cs="Arial" w:eastAsia="Arial" w:hAnsi="Arial"/>
                <w:sz w:val="14"/>
                <w:szCs w:val="14"/>
                <w:color w:val="auto"/>
              </w:rPr>
              <w:t>General and administrative</w:t>
            </w:r>
          </w:p>
        </w:tc>
        <w:tc>
          <w:tcPr>
            <w:tcW w:w="14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9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3"/>
                <w:szCs w:val="23"/>
                <w:color w:val="auto"/>
              </w:rPr>
            </w:pPr>
          </w:p>
        </w:tc>
        <w:tc>
          <w:tcPr>
            <w:tcW w:w="10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3"/>
                <w:szCs w:val="23"/>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3"/>
                <w:szCs w:val="23"/>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3"/>
                <w:szCs w:val="23"/>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3"/>
                <w:szCs w:val="23"/>
                <w:color w:val="auto"/>
              </w:rPr>
            </w:pPr>
          </w:p>
        </w:tc>
        <w:tc>
          <w:tcPr>
            <w:tcW w:w="820" w:type="dxa"/>
            <w:vAlign w:val="bottom"/>
          </w:tcPr>
          <w:p>
            <w:pPr>
              <w:jc w:val="right"/>
              <w:ind w:right="28"/>
              <w:spacing w:after="0"/>
              <w:rPr>
                <w:sz w:val="20"/>
                <w:szCs w:val="20"/>
                <w:color w:val="auto"/>
              </w:rPr>
            </w:pPr>
            <w:r>
              <w:rPr>
                <w:rFonts w:ascii="Arial" w:cs="Arial" w:eastAsia="Arial" w:hAnsi="Arial"/>
                <w:sz w:val="14"/>
                <w:szCs w:val="14"/>
                <w:color w:val="auto"/>
              </w:rPr>
              <w:t>3,205</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680" w:type="dxa"/>
            <w:vAlign w:val="bottom"/>
          </w:tcPr>
          <w:p>
            <w:pPr>
              <w:jc w:val="right"/>
              <w:ind w:right="48"/>
              <w:spacing w:after="0"/>
              <w:rPr>
                <w:sz w:val="20"/>
                <w:szCs w:val="20"/>
                <w:color w:val="auto"/>
              </w:rPr>
            </w:pPr>
            <w:r>
              <w:rPr>
                <w:rFonts w:ascii="Arial" w:cs="Arial" w:eastAsia="Arial" w:hAnsi="Arial"/>
                <w:sz w:val="14"/>
                <w:szCs w:val="14"/>
                <w:color w:val="auto"/>
              </w:rPr>
              <w:t>3,205</w:t>
            </w:r>
          </w:p>
        </w:tc>
        <w:tc>
          <w:tcPr>
            <w:tcW w:w="0" w:type="dxa"/>
            <w:vAlign w:val="bottom"/>
          </w:tcPr>
          <w:p>
            <w:pPr>
              <w:spacing w:after="0"/>
              <w:rPr>
                <w:sz w:val="1"/>
                <w:szCs w:val="1"/>
                <w:color w:val="auto"/>
              </w:rPr>
            </w:pPr>
          </w:p>
        </w:tc>
      </w:tr>
      <w:tr>
        <w:trPr>
          <w:trHeight w:val="180"/>
        </w:trPr>
        <w:tc>
          <w:tcPr>
            <w:tcW w:w="2260" w:type="dxa"/>
            <w:vAlign w:val="bottom"/>
            <w:shd w:val="clear" w:color="auto" w:fill="CCEEFF"/>
          </w:tcPr>
          <w:p>
            <w:pPr>
              <w:ind w:left="20"/>
              <w:spacing w:after="0"/>
              <w:rPr>
                <w:sz w:val="20"/>
                <w:szCs w:val="20"/>
                <w:color w:val="auto"/>
              </w:rPr>
            </w:pPr>
            <w:r>
              <w:rPr>
                <w:rFonts w:ascii="Arial" w:cs="Arial" w:eastAsia="Arial" w:hAnsi="Arial"/>
                <w:sz w:val="14"/>
                <w:szCs w:val="14"/>
                <w:color w:val="auto"/>
              </w:rPr>
              <w:t>Acquisition and transaction</w:t>
            </w:r>
          </w:p>
        </w:tc>
        <w:tc>
          <w:tcPr>
            <w:tcW w:w="14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2"/>
        </w:trPr>
        <w:tc>
          <w:tcPr>
            <w:tcW w:w="2260" w:type="dxa"/>
            <w:vAlign w:val="bottom"/>
            <w:shd w:val="clear" w:color="auto" w:fill="CCEEFF"/>
          </w:tcPr>
          <w:p>
            <w:pPr>
              <w:ind w:left="20"/>
              <w:spacing w:after="0"/>
              <w:rPr>
                <w:sz w:val="20"/>
                <w:szCs w:val="20"/>
                <w:color w:val="auto"/>
              </w:rPr>
            </w:pPr>
            <w:r>
              <w:rPr>
                <w:rFonts w:ascii="Arial" w:cs="Arial" w:eastAsia="Arial" w:hAnsi="Arial"/>
                <w:sz w:val="14"/>
                <w:szCs w:val="14"/>
                <w:color w:val="auto"/>
              </w:rPr>
              <w:t>expenses</w:t>
            </w: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109</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1,579</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1,688</w:t>
            </w:r>
          </w:p>
        </w:tc>
        <w:tc>
          <w:tcPr>
            <w:tcW w:w="0" w:type="dxa"/>
            <w:vAlign w:val="bottom"/>
          </w:tcPr>
          <w:p>
            <w:pPr>
              <w:spacing w:after="0"/>
              <w:rPr>
                <w:sz w:val="1"/>
                <w:szCs w:val="1"/>
                <w:color w:val="auto"/>
              </w:rPr>
            </w:pPr>
          </w:p>
        </w:tc>
      </w:tr>
      <w:tr>
        <w:trPr>
          <w:trHeight w:val="176"/>
        </w:trPr>
        <w:tc>
          <w:tcPr>
            <w:tcW w:w="2260" w:type="dxa"/>
            <w:vAlign w:val="bottom"/>
          </w:tcPr>
          <w:p>
            <w:pPr>
              <w:ind w:left="20"/>
              <w:spacing w:after="0"/>
              <w:rPr>
                <w:sz w:val="20"/>
                <w:szCs w:val="20"/>
                <w:color w:val="auto"/>
              </w:rPr>
            </w:pPr>
            <w:r>
              <w:rPr>
                <w:rFonts w:ascii="Arial" w:cs="Arial" w:eastAsia="Arial" w:hAnsi="Arial"/>
                <w:sz w:val="14"/>
                <w:szCs w:val="14"/>
                <w:color w:val="auto"/>
              </w:rPr>
              <w:t>Management fees and incentive</w:t>
            </w:r>
          </w:p>
        </w:tc>
        <w:tc>
          <w:tcPr>
            <w:tcW w:w="1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8"/>
        </w:trPr>
        <w:tc>
          <w:tcPr>
            <w:tcW w:w="2260" w:type="dxa"/>
            <w:vAlign w:val="bottom"/>
          </w:tcPr>
          <w:p>
            <w:pPr>
              <w:ind w:left="20"/>
              <w:spacing w:after="0"/>
              <w:rPr>
                <w:sz w:val="20"/>
                <w:szCs w:val="20"/>
                <w:color w:val="auto"/>
              </w:rPr>
            </w:pPr>
            <w:r>
              <w:rPr>
                <w:rFonts w:ascii="Arial" w:cs="Arial" w:eastAsia="Arial" w:hAnsi="Arial"/>
                <w:sz w:val="14"/>
                <w:szCs w:val="14"/>
                <w:color w:val="auto"/>
              </w:rPr>
              <w:t>allocation to affiliate</w:t>
            </w:r>
          </w:p>
        </w:tc>
        <w:tc>
          <w:tcPr>
            <w:tcW w:w="14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7"/>
                <w:szCs w:val="17"/>
                <w:color w:val="auto"/>
              </w:rPr>
            </w:pPr>
          </w:p>
        </w:tc>
        <w:tc>
          <w:tcPr>
            <w:tcW w:w="10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7"/>
                <w:szCs w:val="17"/>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820" w:type="dxa"/>
            <w:vAlign w:val="bottom"/>
          </w:tcPr>
          <w:p>
            <w:pPr>
              <w:jc w:val="right"/>
              <w:ind w:right="28"/>
              <w:spacing w:after="0"/>
              <w:rPr>
                <w:sz w:val="20"/>
                <w:szCs w:val="20"/>
                <w:color w:val="auto"/>
              </w:rPr>
            </w:pPr>
            <w:r>
              <w:rPr>
                <w:rFonts w:ascii="Arial" w:cs="Arial" w:eastAsia="Arial" w:hAnsi="Arial"/>
                <w:sz w:val="14"/>
                <w:szCs w:val="14"/>
                <w:color w:val="auto"/>
              </w:rPr>
              <w:t>4,146</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jc w:val="right"/>
              <w:ind w:right="48"/>
              <w:spacing w:after="0"/>
              <w:rPr>
                <w:sz w:val="20"/>
                <w:szCs w:val="20"/>
                <w:color w:val="auto"/>
              </w:rPr>
            </w:pPr>
            <w:r>
              <w:rPr>
                <w:rFonts w:ascii="Arial" w:cs="Arial" w:eastAsia="Arial" w:hAnsi="Arial"/>
                <w:sz w:val="14"/>
                <w:szCs w:val="14"/>
                <w:color w:val="auto"/>
              </w:rPr>
              <w:t>4,146</w:t>
            </w:r>
          </w:p>
        </w:tc>
        <w:tc>
          <w:tcPr>
            <w:tcW w:w="0" w:type="dxa"/>
            <w:vAlign w:val="bottom"/>
          </w:tcPr>
          <w:p>
            <w:pPr>
              <w:spacing w:after="0"/>
              <w:rPr>
                <w:sz w:val="1"/>
                <w:szCs w:val="1"/>
                <w:color w:val="auto"/>
              </w:rPr>
            </w:pPr>
          </w:p>
        </w:tc>
      </w:tr>
      <w:tr>
        <w:trPr>
          <w:trHeight w:val="274"/>
        </w:trPr>
        <w:tc>
          <w:tcPr>
            <w:tcW w:w="2260" w:type="dxa"/>
            <w:vAlign w:val="bottom"/>
            <w:shd w:val="clear" w:color="auto" w:fill="CCEEFF"/>
          </w:tcPr>
          <w:p>
            <w:pPr>
              <w:ind w:left="20"/>
              <w:spacing w:after="0"/>
              <w:rPr>
                <w:sz w:val="20"/>
                <w:szCs w:val="20"/>
                <w:color w:val="auto"/>
              </w:rPr>
            </w:pPr>
            <w:r>
              <w:rPr>
                <w:rFonts w:ascii="Arial" w:cs="Arial" w:eastAsia="Arial" w:hAnsi="Arial"/>
                <w:sz w:val="14"/>
                <w:szCs w:val="14"/>
                <w:color w:val="auto"/>
              </w:rPr>
              <w:t>Depreciation and amortization</w:t>
            </w:r>
          </w:p>
        </w:tc>
        <w:tc>
          <w:tcPr>
            <w:tcW w:w="140" w:type="dxa"/>
            <w:vAlign w:val="bottom"/>
            <w:shd w:val="clear" w:color="auto" w:fill="CCEEFF"/>
          </w:tcPr>
          <w:p>
            <w:pPr>
              <w:spacing w:after="0"/>
              <w:rPr>
                <w:sz w:val="23"/>
                <w:szCs w:val="23"/>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9,376</w:t>
            </w:r>
          </w:p>
        </w:tc>
        <w:tc>
          <w:tcPr>
            <w:tcW w:w="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8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1,669</w:t>
            </w: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0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3"/>
                <w:szCs w:val="23"/>
                <w:color w:val="auto"/>
              </w:rPr>
            </w:pPr>
          </w:p>
        </w:tc>
        <w:tc>
          <w:tcPr>
            <w:tcW w:w="8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3,920</w:t>
            </w: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8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411</w:t>
            </w: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3"/>
                <w:szCs w:val="23"/>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3"/>
                <w:szCs w:val="23"/>
                <w:color w:val="auto"/>
              </w:rPr>
            </w:pPr>
          </w:p>
        </w:tc>
        <w:tc>
          <w:tcPr>
            <w:tcW w:w="6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15,376</w:t>
            </w:r>
          </w:p>
        </w:tc>
        <w:tc>
          <w:tcPr>
            <w:tcW w:w="0" w:type="dxa"/>
            <w:vAlign w:val="bottom"/>
          </w:tcPr>
          <w:p>
            <w:pPr>
              <w:spacing w:after="0"/>
              <w:rPr>
                <w:sz w:val="1"/>
                <w:szCs w:val="1"/>
                <w:color w:val="auto"/>
              </w:rPr>
            </w:pPr>
          </w:p>
        </w:tc>
      </w:tr>
      <w:tr>
        <w:trPr>
          <w:trHeight w:val="266"/>
        </w:trPr>
        <w:tc>
          <w:tcPr>
            <w:tcW w:w="2260" w:type="dxa"/>
            <w:vAlign w:val="bottom"/>
          </w:tcPr>
          <w:p>
            <w:pPr>
              <w:ind w:left="20"/>
              <w:spacing w:after="0"/>
              <w:rPr>
                <w:sz w:val="20"/>
                <w:szCs w:val="20"/>
                <w:color w:val="auto"/>
              </w:rPr>
            </w:pPr>
            <w:r>
              <w:rPr>
                <w:rFonts w:ascii="Arial" w:cs="Arial" w:eastAsia="Arial" w:hAnsi="Arial"/>
                <w:sz w:val="14"/>
                <w:szCs w:val="14"/>
                <w:color w:val="auto"/>
              </w:rPr>
              <w:t>Interest expense</w:t>
            </w:r>
          </w:p>
        </w:tc>
        <w:tc>
          <w:tcPr>
            <w:tcW w:w="14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40" w:type="dxa"/>
            <w:vAlign w:val="bottom"/>
          </w:tcPr>
          <w:p>
            <w:pPr>
              <w:jc w:val="right"/>
              <w:ind w:right="48"/>
              <w:spacing w:after="0"/>
              <w:rPr>
                <w:sz w:val="20"/>
                <w:szCs w:val="20"/>
                <w:color w:val="auto"/>
              </w:rPr>
            </w:pPr>
            <w:r>
              <w:rPr>
                <w:rFonts w:ascii="Arial" w:cs="Arial" w:eastAsia="Arial" w:hAnsi="Arial"/>
                <w:sz w:val="14"/>
                <w:szCs w:val="14"/>
                <w:color w:val="auto"/>
              </w:rPr>
              <w:t>934</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3"/>
                <w:szCs w:val="23"/>
                <w:color w:val="auto"/>
              </w:rPr>
            </w:pPr>
          </w:p>
        </w:tc>
        <w:tc>
          <w:tcPr>
            <w:tcW w:w="820" w:type="dxa"/>
            <w:vAlign w:val="bottom"/>
          </w:tcPr>
          <w:p>
            <w:pPr>
              <w:jc w:val="right"/>
              <w:ind w:right="28"/>
              <w:spacing w:after="0"/>
              <w:rPr>
                <w:sz w:val="20"/>
                <w:szCs w:val="20"/>
                <w:color w:val="auto"/>
              </w:rPr>
            </w:pPr>
            <w:r>
              <w:rPr>
                <w:rFonts w:ascii="Arial" w:cs="Arial" w:eastAsia="Arial" w:hAnsi="Arial"/>
                <w:sz w:val="14"/>
                <w:szCs w:val="14"/>
                <w:color w:val="auto"/>
              </w:rPr>
              <w:t>4,016</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00" w:type="dxa"/>
            <w:vAlign w:val="bottom"/>
          </w:tcPr>
          <w:p>
            <w:pPr>
              <w:jc w:val="right"/>
              <w:ind w:right="28"/>
              <w:spacing w:after="0"/>
              <w:rPr>
                <w:sz w:val="20"/>
                <w:szCs w:val="20"/>
                <w:color w:val="auto"/>
              </w:rPr>
            </w:pPr>
            <w:r>
              <w:rPr>
                <w:rFonts w:ascii="Arial" w:cs="Arial" w:eastAsia="Arial" w:hAnsi="Arial"/>
                <w:sz w:val="14"/>
                <w:szCs w:val="14"/>
                <w:color w:val="auto"/>
              </w:rPr>
              <w:t>182</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40" w:type="dxa"/>
            <w:vAlign w:val="bottom"/>
          </w:tcPr>
          <w:p>
            <w:pPr>
              <w:jc w:val="right"/>
              <w:ind w:right="28"/>
              <w:spacing w:after="0"/>
              <w:rPr>
                <w:sz w:val="20"/>
                <w:szCs w:val="20"/>
                <w:color w:val="auto"/>
              </w:rPr>
            </w:pPr>
            <w:r>
              <w:rPr>
                <w:rFonts w:ascii="Arial" w:cs="Arial" w:eastAsia="Arial" w:hAnsi="Arial"/>
                <w:sz w:val="14"/>
                <w:szCs w:val="14"/>
                <w:color w:val="auto"/>
              </w:rPr>
              <w:t>284</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3"/>
                <w:szCs w:val="23"/>
                <w:color w:val="auto"/>
              </w:rPr>
            </w:pPr>
          </w:p>
        </w:tc>
        <w:tc>
          <w:tcPr>
            <w:tcW w:w="680" w:type="dxa"/>
            <w:vAlign w:val="bottom"/>
          </w:tcPr>
          <w:p>
            <w:pPr>
              <w:jc w:val="right"/>
              <w:ind w:right="48"/>
              <w:spacing w:after="0"/>
              <w:rPr>
                <w:sz w:val="20"/>
                <w:szCs w:val="20"/>
                <w:color w:val="auto"/>
              </w:rPr>
            </w:pPr>
            <w:r>
              <w:rPr>
                <w:rFonts w:ascii="Arial" w:cs="Arial" w:eastAsia="Arial" w:hAnsi="Arial"/>
                <w:sz w:val="14"/>
                <w:szCs w:val="14"/>
                <w:color w:val="auto"/>
              </w:rPr>
              <w:t>5,416</w:t>
            </w:r>
          </w:p>
        </w:tc>
        <w:tc>
          <w:tcPr>
            <w:tcW w:w="0" w:type="dxa"/>
            <w:vAlign w:val="bottom"/>
          </w:tcPr>
          <w:p>
            <w:pPr>
              <w:spacing w:after="0"/>
              <w:rPr>
                <w:sz w:val="1"/>
                <w:szCs w:val="1"/>
                <w:color w:val="auto"/>
              </w:rPr>
            </w:pPr>
          </w:p>
        </w:tc>
      </w:tr>
      <w:tr>
        <w:trPr>
          <w:trHeight w:val="250"/>
        </w:trPr>
        <w:tc>
          <w:tcPr>
            <w:tcW w:w="22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Total expenses</w:t>
            </w:r>
          </w:p>
        </w:tc>
        <w:tc>
          <w:tcPr>
            <w:tcW w:w="140" w:type="dxa"/>
            <w:vAlign w:val="bottom"/>
            <w:tcBorders>
              <w:top w:val="single" w:sz="8" w:color="auto"/>
              <w:bottom w:val="single" w:sz="8" w:color="auto"/>
            </w:tcBorders>
            <w:shd w:val="clear" w:color="auto" w:fill="CCEEFF"/>
          </w:tcPr>
          <w:p>
            <w:pPr>
              <w:spacing w:after="0"/>
              <w:rPr>
                <w:sz w:val="21"/>
                <w:szCs w:val="21"/>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10,268</w:t>
            </w:r>
          </w:p>
        </w:tc>
        <w:tc>
          <w:tcPr>
            <w:tcW w:w="60" w:type="dxa"/>
            <w:vAlign w:val="bottom"/>
            <w:tcBorders>
              <w:top w:val="single" w:sz="8" w:color="auto"/>
              <w:bottom w:val="single" w:sz="8" w:color="auto"/>
            </w:tcBorders>
            <w:shd w:val="clear" w:color="auto" w:fill="CCEEFF"/>
          </w:tcPr>
          <w:p>
            <w:pPr>
              <w:spacing w:after="0"/>
              <w:rPr>
                <w:sz w:val="21"/>
                <w:szCs w:val="21"/>
                <w:color w:val="auto"/>
              </w:rPr>
            </w:pPr>
          </w:p>
        </w:tc>
        <w:tc>
          <w:tcPr>
            <w:tcW w:w="120" w:type="dxa"/>
            <w:vAlign w:val="bottom"/>
            <w:tcBorders>
              <w:top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spacing w:after="0"/>
              <w:rPr>
                <w:sz w:val="21"/>
                <w:szCs w:val="21"/>
                <w:color w:val="auto"/>
              </w:rPr>
            </w:pPr>
          </w:p>
        </w:tc>
        <w:tc>
          <w:tcPr>
            <w:tcW w:w="84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5,011</w:t>
            </w:r>
          </w:p>
        </w:tc>
        <w:tc>
          <w:tcPr>
            <w:tcW w:w="120" w:type="dxa"/>
            <w:vAlign w:val="bottom"/>
            <w:tcBorders>
              <w:top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spacing w:after="0"/>
              <w:rPr>
                <w:sz w:val="21"/>
                <w:szCs w:val="21"/>
                <w:color w:val="auto"/>
              </w:rPr>
            </w:pPr>
          </w:p>
        </w:tc>
        <w:tc>
          <w:tcPr>
            <w:tcW w:w="94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w:t>
            </w:r>
          </w:p>
        </w:tc>
        <w:tc>
          <w:tcPr>
            <w:tcW w:w="100" w:type="dxa"/>
            <w:vAlign w:val="bottom"/>
            <w:tcBorders>
              <w:top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spacing w:after="0"/>
              <w:rPr>
                <w:sz w:val="21"/>
                <w:szCs w:val="21"/>
                <w:color w:val="auto"/>
              </w:rPr>
            </w:pPr>
          </w:p>
        </w:tc>
        <w:tc>
          <w:tcPr>
            <w:tcW w:w="82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14,841</w:t>
            </w:r>
          </w:p>
        </w:tc>
        <w:tc>
          <w:tcPr>
            <w:tcW w:w="120" w:type="dxa"/>
            <w:vAlign w:val="bottom"/>
            <w:tcBorders>
              <w:top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spacing w:after="0"/>
              <w:rPr>
                <w:sz w:val="21"/>
                <w:szCs w:val="21"/>
                <w:color w:val="auto"/>
              </w:rPr>
            </w:pPr>
          </w:p>
        </w:tc>
        <w:tc>
          <w:tcPr>
            <w:tcW w:w="80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7,107</w:t>
            </w:r>
          </w:p>
        </w:tc>
        <w:tc>
          <w:tcPr>
            <w:tcW w:w="100" w:type="dxa"/>
            <w:vAlign w:val="bottom"/>
            <w:tcBorders>
              <w:top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spacing w:after="0"/>
              <w:rPr>
                <w:sz w:val="21"/>
                <w:szCs w:val="21"/>
                <w:color w:val="auto"/>
              </w:rPr>
            </w:pPr>
          </w:p>
        </w:tc>
        <w:tc>
          <w:tcPr>
            <w:tcW w:w="84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701</w:t>
            </w:r>
          </w:p>
        </w:tc>
        <w:tc>
          <w:tcPr>
            <w:tcW w:w="100" w:type="dxa"/>
            <w:vAlign w:val="bottom"/>
            <w:tcBorders>
              <w:top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spacing w:after="0"/>
              <w:rPr>
                <w:sz w:val="21"/>
                <w:szCs w:val="21"/>
                <w:color w:val="auto"/>
              </w:rPr>
            </w:pPr>
          </w:p>
        </w:tc>
        <w:tc>
          <w:tcPr>
            <w:tcW w:w="82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8,930</w:t>
            </w:r>
          </w:p>
        </w:tc>
        <w:tc>
          <w:tcPr>
            <w:tcW w:w="120" w:type="dxa"/>
            <w:vAlign w:val="bottom"/>
            <w:tcBorders>
              <w:top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spacing w:after="0"/>
              <w:rPr>
                <w:sz w:val="21"/>
                <w:szCs w:val="21"/>
                <w:color w:val="auto"/>
              </w:rPr>
            </w:pPr>
          </w:p>
        </w:tc>
        <w:tc>
          <w:tcPr>
            <w:tcW w:w="68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46,859</w:t>
            </w:r>
          </w:p>
        </w:tc>
        <w:tc>
          <w:tcPr>
            <w:tcW w:w="0" w:type="dxa"/>
            <w:vAlign w:val="bottom"/>
          </w:tcPr>
          <w:p>
            <w:pPr>
              <w:spacing w:after="0"/>
              <w:rPr>
                <w:sz w:val="1"/>
                <w:szCs w:val="1"/>
                <w:color w:val="auto"/>
              </w:rPr>
            </w:pPr>
          </w:p>
        </w:tc>
      </w:tr>
      <w:tr>
        <w:trPr>
          <w:trHeight w:val="322"/>
        </w:trPr>
        <w:tc>
          <w:tcPr>
            <w:tcW w:w="2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226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Other income (expense)</w:t>
            </w:r>
          </w:p>
        </w:tc>
        <w:tc>
          <w:tcPr>
            <w:tcW w:w="140" w:type="dxa"/>
            <w:vAlign w:val="bottom"/>
            <w:shd w:val="clear" w:color="auto" w:fill="CCEEFF"/>
          </w:tcPr>
          <w:p>
            <w:pPr>
              <w:spacing w:after="0"/>
              <w:rPr>
                <w:sz w:val="23"/>
                <w:szCs w:val="23"/>
                <w:color w:val="auto"/>
              </w:rPr>
            </w:pPr>
          </w:p>
        </w:tc>
        <w:tc>
          <w:tcPr>
            <w:tcW w:w="780" w:type="dxa"/>
            <w:vAlign w:val="bottom"/>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8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9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8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8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8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8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68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176"/>
        </w:trPr>
        <w:tc>
          <w:tcPr>
            <w:tcW w:w="2260" w:type="dxa"/>
            <w:vAlign w:val="bottom"/>
          </w:tcPr>
          <w:p>
            <w:pPr>
              <w:ind w:left="20"/>
              <w:spacing w:after="0"/>
              <w:rPr>
                <w:sz w:val="20"/>
                <w:szCs w:val="20"/>
                <w:color w:val="auto"/>
              </w:rPr>
            </w:pPr>
            <w:r>
              <w:rPr>
                <w:rFonts w:ascii="Arial" w:cs="Arial" w:eastAsia="Arial" w:hAnsi="Arial"/>
                <w:sz w:val="14"/>
                <w:szCs w:val="14"/>
                <w:color w:val="auto"/>
              </w:rPr>
              <w:t>Equity in losses of unconsolidated</w:t>
            </w:r>
          </w:p>
        </w:tc>
        <w:tc>
          <w:tcPr>
            <w:tcW w:w="1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8"/>
        </w:trPr>
        <w:tc>
          <w:tcPr>
            <w:tcW w:w="2260" w:type="dxa"/>
            <w:vAlign w:val="bottom"/>
          </w:tcPr>
          <w:p>
            <w:pPr>
              <w:ind w:left="20"/>
              <w:spacing w:after="0"/>
              <w:rPr>
                <w:sz w:val="20"/>
                <w:szCs w:val="20"/>
                <w:color w:val="auto"/>
              </w:rPr>
            </w:pPr>
            <w:r>
              <w:rPr>
                <w:rFonts w:ascii="Arial" w:cs="Arial" w:eastAsia="Arial" w:hAnsi="Arial"/>
                <w:sz w:val="14"/>
                <w:szCs w:val="14"/>
                <w:color w:val="auto"/>
              </w:rPr>
              <w:t>entities</w:t>
            </w:r>
          </w:p>
        </w:tc>
        <w:tc>
          <w:tcPr>
            <w:tcW w:w="14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(1,161)</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7"/>
                <w:szCs w:val="17"/>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(1,161)</w:t>
            </w:r>
          </w:p>
        </w:tc>
        <w:tc>
          <w:tcPr>
            <w:tcW w:w="0" w:type="dxa"/>
            <w:vAlign w:val="bottom"/>
          </w:tcPr>
          <w:p>
            <w:pPr>
              <w:spacing w:after="0"/>
              <w:rPr>
                <w:sz w:val="1"/>
                <w:szCs w:val="1"/>
                <w:color w:val="auto"/>
              </w:rPr>
            </w:pPr>
          </w:p>
        </w:tc>
      </w:tr>
      <w:tr>
        <w:trPr>
          <w:trHeight w:val="180"/>
        </w:trPr>
        <w:tc>
          <w:tcPr>
            <w:tcW w:w="2260" w:type="dxa"/>
            <w:vAlign w:val="bottom"/>
            <w:shd w:val="clear" w:color="auto" w:fill="CCEEFF"/>
          </w:tcPr>
          <w:p>
            <w:pPr>
              <w:ind w:left="20"/>
              <w:spacing w:after="0"/>
              <w:rPr>
                <w:sz w:val="20"/>
                <w:szCs w:val="20"/>
                <w:color w:val="auto"/>
              </w:rPr>
            </w:pPr>
            <w:r>
              <w:rPr>
                <w:rFonts w:ascii="Arial" w:cs="Arial" w:eastAsia="Arial" w:hAnsi="Arial"/>
                <w:sz w:val="14"/>
                <w:szCs w:val="14"/>
                <w:color w:val="auto"/>
              </w:rPr>
              <w:t>Gain (loss) on sale of equipment</w:t>
            </w:r>
          </w:p>
        </w:tc>
        <w:tc>
          <w:tcPr>
            <w:tcW w:w="14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2"/>
        </w:trPr>
        <w:tc>
          <w:tcPr>
            <w:tcW w:w="2260" w:type="dxa"/>
            <w:vAlign w:val="bottom"/>
            <w:shd w:val="clear" w:color="auto" w:fill="CCEEFF"/>
          </w:tcPr>
          <w:p>
            <w:pPr>
              <w:ind w:left="20"/>
              <w:spacing w:after="0"/>
              <w:rPr>
                <w:sz w:val="20"/>
                <w:szCs w:val="20"/>
                <w:color w:val="auto"/>
              </w:rPr>
            </w:pPr>
            <w:r>
              <w:rPr>
                <w:rFonts w:ascii="Arial" w:cs="Arial" w:eastAsia="Arial" w:hAnsi="Arial"/>
                <w:sz w:val="14"/>
                <w:szCs w:val="14"/>
                <w:color w:val="auto"/>
              </w:rPr>
              <w:t>and finance leases, net</w:t>
            </w: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7"/>
                <w:szCs w:val="17"/>
                <w:color w:val="auto"/>
              </w:rPr>
            </w:pPr>
          </w:p>
        </w:tc>
        <w:tc>
          <w:tcPr>
            <w:tcW w:w="8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40</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7"/>
                <w:szCs w:val="17"/>
                <w:color w:val="auto"/>
              </w:rPr>
            </w:pPr>
          </w:p>
        </w:tc>
        <w:tc>
          <w:tcPr>
            <w:tcW w:w="6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40</w:t>
            </w:r>
          </w:p>
        </w:tc>
        <w:tc>
          <w:tcPr>
            <w:tcW w:w="0" w:type="dxa"/>
            <w:vAlign w:val="bottom"/>
          </w:tcPr>
          <w:p>
            <w:pPr>
              <w:spacing w:after="0"/>
              <w:rPr>
                <w:sz w:val="1"/>
                <w:szCs w:val="1"/>
                <w:color w:val="auto"/>
              </w:rPr>
            </w:pPr>
          </w:p>
        </w:tc>
      </w:tr>
      <w:tr>
        <w:trPr>
          <w:trHeight w:val="266"/>
        </w:trPr>
        <w:tc>
          <w:tcPr>
            <w:tcW w:w="2260" w:type="dxa"/>
            <w:vAlign w:val="bottom"/>
          </w:tcPr>
          <w:p>
            <w:pPr>
              <w:ind w:left="20"/>
              <w:spacing w:after="0"/>
              <w:rPr>
                <w:sz w:val="20"/>
                <w:szCs w:val="20"/>
                <w:color w:val="auto"/>
              </w:rPr>
            </w:pPr>
            <w:r>
              <w:rPr>
                <w:rFonts w:ascii="Arial" w:cs="Arial" w:eastAsia="Arial" w:hAnsi="Arial"/>
                <w:sz w:val="14"/>
                <w:szCs w:val="14"/>
                <w:color w:val="auto"/>
              </w:rPr>
              <w:t>Loss on extinguishment of debt</w:t>
            </w:r>
          </w:p>
        </w:tc>
        <w:tc>
          <w:tcPr>
            <w:tcW w:w="14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9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3"/>
                <w:szCs w:val="23"/>
                <w:color w:val="auto"/>
              </w:rPr>
            </w:pPr>
          </w:p>
        </w:tc>
        <w:tc>
          <w:tcPr>
            <w:tcW w:w="10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3"/>
                <w:szCs w:val="23"/>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3"/>
                <w:szCs w:val="23"/>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3"/>
                <w:szCs w:val="23"/>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3"/>
                <w:szCs w:val="23"/>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3"/>
                <w:szCs w:val="23"/>
                <w:color w:val="auto"/>
              </w:rPr>
            </w:pPr>
          </w:p>
        </w:tc>
        <w:tc>
          <w:tcPr>
            <w:tcW w:w="68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4"/>
        </w:trPr>
        <w:tc>
          <w:tcPr>
            <w:tcW w:w="2260" w:type="dxa"/>
            <w:vAlign w:val="bottom"/>
            <w:shd w:val="clear" w:color="auto" w:fill="CCEEFF"/>
          </w:tcPr>
          <w:p>
            <w:pPr>
              <w:ind w:left="20"/>
              <w:spacing w:after="0"/>
              <w:rPr>
                <w:sz w:val="20"/>
                <w:szCs w:val="20"/>
                <w:color w:val="auto"/>
              </w:rPr>
            </w:pPr>
            <w:r>
              <w:rPr>
                <w:rFonts w:ascii="Arial" w:cs="Arial" w:eastAsia="Arial" w:hAnsi="Arial"/>
                <w:sz w:val="14"/>
                <w:szCs w:val="14"/>
                <w:color w:val="auto"/>
              </w:rPr>
              <w:t>Asset impairment</w:t>
            </w:r>
          </w:p>
        </w:tc>
        <w:tc>
          <w:tcPr>
            <w:tcW w:w="140" w:type="dxa"/>
            <w:vAlign w:val="bottom"/>
            <w:shd w:val="clear" w:color="auto" w:fill="CCEEFF"/>
          </w:tcPr>
          <w:p>
            <w:pPr>
              <w:spacing w:after="0"/>
              <w:rPr>
                <w:sz w:val="23"/>
                <w:szCs w:val="23"/>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96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3"/>
                <w:szCs w:val="23"/>
                <w:color w:val="auto"/>
              </w:rPr>
            </w:pPr>
          </w:p>
        </w:tc>
        <w:tc>
          <w:tcPr>
            <w:tcW w:w="10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3"/>
                <w:szCs w:val="23"/>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3"/>
                <w:szCs w:val="23"/>
                <w:color w:val="auto"/>
              </w:rPr>
            </w:pP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3"/>
                <w:szCs w:val="23"/>
                <w:color w:val="auto"/>
              </w:rPr>
            </w:pP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3"/>
                <w:szCs w:val="23"/>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3"/>
                <w:szCs w:val="23"/>
                <w:color w:val="auto"/>
              </w:rPr>
            </w:pPr>
          </w:p>
        </w:tc>
        <w:tc>
          <w:tcPr>
            <w:tcW w:w="6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66"/>
        </w:trPr>
        <w:tc>
          <w:tcPr>
            <w:tcW w:w="2260" w:type="dxa"/>
            <w:vAlign w:val="bottom"/>
          </w:tcPr>
          <w:p>
            <w:pPr>
              <w:ind w:left="20"/>
              <w:spacing w:after="0"/>
              <w:rPr>
                <w:sz w:val="20"/>
                <w:szCs w:val="20"/>
                <w:color w:val="auto"/>
              </w:rPr>
            </w:pPr>
            <w:r>
              <w:rPr>
                <w:rFonts w:ascii="Arial" w:cs="Arial" w:eastAsia="Arial" w:hAnsi="Arial"/>
                <w:sz w:val="14"/>
                <w:szCs w:val="14"/>
                <w:color w:val="auto"/>
              </w:rPr>
              <w:t>Interest income (expense)</w:t>
            </w:r>
          </w:p>
        </w:tc>
        <w:tc>
          <w:tcPr>
            <w:tcW w:w="14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6</w:t>
            </w:r>
          </w:p>
        </w:tc>
        <w:tc>
          <w:tcPr>
            <w:tcW w:w="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40" w:type="dxa"/>
            <w:vAlign w:val="bottom"/>
          </w:tcPr>
          <w:p>
            <w:pPr>
              <w:jc w:val="right"/>
              <w:ind w:right="48"/>
              <w:spacing w:after="0"/>
              <w:rPr>
                <w:sz w:val="20"/>
                <w:szCs w:val="20"/>
                <w:color w:val="auto"/>
              </w:rPr>
            </w:pPr>
            <w:r>
              <w:rPr>
                <w:rFonts w:ascii="Arial" w:cs="Arial" w:eastAsia="Arial" w:hAnsi="Arial"/>
                <w:sz w:val="14"/>
                <w:szCs w:val="14"/>
                <w:color w:val="auto"/>
              </w:rPr>
              <w:t>4</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3"/>
                <w:szCs w:val="23"/>
                <w:color w:val="auto"/>
              </w:rPr>
            </w:pPr>
          </w:p>
        </w:tc>
        <w:tc>
          <w:tcPr>
            <w:tcW w:w="820" w:type="dxa"/>
            <w:vAlign w:val="bottom"/>
          </w:tcPr>
          <w:p>
            <w:pPr>
              <w:jc w:val="right"/>
              <w:ind w:right="28"/>
              <w:spacing w:after="0"/>
              <w:rPr>
                <w:sz w:val="20"/>
                <w:szCs w:val="20"/>
                <w:color w:val="auto"/>
              </w:rPr>
            </w:pPr>
            <w:r>
              <w:rPr>
                <w:rFonts w:ascii="Arial" w:cs="Arial" w:eastAsia="Arial" w:hAnsi="Arial"/>
                <w:sz w:val="14"/>
                <w:szCs w:val="14"/>
                <w:color w:val="auto"/>
              </w:rPr>
              <w:t>196</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3"/>
                <w:szCs w:val="23"/>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3"/>
                <w:szCs w:val="23"/>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3"/>
                <w:szCs w:val="23"/>
                <w:color w:val="auto"/>
              </w:rPr>
            </w:pPr>
          </w:p>
        </w:tc>
        <w:tc>
          <w:tcPr>
            <w:tcW w:w="680" w:type="dxa"/>
            <w:vAlign w:val="bottom"/>
          </w:tcPr>
          <w:p>
            <w:pPr>
              <w:jc w:val="right"/>
              <w:ind w:right="48"/>
              <w:spacing w:after="0"/>
              <w:rPr>
                <w:sz w:val="20"/>
                <w:szCs w:val="20"/>
                <w:color w:val="auto"/>
              </w:rPr>
            </w:pPr>
            <w:r>
              <w:rPr>
                <w:rFonts w:ascii="Arial" w:cs="Arial" w:eastAsia="Arial" w:hAnsi="Arial"/>
                <w:sz w:val="14"/>
                <w:szCs w:val="14"/>
                <w:color w:val="auto"/>
              </w:rPr>
              <w:t>206</w:t>
            </w:r>
          </w:p>
        </w:tc>
        <w:tc>
          <w:tcPr>
            <w:tcW w:w="0" w:type="dxa"/>
            <w:vAlign w:val="bottom"/>
          </w:tcPr>
          <w:p>
            <w:pPr>
              <w:spacing w:after="0"/>
              <w:rPr>
                <w:sz w:val="1"/>
                <w:szCs w:val="1"/>
                <w:color w:val="auto"/>
              </w:rPr>
            </w:pPr>
          </w:p>
        </w:tc>
      </w:tr>
      <w:tr>
        <w:trPr>
          <w:trHeight w:val="270"/>
        </w:trPr>
        <w:tc>
          <w:tcPr>
            <w:tcW w:w="2260" w:type="dxa"/>
            <w:vAlign w:val="bottom"/>
            <w:shd w:val="clear" w:color="auto" w:fill="CCEEFF"/>
          </w:tcPr>
          <w:p>
            <w:pPr>
              <w:ind w:left="20"/>
              <w:spacing w:after="0"/>
              <w:rPr>
                <w:sz w:val="20"/>
                <w:szCs w:val="20"/>
                <w:color w:val="auto"/>
              </w:rPr>
            </w:pPr>
            <w:r>
              <w:rPr>
                <w:rFonts w:ascii="Arial" w:cs="Arial" w:eastAsia="Arial" w:hAnsi="Arial"/>
                <w:sz w:val="14"/>
                <w:szCs w:val="14"/>
                <w:color w:val="auto"/>
              </w:rPr>
              <w:t>Other (expense) income</w:t>
            </w:r>
          </w:p>
        </w:tc>
        <w:tc>
          <w:tcPr>
            <w:tcW w:w="140" w:type="dxa"/>
            <w:vAlign w:val="bottom"/>
            <w:tcBorders>
              <w:bottom w:val="single" w:sz="8" w:color="auto"/>
            </w:tcBorders>
            <w:shd w:val="clear" w:color="auto" w:fill="CCEEFF"/>
          </w:tcPr>
          <w:p>
            <w:pPr>
              <w:spacing w:after="0"/>
              <w:rPr>
                <w:sz w:val="23"/>
                <w:szCs w:val="23"/>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0" w:type="dxa"/>
            <w:vAlign w:val="bottom"/>
            <w:tcBorders>
              <w:bottom w:val="single" w:sz="8" w:color="auto"/>
            </w:tcBorders>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84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9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8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485</w:t>
            </w:r>
          </w:p>
        </w:tc>
        <w:tc>
          <w:tcPr>
            <w:tcW w:w="12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8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8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8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68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485</w:t>
            </w:r>
          </w:p>
        </w:tc>
        <w:tc>
          <w:tcPr>
            <w:tcW w:w="0" w:type="dxa"/>
            <w:vAlign w:val="bottom"/>
          </w:tcPr>
          <w:p>
            <w:pPr>
              <w:spacing w:after="0"/>
              <w:rPr>
                <w:sz w:val="1"/>
                <w:szCs w:val="1"/>
                <w:color w:val="auto"/>
              </w:rPr>
            </w:pPr>
          </w:p>
        </w:tc>
      </w:tr>
      <w:tr>
        <w:trPr>
          <w:trHeight w:val="250"/>
        </w:trPr>
        <w:tc>
          <w:tcPr>
            <w:tcW w:w="2260" w:type="dxa"/>
            <w:vAlign w:val="bottom"/>
          </w:tcPr>
          <w:p>
            <w:pPr>
              <w:ind w:left="20"/>
              <w:spacing w:after="0"/>
              <w:rPr>
                <w:sz w:val="20"/>
                <w:szCs w:val="20"/>
                <w:color w:val="auto"/>
              </w:rPr>
            </w:pPr>
            <w:r>
              <w:rPr>
                <w:rFonts w:ascii="Arial" w:cs="Arial" w:eastAsia="Arial" w:hAnsi="Arial"/>
                <w:sz w:val="14"/>
                <w:szCs w:val="14"/>
                <w:color w:val="auto"/>
              </w:rPr>
              <w:t>Total other income (expense)</w:t>
            </w:r>
          </w:p>
        </w:tc>
        <w:tc>
          <w:tcPr>
            <w:tcW w:w="14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6</w:t>
            </w: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40" w:type="dxa"/>
            <w:vAlign w:val="bottom"/>
          </w:tcPr>
          <w:p>
            <w:pPr>
              <w:jc w:val="right"/>
              <w:ind w:right="48"/>
              <w:spacing w:after="0"/>
              <w:rPr>
                <w:sz w:val="20"/>
                <w:szCs w:val="20"/>
                <w:color w:val="auto"/>
              </w:rPr>
            </w:pPr>
            <w:r>
              <w:rPr>
                <w:rFonts w:ascii="Arial" w:cs="Arial" w:eastAsia="Arial" w:hAnsi="Arial"/>
                <w:sz w:val="14"/>
                <w:szCs w:val="14"/>
                <w:color w:val="auto"/>
              </w:rPr>
              <w:t>4</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(1,161)</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20" w:type="dxa"/>
            <w:vAlign w:val="bottom"/>
          </w:tcPr>
          <w:p>
            <w:pPr>
              <w:jc w:val="right"/>
              <w:ind w:right="28"/>
              <w:spacing w:after="0"/>
              <w:rPr>
                <w:sz w:val="20"/>
                <w:szCs w:val="20"/>
                <w:color w:val="auto"/>
              </w:rPr>
            </w:pPr>
            <w:r>
              <w:rPr>
                <w:rFonts w:ascii="Arial" w:cs="Arial" w:eastAsia="Arial" w:hAnsi="Arial"/>
                <w:sz w:val="14"/>
                <w:szCs w:val="14"/>
                <w:color w:val="auto"/>
              </w:rPr>
              <w:t>681</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00" w:type="dxa"/>
            <w:vAlign w:val="bottom"/>
          </w:tcPr>
          <w:p>
            <w:pPr>
              <w:jc w:val="right"/>
              <w:ind w:right="28"/>
              <w:spacing w:after="0"/>
              <w:rPr>
                <w:sz w:val="20"/>
                <w:szCs w:val="20"/>
                <w:color w:val="auto"/>
              </w:rPr>
            </w:pPr>
            <w:r>
              <w:rPr>
                <w:rFonts w:ascii="Arial" w:cs="Arial" w:eastAsia="Arial" w:hAnsi="Arial"/>
                <w:sz w:val="14"/>
                <w:szCs w:val="14"/>
                <w:color w:val="auto"/>
              </w:rPr>
              <w:t>40</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1"/>
                <w:szCs w:val="21"/>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(430)</w:t>
            </w:r>
          </w:p>
        </w:tc>
        <w:tc>
          <w:tcPr>
            <w:tcW w:w="0" w:type="dxa"/>
            <w:vAlign w:val="bottom"/>
          </w:tcPr>
          <w:p>
            <w:pPr>
              <w:spacing w:after="0"/>
              <w:rPr>
                <w:sz w:val="1"/>
                <w:szCs w:val="1"/>
                <w:color w:val="auto"/>
              </w:rPr>
            </w:pPr>
          </w:p>
        </w:tc>
      </w:tr>
      <w:tr>
        <w:trPr>
          <w:trHeight w:val="158"/>
        </w:trPr>
        <w:tc>
          <w:tcPr>
            <w:tcW w:w="2260" w:type="dxa"/>
            <w:vAlign w:val="bottom"/>
            <w:tcBorders>
              <w:top w:val="single" w:sz="8" w:color="CCEEFF"/>
            </w:tcBorders>
            <w:shd w:val="clear" w:color="auto" w:fill="CCEEFF"/>
          </w:tcPr>
          <w:p>
            <w:pPr>
              <w:ind w:left="20"/>
              <w:spacing w:after="0" w:line="158" w:lineRule="exact"/>
              <w:rPr>
                <w:sz w:val="20"/>
                <w:szCs w:val="20"/>
                <w:color w:val="auto"/>
              </w:rPr>
            </w:pPr>
            <w:r>
              <w:rPr>
                <w:rFonts w:ascii="Arial" w:cs="Arial" w:eastAsia="Arial" w:hAnsi="Arial"/>
                <w:sz w:val="14"/>
                <w:szCs w:val="14"/>
                <w:b w:val="1"/>
                <w:bCs w:val="1"/>
                <w:color w:val="auto"/>
              </w:rPr>
              <w:t>Income (loss) before income</w:t>
            </w:r>
          </w:p>
        </w:tc>
        <w:tc>
          <w:tcPr>
            <w:tcW w:w="140" w:type="dxa"/>
            <w:vAlign w:val="bottom"/>
            <w:tcBorders>
              <w:top w:val="single" w:sz="8" w:color="auto"/>
            </w:tcBorders>
            <w:shd w:val="clear" w:color="auto" w:fill="CCEEFF"/>
          </w:tcPr>
          <w:p>
            <w:pPr>
              <w:spacing w:after="0"/>
              <w:rPr>
                <w:sz w:val="13"/>
                <w:szCs w:val="13"/>
                <w:color w:val="auto"/>
              </w:rPr>
            </w:pPr>
          </w:p>
        </w:tc>
        <w:tc>
          <w:tcPr>
            <w:tcW w:w="780" w:type="dxa"/>
            <w:vAlign w:val="bottom"/>
            <w:tcBorders>
              <w:top w:val="single" w:sz="8" w:color="auto"/>
            </w:tcBorders>
            <w:shd w:val="clear" w:color="auto" w:fill="CCEEFF"/>
          </w:tcPr>
          <w:p>
            <w:pPr>
              <w:spacing w:after="0"/>
              <w:rPr>
                <w:sz w:val="13"/>
                <w:szCs w:val="13"/>
                <w:color w:val="auto"/>
              </w:rPr>
            </w:pPr>
          </w:p>
        </w:tc>
        <w:tc>
          <w:tcPr>
            <w:tcW w:w="60" w:type="dxa"/>
            <w:vAlign w:val="bottom"/>
            <w:tcBorders>
              <w:top w:val="single" w:sz="8" w:color="auto"/>
            </w:tcBorders>
            <w:shd w:val="clear" w:color="auto" w:fill="CCEEFF"/>
          </w:tcPr>
          <w:p>
            <w:pPr>
              <w:spacing w:after="0"/>
              <w:rPr>
                <w:sz w:val="13"/>
                <w:szCs w:val="13"/>
                <w:color w:val="auto"/>
              </w:rPr>
            </w:pPr>
          </w:p>
        </w:tc>
        <w:tc>
          <w:tcPr>
            <w:tcW w:w="12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auto"/>
            </w:tcBorders>
            <w:shd w:val="clear" w:color="auto" w:fill="CCEEFF"/>
          </w:tcPr>
          <w:p>
            <w:pPr>
              <w:spacing w:after="0"/>
              <w:rPr>
                <w:sz w:val="13"/>
                <w:szCs w:val="13"/>
                <w:color w:val="auto"/>
              </w:rPr>
            </w:pPr>
          </w:p>
        </w:tc>
        <w:tc>
          <w:tcPr>
            <w:tcW w:w="840" w:type="dxa"/>
            <w:vAlign w:val="bottom"/>
            <w:tcBorders>
              <w:top w:val="single" w:sz="8" w:color="auto"/>
            </w:tcBorders>
            <w:shd w:val="clear" w:color="auto" w:fill="CCEEFF"/>
          </w:tcPr>
          <w:p>
            <w:pPr>
              <w:spacing w:after="0"/>
              <w:rPr>
                <w:sz w:val="13"/>
                <w:szCs w:val="13"/>
                <w:color w:val="auto"/>
              </w:rPr>
            </w:pPr>
          </w:p>
        </w:tc>
        <w:tc>
          <w:tcPr>
            <w:tcW w:w="12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auto"/>
            </w:tcBorders>
            <w:shd w:val="clear" w:color="auto" w:fill="CCEEFF"/>
          </w:tcPr>
          <w:p>
            <w:pPr>
              <w:spacing w:after="0"/>
              <w:rPr>
                <w:sz w:val="13"/>
                <w:szCs w:val="13"/>
                <w:color w:val="auto"/>
              </w:rPr>
            </w:pPr>
          </w:p>
        </w:tc>
        <w:tc>
          <w:tcPr>
            <w:tcW w:w="94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spacing w:after="0"/>
              <w:rPr>
                <w:sz w:val="13"/>
                <w:szCs w:val="13"/>
                <w:color w:val="auto"/>
              </w:rPr>
            </w:pPr>
          </w:p>
        </w:tc>
        <w:tc>
          <w:tcPr>
            <w:tcW w:w="820" w:type="dxa"/>
            <w:vAlign w:val="bottom"/>
            <w:tcBorders>
              <w:top w:val="single" w:sz="8" w:color="auto"/>
            </w:tcBorders>
            <w:shd w:val="clear" w:color="auto" w:fill="CCEEFF"/>
          </w:tcPr>
          <w:p>
            <w:pPr>
              <w:spacing w:after="0"/>
              <w:rPr>
                <w:sz w:val="13"/>
                <w:szCs w:val="13"/>
                <w:color w:val="auto"/>
              </w:rPr>
            </w:pPr>
          </w:p>
        </w:tc>
        <w:tc>
          <w:tcPr>
            <w:tcW w:w="12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auto"/>
            </w:tcBorders>
            <w:shd w:val="clear" w:color="auto" w:fill="CCEEFF"/>
          </w:tcPr>
          <w:p>
            <w:pPr>
              <w:spacing w:after="0"/>
              <w:rPr>
                <w:sz w:val="13"/>
                <w:szCs w:val="13"/>
                <w:color w:val="auto"/>
              </w:rPr>
            </w:pPr>
          </w:p>
        </w:tc>
        <w:tc>
          <w:tcPr>
            <w:tcW w:w="80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spacing w:after="0"/>
              <w:rPr>
                <w:sz w:val="13"/>
                <w:szCs w:val="13"/>
                <w:color w:val="auto"/>
              </w:rPr>
            </w:pPr>
          </w:p>
        </w:tc>
        <w:tc>
          <w:tcPr>
            <w:tcW w:w="84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spacing w:after="0"/>
              <w:rPr>
                <w:sz w:val="13"/>
                <w:szCs w:val="13"/>
                <w:color w:val="auto"/>
              </w:rPr>
            </w:pPr>
          </w:p>
        </w:tc>
        <w:tc>
          <w:tcPr>
            <w:tcW w:w="820" w:type="dxa"/>
            <w:vAlign w:val="bottom"/>
            <w:tcBorders>
              <w:top w:val="single" w:sz="8" w:color="auto"/>
            </w:tcBorders>
            <w:shd w:val="clear" w:color="auto" w:fill="CCEEFF"/>
          </w:tcPr>
          <w:p>
            <w:pPr>
              <w:spacing w:after="0"/>
              <w:rPr>
                <w:sz w:val="13"/>
                <w:szCs w:val="13"/>
                <w:color w:val="auto"/>
              </w:rPr>
            </w:pPr>
          </w:p>
        </w:tc>
        <w:tc>
          <w:tcPr>
            <w:tcW w:w="120" w:type="dxa"/>
            <w:vAlign w:val="bottom"/>
            <w:tcBorders>
              <w:top w:val="single" w:sz="8" w:color="CCEEFF"/>
            </w:tcBorders>
            <w:shd w:val="clear" w:color="auto" w:fill="CCEEFF"/>
          </w:tcPr>
          <w:p>
            <w:pPr>
              <w:spacing w:after="0"/>
              <w:rPr>
                <w:sz w:val="13"/>
                <w:szCs w:val="13"/>
                <w:color w:val="auto"/>
              </w:rPr>
            </w:pPr>
          </w:p>
        </w:tc>
        <w:tc>
          <w:tcPr>
            <w:tcW w:w="160" w:type="dxa"/>
            <w:vAlign w:val="bottom"/>
            <w:tcBorders>
              <w:top w:val="single" w:sz="8" w:color="auto"/>
            </w:tcBorders>
            <w:shd w:val="clear" w:color="auto" w:fill="CCEEFF"/>
          </w:tcPr>
          <w:p>
            <w:pPr>
              <w:spacing w:after="0"/>
              <w:rPr>
                <w:sz w:val="13"/>
                <w:szCs w:val="13"/>
                <w:color w:val="auto"/>
              </w:rPr>
            </w:pPr>
          </w:p>
        </w:tc>
        <w:tc>
          <w:tcPr>
            <w:tcW w:w="680" w:type="dxa"/>
            <w:vAlign w:val="bottom"/>
            <w:tcBorders>
              <w:top w:val="single" w:sz="8" w:color="auto"/>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04"/>
        </w:trPr>
        <w:tc>
          <w:tcPr>
            <w:tcW w:w="226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taxes</w:t>
            </w: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16,798</w:t>
            </w: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(2,038)</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(1,137)</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(9,905)</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334</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(685)</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(8,930)</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(5,563)</w:t>
            </w:r>
          </w:p>
        </w:tc>
        <w:tc>
          <w:tcPr>
            <w:tcW w:w="0" w:type="dxa"/>
            <w:vAlign w:val="bottom"/>
          </w:tcPr>
          <w:p>
            <w:pPr>
              <w:spacing w:after="0"/>
              <w:rPr>
                <w:sz w:val="1"/>
                <w:szCs w:val="1"/>
                <w:color w:val="auto"/>
              </w:rPr>
            </w:pPr>
          </w:p>
        </w:tc>
      </w:tr>
      <w:tr>
        <w:trPr>
          <w:trHeight w:val="176"/>
        </w:trPr>
        <w:tc>
          <w:tcPr>
            <w:tcW w:w="2260" w:type="dxa"/>
            <w:vAlign w:val="bottom"/>
          </w:tcPr>
          <w:p>
            <w:pPr>
              <w:ind w:left="20"/>
              <w:spacing w:after="0"/>
              <w:rPr>
                <w:sz w:val="20"/>
                <w:szCs w:val="20"/>
                <w:color w:val="auto"/>
              </w:rPr>
            </w:pPr>
            <w:r>
              <w:rPr>
                <w:rFonts w:ascii="Arial" w:cs="Arial" w:eastAsia="Arial" w:hAnsi="Arial"/>
                <w:sz w:val="14"/>
                <w:szCs w:val="14"/>
                <w:color w:val="auto"/>
              </w:rPr>
              <w:t>Provision (benefit from) for income</w:t>
            </w:r>
          </w:p>
        </w:tc>
        <w:tc>
          <w:tcPr>
            <w:tcW w:w="1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8"/>
        </w:trPr>
        <w:tc>
          <w:tcPr>
            <w:tcW w:w="2260" w:type="dxa"/>
            <w:vAlign w:val="bottom"/>
          </w:tcPr>
          <w:p>
            <w:pPr>
              <w:ind w:left="20"/>
              <w:spacing w:after="0"/>
              <w:rPr>
                <w:sz w:val="20"/>
                <w:szCs w:val="20"/>
                <w:color w:val="auto"/>
              </w:rPr>
            </w:pPr>
            <w:r>
              <w:rPr>
                <w:rFonts w:ascii="Arial" w:cs="Arial" w:eastAsia="Arial" w:hAnsi="Arial"/>
                <w:sz w:val="14"/>
                <w:szCs w:val="14"/>
                <w:color w:val="auto"/>
              </w:rPr>
              <w:t>taxes</w:t>
            </w:r>
          </w:p>
        </w:tc>
        <w:tc>
          <w:tcPr>
            <w:tcW w:w="14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100</w:t>
            </w: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(41)</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jc w:val="right"/>
              <w:ind w:right="28"/>
              <w:spacing w:after="0"/>
              <w:rPr>
                <w:sz w:val="20"/>
                <w:szCs w:val="20"/>
                <w:color w:val="auto"/>
              </w:rPr>
            </w:pPr>
            <w:r>
              <w:rPr>
                <w:rFonts w:ascii="Arial" w:cs="Arial" w:eastAsia="Arial" w:hAnsi="Arial"/>
                <w:sz w:val="14"/>
                <w:szCs w:val="14"/>
                <w:color w:val="auto"/>
              </w:rPr>
              <w:t>20</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840" w:type="dxa"/>
            <w:vAlign w:val="bottom"/>
          </w:tcPr>
          <w:p>
            <w:pPr>
              <w:jc w:val="right"/>
              <w:ind w:right="28"/>
              <w:spacing w:after="0"/>
              <w:rPr>
                <w:sz w:val="20"/>
                <w:szCs w:val="20"/>
                <w:color w:val="auto"/>
              </w:rPr>
            </w:pPr>
            <w:r>
              <w:rPr>
                <w:rFonts w:ascii="Arial" w:cs="Arial" w:eastAsia="Arial" w:hAnsi="Arial"/>
                <w:sz w:val="14"/>
                <w:szCs w:val="14"/>
                <w:color w:val="auto"/>
              </w:rPr>
              <w:t>4</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7"/>
                <w:szCs w:val="17"/>
                <w:color w:val="auto"/>
              </w:rPr>
            </w:pPr>
          </w:p>
        </w:tc>
        <w:tc>
          <w:tcPr>
            <w:tcW w:w="680" w:type="dxa"/>
            <w:vAlign w:val="bottom"/>
          </w:tcPr>
          <w:p>
            <w:pPr>
              <w:jc w:val="right"/>
              <w:ind w:right="48"/>
              <w:spacing w:after="0"/>
              <w:rPr>
                <w:sz w:val="20"/>
                <w:szCs w:val="20"/>
                <w:color w:val="auto"/>
              </w:rPr>
            </w:pPr>
            <w:r>
              <w:rPr>
                <w:rFonts w:ascii="Arial" w:cs="Arial" w:eastAsia="Arial" w:hAnsi="Arial"/>
                <w:sz w:val="14"/>
                <w:szCs w:val="14"/>
                <w:color w:val="auto"/>
              </w:rPr>
              <w:t>83</w:t>
            </w:r>
          </w:p>
        </w:tc>
        <w:tc>
          <w:tcPr>
            <w:tcW w:w="0" w:type="dxa"/>
            <w:vAlign w:val="bottom"/>
          </w:tcPr>
          <w:p>
            <w:pPr>
              <w:spacing w:after="0"/>
              <w:rPr>
                <w:sz w:val="1"/>
                <w:szCs w:val="1"/>
                <w:color w:val="auto"/>
              </w:rPr>
            </w:pPr>
          </w:p>
        </w:tc>
      </w:tr>
      <w:tr>
        <w:trPr>
          <w:trHeight w:val="254"/>
        </w:trPr>
        <w:tc>
          <w:tcPr>
            <w:tcW w:w="22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Net income (loss)</w:t>
            </w:r>
          </w:p>
        </w:tc>
        <w:tc>
          <w:tcPr>
            <w:tcW w:w="140" w:type="dxa"/>
            <w:vAlign w:val="bottom"/>
            <w:tcBorders>
              <w:top w:val="single" w:sz="8" w:color="auto"/>
              <w:bottom w:val="single" w:sz="8" w:color="auto"/>
            </w:tcBorders>
            <w:shd w:val="clear" w:color="auto" w:fill="CCEEFF"/>
          </w:tcPr>
          <w:p>
            <w:pPr>
              <w:spacing w:after="0"/>
              <w:rPr>
                <w:sz w:val="22"/>
                <w:szCs w:val="22"/>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16,698</w:t>
            </w:r>
          </w:p>
        </w:tc>
        <w:tc>
          <w:tcPr>
            <w:tcW w:w="60" w:type="dxa"/>
            <w:vAlign w:val="bottom"/>
            <w:tcBorders>
              <w:top w:val="single" w:sz="8" w:color="auto"/>
              <w:bottom w:val="single" w:sz="8" w:color="auto"/>
            </w:tcBorders>
            <w:shd w:val="clear" w:color="auto" w:fill="CCEEFF"/>
          </w:tcPr>
          <w:p>
            <w:pPr>
              <w:spacing w:after="0"/>
              <w:rPr>
                <w:sz w:val="22"/>
                <w:szCs w:val="22"/>
                <w:color w:val="auto"/>
              </w:rPr>
            </w:pPr>
          </w:p>
        </w:tc>
        <w:tc>
          <w:tcPr>
            <w:tcW w:w="120" w:type="dxa"/>
            <w:vAlign w:val="bottom"/>
            <w:tcBorders>
              <w:top w:val="single" w:sz="8" w:color="CCEEFF"/>
            </w:tcBorders>
            <w:shd w:val="clear" w:color="auto" w:fill="CCEEFF"/>
          </w:tcPr>
          <w:p>
            <w:pPr>
              <w:spacing w:after="0"/>
              <w:rPr>
                <w:sz w:val="22"/>
                <w:szCs w:val="22"/>
                <w:color w:val="auto"/>
              </w:rPr>
            </w:pPr>
          </w:p>
        </w:tc>
        <w:tc>
          <w:tcPr>
            <w:tcW w:w="140" w:type="dxa"/>
            <w:vAlign w:val="bottom"/>
            <w:tcBorders>
              <w:top w:val="single" w:sz="8" w:color="auto"/>
              <w:bottom w:val="single" w:sz="8" w:color="auto"/>
            </w:tcBorders>
            <w:shd w:val="clear" w:color="auto" w:fill="CCEEFF"/>
          </w:tcPr>
          <w:p>
            <w:pPr>
              <w:spacing w:after="0"/>
              <w:rPr>
                <w:sz w:val="22"/>
                <w:szCs w:val="22"/>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(2,038)</w:t>
            </w:r>
          </w:p>
        </w:tc>
        <w:tc>
          <w:tcPr>
            <w:tcW w:w="120" w:type="dxa"/>
            <w:vAlign w:val="bottom"/>
            <w:tcBorders>
              <w:top w:val="single" w:sz="8" w:color="CCEEFF"/>
            </w:tcBorders>
            <w:shd w:val="clear" w:color="auto" w:fill="CCEEFF"/>
          </w:tcPr>
          <w:p>
            <w:pPr>
              <w:spacing w:after="0"/>
              <w:rPr>
                <w:sz w:val="22"/>
                <w:szCs w:val="22"/>
                <w:color w:val="auto"/>
              </w:rPr>
            </w:pPr>
          </w:p>
        </w:tc>
        <w:tc>
          <w:tcPr>
            <w:tcW w:w="140" w:type="dxa"/>
            <w:vAlign w:val="bottom"/>
            <w:tcBorders>
              <w:top w:val="single" w:sz="8" w:color="auto"/>
              <w:bottom w:val="single" w:sz="8" w:color="auto"/>
            </w:tcBorders>
            <w:shd w:val="clear" w:color="auto" w:fill="CCEEFF"/>
          </w:tcPr>
          <w:p>
            <w:pPr>
              <w:spacing w:after="0"/>
              <w:rPr>
                <w:sz w:val="22"/>
                <w:szCs w:val="22"/>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(1,096)</w:t>
            </w:r>
          </w:p>
        </w:tc>
        <w:tc>
          <w:tcPr>
            <w:tcW w:w="100" w:type="dxa"/>
            <w:vAlign w:val="bottom"/>
            <w:tcBorders>
              <w:top w:val="single" w:sz="8" w:color="CCEEFF"/>
            </w:tcBorders>
            <w:shd w:val="clear" w:color="auto" w:fill="CCEEFF"/>
          </w:tcPr>
          <w:p>
            <w:pPr>
              <w:spacing w:after="0"/>
              <w:rPr>
                <w:sz w:val="22"/>
                <w:szCs w:val="22"/>
                <w:color w:val="auto"/>
              </w:rPr>
            </w:pPr>
          </w:p>
        </w:tc>
        <w:tc>
          <w:tcPr>
            <w:tcW w:w="120" w:type="dxa"/>
            <w:vAlign w:val="bottom"/>
            <w:tcBorders>
              <w:top w:val="single" w:sz="8" w:color="auto"/>
              <w:bottom w:val="single" w:sz="8" w:color="auto"/>
            </w:tcBorders>
            <w:shd w:val="clear" w:color="auto" w:fill="CCEEFF"/>
          </w:tcPr>
          <w:p>
            <w:pPr>
              <w:spacing w:after="0"/>
              <w:rPr>
                <w:sz w:val="22"/>
                <w:szCs w:val="22"/>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(9,925)</w:t>
            </w:r>
          </w:p>
        </w:tc>
        <w:tc>
          <w:tcPr>
            <w:tcW w:w="120" w:type="dxa"/>
            <w:vAlign w:val="bottom"/>
            <w:tcBorders>
              <w:top w:val="single" w:sz="8" w:color="CCEEFF"/>
            </w:tcBorders>
            <w:shd w:val="clear" w:color="auto" w:fill="CCEEFF"/>
          </w:tcPr>
          <w:p>
            <w:pPr>
              <w:spacing w:after="0"/>
              <w:rPr>
                <w:sz w:val="22"/>
                <w:szCs w:val="22"/>
                <w:color w:val="auto"/>
              </w:rPr>
            </w:pPr>
          </w:p>
        </w:tc>
        <w:tc>
          <w:tcPr>
            <w:tcW w:w="140" w:type="dxa"/>
            <w:vAlign w:val="bottom"/>
            <w:tcBorders>
              <w:top w:val="single" w:sz="8" w:color="auto"/>
              <w:bottom w:val="single" w:sz="8" w:color="auto"/>
            </w:tcBorders>
            <w:shd w:val="clear" w:color="auto" w:fill="CCEEFF"/>
          </w:tcPr>
          <w:p>
            <w:pPr>
              <w:spacing w:after="0"/>
              <w:rPr>
                <w:sz w:val="22"/>
                <w:szCs w:val="22"/>
                <w:color w:val="auto"/>
              </w:rPr>
            </w:pPr>
          </w:p>
        </w:tc>
        <w:tc>
          <w:tcPr>
            <w:tcW w:w="80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334</w:t>
            </w:r>
          </w:p>
        </w:tc>
        <w:tc>
          <w:tcPr>
            <w:tcW w:w="100" w:type="dxa"/>
            <w:vAlign w:val="bottom"/>
            <w:tcBorders>
              <w:top w:val="single" w:sz="8" w:color="CCEEFF"/>
            </w:tcBorders>
            <w:shd w:val="clear" w:color="auto" w:fill="CCEEFF"/>
          </w:tcPr>
          <w:p>
            <w:pPr>
              <w:spacing w:after="0"/>
              <w:rPr>
                <w:sz w:val="22"/>
                <w:szCs w:val="22"/>
                <w:color w:val="auto"/>
              </w:rPr>
            </w:pPr>
          </w:p>
        </w:tc>
        <w:tc>
          <w:tcPr>
            <w:tcW w:w="120" w:type="dxa"/>
            <w:vAlign w:val="bottom"/>
            <w:tcBorders>
              <w:top w:val="single" w:sz="8" w:color="auto"/>
              <w:bottom w:val="single" w:sz="8" w:color="auto"/>
            </w:tcBorders>
            <w:shd w:val="clear" w:color="auto" w:fill="CCEEFF"/>
          </w:tcPr>
          <w:p>
            <w:pPr>
              <w:spacing w:after="0"/>
              <w:rPr>
                <w:sz w:val="22"/>
                <w:szCs w:val="22"/>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(689)</w:t>
            </w:r>
          </w:p>
        </w:tc>
        <w:tc>
          <w:tcPr>
            <w:tcW w:w="100" w:type="dxa"/>
            <w:vAlign w:val="bottom"/>
            <w:tcBorders>
              <w:top w:val="single" w:sz="8" w:color="CCEEFF"/>
            </w:tcBorders>
            <w:shd w:val="clear" w:color="auto" w:fill="CCEEFF"/>
          </w:tcPr>
          <w:p>
            <w:pPr>
              <w:spacing w:after="0"/>
              <w:rPr>
                <w:sz w:val="22"/>
                <w:szCs w:val="22"/>
                <w:color w:val="auto"/>
              </w:rPr>
            </w:pPr>
          </w:p>
        </w:tc>
        <w:tc>
          <w:tcPr>
            <w:tcW w:w="120" w:type="dxa"/>
            <w:vAlign w:val="bottom"/>
            <w:tcBorders>
              <w:top w:val="single" w:sz="8" w:color="auto"/>
              <w:bottom w:val="single" w:sz="8" w:color="auto"/>
            </w:tcBorders>
            <w:shd w:val="clear" w:color="auto" w:fill="CCEEFF"/>
          </w:tcPr>
          <w:p>
            <w:pPr>
              <w:spacing w:after="0"/>
              <w:rPr>
                <w:sz w:val="22"/>
                <w:szCs w:val="22"/>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(8,930)</w:t>
            </w:r>
          </w:p>
        </w:tc>
        <w:tc>
          <w:tcPr>
            <w:tcW w:w="120" w:type="dxa"/>
            <w:vAlign w:val="bottom"/>
            <w:tcBorders>
              <w:top w:val="single" w:sz="8" w:color="CCEEFF"/>
            </w:tcBorders>
            <w:shd w:val="clear" w:color="auto" w:fill="CCEEFF"/>
          </w:tcPr>
          <w:p>
            <w:pPr>
              <w:spacing w:after="0"/>
              <w:rPr>
                <w:sz w:val="22"/>
                <w:szCs w:val="22"/>
                <w:color w:val="auto"/>
              </w:rPr>
            </w:pPr>
          </w:p>
        </w:tc>
        <w:tc>
          <w:tcPr>
            <w:tcW w:w="160" w:type="dxa"/>
            <w:vAlign w:val="bottom"/>
            <w:tcBorders>
              <w:top w:val="single" w:sz="8" w:color="auto"/>
              <w:bottom w:val="single" w:sz="8" w:color="auto"/>
            </w:tcBorders>
            <w:shd w:val="clear" w:color="auto" w:fill="CCEEFF"/>
          </w:tcPr>
          <w:p>
            <w:pPr>
              <w:spacing w:after="0"/>
              <w:rPr>
                <w:sz w:val="22"/>
                <w:szCs w:val="22"/>
                <w:color w:val="auto"/>
              </w:rPr>
            </w:pP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(5,646)</w:t>
            </w:r>
          </w:p>
        </w:tc>
        <w:tc>
          <w:tcPr>
            <w:tcW w:w="0" w:type="dxa"/>
            <w:vAlign w:val="bottom"/>
          </w:tcPr>
          <w:p>
            <w:pPr>
              <w:spacing w:after="0"/>
              <w:rPr>
                <w:sz w:val="1"/>
                <w:szCs w:val="1"/>
                <w:color w:val="auto"/>
              </w:rPr>
            </w:pPr>
          </w:p>
        </w:tc>
      </w:tr>
      <w:tr>
        <w:trPr>
          <w:trHeight w:val="156"/>
        </w:trPr>
        <w:tc>
          <w:tcPr>
            <w:tcW w:w="2260" w:type="dxa"/>
            <w:vAlign w:val="bottom"/>
          </w:tcPr>
          <w:p>
            <w:pPr>
              <w:ind w:left="20"/>
              <w:spacing w:after="0" w:line="156" w:lineRule="exact"/>
              <w:rPr>
                <w:sz w:val="20"/>
                <w:szCs w:val="20"/>
                <w:color w:val="auto"/>
              </w:rPr>
            </w:pPr>
            <w:r>
              <w:rPr>
                <w:rFonts w:ascii="Arial" w:cs="Arial" w:eastAsia="Arial" w:hAnsi="Arial"/>
                <w:sz w:val="14"/>
                <w:szCs w:val="14"/>
                <w:color w:val="auto"/>
              </w:rPr>
              <w:t>Less: Net income (loss)</w:t>
            </w:r>
          </w:p>
        </w:tc>
        <w:tc>
          <w:tcPr>
            <w:tcW w:w="1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260" w:type="dxa"/>
            <w:vAlign w:val="bottom"/>
          </w:tcPr>
          <w:p>
            <w:pPr>
              <w:ind w:left="20"/>
              <w:spacing w:after="0"/>
              <w:rPr>
                <w:sz w:val="20"/>
                <w:szCs w:val="20"/>
                <w:color w:val="auto"/>
              </w:rPr>
            </w:pPr>
            <w:r>
              <w:rPr>
                <w:rFonts w:ascii="Arial" w:cs="Arial" w:eastAsia="Arial" w:hAnsi="Arial"/>
                <w:sz w:val="14"/>
                <w:szCs w:val="14"/>
                <w:color w:val="auto"/>
              </w:rPr>
              <w:t>attributable to non-controlling</w:t>
            </w:r>
          </w:p>
        </w:tc>
        <w:tc>
          <w:tcPr>
            <w:tcW w:w="1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260" w:type="dxa"/>
            <w:vAlign w:val="bottom"/>
          </w:tcPr>
          <w:p>
            <w:pPr>
              <w:ind w:left="20"/>
              <w:spacing w:after="0"/>
              <w:rPr>
                <w:sz w:val="20"/>
                <w:szCs w:val="20"/>
                <w:color w:val="auto"/>
              </w:rPr>
            </w:pPr>
            <w:r>
              <w:rPr>
                <w:rFonts w:ascii="Arial" w:cs="Arial" w:eastAsia="Arial" w:hAnsi="Arial"/>
                <w:sz w:val="14"/>
                <w:szCs w:val="14"/>
                <w:color w:val="auto"/>
              </w:rPr>
              <w:t>interests in consolidated</w:t>
            </w:r>
          </w:p>
        </w:tc>
        <w:tc>
          <w:tcPr>
            <w:tcW w:w="1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8"/>
        </w:trPr>
        <w:tc>
          <w:tcPr>
            <w:tcW w:w="226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subsidiaries</w:t>
            </w:r>
          </w:p>
        </w:tc>
        <w:tc>
          <w:tcPr>
            <w:tcW w:w="14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60</w:t>
            </w:r>
          </w:p>
        </w:tc>
        <w:tc>
          <w:tcPr>
            <w:tcW w:w="60" w:type="dxa"/>
            <w:vAlign w:val="bottom"/>
            <w:tcBorders>
              <w:bottom w:val="single" w:sz="8" w:color="auto"/>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(131)</w:t>
            </w:r>
          </w:p>
        </w:tc>
        <w:tc>
          <w:tcPr>
            <w:tcW w:w="12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(4,241)</w:t>
            </w:r>
          </w:p>
        </w:tc>
        <w:tc>
          <w:tcPr>
            <w:tcW w:w="12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14</w:t>
            </w:r>
          </w:p>
        </w:tc>
        <w:tc>
          <w:tcPr>
            <w:tcW w:w="10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(69)</w:t>
            </w:r>
          </w:p>
        </w:tc>
        <w:tc>
          <w:tcPr>
            <w:tcW w:w="10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w:t>
            </w:r>
          </w:p>
        </w:tc>
        <w:tc>
          <w:tcPr>
            <w:tcW w:w="12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(4,370)</w:t>
            </w:r>
          </w:p>
        </w:tc>
        <w:tc>
          <w:tcPr>
            <w:tcW w:w="0" w:type="dxa"/>
            <w:vAlign w:val="bottom"/>
          </w:tcPr>
          <w:p>
            <w:pPr>
              <w:spacing w:after="0"/>
              <w:rPr>
                <w:sz w:val="1"/>
                <w:szCs w:val="1"/>
                <w:color w:val="auto"/>
              </w:rPr>
            </w:pPr>
          </w:p>
        </w:tc>
      </w:tr>
      <w:tr>
        <w:trPr>
          <w:trHeight w:val="158"/>
        </w:trPr>
        <w:tc>
          <w:tcPr>
            <w:tcW w:w="2260" w:type="dxa"/>
            <w:vAlign w:val="bottom"/>
            <w:shd w:val="clear" w:color="auto" w:fill="CCEEFF"/>
          </w:tcPr>
          <w:p>
            <w:pPr>
              <w:ind w:left="20"/>
              <w:spacing w:after="0" w:line="158" w:lineRule="exact"/>
              <w:rPr>
                <w:sz w:val="20"/>
                <w:szCs w:val="20"/>
                <w:color w:val="auto"/>
              </w:rPr>
            </w:pPr>
            <w:r>
              <w:rPr>
                <w:rFonts w:ascii="Arial" w:cs="Arial" w:eastAsia="Arial" w:hAnsi="Arial"/>
                <w:sz w:val="14"/>
                <w:szCs w:val="14"/>
                <w:b w:val="1"/>
                <w:bCs w:val="1"/>
                <w:color w:val="auto"/>
              </w:rPr>
              <w:t>Net income (loss) attributable to</w:t>
            </w: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16,638</w:t>
            </w:r>
          </w:p>
        </w:tc>
        <w:tc>
          <w:tcPr>
            <w:tcW w:w="320" w:type="dxa"/>
            <w:vAlign w:val="bottom"/>
            <w:gridSpan w:val="3"/>
            <w:vMerge w:val="restart"/>
            <w:shd w:val="clear" w:color="auto" w:fill="CCEEFF"/>
          </w:tcPr>
          <w:p>
            <w:pPr>
              <w:jc w:val="right"/>
              <w:ind w:right="40"/>
              <w:spacing w:after="0"/>
              <w:rPr>
                <w:sz w:val="20"/>
                <w:szCs w:val="20"/>
                <w:color w:val="auto"/>
              </w:rPr>
            </w:pPr>
            <w:r>
              <w:rPr>
                <w:rFonts w:ascii="Arial" w:cs="Arial" w:eastAsia="Arial" w:hAnsi="Arial"/>
                <w:sz w:val="14"/>
                <w:szCs w:val="14"/>
                <w:color w:val="auto"/>
              </w:rPr>
              <w:t>$</w:t>
            </w: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(1,907)</w:t>
            </w:r>
          </w:p>
        </w:tc>
        <w:tc>
          <w:tcPr>
            <w:tcW w:w="120" w:type="dxa"/>
            <w:vAlign w:val="bottom"/>
            <w:shd w:val="clear" w:color="auto" w:fill="CCEEFF"/>
          </w:tcPr>
          <w:p>
            <w:pPr>
              <w:spacing w:after="0"/>
              <w:rPr>
                <w:sz w:val="13"/>
                <w:szCs w:val="13"/>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(1,096)</w:t>
            </w:r>
          </w:p>
        </w:tc>
        <w:tc>
          <w:tcPr>
            <w:tcW w:w="100" w:type="dxa"/>
            <w:vAlign w:val="bottom"/>
            <w:shd w:val="clear" w:color="auto" w:fill="CCEEFF"/>
          </w:tcPr>
          <w:p>
            <w:pPr>
              <w:spacing w:after="0"/>
              <w:rPr>
                <w:sz w:val="13"/>
                <w:szCs w:val="13"/>
                <w:color w:val="auto"/>
              </w:rPr>
            </w:pP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(5,684)</w:t>
            </w:r>
          </w:p>
        </w:tc>
        <w:tc>
          <w:tcPr>
            <w:tcW w:w="120" w:type="dxa"/>
            <w:vAlign w:val="bottom"/>
            <w:shd w:val="clear" w:color="auto" w:fill="CCEEFF"/>
          </w:tcPr>
          <w:p>
            <w:pPr>
              <w:spacing w:after="0"/>
              <w:rPr>
                <w:sz w:val="13"/>
                <w:szCs w:val="13"/>
                <w:color w:val="auto"/>
              </w:rPr>
            </w:pPr>
          </w:p>
        </w:tc>
        <w:tc>
          <w:tcPr>
            <w:tcW w:w="140" w:type="dxa"/>
            <w:vAlign w:val="bottom"/>
            <w:vMerge w:val="restart"/>
            <w:shd w:val="clear" w:color="auto" w:fill="CCEEFF"/>
          </w:tcPr>
          <w:p>
            <w:pPr>
              <w:ind w:left="20"/>
              <w:spacing w:after="0"/>
              <w:rPr>
                <w:sz w:val="20"/>
                <w:szCs w:val="20"/>
                <w:color w:val="auto"/>
              </w:rPr>
            </w:pPr>
            <w:r>
              <w:rPr>
                <w:rFonts w:ascii="Arial" w:cs="Arial" w:eastAsia="Arial" w:hAnsi="Arial"/>
                <w:sz w:val="14"/>
                <w:szCs w:val="14"/>
                <w:color w:val="auto"/>
              </w:rPr>
              <w:t>$</w:t>
            </w:r>
          </w:p>
        </w:tc>
        <w:tc>
          <w:tcPr>
            <w:tcW w:w="80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320</w:t>
            </w:r>
          </w:p>
        </w:tc>
        <w:tc>
          <w:tcPr>
            <w:tcW w:w="100" w:type="dxa"/>
            <w:vAlign w:val="bottom"/>
            <w:shd w:val="clear" w:color="auto" w:fill="CCEEFF"/>
          </w:tcPr>
          <w:p>
            <w:pPr>
              <w:spacing w:after="0"/>
              <w:rPr>
                <w:sz w:val="13"/>
                <w:szCs w:val="13"/>
                <w:color w:val="auto"/>
              </w:rPr>
            </w:pP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(620)</w:t>
            </w:r>
          </w:p>
        </w:tc>
        <w:tc>
          <w:tcPr>
            <w:tcW w:w="100" w:type="dxa"/>
            <w:vAlign w:val="bottom"/>
            <w:shd w:val="clear" w:color="auto" w:fill="CCEEFF"/>
          </w:tcPr>
          <w:p>
            <w:pPr>
              <w:spacing w:after="0"/>
              <w:rPr>
                <w:sz w:val="13"/>
                <w:szCs w:val="13"/>
                <w:color w:val="auto"/>
              </w:rPr>
            </w:pP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(8,927)</w:t>
            </w:r>
          </w:p>
        </w:tc>
        <w:tc>
          <w:tcPr>
            <w:tcW w:w="120" w:type="dxa"/>
            <w:vAlign w:val="bottom"/>
            <w:shd w:val="clear" w:color="auto" w:fill="CCEEFF"/>
          </w:tcPr>
          <w:p>
            <w:pPr>
              <w:spacing w:after="0"/>
              <w:rPr>
                <w:sz w:val="13"/>
                <w:szCs w:val="13"/>
                <w:color w:val="auto"/>
              </w:rPr>
            </w:pP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(1,276)</w:t>
            </w:r>
          </w:p>
        </w:tc>
        <w:tc>
          <w:tcPr>
            <w:tcW w:w="0" w:type="dxa"/>
            <w:vAlign w:val="bottom"/>
          </w:tcPr>
          <w:p>
            <w:pPr>
              <w:spacing w:after="0"/>
              <w:rPr>
                <w:sz w:val="1"/>
                <w:szCs w:val="1"/>
                <w:color w:val="auto"/>
              </w:rPr>
            </w:pPr>
          </w:p>
        </w:tc>
      </w:tr>
      <w:tr>
        <w:trPr>
          <w:trHeight w:val="191"/>
        </w:trPr>
        <w:tc>
          <w:tcPr>
            <w:tcW w:w="226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shareholders</w:t>
            </w:r>
          </w:p>
        </w:tc>
        <w:tc>
          <w:tcPr>
            <w:tcW w:w="140" w:type="dxa"/>
            <w:vAlign w:val="bottom"/>
            <w:vMerge w:val="continue"/>
            <w:shd w:val="clear" w:color="auto" w:fill="CCEEFF"/>
          </w:tcPr>
          <w:p>
            <w:pPr>
              <w:spacing w:after="0"/>
              <w:rPr>
                <w:sz w:val="16"/>
                <w:szCs w:val="16"/>
                <w:color w:val="auto"/>
              </w:rPr>
            </w:pPr>
          </w:p>
        </w:tc>
        <w:tc>
          <w:tcPr>
            <w:tcW w:w="780" w:type="dxa"/>
            <w:vAlign w:val="bottom"/>
            <w:vMerge w:val="continue"/>
            <w:shd w:val="clear" w:color="auto" w:fill="CCEEFF"/>
          </w:tcPr>
          <w:p>
            <w:pPr>
              <w:spacing w:after="0"/>
              <w:rPr>
                <w:sz w:val="16"/>
                <w:szCs w:val="16"/>
                <w:color w:val="auto"/>
              </w:rPr>
            </w:pPr>
          </w:p>
        </w:tc>
        <w:tc>
          <w:tcPr>
            <w:tcW w:w="320" w:type="dxa"/>
            <w:vAlign w:val="bottom"/>
            <w:gridSpan w:val="3"/>
            <w:vMerge w:val="continue"/>
            <w:shd w:val="clear" w:color="auto" w:fill="CCEEFF"/>
          </w:tcPr>
          <w:p>
            <w:pPr>
              <w:spacing w:after="0"/>
              <w:rPr>
                <w:sz w:val="16"/>
                <w:szCs w:val="16"/>
                <w:color w:val="auto"/>
              </w:rPr>
            </w:pPr>
          </w:p>
        </w:tc>
        <w:tc>
          <w:tcPr>
            <w:tcW w:w="840" w:type="dxa"/>
            <w:vAlign w:val="bottom"/>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 w:type="dxa"/>
            <w:vAlign w:val="bottom"/>
            <w:vMerge w:val="continue"/>
            <w:shd w:val="clear" w:color="auto" w:fill="CCEEFF"/>
          </w:tcPr>
          <w:p>
            <w:pPr>
              <w:spacing w:after="0"/>
              <w:rPr>
                <w:sz w:val="16"/>
                <w:szCs w:val="16"/>
                <w:color w:val="auto"/>
              </w:rPr>
            </w:pPr>
          </w:p>
        </w:tc>
        <w:tc>
          <w:tcPr>
            <w:tcW w:w="94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vMerge w:val="continue"/>
            <w:shd w:val="clear" w:color="auto" w:fill="CCEEFF"/>
          </w:tcPr>
          <w:p>
            <w:pPr>
              <w:spacing w:after="0"/>
              <w:rPr>
                <w:sz w:val="16"/>
                <w:szCs w:val="16"/>
                <w:color w:val="auto"/>
              </w:rPr>
            </w:pPr>
          </w:p>
        </w:tc>
        <w:tc>
          <w:tcPr>
            <w:tcW w:w="820" w:type="dxa"/>
            <w:vAlign w:val="bottom"/>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 w:type="dxa"/>
            <w:vAlign w:val="bottom"/>
            <w:vMerge w:val="continue"/>
            <w:shd w:val="clear" w:color="auto" w:fill="CCEEFF"/>
          </w:tcPr>
          <w:p>
            <w:pPr>
              <w:spacing w:after="0"/>
              <w:rPr>
                <w:sz w:val="16"/>
                <w:szCs w:val="16"/>
                <w:color w:val="auto"/>
              </w:rPr>
            </w:pPr>
          </w:p>
        </w:tc>
        <w:tc>
          <w:tcPr>
            <w:tcW w:w="80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vMerge w:val="continue"/>
            <w:shd w:val="clear" w:color="auto" w:fill="CCEEFF"/>
          </w:tcPr>
          <w:p>
            <w:pPr>
              <w:spacing w:after="0"/>
              <w:rPr>
                <w:sz w:val="16"/>
                <w:szCs w:val="16"/>
                <w:color w:val="auto"/>
              </w:rPr>
            </w:pPr>
          </w:p>
        </w:tc>
        <w:tc>
          <w:tcPr>
            <w:tcW w:w="84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vMerge w:val="continue"/>
            <w:shd w:val="clear" w:color="auto" w:fill="CCEEFF"/>
          </w:tcPr>
          <w:p>
            <w:pPr>
              <w:spacing w:after="0"/>
              <w:rPr>
                <w:sz w:val="16"/>
                <w:szCs w:val="16"/>
                <w:color w:val="auto"/>
              </w:rPr>
            </w:pPr>
          </w:p>
        </w:tc>
        <w:tc>
          <w:tcPr>
            <w:tcW w:w="820" w:type="dxa"/>
            <w:vAlign w:val="bottom"/>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60" w:type="dxa"/>
            <w:vAlign w:val="bottom"/>
            <w:vMerge w:val="continue"/>
            <w:shd w:val="clear" w:color="auto" w:fill="CCEEFF"/>
          </w:tcPr>
          <w:p>
            <w:pPr>
              <w:spacing w:after="0"/>
              <w:rPr>
                <w:sz w:val="16"/>
                <w:szCs w:val="16"/>
                <w:color w:val="auto"/>
              </w:rPr>
            </w:pPr>
          </w:p>
        </w:tc>
        <w:tc>
          <w:tcPr>
            <w:tcW w:w="68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2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240" w:top="117" w:right="4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ind w:right="-179"/>
        <w:spacing w:after="0"/>
        <w:rPr>
          <w:sz w:val="20"/>
          <w:szCs w:val="20"/>
          <w:color w:val="auto"/>
        </w:rPr>
      </w:pPr>
      <w:r>
        <w:rPr>
          <w:rFonts w:ascii="Arial" w:cs="Arial" w:eastAsia="Arial" w:hAnsi="Arial"/>
          <w:sz w:val="16"/>
          <w:szCs w:val="16"/>
          <w:color w:val="auto"/>
        </w:rPr>
        <w:t>36</w:t>
      </w:r>
    </w:p>
    <w:p>
      <w:pPr>
        <w:sectPr>
          <w:pgSz w:w="11900" w:h="16838" w:orient="portrait"/>
          <w:cols w:equalWidth="0" w:num="1">
            <w:col w:w="11240"/>
          </w:cols>
          <w:pgMar w:left="240" w:top="117" w:right="419" w:bottom="1440" w:gutter="0" w:footer="0" w:header="0"/>
          <w:type w:val="continuous"/>
        </w:sectPr>
      </w:pPr>
    </w:p>
    <w:bookmarkStart w:id="36" w:name="page37"/>
    <w:bookmarkEnd w:id="36"/>
    <w:p>
      <w:pPr>
        <w:ind w:right="3800"/>
        <w:spacing w:after="0" w:line="305" w:lineRule="auto"/>
        <w:rPr>
          <w:sz w:val="20"/>
          <w:szCs w:val="20"/>
          <w:color w:val="auto"/>
        </w:rPr>
      </w:pPr>
      <w:r>
        <w:rPr>
          <w:rFonts w:ascii="Arial" w:cs="Arial" w:eastAsia="Arial" w:hAnsi="Arial"/>
          <w:sz w:val="22"/>
          <w:szCs w:val="22"/>
          <w:b w:val="1"/>
          <w:bCs w:val="1"/>
          <w:color w:val="00497F"/>
        </w:rPr>
        <w:t xml:space="preserve">FORTRESS TRANSPORTATION AND INFRASTRUCTURE INVESTORS LLC NOTES TO CONSOLIDATED FINANCIAL STATEMENTS </w:t>
      </w:r>
      <w:r>
        <w:rPr>
          <w:rFonts w:ascii="Arial" w:cs="Arial" w:eastAsia="Arial" w:hAnsi="Arial"/>
          <w:sz w:val="22"/>
          <w:szCs w:val="22"/>
          <w:b w:val="1"/>
          <w:bCs w:val="1"/>
          <w:i w:val="1"/>
          <w:iCs w:val="1"/>
          <w:color w:val="00497F"/>
        </w:rPr>
        <w:t>(unaudited)</w:t>
      </w:r>
    </w:p>
    <w:p>
      <w:pPr>
        <w:spacing w:after="0"/>
        <w:rPr>
          <w:sz w:val="20"/>
          <w:szCs w:val="20"/>
          <w:color w:val="auto"/>
        </w:rPr>
      </w:pPr>
      <w:r>
        <w:rPr>
          <w:rFonts w:ascii="Arial" w:cs="Arial" w:eastAsia="Arial" w:hAnsi="Arial"/>
          <w:sz w:val="18"/>
          <w:szCs w:val="18"/>
          <w:i w:val="1"/>
          <w:iCs w:val="1"/>
          <w:color w:val="00497F"/>
        </w:rPr>
        <w:t>(Dollar amounts in thousands, unless otherwise noted)</w:t>
      </w:r>
    </w:p>
    <w:p>
      <w:pPr>
        <w:spacing w:after="0" w:line="397"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sets forth a reconciliation of Adjusted Net Income (Loss) to net loss attributable to shareholders:</w:t>
      </w:r>
    </w:p>
    <w:p>
      <w:pPr>
        <w:spacing w:after="0" w:line="386" w:lineRule="exact"/>
        <w:rPr>
          <w:sz w:val="20"/>
          <w:szCs w:val="20"/>
          <w:color w:val="auto"/>
        </w:rPr>
      </w:pPr>
    </w:p>
    <w:tbl>
      <w:tblPr>
        <w:tblLayout w:type="fixed"/>
        <w:tblInd w:w="40" w:type="dxa"/>
        <w:tblCellMar>
          <w:top w:w="0" w:type="dxa"/>
          <w:left w:w="0" w:type="dxa"/>
          <w:bottom w:w="0" w:type="dxa"/>
          <w:right w:w="0" w:type="dxa"/>
        </w:tblCellMar>
      </w:tblPr>
      <w:tr>
        <w:trPr>
          <w:trHeight w:val="203"/>
        </w:trPr>
        <w:tc>
          <w:tcPr>
            <w:tcW w:w="240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3460" w:type="dxa"/>
            <w:vAlign w:val="bottom"/>
            <w:tcBorders>
              <w:bottom w:val="single" w:sz="8" w:color="auto"/>
            </w:tcBorders>
            <w:gridSpan w:val="9"/>
          </w:tcPr>
          <w:p>
            <w:pPr>
              <w:jc w:val="right"/>
              <w:spacing w:after="0"/>
              <w:rPr>
                <w:sz w:val="20"/>
                <w:szCs w:val="20"/>
                <w:color w:val="auto"/>
              </w:rPr>
            </w:pPr>
            <w:r>
              <w:rPr>
                <w:rFonts w:ascii="Arial" w:cs="Arial" w:eastAsia="Arial" w:hAnsi="Arial"/>
                <w:sz w:val="14"/>
                <w:szCs w:val="14"/>
                <w:b w:val="1"/>
                <w:bCs w:val="1"/>
                <w:color w:val="auto"/>
              </w:rPr>
              <w:t>Three Months Ended September 30, 2016</w:t>
            </w:r>
          </w:p>
        </w:tc>
        <w:tc>
          <w:tcPr>
            <w:tcW w:w="84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spacing w:after="0"/>
              <w:rPr>
                <w:sz w:val="17"/>
                <w:szCs w:val="17"/>
                <w:color w:val="auto"/>
              </w:rPr>
            </w:pPr>
          </w:p>
        </w:tc>
      </w:tr>
      <w:tr>
        <w:trPr>
          <w:trHeight w:val="264"/>
        </w:trPr>
        <w:tc>
          <w:tcPr>
            <w:tcW w:w="240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spacing w:after="0"/>
              <w:rPr>
                <w:sz w:val="22"/>
                <w:szCs w:val="22"/>
                <w:color w:val="auto"/>
              </w:rPr>
            </w:pPr>
          </w:p>
        </w:tc>
        <w:tc>
          <w:tcPr>
            <w:tcW w:w="1480" w:type="dxa"/>
            <w:vAlign w:val="bottom"/>
            <w:tcBorders>
              <w:bottom w:val="single" w:sz="8" w:color="auto"/>
            </w:tcBorders>
            <w:gridSpan w:val="6"/>
          </w:tcPr>
          <w:p>
            <w:pPr>
              <w:jc w:val="center"/>
              <w:spacing w:after="0"/>
              <w:rPr>
                <w:sz w:val="20"/>
                <w:szCs w:val="20"/>
                <w:color w:val="auto"/>
              </w:rPr>
            </w:pPr>
            <w:r>
              <w:rPr>
                <w:rFonts w:ascii="Arial" w:cs="Arial" w:eastAsia="Arial" w:hAnsi="Arial"/>
                <w:sz w:val="14"/>
                <w:szCs w:val="14"/>
                <w:b w:val="1"/>
                <w:bCs w:val="1"/>
                <w:color w:val="auto"/>
              </w:rPr>
              <w:t>Equipment Leasing</w:t>
            </w:r>
          </w:p>
        </w:tc>
        <w:tc>
          <w:tcPr>
            <w:tcW w:w="920" w:type="dxa"/>
            <w:vAlign w:val="bottom"/>
            <w:tcBorders>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gridSpan w:val="3"/>
          </w:tcPr>
          <w:p>
            <w:pPr>
              <w:spacing w:after="0"/>
              <w:rPr>
                <w:sz w:val="20"/>
                <w:szCs w:val="20"/>
                <w:color w:val="auto"/>
              </w:rPr>
            </w:pPr>
            <w:r>
              <w:rPr>
                <w:rFonts w:ascii="Arial" w:cs="Arial" w:eastAsia="Arial" w:hAnsi="Arial"/>
                <w:sz w:val="14"/>
                <w:szCs w:val="14"/>
                <w:b w:val="1"/>
                <w:bCs w:val="1"/>
                <w:color w:val="auto"/>
              </w:rPr>
              <w:t>Infrastructure</w:t>
            </w:r>
          </w:p>
        </w:tc>
        <w:tc>
          <w:tcPr>
            <w:tcW w:w="16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00" w:type="dxa"/>
            <w:vAlign w:val="bottom"/>
          </w:tcPr>
          <w:p>
            <w:pPr>
              <w:spacing w:after="0"/>
              <w:rPr>
                <w:sz w:val="22"/>
                <w:szCs w:val="22"/>
                <w:color w:val="auto"/>
              </w:rPr>
            </w:pPr>
          </w:p>
        </w:tc>
      </w:tr>
      <w:tr>
        <w:trPr>
          <w:trHeight w:val="168"/>
        </w:trPr>
        <w:tc>
          <w:tcPr>
            <w:tcW w:w="24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tcPr>
          <w:p>
            <w:pPr>
              <w:ind w:left="80"/>
              <w:spacing w:after="0"/>
              <w:rPr>
                <w:sz w:val="20"/>
                <w:szCs w:val="20"/>
                <w:color w:val="auto"/>
              </w:rPr>
            </w:pPr>
            <w:r>
              <w:rPr>
                <w:rFonts w:ascii="Arial" w:cs="Arial" w:eastAsia="Arial" w:hAnsi="Arial"/>
                <w:sz w:val="14"/>
                <w:szCs w:val="14"/>
                <w:b w:val="1"/>
                <w:bCs w:val="1"/>
                <w:color w:val="auto"/>
              </w:rPr>
              <w:t>Aviation</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Offshore</w:t>
            </w:r>
          </w:p>
        </w:tc>
        <w:tc>
          <w:tcPr>
            <w:tcW w:w="120" w:type="dxa"/>
            <w:vAlign w:val="bottom"/>
          </w:tcPr>
          <w:p>
            <w:pPr>
              <w:spacing w:after="0"/>
              <w:rPr>
                <w:sz w:val="14"/>
                <w:szCs w:val="14"/>
                <w:color w:val="auto"/>
              </w:rPr>
            </w:pPr>
          </w:p>
        </w:tc>
        <w:tc>
          <w:tcPr>
            <w:tcW w:w="10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Shipping</w:t>
            </w:r>
          </w:p>
        </w:tc>
        <w:tc>
          <w:tcPr>
            <w:tcW w:w="140" w:type="dxa"/>
            <w:vAlign w:val="bottom"/>
          </w:tcPr>
          <w:p>
            <w:pPr>
              <w:spacing w:after="0"/>
              <w:rPr>
                <w:sz w:val="14"/>
                <w:szCs w:val="14"/>
                <w:color w:val="auto"/>
              </w:rPr>
            </w:pPr>
          </w:p>
        </w:tc>
        <w:tc>
          <w:tcPr>
            <w:tcW w:w="10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Jefferson</w:t>
            </w:r>
          </w:p>
        </w:tc>
        <w:tc>
          <w:tcPr>
            <w:tcW w:w="1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40" w:type="dxa"/>
            <w:vAlign w:val="bottom"/>
            <w:gridSpan w:val="2"/>
          </w:tcPr>
          <w:p>
            <w:pPr>
              <w:spacing w:after="0"/>
              <w:rPr>
                <w:sz w:val="20"/>
                <w:szCs w:val="20"/>
                <w:color w:val="auto"/>
              </w:rPr>
            </w:pPr>
            <w:r>
              <w:rPr>
                <w:rFonts w:ascii="Arial" w:cs="Arial" w:eastAsia="Arial" w:hAnsi="Arial"/>
                <w:sz w:val="14"/>
                <w:szCs w:val="14"/>
                <w:b w:val="1"/>
                <w:bCs w:val="1"/>
                <w:color w:val="auto"/>
              </w:rPr>
              <w:t>Ports and</w:t>
            </w:r>
          </w:p>
        </w:tc>
        <w:tc>
          <w:tcPr>
            <w:tcW w:w="1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203"/>
        </w:trPr>
        <w:tc>
          <w:tcPr>
            <w:tcW w:w="240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ind w:left="80"/>
              <w:spacing w:after="0"/>
              <w:rPr>
                <w:sz w:val="20"/>
                <w:szCs w:val="20"/>
                <w:color w:val="auto"/>
              </w:rPr>
            </w:pPr>
            <w:r>
              <w:rPr>
                <w:rFonts w:ascii="Arial" w:cs="Arial" w:eastAsia="Arial" w:hAnsi="Arial"/>
                <w:sz w:val="14"/>
                <w:szCs w:val="14"/>
                <w:b w:val="1"/>
                <w:bCs w:val="1"/>
                <w:color w:val="auto"/>
              </w:rPr>
              <w:t>Leasing</w:t>
            </w:r>
          </w:p>
        </w:tc>
        <w:tc>
          <w:tcPr>
            <w:tcW w:w="80" w:type="dxa"/>
            <w:vAlign w:val="bottom"/>
            <w:tcBorders>
              <w:bottom w:val="single" w:sz="8" w:color="auto"/>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center"/>
              <w:ind w:right="108"/>
              <w:spacing w:after="0"/>
              <w:rPr>
                <w:sz w:val="20"/>
                <w:szCs w:val="20"/>
                <w:color w:val="auto"/>
              </w:rPr>
            </w:pPr>
            <w:r>
              <w:rPr>
                <w:rFonts w:ascii="Arial" w:cs="Arial" w:eastAsia="Arial" w:hAnsi="Arial"/>
                <w:sz w:val="14"/>
                <w:szCs w:val="14"/>
                <w:b w:val="1"/>
                <w:bCs w:val="1"/>
                <w:color w:val="auto"/>
              </w:rPr>
              <w:t>Energy</w:t>
            </w:r>
          </w:p>
        </w:tc>
        <w:tc>
          <w:tcPr>
            <w:tcW w:w="12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center"/>
              <w:ind w:right="48"/>
              <w:spacing w:after="0"/>
              <w:rPr>
                <w:sz w:val="20"/>
                <w:szCs w:val="20"/>
                <w:color w:val="auto"/>
              </w:rPr>
            </w:pPr>
            <w:r>
              <w:rPr>
                <w:rFonts w:ascii="Arial" w:cs="Arial" w:eastAsia="Arial" w:hAnsi="Arial"/>
                <w:sz w:val="14"/>
                <w:szCs w:val="14"/>
                <w:b w:val="1"/>
                <w:bCs w:val="1"/>
                <w:color w:val="auto"/>
              </w:rPr>
              <w:t>Containers</w:t>
            </w:r>
          </w:p>
        </w:tc>
        <w:tc>
          <w:tcPr>
            <w:tcW w:w="12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center"/>
              <w:ind w:right="68"/>
              <w:spacing w:after="0"/>
              <w:rPr>
                <w:sz w:val="20"/>
                <w:szCs w:val="20"/>
                <w:color w:val="auto"/>
              </w:rPr>
            </w:pPr>
            <w:r>
              <w:rPr>
                <w:rFonts w:ascii="Arial" w:cs="Arial" w:eastAsia="Arial" w:hAnsi="Arial"/>
                <w:sz w:val="14"/>
                <w:szCs w:val="14"/>
                <w:b w:val="1"/>
                <w:bCs w:val="1"/>
                <w:color w:val="auto"/>
              </w:rPr>
              <w:t>Terminal</w:t>
            </w:r>
          </w:p>
        </w:tc>
        <w:tc>
          <w:tcPr>
            <w:tcW w:w="12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b w:val="1"/>
                <w:bCs w:val="1"/>
                <w:color w:val="auto"/>
              </w:rPr>
              <w:t>Railroad</w:t>
            </w:r>
          </w:p>
        </w:tc>
        <w:tc>
          <w:tcPr>
            <w:tcW w:w="10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Terminals</w:t>
            </w:r>
          </w:p>
        </w:tc>
        <w:tc>
          <w:tcPr>
            <w:tcW w:w="1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b w:val="1"/>
                <w:bCs w:val="1"/>
                <w:color w:val="auto"/>
              </w:rPr>
              <w:t>Corporate</w:t>
            </w:r>
          </w:p>
        </w:tc>
        <w:tc>
          <w:tcPr>
            <w:tcW w:w="12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ind w:right="268"/>
              <w:spacing w:after="0"/>
              <w:rPr>
                <w:sz w:val="20"/>
                <w:szCs w:val="20"/>
                <w:color w:val="auto"/>
              </w:rPr>
            </w:pPr>
            <w:r>
              <w:rPr>
                <w:rFonts w:ascii="Arial" w:cs="Arial" w:eastAsia="Arial" w:hAnsi="Arial"/>
                <w:sz w:val="14"/>
                <w:szCs w:val="14"/>
                <w:b w:val="1"/>
                <w:bCs w:val="1"/>
                <w:color w:val="auto"/>
              </w:rPr>
              <w:t>Total</w:t>
            </w:r>
          </w:p>
        </w:tc>
      </w:tr>
      <w:tr>
        <w:trPr>
          <w:trHeight w:val="251"/>
        </w:trPr>
        <w:tc>
          <w:tcPr>
            <w:tcW w:w="2400" w:type="dxa"/>
            <w:vAlign w:val="bottom"/>
            <w:shd w:val="clear" w:color="auto" w:fill="CCEEFF"/>
          </w:tcPr>
          <w:p>
            <w:pPr>
              <w:ind w:left="20"/>
              <w:spacing w:after="0"/>
              <w:rPr>
                <w:sz w:val="20"/>
                <w:szCs w:val="20"/>
                <w:color w:val="auto"/>
              </w:rPr>
            </w:pPr>
            <w:r>
              <w:rPr>
                <w:rFonts w:ascii="Arial" w:cs="Arial" w:eastAsia="Arial" w:hAnsi="Arial"/>
                <w:sz w:val="14"/>
                <w:szCs w:val="14"/>
                <w:color w:val="auto"/>
              </w:rPr>
              <w:t>Adjusted Net Income (Loss)</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16,564</w:t>
            </w:r>
          </w:p>
        </w:tc>
        <w:tc>
          <w:tcPr>
            <w:tcW w:w="360" w:type="dxa"/>
            <w:vAlign w:val="bottom"/>
            <w:gridSpan w:val="3"/>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(1,907)</w:t>
            </w: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(1,183)</w:t>
            </w: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(5,719)</w:t>
            </w: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ind w:left="20"/>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342</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(616)</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(7,348)</w:t>
            </w:r>
          </w:p>
        </w:tc>
        <w:tc>
          <w:tcPr>
            <w:tcW w:w="120" w:type="dxa"/>
            <w:vAlign w:val="bottom"/>
            <w:shd w:val="clear" w:color="auto" w:fill="CCEEFF"/>
          </w:tcPr>
          <w:p>
            <w:pPr>
              <w:spacing w:after="0"/>
              <w:rPr>
                <w:sz w:val="21"/>
                <w:szCs w:val="21"/>
                <w:color w:val="auto"/>
              </w:rPr>
            </w:pPr>
          </w:p>
        </w:tc>
        <w:tc>
          <w:tcPr>
            <w:tcW w:w="2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133</w:t>
            </w:r>
          </w:p>
        </w:tc>
      </w:tr>
      <w:tr>
        <w:trPr>
          <w:trHeight w:val="156"/>
        </w:trPr>
        <w:tc>
          <w:tcPr>
            <w:tcW w:w="2400" w:type="dxa"/>
            <w:vAlign w:val="bottom"/>
          </w:tcPr>
          <w:p>
            <w:pPr>
              <w:ind w:left="20"/>
              <w:spacing w:after="0" w:line="156" w:lineRule="exact"/>
              <w:rPr>
                <w:sz w:val="20"/>
                <w:szCs w:val="20"/>
                <w:color w:val="auto"/>
              </w:rPr>
            </w:pPr>
            <w:r>
              <w:rPr>
                <w:rFonts w:ascii="Arial" w:cs="Arial" w:eastAsia="Arial" w:hAnsi="Arial"/>
                <w:sz w:val="14"/>
                <w:szCs w:val="14"/>
                <w:color w:val="auto"/>
              </w:rPr>
              <w:t>Add: Non-controlling share of</w:t>
            </w:r>
          </w:p>
        </w:tc>
        <w:tc>
          <w:tcPr>
            <w:tcW w:w="160" w:type="dxa"/>
            <w:vAlign w:val="bottom"/>
            <w:tcBorders>
              <w:top w:val="single" w:sz="8" w:color="auto"/>
            </w:tcBorders>
          </w:tcPr>
          <w:p>
            <w:pPr>
              <w:spacing w:after="0"/>
              <w:rPr>
                <w:sz w:val="13"/>
                <w:szCs w:val="13"/>
                <w:color w:val="auto"/>
              </w:rPr>
            </w:pPr>
          </w:p>
        </w:tc>
        <w:tc>
          <w:tcPr>
            <w:tcW w:w="800" w:type="dxa"/>
            <w:vAlign w:val="bottom"/>
            <w:tcBorders>
              <w:top w:val="single" w:sz="8" w:color="auto"/>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88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92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90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86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84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86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800" w:type="dxa"/>
            <w:vAlign w:val="bottom"/>
            <w:tcBorders>
              <w:top w:val="single" w:sz="8" w:color="auto"/>
            </w:tcBorders>
          </w:tcPr>
          <w:p>
            <w:pPr>
              <w:spacing w:after="0"/>
              <w:rPr>
                <w:sz w:val="13"/>
                <w:szCs w:val="13"/>
                <w:color w:val="auto"/>
              </w:rPr>
            </w:pPr>
          </w:p>
        </w:tc>
      </w:tr>
      <w:tr>
        <w:trPr>
          <w:trHeight w:val="198"/>
        </w:trPr>
        <w:tc>
          <w:tcPr>
            <w:tcW w:w="2400" w:type="dxa"/>
            <w:vAlign w:val="bottom"/>
          </w:tcPr>
          <w:p>
            <w:pPr>
              <w:ind w:left="20"/>
              <w:spacing w:after="0"/>
              <w:rPr>
                <w:sz w:val="20"/>
                <w:szCs w:val="20"/>
                <w:color w:val="auto"/>
              </w:rPr>
            </w:pPr>
            <w:r>
              <w:rPr>
                <w:rFonts w:ascii="Arial" w:cs="Arial" w:eastAsia="Arial" w:hAnsi="Arial"/>
                <w:sz w:val="14"/>
                <w:szCs w:val="14"/>
                <w:color w:val="auto"/>
              </w:rPr>
              <w:t>adjustments to Adjusted Net Income</w:t>
            </w:r>
          </w:p>
        </w:tc>
        <w:tc>
          <w:tcPr>
            <w:tcW w:w="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jc w:val="right"/>
              <w:ind w:right="48"/>
              <w:spacing w:after="0"/>
              <w:rPr>
                <w:sz w:val="20"/>
                <w:szCs w:val="20"/>
                <w:color w:val="auto"/>
              </w:rPr>
            </w:pPr>
            <w:r>
              <w:rPr>
                <w:rFonts w:ascii="Arial" w:cs="Arial" w:eastAsia="Arial" w:hAnsi="Arial"/>
                <w:sz w:val="14"/>
                <w:szCs w:val="14"/>
                <w:color w:val="auto"/>
              </w:rPr>
              <w:t>170</w:t>
            </w:r>
          </w:p>
        </w:tc>
      </w:tr>
      <w:tr>
        <w:trPr>
          <w:trHeight w:val="180"/>
        </w:trPr>
        <w:tc>
          <w:tcPr>
            <w:tcW w:w="2400" w:type="dxa"/>
            <w:vAlign w:val="bottom"/>
            <w:shd w:val="clear" w:color="auto" w:fill="CCEEFF"/>
          </w:tcPr>
          <w:p>
            <w:pPr>
              <w:ind w:left="20"/>
              <w:spacing w:after="0"/>
              <w:rPr>
                <w:sz w:val="20"/>
                <w:szCs w:val="20"/>
                <w:color w:val="auto"/>
              </w:rPr>
            </w:pPr>
            <w:r>
              <w:rPr>
                <w:rFonts w:ascii="Arial" w:cs="Arial" w:eastAsia="Arial" w:hAnsi="Arial"/>
                <w:sz w:val="14"/>
                <w:szCs w:val="14"/>
                <w:color w:val="auto"/>
              </w:rPr>
              <w:t>Add: Equity in losses of</w:t>
            </w:r>
          </w:p>
        </w:tc>
        <w:tc>
          <w:tcPr>
            <w:tcW w:w="16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r>
      <w:tr>
        <w:trPr>
          <w:trHeight w:val="202"/>
        </w:trPr>
        <w:tc>
          <w:tcPr>
            <w:tcW w:w="2400" w:type="dxa"/>
            <w:vAlign w:val="bottom"/>
            <w:shd w:val="clear" w:color="auto" w:fill="CCEEFF"/>
          </w:tcPr>
          <w:p>
            <w:pPr>
              <w:ind w:left="20"/>
              <w:spacing w:after="0"/>
              <w:rPr>
                <w:sz w:val="20"/>
                <w:szCs w:val="20"/>
                <w:color w:val="auto"/>
              </w:rPr>
            </w:pPr>
            <w:r>
              <w:rPr>
                <w:rFonts w:ascii="Arial" w:cs="Arial" w:eastAsia="Arial" w:hAnsi="Arial"/>
                <w:sz w:val="14"/>
                <w:szCs w:val="14"/>
                <w:color w:val="auto"/>
              </w:rPr>
              <w:t>unconsolidated entities</w:t>
            </w:r>
          </w:p>
        </w:tc>
        <w:tc>
          <w:tcPr>
            <w:tcW w:w="16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(1,161)</w:t>
            </w:r>
          </w:p>
        </w:tc>
      </w:tr>
      <w:tr>
        <w:trPr>
          <w:trHeight w:val="176"/>
        </w:trPr>
        <w:tc>
          <w:tcPr>
            <w:tcW w:w="2400" w:type="dxa"/>
            <w:vAlign w:val="bottom"/>
          </w:tcPr>
          <w:p>
            <w:pPr>
              <w:ind w:left="20"/>
              <w:spacing w:after="0"/>
              <w:rPr>
                <w:sz w:val="20"/>
                <w:szCs w:val="20"/>
                <w:color w:val="auto"/>
              </w:rPr>
            </w:pPr>
            <w:r>
              <w:rPr>
                <w:rFonts w:ascii="Arial" w:cs="Arial" w:eastAsia="Arial" w:hAnsi="Arial"/>
                <w:sz w:val="14"/>
                <w:szCs w:val="14"/>
                <w:color w:val="auto"/>
              </w:rPr>
              <w:t>Add: Cash payments for income</w:t>
            </w:r>
          </w:p>
        </w:tc>
        <w:tc>
          <w:tcPr>
            <w:tcW w:w="1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0" w:type="dxa"/>
            <w:vAlign w:val="bottom"/>
          </w:tcPr>
          <w:p>
            <w:pPr>
              <w:spacing w:after="0"/>
              <w:rPr>
                <w:sz w:val="15"/>
                <w:szCs w:val="15"/>
                <w:color w:val="auto"/>
              </w:rPr>
            </w:pPr>
          </w:p>
        </w:tc>
      </w:tr>
      <w:tr>
        <w:trPr>
          <w:trHeight w:val="198"/>
        </w:trPr>
        <w:tc>
          <w:tcPr>
            <w:tcW w:w="2400" w:type="dxa"/>
            <w:vAlign w:val="bottom"/>
          </w:tcPr>
          <w:p>
            <w:pPr>
              <w:ind w:left="20"/>
              <w:spacing w:after="0"/>
              <w:rPr>
                <w:sz w:val="20"/>
                <w:szCs w:val="20"/>
                <w:color w:val="auto"/>
              </w:rPr>
            </w:pPr>
            <w:r>
              <w:rPr>
                <w:rFonts w:ascii="Arial" w:cs="Arial" w:eastAsia="Arial" w:hAnsi="Arial"/>
                <w:sz w:val="14"/>
                <w:szCs w:val="14"/>
                <w:color w:val="auto"/>
              </w:rPr>
              <w:t>taxes</w:t>
            </w:r>
          </w:p>
        </w:tc>
        <w:tc>
          <w:tcPr>
            <w:tcW w:w="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jc w:val="right"/>
              <w:ind w:right="48"/>
              <w:spacing w:after="0"/>
              <w:rPr>
                <w:sz w:val="20"/>
                <w:szCs w:val="20"/>
                <w:color w:val="auto"/>
              </w:rPr>
            </w:pPr>
            <w:r>
              <w:rPr>
                <w:rFonts w:ascii="Arial" w:cs="Arial" w:eastAsia="Arial" w:hAnsi="Arial"/>
                <w:sz w:val="14"/>
                <w:szCs w:val="14"/>
                <w:color w:val="auto"/>
              </w:rPr>
              <w:t>174</w:t>
            </w:r>
          </w:p>
        </w:tc>
      </w:tr>
      <w:tr>
        <w:trPr>
          <w:trHeight w:val="274"/>
        </w:trPr>
        <w:tc>
          <w:tcPr>
            <w:tcW w:w="2400" w:type="dxa"/>
            <w:vAlign w:val="bottom"/>
            <w:shd w:val="clear" w:color="auto" w:fill="CCEEFF"/>
          </w:tcPr>
          <w:p>
            <w:pPr>
              <w:ind w:left="20"/>
              <w:spacing w:after="0"/>
              <w:rPr>
                <w:sz w:val="20"/>
                <w:szCs w:val="20"/>
                <w:color w:val="auto"/>
              </w:rPr>
            </w:pPr>
            <w:r>
              <w:rPr>
                <w:rFonts w:ascii="Arial" w:cs="Arial" w:eastAsia="Arial" w:hAnsi="Arial"/>
                <w:sz w:val="14"/>
                <w:szCs w:val="14"/>
                <w:color w:val="auto"/>
              </w:rPr>
              <w:t>Less: Incentive allocations</w:t>
            </w:r>
          </w:p>
        </w:tc>
        <w:tc>
          <w:tcPr>
            <w:tcW w:w="160" w:type="dxa"/>
            <w:vAlign w:val="bottom"/>
            <w:shd w:val="clear" w:color="auto" w:fill="CCEEFF"/>
          </w:tcPr>
          <w:p>
            <w:pPr>
              <w:spacing w:after="0"/>
              <w:rPr>
                <w:sz w:val="23"/>
                <w:szCs w:val="23"/>
                <w:color w:val="auto"/>
              </w:rPr>
            </w:pPr>
          </w:p>
        </w:tc>
        <w:tc>
          <w:tcPr>
            <w:tcW w:w="80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8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9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9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8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8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8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8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r>
      <w:tr>
        <w:trPr>
          <w:trHeight w:val="176"/>
        </w:trPr>
        <w:tc>
          <w:tcPr>
            <w:tcW w:w="2400" w:type="dxa"/>
            <w:vAlign w:val="bottom"/>
          </w:tcPr>
          <w:p>
            <w:pPr>
              <w:ind w:left="20"/>
              <w:spacing w:after="0"/>
              <w:rPr>
                <w:sz w:val="20"/>
                <w:szCs w:val="20"/>
                <w:color w:val="auto"/>
              </w:rPr>
            </w:pPr>
            <w:r>
              <w:rPr>
                <w:rFonts w:ascii="Arial" w:cs="Arial" w:eastAsia="Arial" w:hAnsi="Arial"/>
                <w:sz w:val="14"/>
                <w:szCs w:val="14"/>
                <w:color w:val="auto"/>
              </w:rPr>
              <w:t>Less: Pro-rata share of Adjusted Net</w:t>
            </w:r>
          </w:p>
        </w:tc>
        <w:tc>
          <w:tcPr>
            <w:tcW w:w="1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0" w:type="dxa"/>
            <w:vAlign w:val="bottom"/>
          </w:tcPr>
          <w:p>
            <w:pPr>
              <w:spacing w:after="0"/>
              <w:rPr>
                <w:sz w:val="15"/>
                <w:szCs w:val="15"/>
                <w:color w:val="auto"/>
              </w:rPr>
            </w:pPr>
          </w:p>
        </w:tc>
      </w:tr>
      <w:tr>
        <w:trPr>
          <w:trHeight w:val="162"/>
        </w:trPr>
        <w:tc>
          <w:tcPr>
            <w:tcW w:w="2400" w:type="dxa"/>
            <w:vAlign w:val="bottom"/>
          </w:tcPr>
          <w:p>
            <w:pPr>
              <w:ind w:left="20"/>
              <w:spacing w:after="0"/>
              <w:rPr>
                <w:sz w:val="20"/>
                <w:szCs w:val="20"/>
                <w:color w:val="auto"/>
              </w:rPr>
            </w:pPr>
            <w:r>
              <w:rPr>
                <w:rFonts w:ascii="Arial" w:cs="Arial" w:eastAsia="Arial" w:hAnsi="Arial"/>
                <w:sz w:val="14"/>
                <w:szCs w:val="14"/>
                <w:color w:val="auto"/>
              </w:rPr>
              <w:t>Income from investments in</w:t>
            </w:r>
          </w:p>
        </w:tc>
        <w:tc>
          <w:tcPr>
            <w:tcW w:w="1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98"/>
        </w:trPr>
        <w:tc>
          <w:tcPr>
            <w:tcW w:w="2400" w:type="dxa"/>
            <w:vAlign w:val="bottom"/>
          </w:tcPr>
          <w:p>
            <w:pPr>
              <w:ind w:left="20"/>
              <w:spacing w:after="0"/>
              <w:rPr>
                <w:sz w:val="20"/>
                <w:szCs w:val="20"/>
                <w:color w:val="auto"/>
              </w:rPr>
            </w:pPr>
            <w:r>
              <w:rPr>
                <w:rFonts w:ascii="Arial" w:cs="Arial" w:eastAsia="Arial" w:hAnsi="Arial"/>
                <w:sz w:val="14"/>
                <w:szCs w:val="14"/>
                <w:color w:val="auto"/>
              </w:rPr>
              <w:t>unconsolidated entities</w:t>
            </w:r>
          </w:p>
        </w:tc>
        <w:tc>
          <w:tcPr>
            <w:tcW w:w="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jc w:val="right"/>
              <w:ind w:right="48"/>
              <w:spacing w:after="0"/>
              <w:rPr>
                <w:sz w:val="20"/>
                <w:szCs w:val="20"/>
                <w:color w:val="auto"/>
              </w:rPr>
            </w:pPr>
            <w:r>
              <w:rPr>
                <w:rFonts w:ascii="Arial" w:cs="Arial" w:eastAsia="Arial" w:hAnsi="Arial"/>
                <w:sz w:val="14"/>
                <w:szCs w:val="14"/>
                <w:color w:val="auto"/>
              </w:rPr>
              <w:t>1,207</w:t>
            </w:r>
          </w:p>
        </w:tc>
      </w:tr>
      <w:tr>
        <w:trPr>
          <w:trHeight w:val="274"/>
        </w:trPr>
        <w:tc>
          <w:tcPr>
            <w:tcW w:w="2400" w:type="dxa"/>
            <w:vAlign w:val="bottom"/>
            <w:shd w:val="clear" w:color="auto" w:fill="CCEEFF"/>
          </w:tcPr>
          <w:p>
            <w:pPr>
              <w:ind w:left="20"/>
              <w:spacing w:after="0"/>
              <w:rPr>
                <w:sz w:val="20"/>
                <w:szCs w:val="20"/>
                <w:color w:val="auto"/>
              </w:rPr>
            </w:pPr>
            <w:r>
              <w:rPr>
                <w:rFonts w:ascii="Arial" w:cs="Arial" w:eastAsia="Arial" w:hAnsi="Arial"/>
                <w:sz w:val="14"/>
                <w:szCs w:val="14"/>
                <w:color w:val="auto"/>
              </w:rPr>
              <w:t>Less: Asset impairment charges</w:t>
            </w:r>
          </w:p>
        </w:tc>
        <w:tc>
          <w:tcPr>
            <w:tcW w:w="160" w:type="dxa"/>
            <w:vAlign w:val="bottom"/>
            <w:shd w:val="clear" w:color="auto" w:fill="CCEEFF"/>
          </w:tcPr>
          <w:p>
            <w:pPr>
              <w:spacing w:after="0"/>
              <w:rPr>
                <w:sz w:val="23"/>
                <w:szCs w:val="23"/>
                <w:color w:val="auto"/>
              </w:rPr>
            </w:pPr>
          </w:p>
        </w:tc>
        <w:tc>
          <w:tcPr>
            <w:tcW w:w="80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8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9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9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8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8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8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8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r>
      <w:tr>
        <w:trPr>
          <w:trHeight w:val="176"/>
        </w:trPr>
        <w:tc>
          <w:tcPr>
            <w:tcW w:w="2400" w:type="dxa"/>
            <w:vAlign w:val="bottom"/>
          </w:tcPr>
          <w:p>
            <w:pPr>
              <w:ind w:left="20"/>
              <w:spacing w:after="0"/>
              <w:rPr>
                <w:sz w:val="20"/>
                <w:szCs w:val="20"/>
                <w:color w:val="auto"/>
              </w:rPr>
            </w:pPr>
            <w:r>
              <w:rPr>
                <w:rFonts w:ascii="Arial" w:cs="Arial" w:eastAsia="Arial" w:hAnsi="Arial"/>
                <w:sz w:val="14"/>
                <w:szCs w:val="14"/>
                <w:color w:val="auto"/>
              </w:rPr>
              <w:t>Less: Changes in fair value of non-</w:t>
            </w:r>
          </w:p>
        </w:tc>
        <w:tc>
          <w:tcPr>
            <w:tcW w:w="1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0" w:type="dxa"/>
            <w:vAlign w:val="bottom"/>
          </w:tcPr>
          <w:p>
            <w:pPr>
              <w:spacing w:after="0"/>
              <w:rPr>
                <w:sz w:val="15"/>
                <w:szCs w:val="15"/>
                <w:color w:val="auto"/>
              </w:rPr>
            </w:pPr>
          </w:p>
        </w:tc>
      </w:tr>
      <w:tr>
        <w:trPr>
          <w:trHeight w:val="198"/>
        </w:trPr>
        <w:tc>
          <w:tcPr>
            <w:tcW w:w="2400" w:type="dxa"/>
            <w:vAlign w:val="bottom"/>
          </w:tcPr>
          <w:p>
            <w:pPr>
              <w:ind w:left="20"/>
              <w:spacing w:after="0"/>
              <w:rPr>
                <w:sz w:val="20"/>
                <w:szCs w:val="20"/>
                <w:color w:val="auto"/>
              </w:rPr>
            </w:pPr>
            <w:r>
              <w:rPr>
                <w:rFonts w:ascii="Arial" w:cs="Arial" w:eastAsia="Arial" w:hAnsi="Arial"/>
                <w:sz w:val="14"/>
                <w:szCs w:val="14"/>
                <w:color w:val="auto"/>
              </w:rPr>
              <w:t>hedge derivative instruments</w:t>
            </w:r>
          </w:p>
        </w:tc>
        <w:tc>
          <w:tcPr>
            <w:tcW w:w="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jc w:val="right"/>
              <w:ind w:right="48"/>
              <w:spacing w:after="0"/>
              <w:rPr>
                <w:sz w:val="20"/>
                <w:szCs w:val="20"/>
                <w:color w:val="auto"/>
              </w:rPr>
            </w:pPr>
            <w:r>
              <w:rPr>
                <w:rFonts w:ascii="Arial" w:cs="Arial" w:eastAsia="Arial" w:hAnsi="Arial"/>
                <w:sz w:val="14"/>
                <w:szCs w:val="14"/>
                <w:color w:val="auto"/>
              </w:rPr>
              <w:t>—</w:t>
            </w:r>
          </w:p>
        </w:tc>
      </w:tr>
      <w:tr>
        <w:trPr>
          <w:trHeight w:val="180"/>
        </w:trPr>
        <w:tc>
          <w:tcPr>
            <w:tcW w:w="2400" w:type="dxa"/>
            <w:vAlign w:val="bottom"/>
            <w:shd w:val="clear" w:color="auto" w:fill="CCEEFF"/>
          </w:tcPr>
          <w:p>
            <w:pPr>
              <w:ind w:left="20"/>
              <w:spacing w:after="0"/>
              <w:rPr>
                <w:sz w:val="20"/>
                <w:szCs w:val="20"/>
                <w:color w:val="auto"/>
              </w:rPr>
            </w:pPr>
            <w:r>
              <w:rPr>
                <w:rFonts w:ascii="Arial" w:cs="Arial" w:eastAsia="Arial" w:hAnsi="Arial"/>
                <w:sz w:val="14"/>
                <w:szCs w:val="14"/>
                <w:color w:val="auto"/>
              </w:rPr>
              <w:t>Less: Losses on the modification or</w:t>
            </w:r>
          </w:p>
        </w:tc>
        <w:tc>
          <w:tcPr>
            <w:tcW w:w="16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r>
      <w:tr>
        <w:trPr>
          <w:trHeight w:val="162"/>
        </w:trPr>
        <w:tc>
          <w:tcPr>
            <w:tcW w:w="2400" w:type="dxa"/>
            <w:vAlign w:val="bottom"/>
            <w:shd w:val="clear" w:color="auto" w:fill="CCEEFF"/>
          </w:tcPr>
          <w:p>
            <w:pPr>
              <w:ind w:left="20"/>
              <w:spacing w:after="0"/>
              <w:rPr>
                <w:sz w:val="20"/>
                <w:szCs w:val="20"/>
                <w:color w:val="auto"/>
              </w:rPr>
            </w:pPr>
            <w:r>
              <w:rPr>
                <w:rFonts w:ascii="Arial" w:cs="Arial" w:eastAsia="Arial" w:hAnsi="Arial"/>
                <w:sz w:val="14"/>
                <w:szCs w:val="14"/>
                <w:color w:val="auto"/>
              </w:rPr>
              <w:t>extinguishment of debt and capital</w:t>
            </w:r>
          </w:p>
        </w:tc>
        <w:tc>
          <w:tcPr>
            <w:tcW w:w="16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r>
      <w:tr>
        <w:trPr>
          <w:trHeight w:val="202"/>
        </w:trPr>
        <w:tc>
          <w:tcPr>
            <w:tcW w:w="2400" w:type="dxa"/>
            <w:vAlign w:val="bottom"/>
            <w:shd w:val="clear" w:color="auto" w:fill="CCEEFF"/>
          </w:tcPr>
          <w:p>
            <w:pPr>
              <w:ind w:left="20"/>
              <w:spacing w:after="0"/>
              <w:rPr>
                <w:sz w:val="20"/>
                <w:szCs w:val="20"/>
                <w:color w:val="auto"/>
              </w:rPr>
            </w:pPr>
            <w:r>
              <w:rPr>
                <w:rFonts w:ascii="Arial" w:cs="Arial" w:eastAsia="Arial" w:hAnsi="Arial"/>
                <w:sz w:val="14"/>
                <w:szCs w:val="14"/>
                <w:color w:val="auto"/>
              </w:rPr>
              <w:t>lease obligations</w:t>
            </w:r>
          </w:p>
        </w:tc>
        <w:tc>
          <w:tcPr>
            <w:tcW w:w="16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r>
      <w:tr>
        <w:trPr>
          <w:trHeight w:val="176"/>
        </w:trPr>
        <w:tc>
          <w:tcPr>
            <w:tcW w:w="2400" w:type="dxa"/>
            <w:vAlign w:val="bottom"/>
          </w:tcPr>
          <w:p>
            <w:pPr>
              <w:ind w:left="20"/>
              <w:spacing w:after="0"/>
              <w:rPr>
                <w:sz w:val="20"/>
                <w:szCs w:val="20"/>
                <w:color w:val="auto"/>
              </w:rPr>
            </w:pPr>
            <w:r>
              <w:rPr>
                <w:rFonts w:ascii="Arial" w:cs="Arial" w:eastAsia="Arial" w:hAnsi="Arial"/>
                <w:sz w:val="14"/>
                <w:szCs w:val="14"/>
                <w:color w:val="auto"/>
              </w:rPr>
              <w:t>Less: Acquisition and transaction</w:t>
            </w:r>
          </w:p>
        </w:tc>
        <w:tc>
          <w:tcPr>
            <w:tcW w:w="1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0" w:type="dxa"/>
            <w:vAlign w:val="bottom"/>
          </w:tcPr>
          <w:p>
            <w:pPr>
              <w:spacing w:after="0"/>
              <w:rPr>
                <w:sz w:val="15"/>
                <w:szCs w:val="15"/>
                <w:color w:val="auto"/>
              </w:rPr>
            </w:pPr>
          </w:p>
        </w:tc>
      </w:tr>
      <w:tr>
        <w:trPr>
          <w:trHeight w:val="198"/>
        </w:trPr>
        <w:tc>
          <w:tcPr>
            <w:tcW w:w="2400" w:type="dxa"/>
            <w:vAlign w:val="bottom"/>
          </w:tcPr>
          <w:p>
            <w:pPr>
              <w:ind w:left="20"/>
              <w:spacing w:after="0"/>
              <w:rPr>
                <w:sz w:val="20"/>
                <w:szCs w:val="20"/>
                <w:color w:val="auto"/>
              </w:rPr>
            </w:pPr>
            <w:r>
              <w:rPr>
                <w:rFonts w:ascii="Arial" w:cs="Arial" w:eastAsia="Arial" w:hAnsi="Arial"/>
                <w:sz w:val="14"/>
                <w:szCs w:val="14"/>
                <w:color w:val="auto"/>
              </w:rPr>
              <w:t>expenses</w:t>
            </w:r>
          </w:p>
        </w:tc>
        <w:tc>
          <w:tcPr>
            <w:tcW w:w="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jc w:val="right"/>
              <w:ind w:right="8"/>
              <w:spacing w:after="0"/>
              <w:rPr>
                <w:sz w:val="20"/>
                <w:szCs w:val="20"/>
                <w:color w:val="auto"/>
              </w:rPr>
            </w:pPr>
            <w:r>
              <w:rPr>
                <w:rFonts w:ascii="Arial" w:cs="Arial" w:eastAsia="Arial" w:hAnsi="Arial"/>
                <w:sz w:val="14"/>
                <w:szCs w:val="14"/>
                <w:color w:val="auto"/>
              </w:rPr>
              <w:t>(1,688)</w:t>
            </w:r>
          </w:p>
        </w:tc>
      </w:tr>
      <w:tr>
        <w:trPr>
          <w:trHeight w:val="180"/>
        </w:trPr>
        <w:tc>
          <w:tcPr>
            <w:tcW w:w="2400" w:type="dxa"/>
            <w:vAlign w:val="bottom"/>
            <w:shd w:val="clear" w:color="auto" w:fill="CCEEFF"/>
          </w:tcPr>
          <w:p>
            <w:pPr>
              <w:ind w:left="20"/>
              <w:spacing w:after="0"/>
              <w:rPr>
                <w:sz w:val="20"/>
                <w:szCs w:val="20"/>
                <w:color w:val="auto"/>
              </w:rPr>
            </w:pPr>
            <w:r>
              <w:rPr>
                <w:rFonts w:ascii="Arial" w:cs="Arial" w:eastAsia="Arial" w:hAnsi="Arial"/>
                <w:sz w:val="14"/>
                <w:szCs w:val="14"/>
                <w:color w:val="auto"/>
              </w:rPr>
              <w:t>Less: Equity-based compensation</w:t>
            </w:r>
          </w:p>
        </w:tc>
        <w:tc>
          <w:tcPr>
            <w:tcW w:w="16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r>
      <w:tr>
        <w:trPr>
          <w:trHeight w:val="202"/>
        </w:trPr>
        <w:tc>
          <w:tcPr>
            <w:tcW w:w="2400" w:type="dxa"/>
            <w:vAlign w:val="bottom"/>
            <w:shd w:val="clear" w:color="auto" w:fill="CCEEFF"/>
          </w:tcPr>
          <w:p>
            <w:pPr>
              <w:ind w:left="20"/>
              <w:spacing w:after="0"/>
              <w:rPr>
                <w:sz w:val="20"/>
                <w:szCs w:val="20"/>
                <w:color w:val="auto"/>
              </w:rPr>
            </w:pPr>
            <w:r>
              <w:rPr>
                <w:rFonts w:ascii="Arial" w:cs="Arial" w:eastAsia="Arial" w:hAnsi="Arial"/>
                <w:sz w:val="14"/>
                <w:szCs w:val="14"/>
                <w:color w:val="auto"/>
              </w:rPr>
              <w:t>expense</w:t>
            </w:r>
          </w:p>
        </w:tc>
        <w:tc>
          <w:tcPr>
            <w:tcW w:w="16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(28)</w:t>
            </w:r>
          </w:p>
        </w:tc>
      </w:tr>
      <w:tr>
        <w:trPr>
          <w:trHeight w:val="266"/>
        </w:trPr>
        <w:tc>
          <w:tcPr>
            <w:tcW w:w="240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Less: Provision for income taxes</w:t>
            </w:r>
          </w:p>
        </w:tc>
        <w:tc>
          <w:tcPr>
            <w:tcW w:w="160" w:type="dxa"/>
            <w:vAlign w:val="bottom"/>
            <w:tcBorders>
              <w:bottom w:val="single" w:sz="8" w:color="CCEEFF"/>
            </w:tcBorders>
          </w:tcPr>
          <w:p>
            <w:pPr>
              <w:spacing w:after="0"/>
              <w:rPr>
                <w:sz w:val="23"/>
                <w:szCs w:val="23"/>
                <w:color w:val="auto"/>
              </w:rPr>
            </w:pPr>
          </w:p>
        </w:tc>
        <w:tc>
          <w:tcPr>
            <w:tcW w:w="800" w:type="dxa"/>
            <w:vAlign w:val="bottom"/>
            <w:tcBorders>
              <w:bottom w:val="single" w:sz="8" w:color="CCEEFF"/>
            </w:tcBorders>
          </w:tcPr>
          <w:p>
            <w:pPr>
              <w:spacing w:after="0"/>
              <w:rPr>
                <w:sz w:val="23"/>
                <w:szCs w:val="23"/>
                <w:color w:val="auto"/>
              </w:rPr>
            </w:pPr>
          </w:p>
        </w:tc>
        <w:tc>
          <w:tcPr>
            <w:tcW w:w="80" w:type="dxa"/>
            <w:vAlign w:val="bottom"/>
            <w:tcBorders>
              <w:bottom w:val="single" w:sz="8" w:color="CCEEFF"/>
            </w:tcBorders>
          </w:tcPr>
          <w:p>
            <w:pPr>
              <w:spacing w:after="0"/>
              <w:rPr>
                <w:sz w:val="23"/>
                <w:szCs w:val="23"/>
                <w:color w:val="auto"/>
              </w:rPr>
            </w:pPr>
          </w:p>
        </w:tc>
        <w:tc>
          <w:tcPr>
            <w:tcW w:w="120" w:type="dxa"/>
            <w:vAlign w:val="bottom"/>
            <w:tcBorders>
              <w:bottom w:val="single" w:sz="8" w:color="CCEEFF"/>
            </w:tcBorders>
          </w:tcPr>
          <w:p>
            <w:pPr>
              <w:spacing w:after="0"/>
              <w:rPr>
                <w:sz w:val="23"/>
                <w:szCs w:val="23"/>
                <w:color w:val="auto"/>
              </w:rPr>
            </w:pPr>
          </w:p>
        </w:tc>
        <w:tc>
          <w:tcPr>
            <w:tcW w:w="160" w:type="dxa"/>
            <w:vAlign w:val="bottom"/>
            <w:tcBorders>
              <w:bottom w:val="single" w:sz="8" w:color="CCEEFF"/>
            </w:tcBorders>
          </w:tcPr>
          <w:p>
            <w:pPr>
              <w:spacing w:after="0"/>
              <w:rPr>
                <w:sz w:val="23"/>
                <w:szCs w:val="23"/>
                <w:color w:val="auto"/>
              </w:rPr>
            </w:pPr>
          </w:p>
        </w:tc>
        <w:tc>
          <w:tcPr>
            <w:tcW w:w="880" w:type="dxa"/>
            <w:vAlign w:val="bottom"/>
            <w:tcBorders>
              <w:bottom w:val="single" w:sz="8" w:color="CCEEFF"/>
            </w:tcBorders>
          </w:tcPr>
          <w:p>
            <w:pPr>
              <w:spacing w:after="0"/>
              <w:rPr>
                <w:sz w:val="23"/>
                <w:szCs w:val="23"/>
                <w:color w:val="auto"/>
              </w:rPr>
            </w:pPr>
          </w:p>
        </w:tc>
        <w:tc>
          <w:tcPr>
            <w:tcW w:w="120" w:type="dxa"/>
            <w:vAlign w:val="bottom"/>
            <w:tcBorders>
              <w:bottom w:val="single" w:sz="8" w:color="CCEEFF"/>
            </w:tcBorders>
          </w:tcPr>
          <w:p>
            <w:pPr>
              <w:spacing w:after="0"/>
              <w:rPr>
                <w:sz w:val="23"/>
                <w:szCs w:val="23"/>
                <w:color w:val="auto"/>
              </w:rPr>
            </w:pPr>
          </w:p>
        </w:tc>
        <w:tc>
          <w:tcPr>
            <w:tcW w:w="120" w:type="dxa"/>
            <w:vAlign w:val="bottom"/>
            <w:tcBorders>
              <w:bottom w:val="single" w:sz="8" w:color="CCEEFF"/>
            </w:tcBorders>
          </w:tcPr>
          <w:p>
            <w:pPr>
              <w:spacing w:after="0"/>
              <w:rPr>
                <w:sz w:val="23"/>
                <w:szCs w:val="23"/>
                <w:color w:val="auto"/>
              </w:rPr>
            </w:pPr>
          </w:p>
        </w:tc>
        <w:tc>
          <w:tcPr>
            <w:tcW w:w="920" w:type="dxa"/>
            <w:vAlign w:val="bottom"/>
            <w:tcBorders>
              <w:bottom w:val="single" w:sz="8" w:color="CCEEFF"/>
            </w:tcBorders>
          </w:tcPr>
          <w:p>
            <w:pPr>
              <w:spacing w:after="0"/>
              <w:rPr>
                <w:sz w:val="23"/>
                <w:szCs w:val="23"/>
                <w:color w:val="auto"/>
              </w:rPr>
            </w:pPr>
          </w:p>
        </w:tc>
        <w:tc>
          <w:tcPr>
            <w:tcW w:w="120" w:type="dxa"/>
            <w:vAlign w:val="bottom"/>
            <w:tcBorders>
              <w:bottom w:val="single" w:sz="8" w:color="CCEEFF"/>
            </w:tcBorders>
          </w:tcPr>
          <w:p>
            <w:pPr>
              <w:spacing w:after="0"/>
              <w:rPr>
                <w:sz w:val="23"/>
                <w:szCs w:val="23"/>
                <w:color w:val="auto"/>
              </w:rPr>
            </w:pPr>
          </w:p>
        </w:tc>
        <w:tc>
          <w:tcPr>
            <w:tcW w:w="140" w:type="dxa"/>
            <w:vAlign w:val="bottom"/>
            <w:tcBorders>
              <w:bottom w:val="single" w:sz="8" w:color="CCEEFF"/>
            </w:tcBorders>
          </w:tcPr>
          <w:p>
            <w:pPr>
              <w:spacing w:after="0"/>
              <w:rPr>
                <w:sz w:val="23"/>
                <w:szCs w:val="23"/>
                <w:color w:val="auto"/>
              </w:rPr>
            </w:pPr>
          </w:p>
        </w:tc>
        <w:tc>
          <w:tcPr>
            <w:tcW w:w="900" w:type="dxa"/>
            <w:vAlign w:val="bottom"/>
            <w:tcBorders>
              <w:bottom w:val="single" w:sz="8" w:color="CCEEFF"/>
            </w:tcBorders>
          </w:tcPr>
          <w:p>
            <w:pPr>
              <w:spacing w:after="0"/>
              <w:rPr>
                <w:sz w:val="23"/>
                <w:szCs w:val="23"/>
                <w:color w:val="auto"/>
              </w:rPr>
            </w:pPr>
          </w:p>
        </w:tc>
        <w:tc>
          <w:tcPr>
            <w:tcW w:w="120" w:type="dxa"/>
            <w:vAlign w:val="bottom"/>
            <w:tcBorders>
              <w:bottom w:val="single" w:sz="8" w:color="CCEEFF"/>
            </w:tcBorders>
          </w:tcPr>
          <w:p>
            <w:pPr>
              <w:spacing w:after="0"/>
              <w:rPr>
                <w:sz w:val="23"/>
                <w:szCs w:val="23"/>
                <w:color w:val="auto"/>
              </w:rPr>
            </w:pPr>
          </w:p>
        </w:tc>
        <w:tc>
          <w:tcPr>
            <w:tcW w:w="140" w:type="dxa"/>
            <w:vAlign w:val="bottom"/>
            <w:tcBorders>
              <w:bottom w:val="single" w:sz="8" w:color="CCEEFF"/>
            </w:tcBorders>
          </w:tcPr>
          <w:p>
            <w:pPr>
              <w:spacing w:after="0"/>
              <w:rPr>
                <w:sz w:val="23"/>
                <w:szCs w:val="23"/>
                <w:color w:val="auto"/>
              </w:rPr>
            </w:pPr>
          </w:p>
        </w:tc>
        <w:tc>
          <w:tcPr>
            <w:tcW w:w="860" w:type="dxa"/>
            <w:vAlign w:val="bottom"/>
            <w:tcBorders>
              <w:bottom w:val="single" w:sz="8" w:color="CCEEFF"/>
            </w:tcBorders>
          </w:tcPr>
          <w:p>
            <w:pPr>
              <w:spacing w:after="0"/>
              <w:rPr>
                <w:sz w:val="23"/>
                <w:szCs w:val="23"/>
                <w:color w:val="auto"/>
              </w:rPr>
            </w:pPr>
          </w:p>
        </w:tc>
        <w:tc>
          <w:tcPr>
            <w:tcW w:w="100" w:type="dxa"/>
            <w:vAlign w:val="bottom"/>
            <w:tcBorders>
              <w:bottom w:val="single" w:sz="8" w:color="CCEEFF"/>
            </w:tcBorders>
          </w:tcPr>
          <w:p>
            <w:pPr>
              <w:spacing w:after="0"/>
              <w:rPr>
                <w:sz w:val="23"/>
                <w:szCs w:val="23"/>
                <w:color w:val="auto"/>
              </w:rPr>
            </w:pPr>
          </w:p>
        </w:tc>
        <w:tc>
          <w:tcPr>
            <w:tcW w:w="160" w:type="dxa"/>
            <w:vAlign w:val="bottom"/>
            <w:tcBorders>
              <w:bottom w:val="single" w:sz="8" w:color="CCEEFF"/>
            </w:tcBorders>
          </w:tcPr>
          <w:p>
            <w:pPr>
              <w:spacing w:after="0"/>
              <w:rPr>
                <w:sz w:val="23"/>
                <w:szCs w:val="23"/>
                <w:color w:val="auto"/>
              </w:rPr>
            </w:pPr>
          </w:p>
        </w:tc>
        <w:tc>
          <w:tcPr>
            <w:tcW w:w="840" w:type="dxa"/>
            <w:vAlign w:val="bottom"/>
            <w:tcBorders>
              <w:bottom w:val="single" w:sz="8" w:color="CCEEFF"/>
            </w:tcBorders>
          </w:tcPr>
          <w:p>
            <w:pPr>
              <w:spacing w:after="0"/>
              <w:rPr>
                <w:sz w:val="23"/>
                <w:szCs w:val="23"/>
                <w:color w:val="auto"/>
              </w:rPr>
            </w:pPr>
          </w:p>
        </w:tc>
        <w:tc>
          <w:tcPr>
            <w:tcW w:w="100" w:type="dxa"/>
            <w:vAlign w:val="bottom"/>
            <w:tcBorders>
              <w:bottom w:val="single" w:sz="8" w:color="CCEEFF"/>
            </w:tcBorders>
          </w:tcPr>
          <w:p>
            <w:pPr>
              <w:spacing w:after="0"/>
              <w:rPr>
                <w:sz w:val="23"/>
                <w:szCs w:val="23"/>
                <w:color w:val="auto"/>
              </w:rPr>
            </w:pPr>
          </w:p>
        </w:tc>
        <w:tc>
          <w:tcPr>
            <w:tcW w:w="140" w:type="dxa"/>
            <w:vAlign w:val="bottom"/>
            <w:tcBorders>
              <w:bottom w:val="single" w:sz="8" w:color="CCEEFF"/>
            </w:tcBorders>
          </w:tcPr>
          <w:p>
            <w:pPr>
              <w:spacing w:after="0"/>
              <w:rPr>
                <w:sz w:val="23"/>
                <w:szCs w:val="23"/>
                <w:color w:val="auto"/>
              </w:rPr>
            </w:pPr>
          </w:p>
        </w:tc>
        <w:tc>
          <w:tcPr>
            <w:tcW w:w="860" w:type="dxa"/>
            <w:vAlign w:val="bottom"/>
            <w:tcBorders>
              <w:bottom w:val="single" w:sz="8" w:color="CCEEFF"/>
            </w:tcBorders>
          </w:tcPr>
          <w:p>
            <w:pPr>
              <w:spacing w:after="0"/>
              <w:rPr>
                <w:sz w:val="23"/>
                <w:szCs w:val="23"/>
                <w:color w:val="auto"/>
              </w:rPr>
            </w:pPr>
          </w:p>
        </w:tc>
        <w:tc>
          <w:tcPr>
            <w:tcW w:w="120" w:type="dxa"/>
            <w:vAlign w:val="bottom"/>
            <w:tcBorders>
              <w:bottom w:val="single" w:sz="8" w:color="CCEEFF"/>
            </w:tcBorders>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8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(83)</w:t>
            </w:r>
          </w:p>
        </w:tc>
      </w:tr>
      <w:tr>
        <w:trPr>
          <w:trHeight w:val="241"/>
        </w:trPr>
        <w:tc>
          <w:tcPr>
            <w:tcW w:w="2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Net loss attributable to shareholders</w:t>
            </w:r>
          </w:p>
        </w:tc>
        <w:tc>
          <w:tcPr>
            <w:tcW w:w="16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(1,276)</w:t>
            </w:r>
          </w:p>
        </w:tc>
      </w:tr>
      <w:tr>
        <w:trPr>
          <w:trHeight w:val="20"/>
        </w:trPr>
        <w:tc>
          <w:tcPr>
            <w:tcW w:w="24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22" w:lineRule="exact"/>
        <w:rPr>
          <w:sz w:val="20"/>
          <w:szCs w:val="20"/>
          <w:color w:val="auto"/>
        </w:rPr>
      </w:pPr>
    </w:p>
    <w:p>
      <w:pPr>
        <w:spacing w:after="0"/>
        <w:rPr>
          <w:sz w:val="20"/>
          <w:szCs w:val="20"/>
          <w:color w:val="auto"/>
        </w:rPr>
      </w:pPr>
      <w:r>
        <w:rPr>
          <w:rFonts w:ascii="Arial" w:cs="Arial" w:eastAsia="Arial" w:hAnsi="Arial"/>
          <w:sz w:val="16"/>
          <w:szCs w:val="16"/>
          <w:color w:val="auto"/>
        </w:rPr>
        <w:t>Summary information with respect to the Company’s geographic sources of revenue, based on location of customer, is as follows:</w:t>
      </w:r>
    </w:p>
    <w:p>
      <w:pPr>
        <w:spacing w:after="0" w:line="386" w:lineRule="exact"/>
        <w:rPr>
          <w:sz w:val="20"/>
          <w:szCs w:val="20"/>
          <w:color w:val="auto"/>
        </w:rPr>
      </w:pPr>
    </w:p>
    <w:tbl>
      <w:tblPr>
        <w:tblLayout w:type="fixed"/>
        <w:tblInd w:w="540" w:type="dxa"/>
        <w:tblCellMar>
          <w:top w:w="0" w:type="dxa"/>
          <w:left w:w="0" w:type="dxa"/>
          <w:bottom w:w="0" w:type="dxa"/>
          <w:right w:w="0" w:type="dxa"/>
        </w:tblCellMar>
      </w:tblPr>
      <w:tr>
        <w:trPr>
          <w:trHeight w:val="203"/>
        </w:trPr>
        <w:tc>
          <w:tcPr>
            <w:tcW w:w="1820" w:type="dxa"/>
            <w:vAlign w:val="bottom"/>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3660" w:type="dxa"/>
            <w:vAlign w:val="bottom"/>
            <w:tcBorders>
              <w:bottom w:val="single" w:sz="8" w:color="auto"/>
            </w:tcBorders>
            <w:gridSpan w:val="8"/>
          </w:tcPr>
          <w:p>
            <w:pPr>
              <w:ind w:left="260"/>
              <w:spacing w:after="0"/>
              <w:rPr>
                <w:sz w:val="20"/>
                <w:szCs w:val="20"/>
                <w:color w:val="auto"/>
              </w:rPr>
            </w:pPr>
            <w:r>
              <w:rPr>
                <w:rFonts w:ascii="Arial" w:cs="Arial" w:eastAsia="Arial" w:hAnsi="Arial"/>
                <w:sz w:val="14"/>
                <w:szCs w:val="14"/>
                <w:b w:val="1"/>
                <w:bCs w:val="1"/>
                <w:color w:val="auto"/>
              </w:rPr>
              <w:t>Three Months Ended September 30, 2016</w:t>
            </w:r>
          </w:p>
        </w:tc>
        <w:tc>
          <w:tcPr>
            <w:tcW w:w="16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spacing w:after="0"/>
              <w:rPr>
                <w:sz w:val="17"/>
                <w:szCs w:val="17"/>
                <w:color w:val="auto"/>
              </w:rPr>
            </w:pPr>
          </w:p>
        </w:tc>
      </w:tr>
      <w:tr>
        <w:trPr>
          <w:trHeight w:val="264"/>
        </w:trPr>
        <w:tc>
          <w:tcPr>
            <w:tcW w:w="1820" w:type="dxa"/>
            <w:vAlign w:val="bottom"/>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spacing w:after="0"/>
              <w:rPr>
                <w:sz w:val="22"/>
                <w:szCs w:val="22"/>
                <w:color w:val="auto"/>
              </w:rPr>
            </w:pPr>
          </w:p>
        </w:tc>
        <w:tc>
          <w:tcPr>
            <w:tcW w:w="1440" w:type="dxa"/>
            <w:vAlign w:val="bottom"/>
            <w:tcBorders>
              <w:bottom w:val="single" w:sz="8" w:color="auto"/>
            </w:tcBorders>
            <w:gridSpan w:val="4"/>
          </w:tcPr>
          <w:p>
            <w:pPr>
              <w:ind w:left="40"/>
              <w:spacing w:after="0"/>
              <w:rPr>
                <w:sz w:val="20"/>
                <w:szCs w:val="20"/>
                <w:color w:val="auto"/>
              </w:rPr>
            </w:pPr>
            <w:r>
              <w:rPr>
                <w:rFonts w:ascii="Arial" w:cs="Arial" w:eastAsia="Arial" w:hAnsi="Arial"/>
                <w:sz w:val="14"/>
                <w:szCs w:val="14"/>
                <w:b w:val="1"/>
                <w:bCs w:val="1"/>
                <w:color w:val="auto"/>
              </w:rPr>
              <w:t>Equipment Leasing</w:t>
            </w:r>
          </w:p>
        </w:tc>
        <w:tc>
          <w:tcPr>
            <w:tcW w:w="14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gridSpan w:val="2"/>
          </w:tcPr>
          <w:p>
            <w:pPr>
              <w:jc w:val="center"/>
              <w:ind w:right="200"/>
              <w:spacing w:after="0"/>
              <w:rPr>
                <w:sz w:val="20"/>
                <w:szCs w:val="20"/>
                <w:color w:val="auto"/>
              </w:rPr>
            </w:pPr>
            <w:r>
              <w:rPr>
                <w:rFonts w:ascii="Arial" w:cs="Arial" w:eastAsia="Arial" w:hAnsi="Arial"/>
                <w:sz w:val="14"/>
                <w:szCs w:val="14"/>
                <w:b w:val="1"/>
                <w:bCs w:val="1"/>
                <w:color w:val="auto"/>
              </w:rPr>
              <w:t>Infrastructure</w:t>
            </w:r>
          </w:p>
        </w:tc>
        <w:tc>
          <w:tcPr>
            <w:tcW w:w="16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20" w:type="dxa"/>
            <w:vAlign w:val="bottom"/>
          </w:tcPr>
          <w:p>
            <w:pPr>
              <w:spacing w:after="0"/>
              <w:rPr>
                <w:sz w:val="22"/>
                <w:szCs w:val="22"/>
                <w:color w:val="auto"/>
              </w:rPr>
            </w:pPr>
          </w:p>
        </w:tc>
      </w:tr>
      <w:tr>
        <w:trPr>
          <w:trHeight w:val="168"/>
        </w:trPr>
        <w:tc>
          <w:tcPr>
            <w:tcW w:w="18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Shipping</w:t>
            </w:r>
          </w:p>
        </w:tc>
        <w:tc>
          <w:tcPr>
            <w:tcW w:w="180" w:type="dxa"/>
            <w:vAlign w:val="bottom"/>
          </w:tcPr>
          <w:p>
            <w:pPr>
              <w:spacing w:after="0"/>
              <w:rPr>
                <w:sz w:val="14"/>
                <w:szCs w:val="14"/>
                <w:color w:val="auto"/>
              </w:rPr>
            </w:pPr>
          </w:p>
        </w:tc>
        <w:tc>
          <w:tcPr>
            <w:tcW w:w="11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rPr>
              <w:t>Jefferson</w:t>
            </w:r>
          </w:p>
        </w:tc>
        <w:tc>
          <w:tcPr>
            <w:tcW w:w="1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00" w:type="dxa"/>
            <w:vAlign w:val="bottom"/>
            <w:gridSpan w:val="2"/>
          </w:tcPr>
          <w:p>
            <w:pPr>
              <w:ind w:left="80"/>
              <w:spacing w:after="0"/>
              <w:rPr>
                <w:sz w:val="20"/>
                <w:szCs w:val="20"/>
                <w:color w:val="auto"/>
              </w:rPr>
            </w:pPr>
            <w:r>
              <w:rPr>
                <w:rFonts w:ascii="Arial" w:cs="Arial" w:eastAsia="Arial" w:hAnsi="Arial"/>
                <w:sz w:val="14"/>
                <w:szCs w:val="14"/>
                <w:b w:val="1"/>
                <w:bCs w:val="1"/>
                <w:color w:val="auto"/>
              </w:rPr>
              <w:t>Ports and</w:t>
            </w:r>
          </w:p>
        </w:tc>
        <w:tc>
          <w:tcPr>
            <w:tcW w:w="26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203"/>
        </w:trPr>
        <w:tc>
          <w:tcPr>
            <w:tcW w:w="1820" w:type="dxa"/>
            <w:vAlign w:val="bottom"/>
          </w:tcPr>
          <w:p>
            <w:pPr>
              <w:spacing w:after="0"/>
              <w:rPr>
                <w:sz w:val="17"/>
                <w:szCs w:val="17"/>
                <w:color w:val="auto"/>
              </w:rPr>
            </w:pPr>
          </w:p>
        </w:tc>
        <w:tc>
          <w:tcPr>
            <w:tcW w:w="1200" w:type="dxa"/>
            <w:vAlign w:val="bottom"/>
            <w:gridSpan w:val="2"/>
          </w:tcPr>
          <w:p>
            <w:pPr>
              <w:ind w:left="20"/>
              <w:spacing w:after="0"/>
              <w:rPr>
                <w:sz w:val="20"/>
                <w:szCs w:val="20"/>
                <w:color w:val="auto"/>
              </w:rPr>
            </w:pPr>
            <w:r>
              <w:rPr>
                <w:rFonts w:ascii="Arial" w:cs="Arial" w:eastAsia="Arial" w:hAnsi="Arial"/>
                <w:sz w:val="14"/>
                <w:szCs w:val="14"/>
                <w:b w:val="1"/>
                <w:bCs w:val="1"/>
                <w:color w:val="auto"/>
              </w:rPr>
              <w:t>Aviation Leasing</w:t>
            </w:r>
          </w:p>
        </w:tc>
        <w:tc>
          <w:tcPr>
            <w:tcW w:w="120" w:type="dxa"/>
            <w:vAlign w:val="bottom"/>
          </w:tcPr>
          <w:p>
            <w:pPr>
              <w:spacing w:after="0"/>
              <w:rPr>
                <w:sz w:val="17"/>
                <w:szCs w:val="17"/>
                <w:color w:val="auto"/>
              </w:rPr>
            </w:pPr>
          </w:p>
        </w:tc>
        <w:tc>
          <w:tcPr>
            <w:tcW w:w="1320" w:type="dxa"/>
            <w:vAlign w:val="bottom"/>
            <w:gridSpan w:val="3"/>
          </w:tcPr>
          <w:p>
            <w:pPr>
              <w:ind w:left="40"/>
              <w:spacing w:after="0"/>
              <w:rPr>
                <w:sz w:val="20"/>
                <w:szCs w:val="20"/>
                <w:color w:val="auto"/>
              </w:rPr>
            </w:pPr>
            <w:r>
              <w:rPr>
                <w:rFonts w:ascii="Arial" w:cs="Arial" w:eastAsia="Arial" w:hAnsi="Arial"/>
                <w:sz w:val="14"/>
                <w:szCs w:val="14"/>
                <w:b w:val="1"/>
                <w:bCs w:val="1"/>
                <w:color w:val="auto"/>
              </w:rPr>
              <w:t>Offshore Energy</w:t>
            </w:r>
          </w:p>
        </w:tc>
        <w:tc>
          <w:tcPr>
            <w:tcW w:w="140" w:type="dxa"/>
            <w:vAlign w:val="bottom"/>
          </w:tcPr>
          <w:p>
            <w:pPr>
              <w:spacing w:after="0"/>
              <w:rPr>
                <w:sz w:val="17"/>
                <w:szCs w:val="17"/>
                <w:color w:val="auto"/>
              </w:rPr>
            </w:pPr>
          </w:p>
        </w:tc>
        <w:tc>
          <w:tcPr>
            <w:tcW w:w="11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Containers</w:t>
            </w:r>
          </w:p>
        </w:tc>
        <w:tc>
          <w:tcPr>
            <w:tcW w:w="180" w:type="dxa"/>
            <w:vAlign w:val="bottom"/>
          </w:tcPr>
          <w:p>
            <w:pPr>
              <w:spacing w:after="0"/>
              <w:rPr>
                <w:sz w:val="17"/>
                <w:szCs w:val="17"/>
                <w:color w:val="auto"/>
              </w:rPr>
            </w:pPr>
          </w:p>
        </w:tc>
        <w:tc>
          <w:tcPr>
            <w:tcW w:w="110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9"/>
              </w:rPr>
              <w:t>Terminal</w:t>
            </w:r>
          </w:p>
        </w:tc>
        <w:tc>
          <w:tcPr>
            <w:tcW w:w="100" w:type="dxa"/>
            <w:vAlign w:val="bottom"/>
          </w:tcPr>
          <w:p>
            <w:pPr>
              <w:spacing w:after="0"/>
              <w:rPr>
                <w:sz w:val="17"/>
                <w:szCs w:val="17"/>
                <w:color w:val="auto"/>
              </w:rPr>
            </w:pPr>
          </w:p>
        </w:tc>
        <w:tc>
          <w:tcPr>
            <w:tcW w:w="11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Railroad</w:t>
            </w:r>
          </w:p>
        </w:tc>
        <w:tc>
          <w:tcPr>
            <w:tcW w:w="160" w:type="dxa"/>
            <w:vAlign w:val="bottom"/>
          </w:tcPr>
          <w:p>
            <w:pPr>
              <w:spacing w:after="0"/>
              <w:rPr>
                <w:sz w:val="17"/>
                <w:szCs w:val="17"/>
                <w:color w:val="auto"/>
              </w:rPr>
            </w:pPr>
          </w:p>
        </w:tc>
        <w:tc>
          <w:tcPr>
            <w:tcW w:w="1100" w:type="dxa"/>
            <w:vAlign w:val="bottom"/>
            <w:gridSpan w:val="2"/>
          </w:tcPr>
          <w:p>
            <w:pPr>
              <w:ind w:left="80"/>
              <w:spacing w:after="0"/>
              <w:rPr>
                <w:sz w:val="20"/>
                <w:szCs w:val="20"/>
                <w:color w:val="auto"/>
              </w:rPr>
            </w:pPr>
            <w:r>
              <w:rPr>
                <w:rFonts w:ascii="Arial" w:cs="Arial" w:eastAsia="Arial" w:hAnsi="Arial"/>
                <w:sz w:val="14"/>
                <w:szCs w:val="14"/>
                <w:b w:val="1"/>
                <w:bCs w:val="1"/>
                <w:color w:val="auto"/>
              </w:rPr>
              <w:t>Terminals</w:t>
            </w:r>
          </w:p>
        </w:tc>
        <w:tc>
          <w:tcPr>
            <w:tcW w:w="260" w:type="dxa"/>
            <w:vAlign w:val="bottom"/>
          </w:tcPr>
          <w:p>
            <w:pPr>
              <w:spacing w:after="0"/>
              <w:rPr>
                <w:sz w:val="17"/>
                <w:szCs w:val="17"/>
                <w:color w:val="auto"/>
              </w:rPr>
            </w:pPr>
          </w:p>
        </w:tc>
        <w:tc>
          <w:tcPr>
            <w:tcW w:w="920" w:type="dxa"/>
            <w:vAlign w:val="bottom"/>
          </w:tcPr>
          <w:p>
            <w:pPr>
              <w:jc w:val="right"/>
              <w:ind w:right="348"/>
              <w:spacing w:after="0"/>
              <w:rPr>
                <w:sz w:val="20"/>
                <w:szCs w:val="20"/>
                <w:color w:val="auto"/>
              </w:rPr>
            </w:pPr>
            <w:r>
              <w:rPr>
                <w:rFonts w:ascii="Arial" w:cs="Arial" w:eastAsia="Arial" w:hAnsi="Arial"/>
                <w:sz w:val="14"/>
                <w:szCs w:val="14"/>
                <w:b w:val="1"/>
                <w:bCs w:val="1"/>
                <w:color w:val="auto"/>
              </w:rPr>
              <w:t>Total</w:t>
            </w:r>
          </w:p>
        </w:tc>
      </w:tr>
      <w:tr>
        <w:trPr>
          <w:trHeight w:val="265"/>
        </w:trPr>
        <w:tc>
          <w:tcPr>
            <w:tcW w:w="18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Revenues</w:t>
            </w:r>
          </w:p>
        </w:tc>
        <w:tc>
          <w:tcPr>
            <w:tcW w:w="380" w:type="dxa"/>
            <w:vAlign w:val="bottom"/>
            <w:tcBorders>
              <w:top w:val="single" w:sz="8" w:color="auto"/>
            </w:tcBorders>
            <w:shd w:val="clear" w:color="auto" w:fill="CCEEFF"/>
          </w:tcPr>
          <w:p>
            <w:pPr>
              <w:spacing w:after="0"/>
              <w:rPr>
                <w:sz w:val="23"/>
                <w:szCs w:val="23"/>
                <w:color w:val="auto"/>
              </w:rPr>
            </w:pPr>
          </w:p>
        </w:tc>
        <w:tc>
          <w:tcPr>
            <w:tcW w:w="82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420" w:type="dxa"/>
            <w:vAlign w:val="bottom"/>
            <w:tcBorders>
              <w:top w:val="single" w:sz="8" w:color="auto"/>
            </w:tcBorders>
            <w:shd w:val="clear" w:color="auto" w:fill="CCEEFF"/>
          </w:tcPr>
          <w:p>
            <w:pPr>
              <w:spacing w:after="0"/>
              <w:rPr>
                <w:sz w:val="23"/>
                <w:szCs w:val="23"/>
                <w:color w:val="auto"/>
              </w:rPr>
            </w:pPr>
          </w:p>
        </w:tc>
        <w:tc>
          <w:tcPr>
            <w:tcW w:w="78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140" w:type="dxa"/>
            <w:vAlign w:val="bottom"/>
            <w:tcBorders>
              <w:top w:val="single" w:sz="8" w:color="auto"/>
            </w:tcBorders>
            <w:shd w:val="clear" w:color="auto" w:fill="CCEEFF"/>
          </w:tcPr>
          <w:p>
            <w:pPr>
              <w:spacing w:after="0"/>
              <w:rPr>
                <w:sz w:val="23"/>
                <w:szCs w:val="23"/>
                <w:color w:val="auto"/>
              </w:rPr>
            </w:pPr>
          </w:p>
        </w:tc>
        <w:tc>
          <w:tcPr>
            <w:tcW w:w="102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180" w:type="dxa"/>
            <w:vAlign w:val="bottom"/>
            <w:tcBorders>
              <w:top w:val="single" w:sz="8" w:color="auto"/>
            </w:tcBorders>
            <w:shd w:val="clear" w:color="auto" w:fill="CCEEFF"/>
          </w:tcPr>
          <w:p>
            <w:pPr>
              <w:spacing w:after="0"/>
              <w:rPr>
                <w:sz w:val="23"/>
                <w:szCs w:val="23"/>
                <w:color w:val="auto"/>
              </w:rPr>
            </w:pPr>
          </w:p>
        </w:tc>
        <w:tc>
          <w:tcPr>
            <w:tcW w:w="98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100" w:type="dxa"/>
            <w:vAlign w:val="bottom"/>
            <w:tcBorders>
              <w:top w:val="single" w:sz="8" w:color="auto"/>
            </w:tcBorders>
            <w:shd w:val="clear" w:color="auto" w:fill="CCEEFF"/>
          </w:tcPr>
          <w:p>
            <w:pPr>
              <w:spacing w:after="0"/>
              <w:rPr>
                <w:sz w:val="23"/>
                <w:szCs w:val="23"/>
                <w:color w:val="auto"/>
              </w:rPr>
            </w:pPr>
          </w:p>
        </w:tc>
        <w:tc>
          <w:tcPr>
            <w:tcW w:w="106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160" w:type="dxa"/>
            <w:vAlign w:val="bottom"/>
            <w:tcBorders>
              <w:top w:val="single" w:sz="8" w:color="auto"/>
            </w:tcBorders>
            <w:shd w:val="clear" w:color="auto" w:fill="CCEEFF"/>
          </w:tcPr>
          <w:p>
            <w:pPr>
              <w:spacing w:after="0"/>
              <w:rPr>
                <w:sz w:val="23"/>
                <w:szCs w:val="23"/>
                <w:color w:val="auto"/>
              </w:rPr>
            </w:pPr>
          </w:p>
        </w:tc>
        <w:tc>
          <w:tcPr>
            <w:tcW w:w="100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260" w:type="dxa"/>
            <w:vAlign w:val="bottom"/>
            <w:tcBorders>
              <w:top w:val="single" w:sz="8" w:color="auto"/>
            </w:tcBorders>
            <w:shd w:val="clear" w:color="auto" w:fill="CCEEFF"/>
          </w:tcPr>
          <w:p>
            <w:pPr>
              <w:spacing w:after="0"/>
              <w:rPr>
                <w:sz w:val="23"/>
                <w:szCs w:val="23"/>
                <w:color w:val="auto"/>
              </w:rPr>
            </w:pPr>
          </w:p>
        </w:tc>
        <w:tc>
          <w:tcPr>
            <w:tcW w:w="920" w:type="dxa"/>
            <w:vAlign w:val="bottom"/>
            <w:tcBorders>
              <w:top w:val="single" w:sz="8" w:color="auto"/>
            </w:tcBorders>
            <w:shd w:val="clear" w:color="auto" w:fill="CCEEFF"/>
          </w:tcPr>
          <w:p>
            <w:pPr>
              <w:spacing w:after="0"/>
              <w:rPr>
                <w:sz w:val="23"/>
                <w:szCs w:val="23"/>
                <w:color w:val="auto"/>
              </w:rPr>
            </w:pPr>
          </w:p>
        </w:tc>
      </w:tr>
      <w:tr>
        <w:trPr>
          <w:trHeight w:val="266"/>
        </w:trPr>
        <w:tc>
          <w:tcPr>
            <w:tcW w:w="1820" w:type="dxa"/>
            <w:vAlign w:val="bottom"/>
          </w:tcPr>
          <w:p>
            <w:pPr>
              <w:ind w:left="20"/>
              <w:spacing w:after="0"/>
              <w:rPr>
                <w:sz w:val="20"/>
                <w:szCs w:val="20"/>
                <w:color w:val="auto"/>
              </w:rPr>
            </w:pPr>
            <w:r>
              <w:rPr>
                <w:rFonts w:ascii="Arial" w:cs="Arial" w:eastAsia="Arial" w:hAnsi="Arial"/>
                <w:sz w:val="14"/>
                <w:szCs w:val="14"/>
                <w:color w:val="auto"/>
              </w:rPr>
              <w:t>Africa</w:t>
            </w:r>
          </w:p>
        </w:tc>
        <w:tc>
          <w:tcPr>
            <w:tcW w:w="380" w:type="dxa"/>
            <w:vAlign w:val="bottom"/>
          </w:tcPr>
          <w:p>
            <w:pPr>
              <w:ind w:left="20"/>
              <w:spacing w:after="0"/>
              <w:rPr>
                <w:sz w:val="20"/>
                <w:szCs w:val="20"/>
                <w:color w:val="auto"/>
              </w:rPr>
            </w:pPr>
            <w:r>
              <w:rPr>
                <w:rFonts w:ascii="Arial" w:cs="Arial" w:eastAsia="Arial" w:hAnsi="Arial"/>
                <w:sz w:val="14"/>
                <w:szCs w:val="14"/>
                <w:color w:val="auto"/>
              </w:rPr>
              <w:t>$</w:t>
            </w:r>
          </w:p>
        </w:tc>
        <w:tc>
          <w:tcPr>
            <w:tcW w:w="820" w:type="dxa"/>
            <w:vAlign w:val="bottom"/>
          </w:tcPr>
          <w:p>
            <w:pPr>
              <w:jc w:val="right"/>
              <w:ind w:right="48"/>
              <w:spacing w:after="0"/>
              <w:rPr>
                <w:sz w:val="20"/>
                <w:szCs w:val="20"/>
                <w:color w:val="auto"/>
              </w:rPr>
            </w:pPr>
            <w:r>
              <w:rPr>
                <w:rFonts w:ascii="Arial" w:cs="Arial" w:eastAsia="Arial" w:hAnsi="Arial"/>
                <w:sz w:val="14"/>
                <w:szCs w:val="14"/>
                <w:color w:val="auto"/>
              </w:rPr>
              <w:t>3,554</w:t>
            </w:r>
          </w:p>
        </w:tc>
        <w:tc>
          <w:tcPr>
            <w:tcW w:w="540" w:type="dxa"/>
            <w:vAlign w:val="bottom"/>
            <w:gridSpan w:val="2"/>
          </w:tcPr>
          <w:p>
            <w:pPr>
              <w:ind w:left="140"/>
              <w:spacing w:after="0"/>
              <w:rPr>
                <w:sz w:val="20"/>
                <w:szCs w:val="20"/>
                <w:color w:val="auto"/>
              </w:rPr>
            </w:pPr>
            <w:r>
              <w:rPr>
                <w:rFonts w:ascii="Arial" w:cs="Arial" w:eastAsia="Arial" w:hAnsi="Arial"/>
                <w:sz w:val="14"/>
                <w:szCs w:val="14"/>
                <w:color w:val="auto"/>
              </w:rPr>
              <w:t>$</w:t>
            </w:r>
          </w:p>
        </w:tc>
        <w:tc>
          <w:tcPr>
            <w:tcW w:w="9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11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1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11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1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2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920" w:type="dxa"/>
            <w:vAlign w:val="bottom"/>
          </w:tcPr>
          <w:p>
            <w:pPr>
              <w:jc w:val="right"/>
              <w:ind w:right="48"/>
              <w:spacing w:after="0"/>
              <w:rPr>
                <w:sz w:val="20"/>
                <w:szCs w:val="20"/>
                <w:color w:val="auto"/>
              </w:rPr>
            </w:pPr>
            <w:r>
              <w:rPr>
                <w:rFonts w:ascii="Arial" w:cs="Arial" w:eastAsia="Arial" w:hAnsi="Arial"/>
                <w:sz w:val="14"/>
                <w:szCs w:val="14"/>
                <w:color w:val="auto"/>
              </w:rPr>
              <w:t>3,554</w:t>
            </w:r>
          </w:p>
        </w:tc>
      </w:tr>
      <w:tr>
        <w:trPr>
          <w:trHeight w:val="274"/>
        </w:trPr>
        <w:tc>
          <w:tcPr>
            <w:tcW w:w="1820" w:type="dxa"/>
            <w:vAlign w:val="bottom"/>
            <w:shd w:val="clear" w:color="auto" w:fill="CCEEFF"/>
          </w:tcPr>
          <w:p>
            <w:pPr>
              <w:ind w:left="20"/>
              <w:spacing w:after="0"/>
              <w:rPr>
                <w:sz w:val="20"/>
                <w:szCs w:val="20"/>
                <w:color w:val="auto"/>
              </w:rPr>
            </w:pPr>
            <w:r>
              <w:rPr>
                <w:rFonts w:ascii="Arial" w:cs="Arial" w:eastAsia="Arial" w:hAnsi="Arial"/>
                <w:sz w:val="14"/>
                <w:szCs w:val="14"/>
                <w:color w:val="auto"/>
              </w:rPr>
              <w:t>Asia</w:t>
            </w:r>
          </w:p>
        </w:tc>
        <w:tc>
          <w:tcPr>
            <w:tcW w:w="380" w:type="dxa"/>
            <w:vAlign w:val="bottom"/>
            <w:shd w:val="clear" w:color="auto" w:fill="CCEEFF"/>
          </w:tcPr>
          <w:p>
            <w:pPr>
              <w:spacing w:after="0"/>
              <w:rPr>
                <w:sz w:val="23"/>
                <w:szCs w:val="23"/>
                <w:color w:val="auto"/>
              </w:rPr>
            </w:pPr>
          </w:p>
        </w:tc>
        <w:tc>
          <w:tcPr>
            <w:tcW w:w="8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11,589</w:t>
            </w:r>
          </w:p>
        </w:tc>
        <w:tc>
          <w:tcPr>
            <w:tcW w:w="120" w:type="dxa"/>
            <w:vAlign w:val="bottom"/>
            <w:shd w:val="clear" w:color="auto" w:fill="CCEEFF"/>
          </w:tcPr>
          <w:p>
            <w:pPr>
              <w:spacing w:after="0"/>
              <w:rPr>
                <w:sz w:val="23"/>
                <w:szCs w:val="23"/>
                <w:color w:val="auto"/>
              </w:rPr>
            </w:pPr>
          </w:p>
        </w:tc>
        <w:tc>
          <w:tcPr>
            <w:tcW w:w="420" w:type="dxa"/>
            <w:vAlign w:val="bottom"/>
            <w:shd w:val="clear" w:color="auto" w:fill="CCEEFF"/>
          </w:tcPr>
          <w:p>
            <w:pPr>
              <w:spacing w:after="0"/>
              <w:rPr>
                <w:sz w:val="23"/>
                <w:szCs w:val="23"/>
                <w:color w:val="auto"/>
              </w:rPr>
            </w:pPr>
          </w:p>
        </w:tc>
        <w:tc>
          <w:tcPr>
            <w:tcW w:w="7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2,565</w:t>
            </w: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0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25</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3"/>
                <w:szCs w:val="23"/>
                <w:color w:val="auto"/>
              </w:rPr>
            </w:pP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3"/>
                <w:szCs w:val="23"/>
                <w:color w:val="auto"/>
              </w:rPr>
            </w:pP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23"/>
                <w:szCs w:val="23"/>
                <w:color w:val="auto"/>
              </w:rPr>
            </w:pPr>
          </w:p>
        </w:tc>
        <w:tc>
          <w:tcPr>
            <w:tcW w:w="9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14,179</w:t>
            </w:r>
          </w:p>
        </w:tc>
      </w:tr>
      <w:tr>
        <w:trPr>
          <w:trHeight w:val="266"/>
        </w:trPr>
        <w:tc>
          <w:tcPr>
            <w:tcW w:w="1820" w:type="dxa"/>
            <w:vAlign w:val="bottom"/>
          </w:tcPr>
          <w:p>
            <w:pPr>
              <w:ind w:left="20"/>
              <w:spacing w:after="0"/>
              <w:rPr>
                <w:sz w:val="20"/>
                <w:szCs w:val="20"/>
                <w:color w:val="auto"/>
              </w:rPr>
            </w:pPr>
            <w:r>
              <w:rPr>
                <w:rFonts w:ascii="Arial" w:cs="Arial" w:eastAsia="Arial" w:hAnsi="Arial"/>
                <w:sz w:val="14"/>
                <w:szCs w:val="14"/>
                <w:color w:val="auto"/>
              </w:rPr>
              <w:t>Europe</w:t>
            </w:r>
          </w:p>
        </w:tc>
        <w:tc>
          <w:tcPr>
            <w:tcW w:w="380" w:type="dxa"/>
            <w:vAlign w:val="bottom"/>
          </w:tcPr>
          <w:p>
            <w:pPr>
              <w:spacing w:after="0"/>
              <w:rPr>
                <w:sz w:val="23"/>
                <w:szCs w:val="23"/>
                <w:color w:val="auto"/>
              </w:rPr>
            </w:pPr>
          </w:p>
        </w:tc>
        <w:tc>
          <w:tcPr>
            <w:tcW w:w="820" w:type="dxa"/>
            <w:vAlign w:val="bottom"/>
          </w:tcPr>
          <w:p>
            <w:pPr>
              <w:jc w:val="right"/>
              <w:ind w:right="48"/>
              <w:spacing w:after="0"/>
              <w:rPr>
                <w:sz w:val="20"/>
                <w:szCs w:val="20"/>
                <w:color w:val="auto"/>
              </w:rPr>
            </w:pPr>
            <w:r>
              <w:rPr>
                <w:rFonts w:ascii="Arial" w:cs="Arial" w:eastAsia="Arial" w:hAnsi="Arial"/>
                <w:sz w:val="14"/>
                <w:szCs w:val="14"/>
                <w:color w:val="auto"/>
              </w:rPr>
              <w:t>9,431</w:t>
            </w:r>
          </w:p>
        </w:tc>
        <w:tc>
          <w:tcPr>
            <w:tcW w:w="1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3"/>
                <w:szCs w:val="23"/>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3"/>
                <w:szCs w:val="23"/>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3"/>
                <w:szCs w:val="23"/>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3"/>
                <w:szCs w:val="23"/>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23"/>
                <w:szCs w:val="23"/>
                <w:color w:val="auto"/>
              </w:rPr>
            </w:pPr>
          </w:p>
        </w:tc>
        <w:tc>
          <w:tcPr>
            <w:tcW w:w="920" w:type="dxa"/>
            <w:vAlign w:val="bottom"/>
          </w:tcPr>
          <w:p>
            <w:pPr>
              <w:jc w:val="right"/>
              <w:ind w:right="48"/>
              <w:spacing w:after="0"/>
              <w:rPr>
                <w:sz w:val="20"/>
                <w:szCs w:val="20"/>
                <w:color w:val="auto"/>
              </w:rPr>
            </w:pPr>
            <w:r>
              <w:rPr>
                <w:rFonts w:ascii="Arial" w:cs="Arial" w:eastAsia="Arial" w:hAnsi="Arial"/>
                <w:sz w:val="14"/>
                <w:szCs w:val="14"/>
                <w:color w:val="auto"/>
              </w:rPr>
              <w:t>9,431</w:t>
            </w:r>
          </w:p>
        </w:tc>
      </w:tr>
      <w:tr>
        <w:trPr>
          <w:trHeight w:val="274"/>
        </w:trPr>
        <w:tc>
          <w:tcPr>
            <w:tcW w:w="1820" w:type="dxa"/>
            <w:vAlign w:val="bottom"/>
            <w:shd w:val="clear" w:color="auto" w:fill="CCEEFF"/>
          </w:tcPr>
          <w:p>
            <w:pPr>
              <w:ind w:left="20"/>
              <w:spacing w:after="0"/>
              <w:rPr>
                <w:sz w:val="20"/>
                <w:szCs w:val="20"/>
                <w:color w:val="auto"/>
              </w:rPr>
            </w:pPr>
            <w:r>
              <w:rPr>
                <w:rFonts w:ascii="Arial" w:cs="Arial" w:eastAsia="Arial" w:hAnsi="Arial"/>
                <w:sz w:val="14"/>
                <w:szCs w:val="14"/>
                <w:color w:val="auto"/>
              </w:rPr>
              <w:t>North America</w:t>
            </w:r>
          </w:p>
        </w:tc>
        <w:tc>
          <w:tcPr>
            <w:tcW w:w="380" w:type="dxa"/>
            <w:vAlign w:val="bottom"/>
            <w:shd w:val="clear" w:color="auto" w:fill="CCEEFF"/>
          </w:tcPr>
          <w:p>
            <w:pPr>
              <w:spacing w:after="0"/>
              <w:rPr>
                <w:sz w:val="23"/>
                <w:szCs w:val="23"/>
                <w:color w:val="auto"/>
              </w:rPr>
            </w:pPr>
          </w:p>
        </w:tc>
        <w:tc>
          <w:tcPr>
            <w:tcW w:w="8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2,091</w:t>
            </w:r>
          </w:p>
        </w:tc>
        <w:tc>
          <w:tcPr>
            <w:tcW w:w="120" w:type="dxa"/>
            <w:vAlign w:val="bottom"/>
            <w:shd w:val="clear" w:color="auto" w:fill="CCEEFF"/>
          </w:tcPr>
          <w:p>
            <w:pPr>
              <w:spacing w:after="0"/>
              <w:rPr>
                <w:sz w:val="23"/>
                <w:szCs w:val="23"/>
                <w:color w:val="auto"/>
              </w:rPr>
            </w:pPr>
          </w:p>
        </w:tc>
        <w:tc>
          <w:tcPr>
            <w:tcW w:w="420" w:type="dxa"/>
            <w:vAlign w:val="bottom"/>
            <w:shd w:val="clear" w:color="auto" w:fill="CCEEFF"/>
          </w:tcPr>
          <w:p>
            <w:pPr>
              <w:spacing w:after="0"/>
              <w:rPr>
                <w:sz w:val="23"/>
                <w:szCs w:val="23"/>
                <w:color w:val="auto"/>
              </w:rPr>
            </w:pPr>
          </w:p>
        </w:tc>
        <w:tc>
          <w:tcPr>
            <w:tcW w:w="7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404</w:t>
            </w: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3"/>
                <w:szCs w:val="23"/>
                <w:color w:val="auto"/>
              </w:rPr>
            </w:pPr>
          </w:p>
        </w:tc>
        <w:tc>
          <w:tcPr>
            <w:tcW w:w="9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4,255</w:t>
            </w:r>
          </w:p>
        </w:tc>
        <w:tc>
          <w:tcPr>
            <w:tcW w:w="1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0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7,401</w:t>
            </w: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0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16</w:t>
            </w: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9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14,167</w:t>
            </w:r>
          </w:p>
        </w:tc>
      </w:tr>
      <w:tr>
        <w:trPr>
          <w:trHeight w:val="266"/>
        </w:trPr>
        <w:tc>
          <w:tcPr>
            <w:tcW w:w="182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South America</w:t>
            </w:r>
          </w:p>
        </w:tc>
        <w:tc>
          <w:tcPr>
            <w:tcW w:w="380" w:type="dxa"/>
            <w:vAlign w:val="bottom"/>
            <w:tcBorders>
              <w:bottom w:val="single" w:sz="8" w:color="auto"/>
            </w:tcBorders>
          </w:tcPr>
          <w:p>
            <w:pPr>
              <w:spacing w:after="0"/>
              <w:rPr>
                <w:sz w:val="23"/>
                <w:szCs w:val="23"/>
                <w:color w:val="auto"/>
              </w:rPr>
            </w:pPr>
          </w:p>
        </w:tc>
        <w:tc>
          <w:tcPr>
            <w:tcW w:w="8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395</w:t>
            </w:r>
          </w:p>
        </w:tc>
        <w:tc>
          <w:tcPr>
            <w:tcW w:w="120" w:type="dxa"/>
            <w:vAlign w:val="bottom"/>
            <w:tcBorders>
              <w:bottom w:val="single" w:sz="8" w:color="CCEEFF"/>
            </w:tcBorders>
          </w:tcPr>
          <w:p>
            <w:pPr>
              <w:spacing w:after="0"/>
              <w:rPr>
                <w:sz w:val="23"/>
                <w:szCs w:val="23"/>
                <w:color w:val="auto"/>
              </w:rPr>
            </w:pPr>
          </w:p>
        </w:tc>
        <w:tc>
          <w:tcPr>
            <w:tcW w:w="420" w:type="dxa"/>
            <w:vAlign w:val="bottom"/>
            <w:tcBorders>
              <w:bottom w:val="single" w:sz="8" w:color="auto"/>
            </w:tcBorders>
          </w:tcPr>
          <w:p>
            <w:pPr>
              <w:spacing w:after="0"/>
              <w:rPr>
                <w:sz w:val="23"/>
                <w:szCs w:val="23"/>
                <w:color w:val="auto"/>
              </w:rPr>
            </w:pPr>
          </w:p>
        </w:tc>
        <w:tc>
          <w:tcPr>
            <w:tcW w:w="7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10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9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tcPr>
          <w:p>
            <w:pPr>
              <w:spacing w:after="0"/>
              <w:rPr>
                <w:sz w:val="23"/>
                <w:szCs w:val="23"/>
                <w:color w:val="auto"/>
              </w:rPr>
            </w:pPr>
          </w:p>
        </w:tc>
        <w:tc>
          <w:tcPr>
            <w:tcW w:w="100" w:type="dxa"/>
            <w:vAlign w:val="bottom"/>
            <w:tcBorders>
              <w:bottom w:val="single" w:sz="8" w:color="auto"/>
            </w:tcBorders>
          </w:tcPr>
          <w:p>
            <w:pPr>
              <w:spacing w:after="0"/>
              <w:rPr>
                <w:sz w:val="23"/>
                <w:szCs w:val="23"/>
                <w:color w:val="auto"/>
              </w:rPr>
            </w:pPr>
          </w:p>
        </w:tc>
        <w:tc>
          <w:tcPr>
            <w:tcW w:w="10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10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9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395</w:t>
            </w:r>
          </w:p>
        </w:tc>
      </w:tr>
      <w:tr>
        <w:trPr>
          <w:trHeight w:val="241"/>
        </w:trPr>
        <w:tc>
          <w:tcPr>
            <w:tcW w:w="1820" w:type="dxa"/>
            <w:vAlign w:val="bottom"/>
            <w:shd w:val="clear" w:color="auto" w:fill="CCEEFF"/>
          </w:tcPr>
          <w:p>
            <w:pPr>
              <w:ind w:left="20"/>
              <w:spacing w:after="0"/>
              <w:rPr>
                <w:sz w:val="20"/>
                <w:szCs w:val="20"/>
                <w:color w:val="auto"/>
              </w:rPr>
            </w:pPr>
            <w:r>
              <w:rPr>
                <w:rFonts w:ascii="Arial" w:cs="Arial" w:eastAsia="Arial" w:hAnsi="Arial"/>
                <w:sz w:val="14"/>
                <w:szCs w:val="14"/>
                <w:color w:val="auto"/>
              </w:rPr>
              <w:t>Total</w:t>
            </w:r>
          </w:p>
        </w:tc>
        <w:tc>
          <w:tcPr>
            <w:tcW w:w="380" w:type="dxa"/>
            <w:vAlign w:val="bottom"/>
            <w:shd w:val="clear" w:color="auto" w:fill="CCEEFF"/>
          </w:tcPr>
          <w:p>
            <w:pPr>
              <w:ind w:left="20"/>
              <w:spacing w:after="0"/>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27,060</w:t>
            </w:r>
          </w:p>
        </w:tc>
        <w:tc>
          <w:tcPr>
            <w:tcW w:w="540" w:type="dxa"/>
            <w:vAlign w:val="bottom"/>
            <w:gridSpan w:val="2"/>
            <w:shd w:val="clear" w:color="auto" w:fill="CCEEFF"/>
          </w:tcPr>
          <w:p>
            <w:pPr>
              <w:ind w:left="140"/>
              <w:spacing w:after="0"/>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2,969</w:t>
            </w: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25</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9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4,255</w:t>
            </w: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7,401</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16</w:t>
            </w: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41,726</w:t>
            </w:r>
          </w:p>
        </w:tc>
      </w:tr>
      <w:tr>
        <w:trPr>
          <w:trHeight w:val="20"/>
        </w:trPr>
        <w:tc>
          <w:tcPr>
            <w:tcW w:w="18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37</w:t>
      </w:r>
    </w:p>
    <w:p>
      <w:pPr>
        <w:sectPr>
          <w:pgSz w:w="11900" w:h="16838" w:orient="portrait"/>
          <w:cols w:equalWidth="0" w:num="1">
            <w:col w:w="11400"/>
          </w:cols>
          <w:pgMar w:left="240" w:top="117" w:right="259" w:bottom="1440" w:gutter="0" w:footer="0" w:header="0"/>
        </w:sectPr>
      </w:pPr>
    </w:p>
    <w:bookmarkStart w:id="37" w:name="page38"/>
    <w:bookmarkEnd w:id="37"/>
    <w:p>
      <w:pPr>
        <w:ind w:right="3420"/>
        <w:spacing w:after="0" w:line="305" w:lineRule="auto"/>
        <w:rPr>
          <w:sz w:val="20"/>
          <w:szCs w:val="20"/>
          <w:color w:val="auto"/>
        </w:rPr>
      </w:pPr>
      <w:r>
        <w:rPr>
          <w:rFonts w:ascii="Arial" w:cs="Arial" w:eastAsia="Arial" w:hAnsi="Arial"/>
          <w:sz w:val="22"/>
          <w:szCs w:val="22"/>
          <w:b w:val="1"/>
          <w:bCs w:val="1"/>
          <w:color w:val="00497F"/>
        </w:rPr>
        <w:t xml:space="preserve">FORTRESS TRANSPORTATION AND INFRASTRUCTURE INVESTORS LLC NOTES TO CONSOLIDATED FINANCIAL STATEMENTS </w:t>
      </w:r>
      <w:r>
        <w:rPr>
          <w:rFonts w:ascii="Arial" w:cs="Arial" w:eastAsia="Arial" w:hAnsi="Arial"/>
          <w:sz w:val="22"/>
          <w:szCs w:val="22"/>
          <w:b w:val="1"/>
          <w:bCs w:val="1"/>
          <w:i w:val="1"/>
          <w:iCs w:val="1"/>
          <w:color w:val="00497F"/>
        </w:rPr>
        <w:t>(unaudited)</w:t>
      </w:r>
    </w:p>
    <w:p>
      <w:pPr>
        <w:spacing w:after="0"/>
        <w:rPr>
          <w:sz w:val="20"/>
          <w:szCs w:val="20"/>
          <w:color w:val="auto"/>
        </w:rPr>
      </w:pPr>
      <w:r>
        <w:rPr>
          <w:rFonts w:ascii="Arial" w:cs="Arial" w:eastAsia="Arial" w:hAnsi="Arial"/>
          <w:sz w:val="18"/>
          <w:szCs w:val="18"/>
          <w:i w:val="1"/>
          <w:iCs w:val="1"/>
          <w:color w:val="00497F"/>
        </w:rPr>
        <w:t>(Dollar amounts in thousands, unless otherwise noted)</w:t>
      </w:r>
    </w:p>
    <w:p>
      <w:pPr>
        <w:spacing w:after="0" w:line="395" w:lineRule="exact"/>
        <w:rPr>
          <w:sz w:val="20"/>
          <w:szCs w:val="20"/>
          <w:color w:val="auto"/>
        </w:rPr>
      </w:pPr>
    </w:p>
    <w:p>
      <w:pPr>
        <w:ind w:left="340"/>
        <w:spacing w:after="0"/>
        <w:rPr>
          <w:sz w:val="20"/>
          <w:szCs w:val="20"/>
          <w:color w:val="auto"/>
        </w:rPr>
      </w:pPr>
      <w:r>
        <w:rPr>
          <w:rFonts w:ascii="Arial" w:cs="Arial" w:eastAsia="Arial" w:hAnsi="Arial"/>
          <w:sz w:val="16"/>
          <w:szCs w:val="16"/>
          <w:b w:val="1"/>
          <w:bCs w:val="1"/>
          <w:color w:val="00497F"/>
        </w:rPr>
        <w:t>IV. For the Nine Months Ended September 30, 2016</w:t>
      </w:r>
    </w:p>
    <w:p>
      <w:pPr>
        <w:spacing w:after="0" w:line="388" w:lineRule="exact"/>
        <w:rPr>
          <w:sz w:val="20"/>
          <w:szCs w:val="20"/>
          <w:color w:val="auto"/>
        </w:rPr>
      </w:pPr>
    </w:p>
    <w:tbl>
      <w:tblPr>
        <w:tblLayout w:type="fixed"/>
        <w:tblInd w:w="340" w:type="dxa"/>
        <w:tblCellMar>
          <w:top w:w="0" w:type="dxa"/>
          <w:left w:w="0" w:type="dxa"/>
          <w:bottom w:w="0" w:type="dxa"/>
          <w:right w:w="0" w:type="dxa"/>
        </w:tblCellMar>
      </w:tblPr>
      <w:tr>
        <w:trPr>
          <w:trHeight w:val="203"/>
        </w:trPr>
        <w:tc>
          <w:tcPr>
            <w:tcW w:w="224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3260" w:type="dxa"/>
            <w:vAlign w:val="bottom"/>
            <w:tcBorders>
              <w:bottom w:val="single" w:sz="8" w:color="auto"/>
            </w:tcBorders>
            <w:gridSpan w:val="9"/>
          </w:tcPr>
          <w:p>
            <w:pPr>
              <w:jc w:val="right"/>
              <w:spacing w:after="0"/>
              <w:rPr>
                <w:sz w:val="20"/>
                <w:szCs w:val="20"/>
                <w:color w:val="auto"/>
              </w:rPr>
            </w:pPr>
            <w:r>
              <w:rPr>
                <w:rFonts w:ascii="Arial" w:cs="Arial" w:eastAsia="Arial" w:hAnsi="Arial"/>
                <w:sz w:val="14"/>
                <w:szCs w:val="14"/>
                <w:b w:val="1"/>
                <w:bCs w:val="1"/>
                <w:color w:val="auto"/>
              </w:rPr>
              <w:t>Nine Months Ended September 30, 2016</w:t>
            </w:r>
          </w:p>
        </w:tc>
        <w:tc>
          <w:tcPr>
            <w:tcW w:w="8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64"/>
        </w:trPr>
        <w:tc>
          <w:tcPr>
            <w:tcW w:w="224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spacing w:after="0"/>
              <w:rPr>
                <w:sz w:val="22"/>
                <w:szCs w:val="22"/>
                <w:color w:val="auto"/>
              </w:rPr>
            </w:pPr>
          </w:p>
        </w:tc>
        <w:tc>
          <w:tcPr>
            <w:tcW w:w="1360" w:type="dxa"/>
            <w:vAlign w:val="bottom"/>
            <w:tcBorders>
              <w:bottom w:val="single" w:sz="8" w:color="auto"/>
            </w:tcBorders>
            <w:gridSpan w:val="5"/>
          </w:tcPr>
          <w:p>
            <w:pPr>
              <w:jc w:val="right"/>
              <w:spacing w:after="0"/>
              <w:rPr>
                <w:sz w:val="20"/>
                <w:szCs w:val="20"/>
                <w:color w:val="auto"/>
              </w:rPr>
            </w:pPr>
            <w:r>
              <w:rPr>
                <w:rFonts w:ascii="Arial" w:cs="Arial" w:eastAsia="Arial" w:hAnsi="Arial"/>
                <w:sz w:val="14"/>
                <w:szCs w:val="14"/>
                <w:b w:val="1"/>
                <w:bCs w:val="1"/>
                <w:color w:val="auto"/>
              </w:rPr>
              <w:t>Equipment Leasing</w:t>
            </w:r>
          </w:p>
        </w:tc>
        <w:tc>
          <w:tcPr>
            <w:tcW w:w="920" w:type="dxa"/>
            <w:vAlign w:val="bottom"/>
            <w:tcBorders>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gridSpan w:val="3"/>
          </w:tcPr>
          <w:p>
            <w:pPr>
              <w:spacing w:after="0"/>
              <w:rPr>
                <w:sz w:val="20"/>
                <w:szCs w:val="20"/>
                <w:color w:val="auto"/>
              </w:rPr>
            </w:pPr>
            <w:r>
              <w:rPr>
                <w:rFonts w:ascii="Arial" w:cs="Arial" w:eastAsia="Arial" w:hAnsi="Arial"/>
                <w:sz w:val="14"/>
                <w:szCs w:val="14"/>
                <w:b w:val="1"/>
                <w:bCs w:val="1"/>
                <w:color w:val="auto"/>
              </w:rPr>
              <w:t>Infrastructure</w:t>
            </w:r>
          </w:p>
        </w:tc>
        <w:tc>
          <w:tcPr>
            <w:tcW w:w="12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68"/>
        </w:trPr>
        <w:tc>
          <w:tcPr>
            <w:tcW w:w="2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tcPr>
          <w:p>
            <w:pPr>
              <w:jc w:val="right"/>
              <w:ind w:right="148"/>
              <w:spacing w:after="0"/>
              <w:rPr>
                <w:sz w:val="20"/>
                <w:szCs w:val="20"/>
                <w:color w:val="auto"/>
              </w:rPr>
            </w:pPr>
            <w:r>
              <w:rPr>
                <w:rFonts w:ascii="Arial" w:cs="Arial" w:eastAsia="Arial" w:hAnsi="Arial"/>
                <w:sz w:val="14"/>
                <w:szCs w:val="14"/>
                <w:b w:val="1"/>
                <w:bCs w:val="1"/>
                <w:color w:val="auto"/>
              </w:rPr>
              <w:t>Aviation</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Offshore</w:t>
            </w:r>
          </w:p>
        </w:tc>
        <w:tc>
          <w:tcPr>
            <w:tcW w:w="140" w:type="dxa"/>
            <w:vAlign w:val="bottom"/>
          </w:tcPr>
          <w:p>
            <w:pPr>
              <w:spacing w:after="0"/>
              <w:rPr>
                <w:sz w:val="14"/>
                <w:szCs w:val="14"/>
                <w:color w:val="auto"/>
              </w:rPr>
            </w:pPr>
          </w:p>
        </w:tc>
        <w:tc>
          <w:tcPr>
            <w:tcW w:w="10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Shipping</w:t>
            </w:r>
          </w:p>
        </w:tc>
        <w:tc>
          <w:tcPr>
            <w:tcW w:w="120" w:type="dxa"/>
            <w:vAlign w:val="bottom"/>
          </w:tcPr>
          <w:p>
            <w:pPr>
              <w:spacing w:after="0"/>
              <w:rPr>
                <w:sz w:val="14"/>
                <w:szCs w:val="14"/>
                <w:color w:val="auto"/>
              </w:rPr>
            </w:pPr>
          </w:p>
        </w:tc>
        <w:tc>
          <w:tcPr>
            <w:tcW w:w="9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Jefferson</w:t>
            </w:r>
          </w:p>
        </w:tc>
        <w:tc>
          <w:tcPr>
            <w:tcW w:w="1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gridSpan w:val="2"/>
          </w:tcPr>
          <w:p>
            <w:pPr>
              <w:ind w:left="20"/>
              <w:spacing w:after="0"/>
              <w:rPr>
                <w:sz w:val="20"/>
                <w:szCs w:val="20"/>
                <w:color w:val="auto"/>
              </w:rPr>
            </w:pPr>
            <w:r>
              <w:rPr>
                <w:rFonts w:ascii="Arial" w:cs="Arial" w:eastAsia="Arial" w:hAnsi="Arial"/>
                <w:sz w:val="14"/>
                <w:szCs w:val="14"/>
                <w:b w:val="1"/>
                <w:bCs w:val="1"/>
                <w:color w:val="auto"/>
              </w:rPr>
              <w:t>Ports and</w:t>
            </w:r>
          </w:p>
        </w:tc>
        <w:tc>
          <w:tcPr>
            <w:tcW w:w="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2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jc w:val="right"/>
              <w:ind w:right="148"/>
              <w:spacing w:after="0"/>
              <w:rPr>
                <w:sz w:val="20"/>
                <w:szCs w:val="20"/>
                <w:color w:val="auto"/>
              </w:rPr>
            </w:pPr>
            <w:r>
              <w:rPr>
                <w:rFonts w:ascii="Arial" w:cs="Arial" w:eastAsia="Arial" w:hAnsi="Arial"/>
                <w:sz w:val="14"/>
                <w:szCs w:val="14"/>
                <w:b w:val="1"/>
                <w:bCs w:val="1"/>
                <w:color w:val="auto"/>
              </w:rPr>
              <w:t>Leasing</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Energy</w:t>
            </w:r>
          </w:p>
        </w:tc>
        <w:tc>
          <w:tcPr>
            <w:tcW w:w="140" w:type="dxa"/>
            <w:vAlign w:val="bottom"/>
          </w:tcPr>
          <w:p>
            <w:pPr>
              <w:spacing w:after="0"/>
              <w:rPr>
                <w:sz w:val="17"/>
                <w:szCs w:val="17"/>
                <w:color w:val="auto"/>
              </w:rPr>
            </w:pPr>
          </w:p>
        </w:tc>
        <w:tc>
          <w:tcPr>
            <w:tcW w:w="10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Containers</w:t>
            </w:r>
          </w:p>
        </w:tc>
        <w:tc>
          <w:tcPr>
            <w:tcW w:w="120" w:type="dxa"/>
            <w:vAlign w:val="bottom"/>
          </w:tcPr>
          <w:p>
            <w:pPr>
              <w:spacing w:after="0"/>
              <w:rPr>
                <w:sz w:val="17"/>
                <w:szCs w:val="17"/>
                <w:color w:val="auto"/>
              </w:rPr>
            </w:pPr>
          </w:p>
        </w:tc>
        <w:tc>
          <w:tcPr>
            <w:tcW w:w="9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9"/>
              </w:rPr>
              <w:t>Terminal</w:t>
            </w:r>
          </w:p>
        </w:tc>
        <w:tc>
          <w:tcPr>
            <w:tcW w:w="140" w:type="dxa"/>
            <w:vAlign w:val="bottom"/>
          </w:tcPr>
          <w:p>
            <w:pPr>
              <w:spacing w:after="0"/>
              <w:rPr>
                <w:sz w:val="17"/>
                <w:szCs w:val="17"/>
                <w:color w:val="auto"/>
              </w:rPr>
            </w:pPr>
          </w:p>
        </w:tc>
        <w:tc>
          <w:tcPr>
            <w:tcW w:w="900" w:type="dxa"/>
            <w:vAlign w:val="bottom"/>
            <w:gridSpan w:val="2"/>
          </w:tcPr>
          <w:p>
            <w:pPr>
              <w:ind w:left="40"/>
              <w:spacing w:after="0"/>
              <w:rPr>
                <w:sz w:val="20"/>
                <w:szCs w:val="20"/>
                <w:color w:val="auto"/>
              </w:rPr>
            </w:pPr>
            <w:r>
              <w:rPr>
                <w:rFonts w:ascii="Arial" w:cs="Arial" w:eastAsia="Arial" w:hAnsi="Arial"/>
                <w:sz w:val="14"/>
                <w:szCs w:val="14"/>
                <w:b w:val="1"/>
                <w:bCs w:val="1"/>
                <w:color w:val="auto"/>
              </w:rPr>
              <w:t>Railroad</w:t>
            </w:r>
          </w:p>
        </w:tc>
        <w:tc>
          <w:tcPr>
            <w:tcW w:w="120" w:type="dxa"/>
            <w:vAlign w:val="bottom"/>
          </w:tcPr>
          <w:p>
            <w:pPr>
              <w:spacing w:after="0"/>
              <w:rPr>
                <w:sz w:val="17"/>
                <w:szCs w:val="17"/>
                <w:color w:val="auto"/>
              </w:rPr>
            </w:pPr>
          </w:p>
        </w:tc>
        <w:tc>
          <w:tcPr>
            <w:tcW w:w="940" w:type="dxa"/>
            <w:vAlign w:val="bottom"/>
            <w:gridSpan w:val="2"/>
          </w:tcPr>
          <w:p>
            <w:pPr>
              <w:ind w:left="20"/>
              <w:spacing w:after="0"/>
              <w:rPr>
                <w:sz w:val="20"/>
                <w:szCs w:val="20"/>
                <w:color w:val="auto"/>
              </w:rPr>
            </w:pPr>
            <w:r>
              <w:rPr>
                <w:rFonts w:ascii="Arial" w:cs="Arial" w:eastAsia="Arial" w:hAnsi="Arial"/>
                <w:sz w:val="14"/>
                <w:szCs w:val="14"/>
                <w:b w:val="1"/>
                <w:bCs w:val="1"/>
                <w:color w:val="auto"/>
              </w:rPr>
              <w:t>Terminals</w:t>
            </w:r>
          </w:p>
        </w:tc>
        <w:tc>
          <w:tcPr>
            <w:tcW w:w="120" w:type="dxa"/>
            <w:vAlign w:val="bottom"/>
          </w:tcPr>
          <w:p>
            <w:pPr>
              <w:spacing w:after="0"/>
              <w:rPr>
                <w:sz w:val="17"/>
                <w:szCs w:val="17"/>
                <w:color w:val="auto"/>
              </w:rPr>
            </w:pPr>
          </w:p>
        </w:tc>
        <w:tc>
          <w:tcPr>
            <w:tcW w:w="940" w:type="dxa"/>
            <w:vAlign w:val="bottom"/>
            <w:gridSpan w:val="2"/>
          </w:tcPr>
          <w:p>
            <w:pPr>
              <w:spacing w:after="0"/>
              <w:rPr>
                <w:sz w:val="20"/>
                <w:szCs w:val="20"/>
                <w:color w:val="auto"/>
              </w:rPr>
            </w:pPr>
            <w:r>
              <w:rPr>
                <w:rFonts w:ascii="Arial" w:cs="Arial" w:eastAsia="Arial" w:hAnsi="Arial"/>
                <w:sz w:val="14"/>
                <w:szCs w:val="14"/>
                <w:b w:val="1"/>
                <w:bCs w:val="1"/>
                <w:color w:val="auto"/>
              </w:rPr>
              <w:t>Corporate</w:t>
            </w:r>
          </w:p>
        </w:tc>
        <w:tc>
          <w:tcPr>
            <w:tcW w:w="160" w:type="dxa"/>
            <w:vAlign w:val="bottom"/>
          </w:tcPr>
          <w:p>
            <w:pPr>
              <w:spacing w:after="0"/>
              <w:rPr>
                <w:sz w:val="17"/>
                <w:szCs w:val="17"/>
                <w:color w:val="auto"/>
              </w:rPr>
            </w:pPr>
          </w:p>
        </w:tc>
        <w:tc>
          <w:tcPr>
            <w:tcW w:w="660" w:type="dxa"/>
            <w:vAlign w:val="bottom"/>
          </w:tcPr>
          <w:p>
            <w:pPr>
              <w:jc w:val="right"/>
              <w:ind w:right="168"/>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65"/>
        </w:trPr>
        <w:tc>
          <w:tcPr>
            <w:tcW w:w="22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Revenues</w:t>
            </w:r>
          </w:p>
        </w:tc>
        <w:tc>
          <w:tcPr>
            <w:tcW w:w="160" w:type="dxa"/>
            <w:vAlign w:val="bottom"/>
            <w:tcBorders>
              <w:top w:val="single" w:sz="8" w:color="auto"/>
            </w:tcBorders>
            <w:shd w:val="clear" w:color="auto" w:fill="CCEEFF"/>
          </w:tcPr>
          <w:p>
            <w:pPr>
              <w:spacing w:after="0"/>
              <w:rPr>
                <w:sz w:val="23"/>
                <w:szCs w:val="23"/>
                <w:color w:val="auto"/>
              </w:rPr>
            </w:pPr>
          </w:p>
        </w:tc>
        <w:tc>
          <w:tcPr>
            <w:tcW w:w="84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140" w:type="dxa"/>
            <w:vAlign w:val="bottom"/>
            <w:tcBorders>
              <w:top w:val="single" w:sz="8" w:color="auto"/>
            </w:tcBorders>
            <w:shd w:val="clear" w:color="auto" w:fill="CCEEFF"/>
          </w:tcPr>
          <w:p>
            <w:pPr>
              <w:spacing w:after="0"/>
              <w:rPr>
                <w:sz w:val="23"/>
                <w:szCs w:val="23"/>
                <w:color w:val="auto"/>
              </w:rPr>
            </w:pPr>
          </w:p>
        </w:tc>
        <w:tc>
          <w:tcPr>
            <w:tcW w:w="84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140" w:type="dxa"/>
            <w:vAlign w:val="bottom"/>
            <w:tcBorders>
              <w:top w:val="single" w:sz="8" w:color="auto"/>
            </w:tcBorders>
            <w:shd w:val="clear" w:color="auto" w:fill="CCEEFF"/>
          </w:tcPr>
          <w:p>
            <w:pPr>
              <w:spacing w:after="0"/>
              <w:rPr>
                <w:sz w:val="23"/>
                <w:szCs w:val="23"/>
                <w:color w:val="auto"/>
              </w:rPr>
            </w:pPr>
          </w:p>
        </w:tc>
        <w:tc>
          <w:tcPr>
            <w:tcW w:w="92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120" w:type="dxa"/>
            <w:vAlign w:val="bottom"/>
            <w:tcBorders>
              <w:top w:val="single" w:sz="8" w:color="auto"/>
            </w:tcBorders>
            <w:shd w:val="clear" w:color="auto" w:fill="CCEEFF"/>
          </w:tcPr>
          <w:p>
            <w:pPr>
              <w:spacing w:after="0"/>
              <w:rPr>
                <w:sz w:val="23"/>
                <w:szCs w:val="23"/>
                <w:color w:val="auto"/>
              </w:rPr>
            </w:pPr>
          </w:p>
        </w:tc>
        <w:tc>
          <w:tcPr>
            <w:tcW w:w="82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140" w:type="dxa"/>
            <w:vAlign w:val="bottom"/>
            <w:tcBorders>
              <w:top w:val="single" w:sz="8" w:color="auto"/>
            </w:tcBorders>
            <w:shd w:val="clear" w:color="auto" w:fill="CCEEFF"/>
          </w:tcPr>
          <w:p>
            <w:pPr>
              <w:spacing w:after="0"/>
              <w:rPr>
                <w:sz w:val="23"/>
                <w:szCs w:val="23"/>
                <w:color w:val="auto"/>
              </w:rPr>
            </w:pPr>
          </w:p>
        </w:tc>
        <w:tc>
          <w:tcPr>
            <w:tcW w:w="80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120" w:type="dxa"/>
            <w:vAlign w:val="bottom"/>
            <w:tcBorders>
              <w:top w:val="single" w:sz="8" w:color="auto"/>
            </w:tcBorders>
            <w:shd w:val="clear" w:color="auto" w:fill="CCEEFF"/>
          </w:tcPr>
          <w:p>
            <w:pPr>
              <w:spacing w:after="0"/>
              <w:rPr>
                <w:sz w:val="23"/>
                <w:szCs w:val="23"/>
                <w:color w:val="auto"/>
              </w:rPr>
            </w:pPr>
          </w:p>
        </w:tc>
        <w:tc>
          <w:tcPr>
            <w:tcW w:w="82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120" w:type="dxa"/>
            <w:vAlign w:val="bottom"/>
            <w:tcBorders>
              <w:top w:val="single" w:sz="8" w:color="auto"/>
            </w:tcBorders>
            <w:shd w:val="clear" w:color="auto" w:fill="CCEEFF"/>
          </w:tcPr>
          <w:p>
            <w:pPr>
              <w:spacing w:after="0"/>
              <w:rPr>
                <w:sz w:val="23"/>
                <w:szCs w:val="23"/>
                <w:color w:val="auto"/>
              </w:rPr>
            </w:pPr>
          </w:p>
        </w:tc>
        <w:tc>
          <w:tcPr>
            <w:tcW w:w="82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160" w:type="dxa"/>
            <w:vAlign w:val="bottom"/>
            <w:tcBorders>
              <w:top w:val="single" w:sz="8" w:color="auto"/>
            </w:tcBorders>
            <w:shd w:val="clear" w:color="auto" w:fill="CCEEFF"/>
          </w:tcPr>
          <w:p>
            <w:pPr>
              <w:spacing w:after="0"/>
              <w:rPr>
                <w:sz w:val="23"/>
                <w:szCs w:val="23"/>
                <w:color w:val="auto"/>
              </w:rPr>
            </w:pPr>
          </w:p>
        </w:tc>
        <w:tc>
          <w:tcPr>
            <w:tcW w:w="660" w:type="dxa"/>
            <w:vAlign w:val="bottom"/>
            <w:tcBorders>
              <w:top w:val="single" w:sz="8" w:color="auto"/>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6"/>
        </w:trPr>
        <w:tc>
          <w:tcPr>
            <w:tcW w:w="2240" w:type="dxa"/>
            <w:vAlign w:val="bottom"/>
          </w:tcPr>
          <w:p>
            <w:pPr>
              <w:ind w:left="20"/>
              <w:spacing w:after="0"/>
              <w:rPr>
                <w:sz w:val="20"/>
                <w:szCs w:val="20"/>
                <w:color w:val="auto"/>
              </w:rPr>
            </w:pPr>
            <w:r>
              <w:rPr>
                <w:rFonts w:ascii="Arial" w:cs="Arial" w:eastAsia="Arial" w:hAnsi="Arial"/>
                <w:sz w:val="14"/>
                <w:szCs w:val="14"/>
                <w:color w:val="auto"/>
              </w:rPr>
              <w:t>Equipment leasing revenues</w:t>
            </w: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840" w:type="dxa"/>
            <w:vAlign w:val="bottom"/>
          </w:tcPr>
          <w:p>
            <w:pPr>
              <w:jc w:val="right"/>
              <w:ind w:right="48"/>
              <w:spacing w:after="0"/>
              <w:rPr>
                <w:sz w:val="20"/>
                <w:szCs w:val="20"/>
                <w:color w:val="auto"/>
              </w:rPr>
            </w:pPr>
            <w:r>
              <w:rPr>
                <w:rFonts w:ascii="Arial" w:cs="Arial" w:eastAsia="Arial" w:hAnsi="Arial"/>
                <w:sz w:val="14"/>
                <w:szCs w:val="14"/>
                <w:color w:val="auto"/>
              </w:rPr>
              <w:t>66,360</w:t>
            </w:r>
          </w:p>
        </w:tc>
        <w:tc>
          <w:tcPr>
            <w:tcW w:w="26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c>
          <w:tcPr>
            <w:tcW w:w="840" w:type="dxa"/>
            <w:vAlign w:val="bottom"/>
          </w:tcPr>
          <w:p>
            <w:pPr>
              <w:jc w:val="right"/>
              <w:ind w:right="28"/>
              <w:spacing w:after="0"/>
              <w:rPr>
                <w:sz w:val="20"/>
                <w:szCs w:val="20"/>
                <w:color w:val="auto"/>
              </w:rPr>
            </w:pPr>
            <w:r>
              <w:rPr>
                <w:rFonts w:ascii="Arial" w:cs="Arial" w:eastAsia="Arial" w:hAnsi="Arial"/>
                <w:sz w:val="14"/>
                <w:szCs w:val="14"/>
                <w:color w:val="auto"/>
              </w:rPr>
              <w:t>4,433</w:t>
            </w:r>
          </w:p>
        </w:tc>
        <w:tc>
          <w:tcPr>
            <w:tcW w:w="120" w:type="dxa"/>
            <w:vAlign w:val="bottom"/>
          </w:tcPr>
          <w:p>
            <w:pPr>
              <w:spacing w:after="0"/>
              <w:rPr>
                <w:sz w:val="23"/>
                <w:szCs w:val="23"/>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920" w:type="dxa"/>
            <w:vAlign w:val="bottom"/>
          </w:tcPr>
          <w:p>
            <w:pPr>
              <w:jc w:val="right"/>
              <w:ind w:right="8"/>
              <w:spacing w:after="0"/>
              <w:rPr>
                <w:sz w:val="20"/>
                <w:szCs w:val="20"/>
                <w:color w:val="auto"/>
              </w:rPr>
            </w:pPr>
            <w:r>
              <w:rPr>
                <w:rFonts w:ascii="Arial" w:cs="Arial" w:eastAsia="Arial" w:hAnsi="Arial"/>
                <w:sz w:val="14"/>
                <w:szCs w:val="14"/>
                <w:color w:val="auto"/>
              </w:rPr>
              <w:t>1,187</w:t>
            </w:r>
          </w:p>
        </w:tc>
        <w:tc>
          <w:tcPr>
            <w:tcW w:w="120" w:type="dxa"/>
            <w:vAlign w:val="bottom"/>
          </w:tcPr>
          <w:p>
            <w:pPr>
              <w:spacing w:after="0"/>
              <w:rPr>
                <w:sz w:val="23"/>
                <w:szCs w:val="23"/>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9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ind w:left="20"/>
              <w:spacing w:after="0"/>
              <w:rPr>
                <w:sz w:val="20"/>
                <w:szCs w:val="20"/>
                <w:color w:val="auto"/>
              </w:rPr>
            </w:pPr>
            <w:r>
              <w:rPr>
                <w:rFonts w:ascii="Arial" w:cs="Arial" w:eastAsia="Arial" w:hAnsi="Arial"/>
                <w:sz w:val="14"/>
                <w:szCs w:val="14"/>
                <w:color w:val="auto"/>
              </w:rPr>
              <w:t>$</w:t>
            </w:r>
          </w:p>
        </w:tc>
        <w:tc>
          <w:tcPr>
            <w:tcW w:w="9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9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9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660" w:type="dxa"/>
            <w:vAlign w:val="bottom"/>
          </w:tcPr>
          <w:p>
            <w:pPr>
              <w:jc w:val="right"/>
              <w:ind w:right="8"/>
              <w:spacing w:after="0"/>
              <w:rPr>
                <w:sz w:val="20"/>
                <w:szCs w:val="20"/>
                <w:color w:val="auto"/>
              </w:rPr>
            </w:pPr>
            <w:r>
              <w:rPr>
                <w:rFonts w:ascii="Arial" w:cs="Arial" w:eastAsia="Arial" w:hAnsi="Arial"/>
                <w:sz w:val="14"/>
                <w:szCs w:val="14"/>
                <w:color w:val="auto"/>
              </w:rPr>
              <w:t>71,980</w:t>
            </w:r>
          </w:p>
        </w:tc>
        <w:tc>
          <w:tcPr>
            <w:tcW w:w="0" w:type="dxa"/>
            <w:vAlign w:val="bottom"/>
          </w:tcPr>
          <w:p>
            <w:pPr>
              <w:spacing w:after="0"/>
              <w:rPr>
                <w:sz w:val="1"/>
                <w:szCs w:val="1"/>
                <w:color w:val="auto"/>
              </w:rPr>
            </w:pPr>
          </w:p>
        </w:tc>
      </w:tr>
      <w:tr>
        <w:trPr>
          <w:trHeight w:val="270"/>
        </w:trPr>
        <w:tc>
          <w:tcPr>
            <w:tcW w:w="2240" w:type="dxa"/>
            <w:vAlign w:val="bottom"/>
            <w:shd w:val="clear" w:color="auto" w:fill="CCEEFF"/>
          </w:tcPr>
          <w:p>
            <w:pPr>
              <w:ind w:left="20"/>
              <w:spacing w:after="0"/>
              <w:rPr>
                <w:sz w:val="20"/>
                <w:szCs w:val="20"/>
                <w:color w:val="auto"/>
              </w:rPr>
            </w:pPr>
            <w:r>
              <w:rPr>
                <w:rFonts w:ascii="Arial" w:cs="Arial" w:eastAsia="Arial" w:hAnsi="Arial"/>
                <w:sz w:val="14"/>
                <w:szCs w:val="14"/>
                <w:color w:val="auto"/>
              </w:rPr>
              <w:t>Infrastructure revenues</w:t>
            </w:r>
          </w:p>
        </w:tc>
        <w:tc>
          <w:tcPr>
            <w:tcW w:w="160" w:type="dxa"/>
            <w:vAlign w:val="bottom"/>
            <w:tcBorders>
              <w:bottom w:val="single" w:sz="8" w:color="auto"/>
            </w:tcBorders>
            <w:shd w:val="clear" w:color="auto" w:fill="CCEEFF"/>
          </w:tcPr>
          <w:p>
            <w:pPr>
              <w:spacing w:after="0"/>
              <w:rPr>
                <w:sz w:val="23"/>
                <w:szCs w:val="23"/>
                <w:color w:val="auto"/>
              </w:rPr>
            </w:pPr>
          </w:p>
        </w:tc>
        <w:tc>
          <w:tcPr>
            <w:tcW w:w="84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8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92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8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11,271</w:t>
            </w:r>
          </w:p>
        </w:tc>
        <w:tc>
          <w:tcPr>
            <w:tcW w:w="12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8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23,107</w:t>
            </w:r>
          </w:p>
        </w:tc>
        <w:tc>
          <w:tcPr>
            <w:tcW w:w="10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82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16</w:t>
            </w:r>
          </w:p>
        </w:tc>
        <w:tc>
          <w:tcPr>
            <w:tcW w:w="12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8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66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34,394</w:t>
            </w:r>
          </w:p>
        </w:tc>
        <w:tc>
          <w:tcPr>
            <w:tcW w:w="0" w:type="dxa"/>
            <w:vAlign w:val="bottom"/>
          </w:tcPr>
          <w:p>
            <w:pPr>
              <w:spacing w:after="0"/>
              <w:rPr>
                <w:sz w:val="1"/>
                <w:szCs w:val="1"/>
                <w:color w:val="auto"/>
              </w:rPr>
            </w:pPr>
          </w:p>
        </w:tc>
      </w:tr>
      <w:tr>
        <w:trPr>
          <w:trHeight w:val="250"/>
        </w:trPr>
        <w:tc>
          <w:tcPr>
            <w:tcW w:w="2240" w:type="dxa"/>
            <w:vAlign w:val="bottom"/>
          </w:tcPr>
          <w:p>
            <w:pPr>
              <w:ind w:left="20"/>
              <w:spacing w:after="0"/>
              <w:rPr>
                <w:sz w:val="20"/>
                <w:szCs w:val="20"/>
                <w:color w:val="auto"/>
              </w:rPr>
            </w:pPr>
            <w:r>
              <w:rPr>
                <w:rFonts w:ascii="Arial" w:cs="Arial" w:eastAsia="Arial" w:hAnsi="Arial"/>
                <w:sz w:val="14"/>
                <w:szCs w:val="14"/>
                <w:color w:val="auto"/>
              </w:rPr>
              <w:t>Total revenues</w:t>
            </w:r>
          </w:p>
        </w:tc>
        <w:tc>
          <w:tcPr>
            <w:tcW w:w="160" w:type="dxa"/>
            <w:vAlign w:val="bottom"/>
          </w:tcPr>
          <w:p>
            <w:pPr>
              <w:spacing w:after="0"/>
              <w:rPr>
                <w:sz w:val="21"/>
                <w:szCs w:val="21"/>
                <w:color w:val="auto"/>
              </w:rPr>
            </w:pPr>
          </w:p>
        </w:tc>
        <w:tc>
          <w:tcPr>
            <w:tcW w:w="840" w:type="dxa"/>
            <w:vAlign w:val="bottom"/>
          </w:tcPr>
          <w:p>
            <w:pPr>
              <w:jc w:val="right"/>
              <w:ind w:right="48"/>
              <w:spacing w:after="0"/>
              <w:rPr>
                <w:sz w:val="20"/>
                <w:szCs w:val="20"/>
                <w:color w:val="auto"/>
              </w:rPr>
            </w:pPr>
            <w:r>
              <w:rPr>
                <w:rFonts w:ascii="Arial" w:cs="Arial" w:eastAsia="Arial" w:hAnsi="Arial"/>
                <w:sz w:val="14"/>
                <w:szCs w:val="14"/>
                <w:color w:val="auto"/>
              </w:rPr>
              <w:t>66,360</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40" w:type="dxa"/>
            <w:vAlign w:val="bottom"/>
          </w:tcPr>
          <w:p>
            <w:pPr>
              <w:jc w:val="right"/>
              <w:ind w:right="28"/>
              <w:spacing w:after="0"/>
              <w:rPr>
                <w:sz w:val="20"/>
                <w:szCs w:val="20"/>
                <w:color w:val="auto"/>
              </w:rPr>
            </w:pPr>
            <w:r>
              <w:rPr>
                <w:rFonts w:ascii="Arial" w:cs="Arial" w:eastAsia="Arial" w:hAnsi="Arial"/>
                <w:sz w:val="14"/>
                <w:szCs w:val="14"/>
                <w:color w:val="auto"/>
              </w:rPr>
              <w:t>4,433</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20" w:type="dxa"/>
            <w:vAlign w:val="bottom"/>
          </w:tcPr>
          <w:p>
            <w:pPr>
              <w:jc w:val="right"/>
              <w:ind w:right="8"/>
              <w:spacing w:after="0"/>
              <w:rPr>
                <w:sz w:val="20"/>
                <w:szCs w:val="20"/>
                <w:color w:val="auto"/>
              </w:rPr>
            </w:pPr>
            <w:r>
              <w:rPr>
                <w:rFonts w:ascii="Arial" w:cs="Arial" w:eastAsia="Arial" w:hAnsi="Arial"/>
                <w:sz w:val="14"/>
                <w:szCs w:val="14"/>
                <w:color w:val="auto"/>
              </w:rPr>
              <w:t>1,187</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20" w:type="dxa"/>
            <w:vAlign w:val="bottom"/>
          </w:tcPr>
          <w:p>
            <w:pPr>
              <w:jc w:val="right"/>
              <w:ind w:right="28"/>
              <w:spacing w:after="0"/>
              <w:rPr>
                <w:sz w:val="20"/>
                <w:szCs w:val="20"/>
                <w:color w:val="auto"/>
              </w:rPr>
            </w:pPr>
            <w:r>
              <w:rPr>
                <w:rFonts w:ascii="Arial" w:cs="Arial" w:eastAsia="Arial" w:hAnsi="Arial"/>
                <w:sz w:val="14"/>
                <w:szCs w:val="14"/>
                <w:color w:val="auto"/>
              </w:rPr>
              <w:t>11,271</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00" w:type="dxa"/>
            <w:vAlign w:val="bottom"/>
          </w:tcPr>
          <w:p>
            <w:pPr>
              <w:jc w:val="right"/>
              <w:ind w:right="28"/>
              <w:spacing w:after="0"/>
              <w:rPr>
                <w:sz w:val="20"/>
                <w:szCs w:val="20"/>
                <w:color w:val="auto"/>
              </w:rPr>
            </w:pPr>
            <w:r>
              <w:rPr>
                <w:rFonts w:ascii="Arial" w:cs="Arial" w:eastAsia="Arial" w:hAnsi="Arial"/>
                <w:sz w:val="14"/>
                <w:szCs w:val="14"/>
                <w:color w:val="auto"/>
              </w:rPr>
              <w:t>23,107</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20" w:type="dxa"/>
            <w:vAlign w:val="bottom"/>
          </w:tcPr>
          <w:p>
            <w:pPr>
              <w:jc w:val="right"/>
              <w:ind w:right="8"/>
              <w:spacing w:after="0"/>
              <w:rPr>
                <w:sz w:val="20"/>
                <w:szCs w:val="20"/>
                <w:color w:val="auto"/>
              </w:rPr>
            </w:pPr>
            <w:r>
              <w:rPr>
                <w:rFonts w:ascii="Arial" w:cs="Arial" w:eastAsia="Arial" w:hAnsi="Arial"/>
                <w:sz w:val="14"/>
                <w:szCs w:val="14"/>
                <w:color w:val="auto"/>
              </w:rPr>
              <w:t>16</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1"/>
                <w:szCs w:val="21"/>
                <w:color w:val="auto"/>
              </w:rPr>
            </w:pPr>
          </w:p>
        </w:tc>
        <w:tc>
          <w:tcPr>
            <w:tcW w:w="660" w:type="dxa"/>
            <w:vAlign w:val="bottom"/>
          </w:tcPr>
          <w:p>
            <w:pPr>
              <w:jc w:val="right"/>
              <w:ind w:right="8"/>
              <w:spacing w:after="0"/>
              <w:rPr>
                <w:sz w:val="20"/>
                <w:szCs w:val="20"/>
                <w:color w:val="auto"/>
              </w:rPr>
            </w:pPr>
            <w:r>
              <w:rPr>
                <w:rFonts w:ascii="Arial" w:cs="Arial" w:eastAsia="Arial" w:hAnsi="Arial"/>
                <w:sz w:val="14"/>
                <w:szCs w:val="14"/>
                <w:color w:val="auto"/>
              </w:rPr>
              <w:t>106,374</w:t>
            </w:r>
          </w:p>
        </w:tc>
        <w:tc>
          <w:tcPr>
            <w:tcW w:w="0" w:type="dxa"/>
            <w:vAlign w:val="bottom"/>
          </w:tcPr>
          <w:p>
            <w:pPr>
              <w:spacing w:after="0"/>
              <w:rPr>
                <w:sz w:val="1"/>
                <w:szCs w:val="1"/>
                <w:color w:val="auto"/>
              </w:rPr>
            </w:pPr>
          </w:p>
        </w:tc>
      </w:tr>
      <w:tr>
        <w:trPr>
          <w:trHeight w:val="322"/>
        </w:trPr>
        <w:tc>
          <w:tcPr>
            <w:tcW w:w="2240" w:type="dxa"/>
            <w:vAlign w:val="bottom"/>
            <w:tcBorders>
              <w:top w:val="single" w:sz="8" w:color="CCEEFF"/>
            </w:tcBorders>
            <w:shd w:val="clear" w:color="auto" w:fill="CCEEFF"/>
          </w:tcPr>
          <w:p>
            <w:pPr>
              <w:spacing w:after="0"/>
              <w:rPr>
                <w:sz w:val="24"/>
                <w:szCs w:val="24"/>
                <w:color w:val="auto"/>
              </w:rPr>
            </w:pPr>
          </w:p>
        </w:tc>
        <w:tc>
          <w:tcPr>
            <w:tcW w:w="160" w:type="dxa"/>
            <w:vAlign w:val="bottom"/>
            <w:tcBorders>
              <w:top w:val="single" w:sz="8" w:color="auto"/>
            </w:tcBorders>
            <w:shd w:val="clear" w:color="auto" w:fill="CCEEFF"/>
          </w:tcPr>
          <w:p>
            <w:pPr>
              <w:spacing w:after="0"/>
              <w:rPr>
                <w:sz w:val="24"/>
                <w:szCs w:val="24"/>
                <w:color w:val="auto"/>
              </w:rPr>
            </w:pPr>
          </w:p>
        </w:tc>
        <w:tc>
          <w:tcPr>
            <w:tcW w:w="840" w:type="dxa"/>
            <w:vAlign w:val="bottom"/>
            <w:tcBorders>
              <w:top w:val="single" w:sz="8" w:color="auto"/>
            </w:tcBorders>
            <w:shd w:val="clear" w:color="auto" w:fill="CCEEFF"/>
          </w:tcPr>
          <w:p>
            <w:pPr>
              <w:spacing w:after="0"/>
              <w:rPr>
                <w:sz w:val="24"/>
                <w:szCs w:val="24"/>
                <w:color w:val="auto"/>
              </w:rPr>
            </w:pPr>
          </w:p>
        </w:tc>
        <w:tc>
          <w:tcPr>
            <w:tcW w:w="120" w:type="dxa"/>
            <w:vAlign w:val="bottom"/>
            <w:tcBorders>
              <w:top w:val="single" w:sz="8" w:color="CCEEFF"/>
            </w:tcBorders>
            <w:shd w:val="clear" w:color="auto" w:fill="CCEEFF"/>
          </w:tcPr>
          <w:p>
            <w:pPr>
              <w:spacing w:after="0"/>
              <w:rPr>
                <w:sz w:val="24"/>
                <w:szCs w:val="24"/>
                <w:color w:val="auto"/>
              </w:rPr>
            </w:pPr>
          </w:p>
        </w:tc>
        <w:tc>
          <w:tcPr>
            <w:tcW w:w="140" w:type="dxa"/>
            <w:vAlign w:val="bottom"/>
            <w:tcBorders>
              <w:top w:val="single" w:sz="8" w:color="auto"/>
            </w:tcBorders>
            <w:shd w:val="clear" w:color="auto" w:fill="CCEEFF"/>
          </w:tcPr>
          <w:p>
            <w:pPr>
              <w:spacing w:after="0"/>
              <w:rPr>
                <w:sz w:val="24"/>
                <w:szCs w:val="24"/>
                <w:color w:val="auto"/>
              </w:rPr>
            </w:pPr>
          </w:p>
        </w:tc>
        <w:tc>
          <w:tcPr>
            <w:tcW w:w="840" w:type="dxa"/>
            <w:vAlign w:val="bottom"/>
            <w:tcBorders>
              <w:top w:val="single" w:sz="8" w:color="auto"/>
            </w:tcBorders>
            <w:shd w:val="clear" w:color="auto" w:fill="CCEEFF"/>
          </w:tcPr>
          <w:p>
            <w:pPr>
              <w:spacing w:after="0"/>
              <w:rPr>
                <w:sz w:val="24"/>
                <w:szCs w:val="24"/>
                <w:color w:val="auto"/>
              </w:rPr>
            </w:pPr>
          </w:p>
        </w:tc>
        <w:tc>
          <w:tcPr>
            <w:tcW w:w="120" w:type="dxa"/>
            <w:vAlign w:val="bottom"/>
            <w:tcBorders>
              <w:top w:val="single" w:sz="8" w:color="CCEEFF"/>
            </w:tcBorders>
            <w:shd w:val="clear" w:color="auto" w:fill="CCEEFF"/>
          </w:tcPr>
          <w:p>
            <w:pPr>
              <w:spacing w:after="0"/>
              <w:rPr>
                <w:sz w:val="24"/>
                <w:szCs w:val="24"/>
                <w:color w:val="auto"/>
              </w:rPr>
            </w:pPr>
          </w:p>
        </w:tc>
        <w:tc>
          <w:tcPr>
            <w:tcW w:w="140" w:type="dxa"/>
            <w:vAlign w:val="bottom"/>
            <w:tcBorders>
              <w:top w:val="single" w:sz="8" w:color="auto"/>
            </w:tcBorders>
            <w:shd w:val="clear" w:color="auto" w:fill="CCEEFF"/>
          </w:tcPr>
          <w:p>
            <w:pPr>
              <w:spacing w:after="0"/>
              <w:rPr>
                <w:sz w:val="24"/>
                <w:szCs w:val="24"/>
                <w:color w:val="auto"/>
              </w:rPr>
            </w:pPr>
          </w:p>
        </w:tc>
        <w:tc>
          <w:tcPr>
            <w:tcW w:w="920" w:type="dxa"/>
            <w:vAlign w:val="bottom"/>
            <w:tcBorders>
              <w:top w:val="single" w:sz="8" w:color="auto"/>
            </w:tcBorders>
            <w:shd w:val="clear" w:color="auto" w:fill="CCEEFF"/>
          </w:tcPr>
          <w:p>
            <w:pPr>
              <w:spacing w:after="0"/>
              <w:rPr>
                <w:sz w:val="24"/>
                <w:szCs w:val="24"/>
                <w:color w:val="auto"/>
              </w:rPr>
            </w:pPr>
          </w:p>
        </w:tc>
        <w:tc>
          <w:tcPr>
            <w:tcW w:w="120" w:type="dxa"/>
            <w:vAlign w:val="bottom"/>
            <w:tcBorders>
              <w:top w:val="single" w:sz="8" w:color="CCEEFF"/>
            </w:tcBorders>
            <w:shd w:val="clear" w:color="auto" w:fill="CCEEFF"/>
          </w:tcPr>
          <w:p>
            <w:pPr>
              <w:spacing w:after="0"/>
              <w:rPr>
                <w:sz w:val="24"/>
                <w:szCs w:val="24"/>
                <w:color w:val="auto"/>
              </w:rPr>
            </w:pPr>
          </w:p>
        </w:tc>
        <w:tc>
          <w:tcPr>
            <w:tcW w:w="120" w:type="dxa"/>
            <w:vAlign w:val="bottom"/>
            <w:tcBorders>
              <w:top w:val="single" w:sz="8" w:color="auto"/>
            </w:tcBorders>
            <w:shd w:val="clear" w:color="auto" w:fill="CCEEFF"/>
          </w:tcPr>
          <w:p>
            <w:pPr>
              <w:spacing w:after="0"/>
              <w:rPr>
                <w:sz w:val="24"/>
                <w:szCs w:val="24"/>
                <w:color w:val="auto"/>
              </w:rPr>
            </w:pPr>
          </w:p>
        </w:tc>
        <w:tc>
          <w:tcPr>
            <w:tcW w:w="820" w:type="dxa"/>
            <w:vAlign w:val="bottom"/>
            <w:tcBorders>
              <w:top w:val="single" w:sz="8" w:color="auto"/>
            </w:tcBorders>
            <w:shd w:val="clear" w:color="auto" w:fill="CCEEFF"/>
          </w:tcPr>
          <w:p>
            <w:pPr>
              <w:spacing w:after="0"/>
              <w:rPr>
                <w:sz w:val="24"/>
                <w:szCs w:val="24"/>
                <w:color w:val="auto"/>
              </w:rPr>
            </w:pPr>
          </w:p>
        </w:tc>
        <w:tc>
          <w:tcPr>
            <w:tcW w:w="120" w:type="dxa"/>
            <w:vAlign w:val="bottom"/>
            <w:tcBorders>
              <w:top w:val="single" w:sz="8" w:color="CCEEFF"/>
            </w:tcBorders>
            <w:shd w:val="clear" w:color="auto" w:fill="CCEEFF"/>
          </w:tcPr>
          <w:p>
            <w:pPr>
              <w:spacing w:after="0"/>
              <w:rPr>
                <w:sz w:val="24"/>
                <w:szCs w:val="24"/>
                <w:color w:val="auto"/>
              </w:rPr>
            </w:pPr>
          </w:p>
        </w:tc>
        <w:tc>
          <w:tcPr>
            <w:tcW w:w="140" w:type="dxa"/>
            <w:vAlign w:val="bottom"/>
            <w:tcBorders>
              <w:top w:val="single" w:sz="8" w:color="auto"/>
            </w:tcBorders>
            <w:shd w:val="clear" w:color="auto" w:fill="CCEEFF"/>
          </w:tcPr>
          <w:p>
            <w:pPr>
              <w:spacing w:after="0"/>
              <w:rPr>
                <w:sz w:val="24"/>
                <w:szCs w:val="24"/>
                <w:color w:val="auto"/>
              </w:rPr>
            </w:pPr>
          </w:p>
        </w:tc>
        <w:tc>
          <w:tcPr>
            <w:tcW w:w="800" w:type="dxa"/>
            <w:vAlign w:val="bottom"/>
            <w:tcBorders>
              <w:top w:val="single" w:sz="8" w:color="auto"/>
            </w:tcBorders>
            <w:shd w:val="clear" w:color="auto" w:fill="CCEEFF"/>
          </w:tcPr>
          <w:p>
            <w:pPr>
              <w:spacing w:after="0"/>
              <w:rPr>
                <w:sz w:val="24"/>
                <w:szCs w:val="24"/>
                <w:color w:val="auto"/>
              </w:rPr>
            </w:pPr>
          </w:p>
        </w:tc>
        <w:tc>
          <w:tcPr>
            <w:tcW w:w="100" w:type="dxa"/>
            <w:vAlign w:val="bottom"/>
            <w:tcBorders>
              <w:top w:val="single" w:sz="8" w:color="CCEEFF"/>
            </w:tcBorders>
            <w:shd w:val="clear" w:color="auto" w:fill="CCEEFF"/>
          </w:tcPr>
          <w:p>
            <w:pPr>
              <w:spacing w:after="0"/>
              <w:rPr>
                <w:sz w:val="24"/>
                <w:szCs w:val="24"/>
                <w:color w:val="auto"/>
              </w:rPr>
            </w:pPr>
          </w:p>
        </w:tc>
        <w:tc>
          <w:tcPr>
            <w:tcW w:w="120" w:type="dxa"/>
            <w:vAlign w:val="bottom"/>
            <w:tcBorders>
              <w:top w:val="single" w:sz="8" w:color="auto"/>
            </w:tcBorders>
            <w:shd w:val="clear" w:color="auto" w:fill="CCEEFF"/>
          </w:tcPr>
          <w:p>
            <w:pPr>
              <w:spacing w:after="0"/>
              <w:rPr>
                <w:sz w:val="24"/>
                <w:szCs w:val="24"/>
                <w:color w:val="auto"/>
              </w:rPr>
            </w:pPr>
          </w:p>
        </w:tc>
        <w:tc>
          <w:tcPr>
            <w:tcW w:w="820" w:type="dxa"/>
            <w:vAlign w:val="bottom"/>
            <w:tcBorders>
              <w:top w:val="single" w:sz="8" w:color="auto"/>
            </w:tcBorders>
            <w:shd w:val="clear" w:color="auto" w:fill="CCEEFF"/>
          </w:tcPr>
          <w:p>
            <w:pPr>
              <w:spacing w:after="0"/>
              <w:rPr>
                <w:sz w:val="24"/>
                <w:szCs w:val="24"/>
                <w:color w:val="auto"/>
              </w:rPr>
            </w:pPr>
          </w:p>
        </w:tc>
        <w:tc>
          <w:tcPr>
            <w:tcW w:w="120" w:type="dxa"/>
            <w:vAlign w:val="bottom"/>
            <w:tcBorders>
              <w:top w:val="single" w:sz="8" w:color="CCEEFF"/>
            </w:tcBorders>
            <w:shd w:val="clear" w:color="auto" w:fill="CCEEFF"/>
          </w:tcPr>
          <w:p>
            <w:pPr>
              <w:spacing w:after="0"/>
              <w:rPr>
                <w:sz w:val="24"/>
                <w:szCs w:val="24"/>
                <w:color w:val="auto"/>
              </w:rPr>
            </w:pPr>
          </w:p>
        </w:tc>
        <w:tc>
          <w:tcPr>
            <w:tcW w:w="120" w:type="dxa"/>
            <w:vAlign w:val="bottom"/>
            <w:tcBorders>
              <w:top w:val="single" w:sz="8" w:color="auto"/>
            </w:tcBorders>
            <w:shd w:val="clear" w:color="auto" w:fill="CCEEFF"/>
          </w:tcPr>
          <w:p>
            <w:pPr>
              <w:spacing w:after="0"/>
              <w:rPr>
                <w:sz w:val="24"/>
                <w:szCs w:val="24"/>
                <w:color w:val="auto"/>
              </w:rPr>
            </w:pPr>
          </w:p>
        </w:tc>
        <w:tc>
          <w:tcPr>
            <w:tcW w:w="820" w:type="dxa"/>
            <w:vAlign w:val="bottom"/>
            <w:tcBorders>
              <w:top w:val="single" w:sz="8" w:color="auto"/>
            </w:tcBorders>
            <w:shd w:val="clear" w:color="auto" w:fill="CCEEFF"/>
          </w:tcPr>
          <w:p>
            <w:pPr>
              <w:spacing w:after="0"/>
              <w:rPr>
                <w:sz w:val="24"/>
                <w:szCs w:val="24"/>
                <w:color w:val="auto"/>
              </w:rPr>
            </w:pPr>
          </w:p>
        </w:tc>
        <w:tc>
          <w:tcPr>
            <w:tcW w:w="120" w:type="dxa"/>
            <w:vAlign w:val="bottom"/>
            <w:tcBorders>
              <w:top w:val="single" w:sz="8" w:color="CCEEFF"/>
            </w:tcBorders>
            <w:shd w:val="clear" w:color="auto" w:fill="CCEEFF"/>
          </w:tcPr>
          <w:p>
            <w:pPr>
              <w:spacing w:after="0"/>
              <w:rPr>
                <w:sz w:val="24"/>
                <w:szCs w:val="24"/>
                <w:color w:val="auto"/>
              </w:rPr>
            </w:pPr>
          </w:p>
        </w:tc>
        <w:tc>
          <w:tcPr>
            <w:tcW w:w="160" w:type="dxa"/>
            <w:vAlign w:val="bottom"/>
            <w:tcBorders>
              <w:top w:val="single" w:sz="8" w:color="auto"/>
            </w:tcBorders>
            <w:shd w:val="clear" w:color="auto" w:fill="CCEEFF"/>
          </w:tcPr>
          <w:p>
            <w:pPr>
              <w:spacing w:after="0"/>
              <w:rPr>
                <w:sz w:val="24"/>
                <w:szCs w:val="24"/>
                <w:color w:val="auto"/>
              </w:rPr>
            </w:pPr>
          </w:p>
        </w:tc>
        <w:tc>
          <w:tcPr>
            <w:tcW w:w="660" w:type="dxa"/>
            <w:vAlign w:val="bottom"/>
            <w:tcBorders>
              <w:top w:val="single" w:sz="8" w:color="auto"/>
            </w:tcBorders>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9"/>
        </w:trPr>
        <w:tc>
          <w:tcPr>
            <w:tcW w:w="2240" w:type="dxa"/>
            <w:vAlign w:val="bottom"/>
          </w:tcPr>
          <w:p>
            <w:pPr>
              <w:ind w:left="20"/>
              <w:spacing w:after="0"/>
              <w:rPr>
                <w:sz w:val="20"/>
                <w:szCs w:val="20"/>
                <w:color w:val="auto"/>
              </w:rPr>
            </w:pPr>
            <w:r>
              <w:rPr>
                <w:rFonts w:ascii="Arial" w:cs="Arial" w:eastAsia="Arial" w:hAnsi="Arial"/>
                <w:sz w:val="14"/>
                <w:szCs w:val="14"/>
                <w:b w:val="1"/>
                <w:bCs w:val="1"/>
                <w:color w:val="auto"/>
              </w:rPr>
              <w:t>Expenses</w:t>
            </w:r>
          </w:p>
        </w:tc>
        <w:tc>
          <w:tcPr>
            <w:tcW w:w="16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1"/>
        </w:trPr>
        <w:tc>
          <w:tcPr>
            <w:tcW w:w="2240" w:type="dxa"/>
            <w:vAlign w:val="bottom"/>
            <w:shd w:val="clear" w:color="auto" w:fill="CCEEFF"/>
          </w:tcPr>
          <w:p>
            <w:pPr>
              <w:ind w:left="20"/>
              <w:spacing w:after="0"/>
              <w:rPr>
                <w:sz w:val="20"/>
                <w:szCs w:val="20"/>
                <w:color w:val="auto"/>
              </w:rPr>
            </w:pPr>
            <w:r>
              <w:rPr>
                <w:rFonts w:ascii="Arial" w:cs="Arial" w:eastAsia="Arial" w:hAnsi="Arial"/>
                <w:sz w:val="14"/>
                <w:szCs w:val="14"/>
                <w:color w:val="auto"/>
              </w:rPr>
              <w:t>Operating expenses</w:t>
            </w:r>
          </w:p>
        </w:tc>
        <w:tc>
          <w:tcPr>
            <w:tcW w:w="160" w:type="dxa"/>
            <w:vAlign w:val="bottom"/>
            <w:shd w:val="clear" w:color="auto" w:fill="CCEEFF"/>
          </w:tcPr>
          <w:p>
            <w:pPr>
              <w:spacing w:after="0"/>
              <w:rPr>
                <w:sz w:val="23"/>
                <w:szCs w:val="23"/>
                <w:color w:val="auto"/>
              </w:rPr>
            </w:pPr>
          </w:p>
        </w:tc>
        <w:tc>
          <w:tcPr>
            <w:tcW w:w="8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2,875</w:t>
            </w: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8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8,410</w:t>
            </w: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9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43</w:t>
            </w: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8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16,182</w:t>
            </w: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8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21,004</w:t>
            </w: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8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417</w:t>
            </w: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8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6</w:t>
            </w: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6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48,937</w:t>
            </w:r>
          </w:p>
        </w:tc>
        <w:tc>
          <w:tcPr>
            <w:tcW w:w="0" w:type="dxa"/>
            <w:vAlign w:val="bottom"/>
          </w:tcPr>
          <w:p>
            <w:pPr>
              <w:spacing w:after="0"/>
              <w:rPr>
                <w:sz w:val="1"/>
                <w:szCs w:val="1"/>
                <w:color w:val="auto"/>
              </w:rPr>
            </w:pPr>
          </w:p>
        </w:tc>
      </w:tr>
      <w:tr>
        <w:trPr>
          <w:trHeight w:val="266"/>
        </w:trPr>
        <w:tc>
          <w:tcPr>
            <w:tcW w:w="2240" w:type="dxa"/>
            <w:vAlign w:val="bottom"/>
          </w:tcPr>
          <w:p>
            <w:pPr>
              <w:ind w:left="20"/>
              <w:spacing w:after="0"/>
              <w:rPr>
                <w:sz w:val="20"/>
                <w:szCs w:val="20"/>
                <w:color w:val="auto"/>
              </w:rPr>
            </w:pPr>
            <w:r>
              <w:rPr>
                <w:rFonts w:ascii="Arial" w:cs="Arial" w:eastAsia="Arial" w:hAnsi="Arial"/>
                <w:sz w:val="14"/>
                <w:szCs w:val="14"/>
                <w:color w:val="auto"/>
              </w:rPr>
              <w:t>General and administrative</w:t>
            </w:r>
          </w:p>
        </w:tc>
        <w:tc>
          <w:tcPr>
            <w:tcW w:w="160" w:type="dxa"/>
            <w:vAlign w:val="bottom"/>
          </w:tcPr>
          <w:p>
            <w:pPr>
              <w:spacing w:after="0"/>
              <w:rPr>
                <w:sz w:val="23"/>
                <w:szCs w:val="23"/>
                <w:color w:val="auto"/>
              </w:rPr>
            </w:pPr>
          </w:p>
        </w:tc>
        <w:tc>
          <w:tcPr>
            <w:tcW w:w="84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3"/>
                <w:szCs w:val="23"/>
                <w:color w:val="auto"/>
              </w:rPr>
            </w:pPr>
          </w:p>
        </w:tc>
        <w:tc>
          <w:tcPr>
            <w:tcW w:w="10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3"/>
                <w:szCs w:val="23"/>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3"/>
                <w:szCs w:val="23"/>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3"/>
                <w:szCs w:val="23"/>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3"/>
                <w:szCs w:val="23"/>
                <w:color w:val="auto"/>
              </w:rPr>
            </w:pPr>
          </w:p>
        </w:tc>
        <w:tc>
          <w:tcPr>
            <w:tcW w:w="820" w:type="dxa"/>
            <w:vAlign w:val="bottom"/>
          </w:tcPr>
          <w:p>
            <w:pPr>
              <w:jc w:val="right"/>
              <w:ind w:right="28"/>
              <w:spacing w:after="0"/>
              <w:rPr>
                <w:sz w:val="20"/>
                <w:szCs w:val="20"/>
                <w:color w:val="auto"/>
              </w:rPr>
            </w:pPr>
            <w:r>
              <w:rPr>
                <w:rFonts w:ascii="Arial" w:cs="Arial" w:eastAsia="Arial" w:hAnsi="Arial"/>
                <w:sz w:val="14"/>
                <w:szCs w:val="14"/>
                <w:color w:val="auto"/>
              </w:rPr>
              <w:t>9,154</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660" w:type="dxa"/>
            <w:vAlign w:val="bottom"/>
          </w:tcPr>
          <w:p>
            <w:pPr>
              <w:jc w:val="right"/>
              <w:ind w:right="8"/>
              <w:spacing w:after="0"/>
              <w:rPr>
                <w:sz w:val="20"/>
                <w:szCs w:val="20"/>
                <w:color w:val="auto"/>
              </w:rPr>
            </w:pPr>
            <w:r>
              <w:rPr>
                <w:rFonts w:ascii="Arial" w:cs="Arial" w:eastAsia="Arial" w:hAnsi="Arial"/>
                <w:sz w:val="14"/>
                <w:szCs w:val="14"/>
                <w:color w:val="auto"/>
              </w:rPr>
              <w:t>9,154</w:t>
            </w:r>
          </w:p>
        </w:tc>
        <w:tc>
          <w:tcPr>
            <w:tcW w:w="0" w:type="dxa"/>
            <w:vAlign w:val="bottom"/>
          </w:tcPr>
          <w:p>
            <w:pPr>
              <w:spacing w:after="0"/>
              <w:rPr>
                <w:sz w:val="1"/>
                <w:szCs w:val="1"/>
                <w:color w:val="auto"/>
              </w:rPr>
            </w:pPr>
          </w:p>
        </w:tc>
      </w:tr>
      <w:tr>
        <w:trPr>
          <w:trHeight w:val="180"/>
        </w:trPr>
        <w:tc>
          <w:tcPr>
            <w:tcW w:w="2240" w:type="dxa"/>
            <w:vAlign w:val="bottom"/>
            <w:shd w:val="clear" w:color="auto" w:fill="CCEEFF"/>
          </w:tcPr>
          <w:p>
            <w:pPr>
              <w:ind w:left="20"/>
              <w:spacing w:after="0"/>
              <w:rPr>
                <w:sz w:val="20"/>
                <w:szCs w:val="20"/>
                <w:color w:val="auto"/>
              </w:rPr>
            </w:pPr>
            <w:r>
              <w:rPr>
                <w:rFonts w:ascii="Arial" w:cs="Arial" w:eastAsia="Arial" w:hAnsi="Arial"/>
                <w:sz w:val="14"/>
                <w:szCs w:val="14"/>
                <w:color w:val="auto"/>
              </w:rPr>
              <w:t>Acquisition and transaction</w:t>
            </w:r>
          </w:p>
        </w:tc>
        <w:tc>
          <w:tcPr>
            <w:tcW w:w="16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2"/>
        </w:trPr>
        <w:tc>
          <w:tcPr>
            <w:tcW w:w="2240" w:type="dxa"/>
            <w:vAlign w:val="bottom"/>
            <w:shd w:val="clear" w:color="auto" w:fill="CCEEFF"/>
          </w:tcPr>
          <w:p>
            <w:pPr>
              <w:ind w:left="20"/>
              <w:spacing w:after="0"/>
              <w:rPr>
                <w:sz w:val="20"/>
                <w:szCs w:val="20"/>
                <w:color w:val="auto"/>
              </w:rPr>
            </w:pPr>
            <w:r>
              <w:rPr>
                <w:rFonts w:ascii="Arial" w:cs="Arial" w:eastAsia="Arial" w:hAnsi="Arial"/>
                <w:sz w:val="14"/>
                <w:szCs w:val="14"/>
                <w:color w:val="auto"/>
              </w:rPr>
              <w:t>expenses</w:t>
            </w:r>
          </w:p>
        </w:tc>
        <w:tc>
          <w:tcPr>
            <w:tcW w:w="160" w:type="dxa"/>
            <w:vAlign w:val="bottom"/>
            <w:shd w:val="clear" w:color="auto" w:fill="CCEEFF"/>
          </w:tcPr>
          <w:p>
            <w:pPr>
              <w:spacing w:after="0"/>
              <w:rPr>
                <w:sz w:val="17"/>
                <w:szCs w:val="17"/>
                <w:color w:val="auto"/>
              </w:rPr>
            </w:pPr>
          </w:p>
        </w:tc>
        <w:tc>
          <w:tcPr>
            <w:tcW w:w="8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400</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4,222</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4,622</w:t>
            </w:r>
          </w:p>
        </w:tc>
        <w:tc>
          <w:tcPr>
            <w:tcW w:w="0" w:type="dxa"/>
            <w:vAlign w:val="bottom"/>
          </w:tcPr>
          <w:p>
            <w:pPr>
              <w:spacing w:after="0"/>
              <w:rPr>
                <w:sz w:val="1"/>
                <w:szCs w:val="1"/>
                <w:color w:val="auto"/>
              </w:rPr>
            </w:pPr>
          </w:p>
        </w:tc>
      </w:tr>
      <w:tr>
        <w:trPr>
          <w:trHeight w:val="176"/>
        </w:trPr>
        <w:tc>
          <w:tcPr>
            <w:tcW w:w="2240" w:type="dxa"/>
            <w:vAlign w:val="bottom"/>
          </w:tcPr>
          <w:p>
            <w:pPr>
              <w:ind w:left="20"/>
              <w:spacing w:after="0"/>
              <w:rPr>
                <w:sz w:val="20"/>
                <w:szCs w:val="20"/>
                <w:color w:val="auto"/>
              </w:rPr>
            </w:pPr>
            <w:r>
              <w:rPr>
                <w:rFonts w:ascii="Arial" w:cs="Arial" w:eastAsia="Arial" w:hAnsi="Arial"/>
                <w:sz w:val="14"/>
                <w:szCs w:val="14"/>
                <w:color w:val="auto"/>
              </w:rPr>
              <w:t>Management fees and incentive</w:t>
            </w:r>
          </w:p>
        </w:tc>
        <w:tc>
          <w:tcPr>
            <w:tcW w:w="1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8"/>
        </w:trPr>
        <w:tc>
          <w:tcPr>
            <w:tcW w:w="2240" w:type="dxa"/>
            <w:vAlign w:val="bottom"/>
          </w:tcPr>
          <w:p>
            <w:pPr>
              <w:ind w:left="20"/>
              <w:spacing w:after="0"/>
              <w:rPr>
                <w:sz w:val="20"/>
                <w:szCs w:val="20"/>
                <w:color w:val="auto"/>
              </w:rPr>
            </w:pPr>
            <w:r>
              <w:rPr>
                <w:rFonts w:ascii="Arial" w:cs="Arial" w:eastAsia="Arial" w:hAnsi="Arial"/>
                <w:sz w:val="14"/>
                <w:szCs w:val="14"/>
                <w:color w:val="auto"/>
              </w:rPr>
              <w:t>allocation to affiliate</w:t>
            </w:r>
          </w:p>
        </w:tc>
        <w:tc>
          <w:tcPr>
            <w:tcW w:w="160" w:type="dxa"/>
            <w:vAlign w:val="bottom"/>
          </w:tcPr>
          <w:p>
            <w:pPr>
              <w:spacing w:after="0"/>
              <w:rPr>
                <w:sz w:val="17"/>
                <w:szCs w:val="17"/>
                <w:color w:val="auto"/>
              </w:rPr>
            </w:pPr>
          </w:p>
        </w:tc>
        <w:tc>
          <w:tcPr>
            <w:tcW w:w="84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7"/>
                <w:szCs w:val="17"/>
                <w:color w:val="auto"/>
              </w:rPr>
            </w:pPr>
          </w:p>
        </w:tc>
        <w:tc>
          <w:tcPr>
            <w:tcW w:w="10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7"/>
                <w:szCs w:val="17"/>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820" w:type="dxa"/>
            <w:vAlign w:val="bottom"/>
          </w:tcPr>
          <w:p>
            <w:pPr>
              <w:jc w:val="right"/>
              <w:ind w:right="28"/>
              <w:spacing w:after="0"/>
              <w:rPr>
                <w:sz w:val="20"/>
                <w:szCs w:val="20"/>
                <w:color w:val="auto"/>
              </w:rPr>
            </w:pPr>
            <w:r>
              <w:rPr>
                <w:rFonts w:ascii="Arial" w:cs="Arial" w:eastAsia="Arial" w:hAnsi="Arial"/>
                <w:sz w:val="14"/>
                <w:szCs w:val="14"/>
                <w:color w:val="auto"/>
              </w:rPr>
              <w:t>12,725</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Pr>
          <w:p>
            <w:pPr>
              <w:jc w:val="right"/>
              <w:ind w:right="8"/>
              <w:spacing w:after="0"/>
              <w:rPr>
                <w:sz w:val="20"/>
                <w:szCs w:val="20"/>
                <w:color w:val="auto"/>
              </w:rPr>
            </w:pPr>
            <w:r>
              <w:rPr>
                <w:rFonts w:ascii="Arial" w:cs="Arial" w:eastAsia="Arial" w:hAnsi="Arial"/>
                <w:sz w:val="14"/>
                <w:szCs w:val="14"/>
                <w:color w:val="auto"/>
              </w:rPr>
              <w:t>12,725</w:t>
            </w:r>
          </w:p>
        </w:tc>
        <w:tc>
          <w:tcPr>
            <w:tcW w:w="0" w:type="dxa"/>
            <w:vAlign w:val="bottom"/>
          </w:tcPr>
          <w:p>
            <w:pPr>
              <w:spacing w:after="0"/>
              <w:rPr>
                <w:sz w:val="1"/>
                <w:szCs w:val="1"/>
                <w:color w:val="auto"/>
              </w:rPr>
            </w:pPr>
          </w:p>
        </w:tc>
      </w:tr>
      <w:tr>
        <w:trPr>
          <w:trHeight w:val="274"/>
        </w:trPr>
        <w:tc>
          <w:tcPr>
            <w:tcW w:w="2240" w:type="dxa"/>
            <w:vAlign w:val="bottom"/>
            <w:shd w:val="clear" w:color="auto" w:fill="CCEEFF"/>
          </w:tcPr>
          <w:p>
            <w:pPr>
              <w:ind w:left="20"/>
              <w:spacing w:after="0"/>
              <w:rPr>
                <w:sz w:val="20"/>
                <w:szCs w:val="20"/>
                <w:color w:val="auto"/>
              </w:rPr>
            </w:pPr>
            <w:r>
              <w:rPr>
                <w:rFonts w:ascii="Arial" w:cs="Arial" w:eastAsia="Arial" w:hAnsi="Arial"/>
                <w:sz w:val="14"/>
                <w:szCs w:val="14"/>
                <w:color w:val="auto"/>
              </w:rPr>
              <w:t>Depreciation and amortization</w:t>
            </w:r>
          </w:p>
        </w:tc>
        <w:tc>
          <w:tcPr>
            <w:tcW w:w="160" w:type="dxa"/>
            <w:vAlign w:val="bottom"/>
            <w:shd w:val="clear" w:color="auto" w:fill="CCEEFF"/>
          </w:tcPr>
          <w:p>
            <w:pPr>
              <w:spacing w:after="0"/>
              <w:rPr>
                <w:sz w:val="23"/>
                <w:szCs w:val="23"/>
                <w:color w:val="auto"/>
              </w:rPr>
            </w:pPr>
          </w:p>
        </w:tc>
        <w:tc>
          <w:tcPr>
            <w:tcW w:w="8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25,307</w:t>
            </w: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8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4,927</w:t>
            </w: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0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3"/>
                <w:szCs w:val="23"/>
                <w:color w:val="auto"/>
              </w:rPr>
            </w:pPr>
          </w:p>
        </w:tc>
        <w:tc>
          <w:tcPr>
            <w:tcW w:w="8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11,589</w:t>
            </w: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8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1,471</w:t>
            </w: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3"/>
                <w:szCs w:val="23"/>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3"/>
                <w:szCs w:val="23"/>
                <w:color w:val="auto"/>
              </w:rPr>
            </w:pPr>
          </w:p>
        </w:tc>
        <w:tc>
          <w:tcPr>
            <w:tcW w:w="6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43,294</w:t>
            </w:r>
          </w:p>
        </w:tc>
        <w:tc>
          <w:tcPr>
            <w:tcW w:w="0" w:type="dxa"/>
            <w:vAlign w:val="bottom"/>
          </w:tcPr>
          <w:p>
            <w:pPr>
              <w:spacing w:after="0"/>
              <w:rPr>
                <w:sz w:val="1"/>
                <w:szCs w:val="1"/>
                <w:color w:val="auto"/>
              </w:rPr>
            </w:pPr>
          </w:p>
        </w:tc>
      </w:tr>
      <w:tr>
        <w:trPr>
          <w:trHeight w:val="266"/>
        </w:trPr>
        <w:tc>
          <w:tcPr>
            <w:tcW w:w="2240" w:type="dxa"/>
            <w:vAlign w:val="bottom"/>
          </w:tcPr>
          <w:p>
            <w:pPr>
              <w:ind w:left="20"/>
              <w:spacing w:after="0"/>
              <w:rPr>
                <w:sz w:val="20"/>
                <w:szCs w:val="20"/>
                <w:color w:val="auto"/>
              </w:rPr>
            </w:pPr>
            <w:r>
              <w:rPr>
                <w:rFonts w:ascii="Arial" w:cs="Arial" w:eastAsia="Arial" w:hAnsi="Arial"/>
                <w:sz w:val="14"/>
                <w:szCs w:val="14"/>
                <w:color w:val="auto"/>
              </w:rPr>
              <w:t>Interest expense</w:t>
            </w:r>
          </w:p>
        </w:tc>
        <w:tc>
          <w:tcPr>
            <w:tcW w:w="160" w:type="dxa"/>
            <w:vAlign w:val="bottom"/>
          </w:tcPr>
          <w:p>
            <w:pPr>
              <w:spacing w:after="0"/>
              <w:rPr>
                <w:sz w:val="23"/>
                <w:szCs w:val="23"/>
                <w:color w:val="auto"/>
              </w:rPr>
            </w:pPr>
          </w:p>
        </w:tc>
        <w:tc>
          <w:tcPr>
            <w:tcW w:w="84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40" w:type="dxa"/>
            <w:vAlign w:val="bottom"/>
          </w:tcPr>
          <w:p>
            <w:pPr>
              <w:jc w:val="right"/>
              <w:ind w:right="28"/>
              <w:spacing w:after="0"/>
              <w:rPr>
                <w:sz w:val="20"/>
                <w:szCs w:val="20"/>
                <w:color w:val="auto"/>
              </w:rPr>
            </w:pPr>
            <w:r>
              <w:rPr>
                <w:rFonts w:ascii="Arial" w:cs="Arial" w:eastAsia="Arial" w:hAnsi="Arial"/>
                <w:sz w:val="14"/>
                <w:szCs w:val="14"/>
                <w:color w:val="auto"/>
              </w:rPr>
              <w:t>2,805</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920" w:type="dxa"/>
            <w:vAlign w:val="bottom"/>
          </w:tcPr>
          <w:p>
            <w:pPr>
              <w:jc w:val="right"/>
              <w:ind w:right="8"/>
              <w:spacing w:after="0"/>
              <w:rPr>
                <w:sz w:val="20"/>
                <w:szCs w:val="20"/>
                <w:color w:val="auto"/>
              </w:rPr>
            </w:pPr>
            <w:r>
              <w:rPr>
                <w:rFonts w:ascii="Arial" w:cs="Arial" w:eastAsia="Arial" w:hAnsi="Arial"/>
                <w:sz w:val="14"/>
                <w:szCs w:val="14"/>
                <w:color w:val="auto"/>
              </w:rPr>
              <w:t>410</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20" w:type="dxa"/>
            <w:vAlign w:val="bottom"/>
          </w:tcPr>
          <w:p>
            <w:pPr>
              <w:jc w:val="right"/>
              <w:ind w:right="28"/>
              <w:spacing w:after="0"/>
              <w:rPr>
                <w:sz w:val="20"/>
                <w:szCs w:val="20"/>
                <w:color w:val="auto"/>
              </w:rPr>
            </w:pPr>
            <w:r>
              <w:rPr>
                <w:rFonts w:ascii="Arial" w:cs="Arial" w:eastAsia="Arial" w:hAnsi="Arial"/>
                <w:sz w:val="14"/>
                <w:szCs w:val="14"/>
                <w:color w:val="auto"/>
              </w:rPr>
              <w:t>11,804</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00" w:type="dxa"/>
            <w:vAlign w:val="bottom"/>
          </w:tcPr>
          <w:p>
            <w:pPr>
              <w:jc w:val="right"/>
              <w:ind w:right="28"/>
              <w:spacing w:after="0"/>
              <w:rPr>
                <w:sz w:val="20"/>
                <w:szCs w:val="20"/>
                <w:color w:val="auto"/>
              </w:rPr>
            </w:pPr>
            <w:r>
              <w:rPr>
                <w:rFonts w:ascii="Arial" w:cs="Arial" w:eastAsia="Arial" w:hAnsi="Arial"/>
                <w:sz w:val="14"/>
                <w:szCs w:val="14"/>
                <w:color w:val="auto"/>
              </w:rPr>
              <w:t>536</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20" w:type="dxa"/>
            <w:vAlign w:val="bottom"/>
          </w:tcPr>
          <w:p>
            <w:pPr>
              <w:jc w:val="right"/>
              <w:ind w:right="8"/>
              <w:spacing w:after="0"/>
              <w:rPr>
                <w:sz w:val="20"/>
                <w:szCs w:val="20"/>
                <w:color w:val="auto"/>
              </w:rPr>
            </w:pPr>
            <w:r>
              <w:rPr>
                <w:rFonts w:ascii="Arial" w:cs="Arial" w:eastAsia="Arial" w:hAnsi="Arial"/>
                <w:sz w:val="14"/>
                <w:szCs w:val="14"/>
                <w:color w:val="auto"/>
              </w:rPr>
              <w:t>284</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3"/>
                <w:szCs w:val="23"/>
                <w:color w:val="auto"/>
              </w:rPr>
            </w:pPr>
          </w:p>
        </w:tc>
        <w:tc>
          <w:tcPr>
            <w:tcW w:w="660" w:type="dxa"/>
            <w:vAlign w:val="bottom"/>
          </w:tcPr>
          <w:p>
            <w:pPr>
              <w:jc w:val="right"/>
              <w:ind w:right="8"/>
              <w:spacing w:after="0"/>
              <w:rPr>
                <w:sz w:val="20"/>
                <w:szCs w:val="20"/>
                <w:color w:val="auto"/>
              </w:rPr>
            </w:pPr>
            <w:r>
              <w:rPr>
                <w:rFonts w:ascii="Arial" w:cs="Arial" w:eastAsia="Arial" w:hAnsi="Arial"/>
                <w:sz w:val="14"/>
                <w:szCs w:val="14"/>
                <w:color w:val="auto"/>
              </w:rPr>
              <w:t>15,839</w:t>
            </w:r>
          </w:p>
        </w:tc>
        <w:tc>
          <w:tcPr>
            <w:tcW w:w="0" w:type="dxa"/>
            <w:vAlign w:val="bottom"/>
          </w:tcPr>
          <w:p>
            <w:pPr>
              <w:spacing w:after="0"/>
              <w:rPr>
                <w:sz w:val="1"/>
                <w:szCs w:val="1"/>
                <w:color w:val="auto"/>
              </w:rPr>
            </w:pPr>
          </w:p>
        </w:tc>
      </w:tr>
      <w:tr>
        <w:trPr>
          <w:trHeight w:val="250"/>
        </w:trPr>
        <w:tc>
          <w:tcPr>
            <w:tcW w:w="22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Total expenses</w:t>
            </w:r>
          </w:p>
        </w:tc>
        <w:tc>
          <w:tcPr>
            <w:tcW w:w="160" w:type="dxa"/>
            <w:vAlign w:val="bottom"/>
            <w:tcBorders>
              <w:top w:val="single" w:sz="8" w:color="auto"/>
              <w:bottom w:val="single" w:sz="8" w:color="auto"/>
            </w:tcBorders>
            <w:shd w:val="clear" w:color="auto" w:fill="CCEEFF"/>
          </w:tcPr>
          <w:p>
            <w:pPr>
              <w:spacing w:after="0"/>
              <w:rPr>
                <w:sz w:val="21"/>
                <w:szCs w:val="21"/>
                <w:color w:val="auto"/>
              </w:rPr>
            </w:pPr>
          </w:p>
        </w:tc>
        <w:tc>
          <w:tcPr>
            <w:tcW w:w="84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28,182</w:t>
            </w:r>
          </w:p>
        </w:tc>
        <w:tc>
          <w:tcPr>
            <w:tcW w:w="120" w:type="dxa"/>
            <w:vAlign w:val="bottom"/>
            <w:tcBorders>
              <w:top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spacing w:after="0"/>
              <w:rPr>
                <w:sz w:val="21"/>
                <w:szCs w:val="21"/>
                <w:color w:val="auto"/>
              </w:rPr>
            </w:pPr>
          </w:p>
        </w:tc>
        <w:tc>
          <w:tcPr>
            <w:tcW w:w="84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16,142</w:t>
            </w:r>
          </w:p>
        </w:tc>
        <w:tc>
          <w:tcPr>
            <w:tcW w:w="120" w:type="dxa"/>
            <w:vAlign w:val="bottom"/>
            <w:tcBorders>
              <w:top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spacing w:after="0"/>
              <w:rPr>
                <w:sz w:val="21"/>
                <w:szCs w:val="21"/>
                <w:color w:val="auto"/>
              </w:rPr>
            </w:pPr>
          </w:p>
        </w:tc>
        <w:tc>
          <w:tcPr>
            <w:tcW w:w="92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453</w:t>
            </w:r>
          </w:p>
        </w:tc>
        <w:tc>
          <w:tcPr>
            <w:tcW w:w="120" w:type="dxa"/>
            <w:vAlign w:val="bottom"/>
            <w:tcBorders>
              <w:top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spacing w:after="0"/>
              <w:rPr>
                <w:sz w:val="21"/>
                <w:szCs w:val="21"/>
                <w:color w:val="auto"/>
              </w:rPr>
            </w:pPr>
          </w:p>
        </w:tc>
        <w:tc>
          <w:tcPr>
            <w:tcW w:w="82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39,975</w:t>
            </w:r>
          </w:p>
        </w:tc>
        <w:tc>
          <w:tcPr>
            <w:tcW w:w="120" w:type="dxa"/>
            <w:vAlign w:val="bottom"/>
            <w:tcBorders>
              <w:top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spacing w:after="0"/>
              <w:rPr>
                <w:sz w:val="21"/>
                <w:szCs w:val="21"/>
                <w:color w:val="auto"/>
              </w:rPr>
            </w:pPr>
          </w:p>
        </w:tc>
        <w:tc>
          <w:tcPr>
            <w:tcW w:w="80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23,011</w:t>
            </w:r>
          </w:p>
        </w:tc>
        <w:tc>
          <w:tcPr>
            <w:tcW w:w="100" w:type="dxa"/>
            <w:vAlign w:val="bottom"/>
            <w:tcBorders>
              <w:top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spacing w:after="0"/>
              <w:rPr>
                <w:sz w:val="21"/>
                <w:szCs w:val="21"/>
                <w:color w:val="auto"/>
              </w:rPr>
            </w:pPr>
          </w:p>
        </w:tc>
        <w:tc>
          <w:tcPr>
            <w:tcW w:w="82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701</w:t>
            </w:r>
          </w:p>
        </w:tc>
        <w:tc>
          <w:tcPr>
            <w:tcW w:w="120" w:type="dxa"/>
            <w:vAlign w:val="bottom"/>
            <w:tcBorders>
              <w:top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spacing w:after="0"/>
              <w:rPr>
                <w:sz w:val="21"/>
                <w:szCs w:val="21"/>
                <w:color w:val="auto"/>
              </w:rPr>
            </w:pPr>
          </w:p>
        </w:tc>
        <w:tc>
          <w:tcPr>
            <w:tcW w:w="82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26,107</w:t>
            </w:r>
          </w:p>
        </w:tc>
        <w:tc>
          <w:tcPr>
            <w:tcW w:w="120" w:type="dxa"/>
            <w:vAlign w:val="bottom"/>
            <w:tcBorders>
              <w:top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spacing w:after="0"/>
              <w:rPr>
                <w:sz w:val="21"/>
                <w:szCs w:val="21"/>
                <w:color w:val="auto"/>
              </w:rPr>
            </w:pPr>
          </w:p>
        </w:tc>
        <w:tc>
          <w:tcPr>
            <w:tcW w:w="66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134,571</w:t>
            </w:r>
          </w:p>
        </w:tc>
        <w:tc>
          <w:tcPr>
            <w:tcW w:w="0" w:type="dxa"/>
            <w:vAlign w:val="bottom"/>
          </w:tcPr>
          <w:p>
            <w:pPr>
              <w:spacing w:after="0"/>
              <w:rPr>
                <w:sz w:val="1"/>
                <w:szCs w:val="1"/>
                <w:color w:val="auto"/>
              </w:rPr>
            </w:pPr>
          </w:p>
        </w:tc>
      </w:tr>
      <w:tr>
        <w:trPr>
          <w:trHeight w:val="322"/>
        </w:trPr>
        <w:tc>
          <w:tcPr>
            <w:tcW w:w="2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224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Other income (expense)</w:t>
            </w:r>
          </w:p>
        </w:tc>
        <w:tc>
          <w:tcPr>
            <w:tcW w:w="160" w:type="dxa"/>
            <w:vAlign w:val="bottom"/>
            <w:shd w:val="clear" w:color="auto" w:fill="CCEEFF"/>
          </w:tcPr>
          <w:p>
            <w:pPr>
              <w:spacing w:after="0"/>
              <w:rPr>
                <w:sz w:val="23"/>
                <w:szCs w:val="23"/>
                <w:color w:val="auto"/>
              </w:rPr>
            </w:pPr>
          </w:p>
        </w:tc>
        <w:tc>
          <w:tcPr>
            <w:tcW w:w="8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8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9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8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8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8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8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66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176"/>
        </w:trPr>
        <w:tc>
          <w:tcPr>
            <w:tcW w:w="2240" w:type="dxa"/>
            <w:vAlign w:val="bottom"/>
          </w:tcPr>
          <w:p>
            <w:pPr>
              <w:ind w:left="20"/>
              <w:spacing w:after="0"/>
              <w:rPr>
                <w:sz w:val="20"/>
                <w:szCs w:val="20"/>
                <w:color w:val="auto"/>
              </w:rPr>
            </w:pPr>
            <w:r>
              <w:rPr>
                <w:rFonts w:ascii="Arial" w:cs="Arial" w:eastAsia="Arial" w:hAnsi="Arial"/>
                <w:sz w:val="14"/>
                <w:szCs w:val="14"/>
                <w:color w:val="auto"/>
              </w:rPr>
              <w:t>Equity in losses of unconsolidated</w:t>
            </w:r>
          </w:p>
        </w:tc>
        <w:tc>
          <w:tcPr>
            <w:tcW w:w="1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8"/>
        </w:trPr>
        <w:tc>
          <w:tcPr>
            <w:tcW w:w="2240" w:type="dxa"/>
            <w:vAlign w:val="bottom"/>
          </w:tcPr>
          <w:p>
            <w:pPr>
              <w:ind w:left="20"/>
              <w:spacing w:after="0"/>
              <w:rPr>
                <w:sz w:val="20"/>
                <w:szCs w:val="20"/>
                <w:color w:val="auto"/>
              </w:rPr>
            </w:pPr>
            <w:r>
              <w:rPr>
                <w:rFonts w:ascii="Arial" w:cs="Arial" w:eastAsia="Arial" w:hAnsi="Arial"/>
                <w:sz w:val="14"/>
                <w:szCs w:val="14"/>
                <w:color w:val="auto"/>
              </w:rPr>
              <w:t>entities</w:t>
            </w:r>
          </w:p>
        </w:tc>
        <w:tc>
          <w:tcPr>
            <w:tcW w:w="160" w:type="dxa"/>
            <w:vAlign w:val="bottom"/>
          </w:tcPr>
          <w:p>
            <w:pPr>
              <w:spacing w:after="0"/>
              <w:rPr>
                <w:sz w:val="17"/>
                <w:szCs w:val="17"/>
                <w:color w:val="auto"/>
              </w:rPr>
            </w:pPr>
          </w:p>
        </w:tc>
        <w:tc>
          <w:tcPr>
            <w:tcW w:w="84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(1,335)</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7"/>
                <w:szCs w:val="17"/>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(1,335)</w:t>
            </w:r>
          </w:p>
        </w:tc>
        <w:tc>
          <w:tcPr>
            <w:tcW w:w="0" w:type="dxa"/>
            <w:vAlign w:val="bottom"/>
          </w:tcPr>
          <w:p>
            <w:pPr>
              <w:spacing w:after="0"/>
              <w:rPr>
                <w:sz w:val="1"/>
                <w:szCs w:val="1"/>
                <w:color w:val="auto"/>
              </w:rPr>
            </w:pPr>
          </w:p>
        </w:tc>
      </w:tr>
      <w:tr>
        <w:trPr>
          <w:trHeight w:val="180"/>
        </w:trPr>
        <w:tc>
          <w:tcPr>
            <w:tcW w:w="2240" w:type="dxa"/>
            <w:vAlign w:val="bottom"/>
            <w:shd w:val="clear" w:color="auto" w:fill="CCEEFF"/>
          </w:tcPr>
          <w:p>
            <w:pPr>
              <w:ind w:left="20"/>
              <w:spacing w:after="0"/>
              <w:rPr>
                <w:sz w:val="20"/>
                <w:szCs w:val="20"/>
                <w:color w:val="auto"/>
              </w:rPr>
            </w:pPr>
            <w:r>
              <w:rPr>
                <w:rFonts w:ascii="Arial" w:cs="Arial" w:eastAsia="Arial" w:hAnsi="Arial"/>
                <w:sz w:val="14"/>
                <w:szCs w:val="14"/>
                <w:color w:val="auto"/>
              </w:rPr>
              <w:t>Gain (loss) on sale of equipment</w:t>
            </w:r>
          </w:p>
        </w:tc>
        <w:tc>
          <w:tcPr>
            <w:tcW w:w="16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2"/>
        </w:trPr>
        <w:tc>
          <w:tcPr>
            <w:tcW w:w="2240" w:type="dxa"/>
            <w:vAlign w:val="bottom"/>
            <w:shd w:val="clear" w:color="auto" w:fill="CCEEFF"/>
          </w:tcPr>
          <w:p>
            <w:pPr>
              <w:ind w:left="20"/>
              <w:spacing w:after="0"/>
              <w:rPr>
                <w:sz w:val="20"/>
                <w:szCs w:val="20"/>
                <w:color w:val="auto"/>
              </w:rPr>
            </w:pPr>
            <w:r>
              <w:rPr>
                <w:rFonts w:ascii="Arial" w:cs="Arial" w:eastAsia="Arial" w:hAnsi="Arial"/>
                <w:sz w:val="14"/>
                <w:szCs w:val="14"/>
                <w:color w:val="auto"/>
              </w:rPr>
              <w:t>and finance leases, net</w:t>
            </w:r>
          </w:p>
        </w:tc>
        <w:tc>
          <w:tcPr>
            <w:tcW w:w="160" w:type="dxa"/>
            <w:vAlign w:val="bottom"/>
            <w:shd w:val="clear" w:color="auto" w:fill="CCEEFF"/>
          </w:tcPr>
          <w:p>
            <w:pPr>
              <w:spacing w:after="0"/>
              <w:rPr>
                <w:sz w:val="17"/>
                <w:szCs w:val="17"/>
                <w:color w:val="auto"/>
              </w:rPr>
            </w:pPr>
          </w:p>
        </w:tc>
        <w:tc>
          <w:tcPr>
            <w:tcW w:w="8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2,717</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7"/>
                <w:szCs w:val="17"/>
                <w:color w:val="auto"/>
              </w:rPr>
            </w:pPr>
          </w:p>
        </w:tc>
        <w:tc>
          <w:tcPr>
            <w:tcW w:w="9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304</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7"/>
                <w:szCs w:val="17"/>
                <w:color w:val="auto"/>
              </w:rPr>
            </w:pPr>
          </w:p>
        </w:tc>
        <w:tc>
          <w:tcPr>
            <w:tcW w:w="8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286</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7"/>
                <w:szCs w:val="17"/>
                <w:color w:val="auto"/>
              </w:rPr>
            </w:pPr>
          </w:p>
        </w:tc>
        <w:tc>
          <w:tcPr>
            <w:tcW w:w="6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3,307</w:t>
            </w:r>
          </w:p>
        </w:tc>
        <w:tc>
          <w:tcPr>
            <w:tcW w:w="0" w:type="dxa"/>
            <w:vAlign w:val="bottom"/>
          </w:tcPr>
          <w:p>
            <w:pPr>
              <w:spacing w:after="0"/>
              <w:rPr>
                <w:sz w:val="1"/>
                <w:szCs w:val="1"/>
                <w:color w:val="auto"/>
              </w:rPr>
            </w:pPr>
          </w:p>
        </w:tc>
      </w:tr>
      <w:tr>
        <w:trPr>
          <w:trHeight w:val="266"/>
        </w:trPr>
        <w:tc>
          <w:tcPr>
            <w:tcW w:w="2240" w:type="dxa"/>
            <w:vAlign w:val="bottom"/>
          </w:tcPr>
          <w:p>
            <w:pPr>
              <w:ind w:left="20"/>
              <w:spacing w:after="0"/>
              <w:rPr>
                <w:sz w:val="20"/>
                <w:szCs w:val="20"/>
                <w:color w:val="auto"/>
              </w:rPr>
            </w:pPr>
            <w:r>
              <w:rPr>
                <w:rFonts w:ascii="Arial" w:cs="Arial" w:eastAsia="Arial" w:hAnsi="Arial"/>
                <w:sz w:val="14"/>
                <w:szCs w:val="14"/>
                <w:color w:val="auto"/>
              </w:rPr>
              <w:t>Loss on extinguishment of debt</w:t>
            </w:r>
          </w:p>
        </w:tc>
        <w:tc>
          <w:tcPr>
            <w:tcW w:w="160" w:type="dxa"/>
            <w:vAlign w:val="bottom"/>
          </w:tcPr>
          <w:p>
            <w:pPr>
              <w:spacing w:after="0"/>
              <w:rPr>
                <w:sz w:val="23"/>
                <w:szCs w:val="23"/>
                <w:color w:val="auto"/>
              </w:rPr>
            </w:pPr>
          </w:p>
        </w:tc>
        <w:tc>
          <w:tcPr>
            <w:tcW w:w="84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3"/>
                <w:szCs w:val="23"/>
                <w:color w:val="auto"/>
              </w:rPr>
            </w:pPr>
          </w:p>
        </w:tc>
        <w:tc>
          <w:tcPr>
            <w:tcW w:w="10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(1,579)</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3"/>
                <w:szCs w:val="23"/>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3"/>
                <w:szCs w:val="23"/>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3"/>
                <w:szCs w:val="23"/>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(1,579)</w:t>
            </w:r>
          </w:p>
        </w:tc>
        <w:tc>
          <w:tcPr>
            <w:tcW w:w="0" w:type="dxa"/>
            <w:vAlign w:val="bottom"/>
          </w:tcPr>
          <w:p>
            <w:pPr>
              <w:spacing w:after="0"/>
              <w:rPr>
                <w:sz w:val="1"/>
                <w:szCs w:val="1"/>
                <w:color w:val="auto"/>
              </w:rPr>
            </w:pPr>
          </w:p>
        </w:tc>
      </w:tr>
      <w:tr>
        <w:trPr>
          <w:trHeight w:val="274"/>
        </w:trPr>
        <w:tc>
          <w:tcPr>
            <w:tcW w:w="2240" w:type="dxa"/>
            <w:vAlign w:val="bottom"/>
            <w:shd w:val="clear" w:color="auto" w:fill="CCEEFF"/>
          </w:tcPr>
          <w:p>
            <w:pPr>
              <w:ind w:left="20"/>
              <w:spacing w:after="0"/>
              <w:rPr>
                <w:sz w:val="20"/>
                <w:szCs w:val="20"/>
                <w:color w:val="auto"/>
              </w:rPr>
            </w:pPr>
            <w:r>
              <w:rPr>
                <w:rFonts w:ascii="Arial" w:cs="Arial" w:eastAsia="Arial" w:hAnsi="Arial"/>
                <w:sz w:val="14"/>
                <w:szCs w:val="14"/>
                <w:color w:val="auto"/>
              </w:rPr>
              <w:t>Asset impairment</w:t>
            </w:r>
          </w:p>
        </w:tc>
        <w:tc>
          <w:tcPr>
            <w:tcW w:w="160" w:type="dxa"/>
            <w:vAlign w:val="bottom"/>
            <w:shd w:val="clear" w:color="auto" w:fill="CCEEFF"/>
          </w:tcPr>
          <w:p>
            <w:pPr>
              <w:spacing w:after="0"/>
              <w:rPr>
                <w:sz w:val="23"/>
                <w:szCs w:val="23"/>
                <w:color w:val="auto"/>
              </w:rPr>
            </w:pPr>
          </w:p>
        </w:tc>
        <w:tc>
          <w:tcPr>
            <w:tcW w:w="8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(7,450)</w:t>
            </w: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0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3"/>
                <w:szCs w:val="23"/>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3"/>
                <w:szCs w:val="23"/>
                <w:color w:val="auto"/>
              </w:rPr>
            </w:pP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3"/>
                <w:szCs w:val="23"/>
                <w:color w:val="auto"/>
              </w:rPr>
            </w:pP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3"/>
                <w:szCs w:val="23"/>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3"/>
                <w:szCs w:val="23"/>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(7,450)</w:t>
            </w:r>
          </w:p>
        </w:tc>
        <w:tc>
          <w:tcPr>
            <w:tcW w:w="0" w:type="dxa"/>
            <w:vAlign w:val="bottom"/>
          </w:tcPr>
          <w:p>
            <w:pPr>
              <w:spacing w:after="0"/>
              <w:rPr>
                <w:sz w:val="1"/>
                <w:szCs w:val="1"/>
                <w:color w:val="auto"/>
              </w:rPr>
            </w:pPr>
          </w:p>
        </w:tc>
      </w:tr>
      <w:tr>
        <w:trPr>
          <w:trHeight w:val="266"/>
        </w:trPr>
        <w:tc>
          <w:tcPr>
            <w:tcW w:w="2240" w:type="dxa"/>
            <w:vAlign w:val="bottom"/>
          </w:tcPr>
          <w:p>
            <w:pPr>
              <w:ind w:left="20"/>
              <w:spacing w:after="0"/>
              <w:rPr>
                <w:sz w:val="20"/>
                <w:szCs w:val="20"/>
                <w:color w:val="auto"/>
              </w:rPr>
            </w:pPr>
            <w:r>
              <w:rPr>
                <w:rFonts w:ascii="Arial" w:cs="Arial" w:eastAsia="Arial" w:hAnsi="Arial"/>
                <w:sz w:val="14"/>
                <w:szCs w:val="14"/>
                <w:color w:val="auto"/>
              </w:rPr>
              <w:t>Interest income (expense)</w:t>
            </w:r>
          </w:p>
        </w:tc>
        <w:tc>
          <w:tcPr>
            <w:tcW w:w="160" w:type="dxa"/>
            <w:vAlign w:val="bottom"/>
          </w:tcPr>
          <w:p>
            <w:pPr>
              <w:spacing w:after="0"/>
              <w:rPr>
                <w:sz w:val="23"/>
                <w:szCs w:val="23"/>
                <w:color w:val="auto"/>
              </w:rPr>
            </w:pPr>
          </w:p>
        </w:tc>
        <w:tc>
          <w:tcPr>
            <w:tcW w:w="840" w:type="dxa"/>
            <w:vAlign w:val="bottom"/>
          </w:tcPr>
          <w:p>
            <w:pPr>
              <w:jc w:val="right"/>
              <w:ind w:right="48"/>
              <w:spacing w:after="0"/>
              <w:rPr>
                <w:sz w:val="20"/>
                <w:szCs w:val="20"/>
                <w:color w:val="auto"/>
              </w:rPr>
            </w:pPr>
            <w:r>
              <w:rPr>
                <w:rFonts w:ascii="Arial" w:cs="Arial" w:eastAsia="Arial" w:hAnsi="Arial"/>
                <w:sz w:val="14"/>
                <w:szCs w:val="14"/>
                <w:color w:val="auto"/>
              </w:rPr>
              <w:t>9</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40" w:type="dxa"/>
            <w:vAlign w:val="bottom"/>
          </w:tcPr>
          <w:p>
            <w:pPr>
              <w:jc w:val="right"/>
              <w:ind w:right="28"/>
              <w:spacing w:after="0"/>
              <w:rPr>
                <w:sz w:val="20"/>
                <w:szCs w:val="20"/>
                <w:color w:val="auto"/>
              </w:rPr>
            </w:pPr>
            <w:r>
              <w:rPr>
                <w:rFonts w:ascii="Arial" w:cs="Arial" w:eastAsia="Arial" w:hAnsi="Arial"/>
                <w:sz w:val="14"/>
                <w:szCs w:val="14"/>
                <w:color w:val="auto"/>
              </w:rPr>
              <w:t>9</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3"/>
                <w:szCs w:val="23"/>
                <w:color w:val="auto"/>
              </w:rPr>
            </w:pPr>
          </w:p>
        </w:tc>
        <w:tc>
          <w:tcPr>
            <w:tcW w:w="820" w:type="dxa"/>
            <w:vAlign w:val="bottom"/>
          </w:tcPr>
          <w:p>
            <w:pPr>
              <w:jc w:val="right"/>
              <w:ind w:right="28"/>
              <w:spacing w:after="0"/>
              <w:rPr>
                <w:sz w:val="20"/>
                <w:szCs w:val="20"/>
                <w:color w:val="auto"/>
              </w:rPr>
            </w:pPr>
            <w:r>
              <w:rPr>
                <w:rFonts w:ascii="Arial" w:cs="Arial" w:eastAsia="Arial" w:hAnsi="Arial"/>
                <w:sz w:val="14"/>
                <w:szCs w:val="14"/>
                <w:color w:val="auto"/>
              </w:rPr>
              <w:t>69</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3"/>
                <w:szCs w:val="23"/>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3"/>
                <w:szCs w:val="23"/>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3"/>
                <w:szCs w:val="23"/>
                <w:color w:val="auto"/>
              </w:rPr>
            </w:pPr>
          </w:p>
        </w:tc>
        <w:tc>
          <w:tcPr>
            <w:tcW w:w="660" w:type="dxa"/>
            <w:vAlign w:val="bottom"/>
          </w:tcPr>
          <w:p>
            <w:pPr>
              <w:jc w:val="right"/>
              <w:ind w:right="8"/>
              <w:spacing w:after="0"/>
              <w:rPr>
                <w:sz w:val="20"/>
                <w:szCs w:val="20"/>
                <w:color w:val="auto"/>
              </w:rPr>
            </w:pPr>
            <w:r>
              <w:rPr>
                <w:rFonts w:ascii="Arial" w:cs="Arial" w:eastAsia="Arial" w:hAnsi="Arial"/>
                <w:sz w:val="14"/>
                <w:szCs w:val="14"/>
                <w:color w:val="auto"/>
              </w:rPr>
              <w:t>87</w:t>
            </w:r>
          </w:p>
        </w:tc>
        <w:tc>
          <w:tcPr>
            <w:tcW w:w="0" w:type="dxa"/>
            <w:vAlign w:val="bottom"/>
          </w:tcPr>
          <w:p>
            <w:pPr>
              <w:spacing w:after="0"/>
              <w:rPr>
                <w:sz w:val="1"/>
                <w:szCs w:val="1"/>
                <w:color w:val="auto"/>
              </w:rPr>
            </w:pPr>
          </w:p>
        </w:tc>
      </w:tr>
      <w:tr>
        <w:trPr>
          <w:trHeight w:val="270"/>
        </w:trPr>
        <w:tc>
          <w:tcPr>
            <w:tcW w:w="2240" w:type="dxa"/>
            <w:vAlign w:val="bottom"/>
            <w:shd w:val="clear" w:color="auto" w:fill="CCEEFF"/>
          </w:tcPr>
          <w:p>
            <w:pPr>
              <w:ind w:left="20"/>
              <w:spacing w:after="0"/>
              <w:rPr>
                <w:sz w:val="20"/>
                <w:szCs w:val="20"/>
                <w:color w:val="auto"/>
              </w:rPr>
            </w:pPr>
            <w:r>
              <w:rPr>
                <w:rFonts w:ascii="Arial" w:cs="Arial" w:eastAsia="Arial" w:hAnsi="Arial"/>
                <w:sz w:val="14"/>
                <w:szCs w:val="14"/>
                <w:color w:val="auto"/>
              </w:rPr>
              <w:t>Other (expense) income</w:t>
            </w:r>
          </w:p>
        </w:tc>
        <w:tc>
          <w:tcPr>
            <w:tcW w:w="160" w:type="dxa"/>
            <w:vAlign w:val="bottom"/>
            <w:tcBorders>
              <w:bottom w:val="single" w:sz="8" w:color="auto"/>
            </w:tcBorders>
            <w:shd w:val="clear" w:color="auto" w:fill="CCEEFF"/>
          </w:tcPr>
          <w:p>
            <w:pPr>
              <w:spacing w:after="0"/>
              <w:rPr>
                <w:sz w:val="23"/>
                <w:szCs w:val="23"/>
                <w:color w:val="auto"/>
              </w:rPr>
            </w:pPr>
          </w:p>
        </w:tc>
        <w:tc>
          <w:tcPr>
            <w:tcW w:w="84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8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w:t>
            </w:r>
          </w:p>
        </w:tc>
        <w:tc>
          <w:tcPr>
            <w:tcW w:w="12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8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585</w:t>
            </w:r>
          </w:p>
        </w:tc>
        <w:tc>
          <w:tcPr>
            <w:tcW w:w="12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8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82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8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66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583</w:t>
            </w:r>
          </w:p>
        </w:tc>
        <w:tc>
          <w:tcPr>
            <w:tcW w:w="0" w:type="dxa"/>
            <w:vAlign w:val="bottom"/>
          </w:tcPr>
          <w:p>
            <w:pPr>
              <w:spacing w:after="0"/>
              <w:rPr>
                <w:sz w:val="1"/>
                <w:szCs w:val="1"/>
                <w:color w:val="auto"/>
              </w:rPr>
            </w:pPr>
          </w:p>
        </w:tc>
      </w:tr>
      <w:tr>
        <w:trPr>
          <w:trHeight w:val="250"/>
        </w:trPr>
        <w:tc>
          <w:tcPr>
            <w:tcW w:w="2240" w:type="dxa"/>
            <w:vAlign w:val="bottom"/>
          </w:tcPr>
          <w:p>
            <w:pPr>
              <w:ind w:left="20"/>
              <w:spacing w:after="0"/>
              <w:rPr>
                <w:sz w:val="20"/>
                <w:szCs w:val="20"/>
                <w:color w:val="auto"/>
              </w:rPr>
            </w:pPr>
            <w:r>
              <w:rPr>
                <w:rFonts w:ascii="Arial" w:cs="Arial" w:eastAsia="Arial" w:hAnsi="Arial"/>
                <w:sz w:val="14"/>
                <w:szCs w:val="14"/>
                <w:color w:val="auto"/>
              </w:rPr>
              <w:t>Total other income (expense)</w:t>
            </w:r>
          </w:p>
        </w:tc>
        <w:tc>
          <w:tcPr>
            <w:tcW w:w="160" w:type="dxa"/>
            <w:vAlign w:val="bottom"/>
          </w:tcPr>
          <w:p>
            <w:pPr>
              <w:spacing w:after="0"/>
              <w:rPr>
                <w:sz w:val="21"/>
                <w:szCs w:val="21"/>
                <w:color w:val="auto"/>
              </w:rPr>
            </w:pPr>
          </w:p>
        </w:tc>
        <w:tc>
          <w:tcPr>
            <w:tcW w:w="840" w:type="dxa"/>
            <w:vAlign w:val="bottom"/>
          </w:tcPr>
          <w:p>
            <w:pPr>
              <w:jc w:val="right"/>
              <w:ind w:right="48"/>
              <w:spacing w:after="0"/>
              <w:rPr>
                <w:sz w:val="20"/>
                <w:szCs w:val="20"/>
                <w:color w:val="auto"/>
              </w:rPr>
            </w:pPr>
            <w:r>
              <w:rPr>
                <w:rFonts w:ascii="Arial" w:cs="Arial" w:eastAsia="Arial" w:hAnsi="Arial"/>
                <w:sz w:val="14"/>
                <w:szCs w:val="14"/>
                <w:color w:val="auto"/>
              </w:rPr>
              <w:t>2,726</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(7,441)</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(1,033)</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(925)</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00" w:type="dxa"/>
            <w:vAlign w:val="bottom"/>
          </w:tcPr>
          <w:p>
            <w:pPr>
              <w:jc w:val="right"/>
              <w:ind w:right="28"/>
              <w:spacing w:after="0"/>
              <w:rPr>
                <w:sz w:val="20"/>
                <w:szCs w:val="20"/>
                <w:color w:val="auto"/>
              </w:rPr>
            </w:pPr>
            <w:r>
              <w:rPr>
                <w:rFonts w:ascii="Arial" w:cs="Arial" w:eastAsia="Arial" w:hAnsi="Arial"/>
                <w:sz w:val="14"/>
                <w:szCs w:val="14"/>
                <w:color w:val="auto"/>
              </w:rPr>
              <w:t>286</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1"/>
                <w:szCs w:val="21"/>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(6,387)</w:t>
            </w:r>
          </w:p>
        </w:tc>
        <w:tc>
          <w:tcPr>
            <w:tcW w:w="0" w:type="dxa"/>
            <w:vAlign w:val="bottom"/>
          </w:tcPr>
          <w:p>
            <w:pPr>
              <w:spacing w:after="0"/>
              <w:rPr>
                <w:sz w:val="1"/>
                <w:szCs w:val="1"/>
                <w:color w:val="auto"/>
              </w:rPr>
            </w:pPr>
          </w:p>
        </w:tc>
      </w:tr>
      <w:tr>
        <w:trPr>
          <w:trHeight w:val="158"/>
        </w:trPr>
        <w:tc>
          <w:tcPr>
            <w:tcW w:w="2240" w:type="dxa"/>
            <w:vAlign w:val="bottom"/>
            <w:tcBorders>
              <w:top w:val="single" w:sz="8" w:color="CCEEFF"/>
            </w:tcBorders>
            <w:shd w:val="clear" w:color="auto" w:fill="CCEEFF"/>
          </w:tcPr>
          <w:p>
            <w:pPr>
              <w:ind w:left="20"/>
              <w:spacing w:after="0" w:line="158" w:lineRule="exact"/>
              <w:rPr>
                <w:sz w:val="20"/>
                <w:szCs w:val="20"/>
                <w:color w:val="auto"/>
              </w:rPr>
            </w:pPr>
            <w:r>
              <w:rPr>
                <w:rFonts w:ascii="Arial" w:cs="Arial" w:eastAsia="Arial" w:hAnsi="Arial"/>
                <w:sz w:val="14"/>
                <w:szCs w:val="14"/>
                <w:b w:val="1"/>
                <w:bCs w:val="1"/>
                <w:color w:val="auto"/>
              </w:rPr>
              <w:t>Income (loss) before income</w:t>
            </w:r>
          </w:p>
        </w:tc>
        <w:tc>
          <w:tcPr>
            <w:tcW w:w="160" w:type="dxa"/>
            <w:vAlign w:val="bottom"/>
            <w:tcBorders>
              <w:top w:val="single" w:sz="8" w:color="auto"/>
            </w:tcBorders>
            <w:shd w:val="clear" w:color="auto" w:fill="CCEEFF"/>
          </w:tcPr>
          <w:p>
            <w:pPr>
              <w:spacing w:after="0"/>
              <w:rPr>
                <w:sz w:val="13"/>
                <w:szCs w:val="13"/>
                <w:color w:val="auto"/>
              </w:rPr>
            </w:pPr>
          </w:p>
        </w:tc>
        <w:tc>
          <w:tcPr>
            <w:tcW w:w="840" w:type="dxa"/>
            <w:vAlign w:val="bottom"/>
            <w:tcBorders>
              <w:top w:val="single" w:sz="8" w:color="auto"/>
            </w:tcBorders>
            <w:shd w:val="clear" w:color="auto" w:fill="CCEEFF"/>
          </w:tcPr>
          <w:p>
            <w:pPr>
              <w:spacing w:after="0"/>
              <w:rPr>
                <w:sz w:val="13"/>
                <w:szCs w:val="13"/>
                <w:color w:val="auto"/>
              </w:rPr>
            </w:pPr>
          </w:p>
        </w:tc>
        <w:tc>
          <w:tcPr>
            <w:tcW w:w="12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auto"/>
            </w:tcBorders>
            <w:shd w:val="clear" w:color="auto" w:fill="CCEEFF"/>
          </w:tcPr>
          <w:p>
            <w:pPr>
              <w:spacing w:after="0"/>
              <w:rPr>
                <w:sz w:val="13"/>
                <w:szCs w:val="13"/>
                <w:color w:val="auto"/>
              </w:rPr>
            </w:pPr>
          </w:p>
        </w:tc>
        <w:tc>
          <w:tcPr>
            <w:tcW w:w="840" w:type="dxa"/>
            <w:vAlign w:val="bottom"/>
            <w:tcBorders>
              <w:top w:val="single" w:sz="8" w:color="auto"/>
            </w:tcBorders>
            <w:shd w:val="clear" w:color="auto" w:fill="CCEEFF"/>
          </w:tcPr>
          <w:p>
            <w:pPr>
              <w:spacing w:after="0"/>
              <w:rPr>
                <w:sz w:val="13"/>
                <w:szCs w:val="13"/>
                <w:color w:val="auto"/>
              </w:rPr>
            </w:pPr>
          </w:p>
        </w:tc>
        <w:tc>
          <w:tcPr>
            <w:tcW w:w="12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auto"/>
            </w:tcBorders>
            <w:shd w:val="clear" w:color="auto" w:fill="CCEEFF"/>
          </w:tcPr>
          <w:p>
            <w:pPr>
              <w:spacing w:after="0"/>
              <w:rPr>
                <w:sz w:val="13"/>
                <w:szCs w:val="13"/>
                <w:color w:val="auto"/>
              </w:rPr>
            </w:pPr>
          </w:p>
        </w:tc>
        <w:tc>
          <w:tcPr>
            <w:tcW w:w="920" w:type="dxa"/>
            <w:vAlign w:val="bottom"/>
            <w:tcBorders>
              <w:top w:val="single" w:sz="8" w:color="auto"/>
            </w:tcBorders>
            <w:shd w:val="clear" w:color="auto" w:fill="CCEEFF"/>
          </w:tcPr>
          <w:p>
            <w:pPr>
              <w:spacing w:after="0"/>
              <w:rPr>
                <w:sz w:val="13"/>
                <w:szCs w:val="13"/>
                <w:color w:val="auto"/>
              </w:rPr>
            </w:pPr>
          </w:p>
        </w:tc>
        <w:tc>
          <w:tcPr>
            <w:tcW w:w="12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spacing w:after="0"/>
              <w:rPr>
                <w:sz w:val="13"/>
                <w:szCs w:val="13"/>
                <w:color w:val="auto"/>
              </w:rPr>
            </w:pPr>
          </w:p>
        </w:tc>
        <w:tc>
          <w:tcPr>
            <w:tcW w:w="820" w:type="dxa"/>
            <w:vAlign w:val="bottom"/>
            <w:tcBorders>
              <w:top w:val="single" w:sz="8" w:color="auto"/>
            </w:tcBorders>
            <w:shd w:val="clear" w:color="auto" w:fill="CCEEFF"/>
          </w:tcPr>
          <w:p>
            <w:pPr>
              <w:spacing w:after="0"/>
              <w:rPr>
                <w:sz w:val="13"/>
                <w:szCs w:val="13"/>
                <w:color w:val="auto"/>
              </w:rPr>
            </w:pPr>
          </w:p>
        </w:tc>
        <w:tc>
          <w:tcPr>
            <w:tcW w:w="12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auto"/>
            </w:tcBorders>
            <w:shd w:val="clear" w:color="auto" w:fill="CCEEFF"/>
          </w:tcPr>
          <w:p>
            <w:pPr>
              <w:spacing w:after="0"/>
              <w:rPr>
                <w:sz w:val="13"/>
                <w:szCs w:val="13"/>
                <w:color w:val="auto"/>
              </w:rPr>
            </w:pPr>
          </w:p>
        </w:tc>
        <w:tc>
          <w:tcPr>
            <w:tcW w:w="80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spacing w:after="0"/>
              <w:rPr>
                <w:sz w:val="13"/>
                <w:szCs w:val="13"/>
                <w:color w:val="auto"/>
              </w:rPr>
            </w:pPr>
          </w:p>
        </w:tc>
        <w:tc>
          <w:tcPr>
            <w:tcW w:w="820" w:type="dxa"/>
            <w:vAlign w:val="bottom"/>
            <w:tcBorders>
              <w:top w:val="single" w:sz="8" w:color="auto"/>
            </w:tcBorders>
            <w:shd w:val="clear" w:color="auto" w:fill="CCEEFF"/>
          </w:tcPr>
          <w:p>
            <w:pPr>
              <w:spacing w:after="0"/>
              <w:rPr>
                <w:sz w:val="13"/>
                <w:szCs w:val="13"/>
                <w:color w:val="auto"/>
              </w:rPr>
            </w:pPr>
          </w:p>
        </w:tc>
        <w:tc>
          <w:tcPr>
            <w:tcW w:w="12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spacing w:after="0"/>
              <w:rPr>
                <w:sz w:val="13"/>
                <w:szCs w:val="13"/>
                <w:color w:val="auto"/>
              </w:rPr>
            </w:pPr>
          </w:p>
        </w:tc>
        <w:tc>
          <w:tcPr>
            <w:tcW w:w="820" w:type="dxa"/>
            <w:vAlign w:val="bottom"/>
            <w:tcBorders>
              <w:top w:val="single" w:sz="8" w:color="auto"/>
            </w:tcBorders>
            <w:shd w:val="clear" w:color="auto" w:fill="CCEEFF"/>
          </w:tcPr>
          <w:p>
            <w:pPr>
              <w:spacing w:after="0"/>
              <w:rPr>
                <w:sz w:val="13"/>
                <w:szCs w:val="13"/>
                <w:color w:val="auto"/>
              </w:rPr>
            </w:pPr>
          </w:p>
        </w:tc>
        <w:tc>
          <w:tcPr>
            <w:tcW w:w="120" w:type="dxa"/>
            <w:vAlign w:val="bottom"/>
            <w:tcBorders>
              <w:top w:val="single" w:sz="8" w:color="CCEEFF"/>
            </w:tcBorders>
            <w:shd w:val="clear" w:color="auto" w:fill="CCEEFF"/>
          </w:tcPr>
          <w:p>
            <w:pPr>
              <w:spacing w:after="0"/>
              <w:rPr>
                <w:sz w:val="13"/>
                <w:szCs w:val="13"/>
                <w:color w:val="auto"/>
              </w:rPr>
            </w:pPr>
          </w:p>
        </w:tc>
        <w:tc>
          <w:tcPr>
            <w:tcW w:w="160" w:type="dxa"/>
            <w:vAlign w:val="bottom"/>
            <w:tcBorders>
              <w:top w:val="single" w:sz="8" w:color="auto"/>
            </w:tcBorders>
            <w:shd w:val="clear" w:color="auto" w:fill="CCEEFF"/>
          </w:tcPr>
          <w:p>
            <w:pPr>
              <w:spacing w:after="0"/>
              <w:rPr>
                <w:sz w:val="13"/>
                <w:szCs w:val="13"/>
                <w:color w:val="auto"/>
              </w:rPr>
            </w:pPr>
          </w:p>
        </w:tc>
        <w:tc>
          <w:tcPr>
            <w:tcW w:w="660" w:type="dxa"/>
            <w:vAlign w:val="bottom"/>
            <w:tcBorders>
              <w:top w:val="single" w:sz="8" w:color="auto"/>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04"/>
        </w:trPr>
        <w:tc>
          <w:tcPr>
            <w:tcW w:w="224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taxes</w:t>
            </w:r>
          </w:p>
        </w:tc>
        <w:tc>
          <w:tcPr>
            <w:tcW w:w="160" w:type="dxa"/>
            <w:vAlign w:val="bottom"/>
            <w:shd w:val="clear" w:color="auto" w:fill="CCEEFF"/>
          </w:tcPr>
          <w:p>
            <w:pPr>
              <w:spacing w:after="0"/>
              <w:rPr>
                <w:sz w:val="17"/>
                <w:szCs w:val="17"/>
                <w:color w:val="auto"/>
              </w:rPr>
            </w:pPr>
          </w:p>
        </w:tc>
        <w:tc>
          <w:tcPr>
            <w:tcW w:w="8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40,904</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(19,150)</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(299)</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(29,629)</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382</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(685)</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(26,107)</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(34,584)</w:t>
            </w:r>
          </w:p>
        </w:tc>
        <w:tc>
          <w:tcPr>
            <w:tcW w:w="0" w:type="dxa"/>
            <w:vAlign w:val="bottom"/>
          </w:tcPr>
          <w:p>
            <w:pPr>
              <w:spacing w:after="0"/>
              <w:rPr>
                <w:sz w:val="1"/>
                <w:szCs w:val="1"/>
                <w:color w:val="auto"/>
              </w:rPr>
            </w:pPr>
          </w:p>
        </w:tc>
      </w:tr>
      <w:tr>
        <w:trPr>
          <w:trHeight w:val="176"/>
        </w:trPr>
        <w:tc>
          <w:tcPr>
            <w:tcW w:w="2240" w:type="dxa"/>
            <w:vAlign w:val="bottom"/>
          </w:tcPr>
          <w:p>
            <w:pPr>
              <w:ind w:left="20"/>
              <w:spacing w:after="0"/>
              <w:rPr>
                <w:sz w:val="20"/>
                <w:szCs w:val="20"/>
                <w:color w:val="auto"/>
              </w:rPr>
            </w:pPr>
            <w:r>
              <w:rPr>
                <w:rFonts w:ascii="Arial" w:cs="Arial" w:eastAsia="Arial" w:hAnsi="Arial"/>
                <w:sz w:val="14"/>
                <w:szCs w:val="14"/>
                <w:color w:val="auto"/>
              </w:rPr>
              <w:t>Provision (benefit from) for income</w:t>
            </w:r>
          </w:p>
        </w:tc>
        <w:tc>
          <w:tcPr>
            <w:tcW w:w="1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8"/>
        </w:trPr>
        <w:tc>
          <w:tcPr>
            <w:tcW w:w="2240" w:type="dxa"/>
            <w:vAlign w:val="bottom"/>
          </w:tcPr>
          <w:p>
            <w:pPr>
              <w:ind w:left="20"/>
              <w:spacing w:after="0"/>
              <w:rPr>
                <w:sz w:val="20"/>
                <w:szCs w:val="20"/>
                <w:color w:val="auto"/>
              </w:rPr>
            </w:pPr>
            <w:r>
              <w:rPr>
                <w:rFonts w:ascii="Arial" w:cs="Arial" w:eastAsia="Arial" w:hAnsi="Arial"/>
                <w:sz w:val="14"/>
                <w:szCs w:val="14"/>
                <w:color w:val="auto"/>
              </w:rPr>
              <w:t>taxes</w:t>
            </w:r>
          </w:p>
        </w:tc>
        <w:tc>
          <w:tcPr>
            <w:tcW w:w="160" w:type="dxa"/>
            <w:vAlign w:val="bottom"/>
          </w:tcPr>
          <w:p>
            <w:pPr>
              <w:spacing w:after="0"/>
              <w:rPr>
                <w:sz w:val="17"/>
                <w:szCs w:val="17"/>
                <w:color w:val="auto"/>
              </w:rPr>
            </w:pPr>
          </w:p>
        </w:tc>
        <w:tc>
          <w:tcPr>
            <w:tcW w:w="840" w:type="dxa"/>
            <w:vAlign w:val="bottom"/>
          </w:tcPr>
          <w:p>
            <w:pPr>
              <w:jc w:val="right"/>
              <w:ind w:right="48"/>
              <w:spacing w:after="0"/>
              <w:rPr>
                <w:sz w:val="20"/>
                <w:szCs w:val="20"/>
                <w:color w:val="auto"/>
              </w:rPr>
            </w:pPr>
            <w:r>
              <w:rPr>
                <w:rFonts w:ascii="Arial" w:cs="Arial" w:eastAsia="Arial" w:hAnsi="Arial"/>
                <w:sz w:val="14"/>
                <w:szCs w:val="14"/>
                <w:color w:val="auto"/>
              </w:rPr>
              <w:t>188</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(54)</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jc w:val="right"/>
              <w:ind w:right="28"/>
              <w:spacing w:after="0"/>
              <w:rPr>
                <w:sz w:val="20"/>
                <w:szCs w:val="20"/>
                <w:color w:val="auto"/>
              </w:rPr>
            </w:pPr>
            <w:r>
              <w:rPr>
                <w:rFonts w:ascii="Arial" w:cs="Arial" w:eastAsia="Arial" w:hAnsi="Arial"/>
                <w:sz w:val="14"/>
                <w:szCs w:val="14"/>
                <w:color w:val="auto"/>
              </w:rPr>
              <w:t>55</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820" w:type="dxa"/>
            <w:vAlign w:val="bottom"/>
          </w:tcPr>
          <w:p>
            <w:pPr>
              <w:jc w:val="right"/>
              <w:ind w:right="8"/>
              <w:spacing w:after="0"/>
              <w:rPr>
                <w:sz w:val="20"/>
                <w:szCs w:val="20"/>
                <w:color w:val="auto"/>
              </w:rPr>
            </w:pPr>
            <w:r>
              <w:rPr>
                <w:rFonts w:ascii="Arial" w:cs="Arial" w:eastAsia="Arial" w:hAnsi="Arial"/>
                <w:sz w:val="14"/>
                <w:szCs w:val="14"/>
                <w:color w:val="auto"/>
              </w:rPr>
              <w:t>5</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jc w:val="right"/>
              <w:ind w:right="28"/>
              <w:spacing w:after="0"/>
              <w:rPr>
                <w:sz w:val="20"/>
                <w:szCs w:val="20"/>
                <w:color w:val="auto"/>
              </w:rPr>
            </w:pPr>
            <w:r>
              <w:rPr>
                <w:rFonts w:ascii="Arial" w:cs="Arial" w:eastAsia="Arial" w:hAnsi="Arial"/>
                <w:sz w:val="14"/>
                <w:szCs w:val="14"/>
                <w:color w:val="auto"/>
              </w:rPr>
              <w:t>1</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Pr>
          <w:p>
            <w:pPr>
              <w:jc w:val="right"/>
              <w:ind w:right="8"/>
              <w:spacing w:after="0"/>
              <w:rPr>
                <w:sz w:val="20"/>
                <w:szCs w:val="20"/>
                <w:color w:val="auto"/>
              </w:rPr>
            </w:pPr>
            <w:r>
              <w:rPr>
                <w:rFonts w:ascii="Arial" w:cs="Arial" w:eastAsia="Arial" w:hAnsi="Arial"/>
                <w:sz w:val="14"/>
                <w:szCs w:val="14"/>
                <w:color w:val="auto"/>
              </w:rPr>
              <w:t>195</w:t>
            </w:r>
          </w:p>
        </w:tc>
        <w:tc>
          <w:tcPr>
            <w:tcW w:w="0" w:type="dxa"/>
            <w:vAlign w:val="bottom"/>
          </w:tcPr>
          <w:p>
            <w:pPr>
              <w:spacing w:after="0"/>
              <w:rPr>
                <w:sz w:val="1"/>
                <w:szCs w:val="1"/>
                <w:color w:val="auto"/>
              </w:rPr>
            </w:pPr>
          </w:p>
        </w:tc>
      </w:tr>
      <w:tr>
        <w:trPr>
          <w:trHeight w:val="254"/>
        </w:trPr>
        <w:tc>
          <w:tcPr>
            <w:tcW w:w="22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Net income (loss)</w:t>
            </w:r>
          </w:p>
        </w:tc>
        <w:tc>
          <w:tcPr>
            <w:tcW w:w="160" w:type="dxa"/>
            <w:vAlign w:val="bottom"/>
            <w:tcBorders>
              <w:top w:val="single" w:sz="8" w:color="auto"/>
              <w:bottom w:val="single" w:sz="8" w:color="auto"/>
            </w:tcBorders>
            <w:shd w:val="clear" w:color="auto" w:fill="CCEEFF"/>
          </w:tcPr>
          <w:p>
            <w:pPr>
              <w:spacing w:after="0"/>
              <w:rPr>
                <w:sz w:val="22"/>
                <w:szCs w:val="22"/>
                <w:color w:val="auto"/>
              </w:rPr>
            </w:pPr>
          </w:p>
        </w:tc>
        <w:tc>
          <w:tcPr>
            <w:tcW w:w="84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40,716</w:t>
            </w:r>
          </w:p>
        </w:tc>
        <w:tc>
          <w:tcPr>
            <w:tcW w:w="120" w:type="dxa"/>
            <w:vAlign w:val="bottom"/>
            <w:tcBorders>
              <w:top w:val="single" w:sz="8" w:color="CCEEFF"/>
            </w:tcBorders>
            <w:shd w:val="clear" w:color="auto" w:fill="CCEEFF"/>
          </w:tcPr>
          <w:p>
            <w:pPr>
              <w:spacing w:after="0"/>
              <w:rPr>
                <w:sz w:val="22"/>
                <w:szCs w:val="22"/>
                <w:color w:val="auto"/>
              </w:rPr>
            </w:pPr>
          </w:p>
        </w:tc>
        <w:tc>
          <w:tcPr>
            <w:tcW w:w="140" w:type="dxa"/>
            <w:vAlign w:val="bottom"/>
            <w:tcBorders>
              <w:top w:val="single" w:sz="8" w:color="auto"/>
              <w:bottom w:val="single" w:sz="8" w:color="auto"/>
            </w:tcBorders>
            <w:shd w:val="clear" w:color="auto" w:fill="CCEEFF"/>
          </w:tcPr>
          <w:p>
            <w:pPr>
              <w:spacing w:after="0"/>
              <w:rPr>
                <w:sz w:val="22"/>
                <w:szCs w:val="22"/>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(19,150)</w:t>
            </w:r>
          </w:p>
        </w:tc>
        <w:tc>
          <w:tcPr>
            <w:tcW w:w="120" w:type="dxa"/>
            <w:vAlign w:val="bottom"/>
            <w:tcBorders>
              <w:top w:val="single" w:sz="8" w:color="CCEEFF"/>
            </w:tcBorders>
            <w:shd w:val="clear" w:color="auto" w:fill="CCEEFF"/>
          </w:tcPr>
          <w:p>
            <w:pPr>
              <w:spacing w:after="0"/>
              <w:rPr>
                <w:sz w:val="22"/>
                <w:szCs w:val="22"/>
                <w:color w:val="auto"/>
              </w:rPr>
            </w:pPr>
          </w:p>
        </w:tc>
        <w:tc>
          <w:tcPr>
            <w:tcW w:w="140" w:type="dxa"/>
            <w:vAlign w:val="bottom"/>
            <w:tcBorders>
              <w:top w:val="single" w:sz="8" w:color="auto"/>
              <w:bottom w:val="single" w:sz="8" w:color="auto"/>
            </w:tcBorders>
            <w:shd w:val="clear" w:color="auto" w:fill="CCEEFF"/>
          </w:tcPr>
          <w:p>
            <w:pPr>
              <w:spacing w:after="0"/>
              <w:rPr>
                <w:sz w:val="22"/>
                <w:szCs w:val="22"/>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(245)</w:t>
            </w:r>
          </w:p>
        </w:tc>
        <w:tc>
          <w:tcPr>
            <w:tcW w:w="120" w:type="dxa"/>
            <w:vAlign w:val="bottom"/>
            <w:tcBorders>
              <w:top w:val="single" w:sz="8" w:color="CCEEFF"/>
            </w:tcBorders>
            <w:shd w:val="clear" w:color="auto" w:fill="CCEEFF"/>
          </w:tcPr>
          <w:p>
            <w:pPr>
              <w:spacing w:after="0"/>
              <w:rPr>
                <w:sz w:val="22"/>
                <w:szCs w:val="22"/>
                <w:color w:val="auto"/>
              </w:rPr>
            </w:pPr>
          </w:p>
        </w:tc>
        <w:tc>
          <w:tcPr>
            <w:tcW w:w="120" w:type="dxa"/>
            <w:vAlign w:val="bottom"/>
            <w:tcBorders>
              <w:top w:val="single" w:sz="8" w:color="auto"/>
              <w:bottom w:val="single" w:sz="8" w:color="auto"/>
            </w:tcBorders>
            <w:shd w:val="clear" w:color="auto" w:fill="CCEEFF"/>
          </w:tcPr>
          <w:p>
            <w:pPr>
              <w:spacing w:after="0"/>
              <w:rPr>
                <w:sz w:val="22"/>
                <w:szCs w:val="22"/>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(29,684)</w:t>
            </w:r>
          </w:p>
        </w:tc>
        <w:tc>
          <w:tcPr>
            <w:tcW w:w="120" w:type="dxa"/>
            <w:vAlign w:val="bottom"/>
            <w:tcBorders>
              <w:top w:val="single" w:sz="8" w:color="CCEEFF"/>
            </w:tcBorders>
            <w:shd w:val="clear" w:color="auto" w:fill="CCEEFF"/>
          </w:tcPr>
          <w:p>
            <w:pPr>
              <w:spacing w:after="0"/>
              <w:rPr>
                <w:sz w:val="22"/>
                <w:szCs w:val="22"/>
                <w:color w:val="auto"/>
              </w:rPr>
            </w:pPr>
          </w:p>
        </w:tc>
        <w:tc>
          <w:tcPr>
            <w:tcW w:w="140" w:type="dxa"/>
            <w:vAlign w:val="bottom"/>
            <w:tcBorders>
              <w:top w:val="single" w:sz="8" w:color="auto"/>
              <w:bottom w:val="single" w:sz="8" w:color="auto"/>
            </w:tcBorders>
            <w:shd w:val="clear" w:color="auto" w:fill="CCEEFF"/>
          </w:tcPr>
          <w:p>
            <w:pPr>
              <w:spacing w:after="0"/>
              <w:rPr>
                <w:sz w:val="22"/>
                <w:szCs w:val="22"/>
                <w:color w:val="auto"/>
              </w:rPr>
            </w:pPr>
          </w:p>
        </w:tc>
        <w:tc>
          <w:tcPr>
            <w:tcW w:w="80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382</w:t>
            </w:r>
          </w:p>
        </w:tc>
        <w:tc>
          <w:tcPr>
            <w:tcW w:w="100" w:type="dxa"/>
            <w:vAlign w:val="bottom"/>
            <w:tcBorders>
              <w:top w:val="single" w:sz="8" w:color="CCEEFF"/>
            </w:tcBorders>
            <w:shd w:val="clear" w:color="auto" w:fill="CCEEFF"/>
          </w:tcPr>
          <w:p>
            <w:pPr>
              <w:spacing w:after="0"/>
              <w:rPr>
                <w:sz w:val="22"/>
                <w:szCs w:val="22"/>
                <w:color w:val="auto"/>
              </w:rPr>
            </w:pPr>
          </w:p>
        </w:tc>
        <w:tc>
          <w:tcPr>
            <w:tcW w:w="120" w:type="dxa"/>
            <w:vAlign w:val="bottom"/>
            <w:tcBorders>
              <w:top w:val="single" w:sz="8" w:color="auto"/>
              <w:bottom w:val="single" w:sz="8" w:color="auto"/>
            </w:tcBorders>
            <w:shd w:val="clear" w:color="auto" w:fill="CCEEFF"/>
          </w:tcPr>
          <w:p>
            <w:pPr>
              <w:spacing w:after="0"/>
              <w:rPr>
                <w:sz w:val="22"/>
                <w:szCs w:val="22"/>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(690)</w:t>
            </w:r>
          </w:p>
        </w:tc>
        <w:tc>
          <w:tcPr>
            <w:tcW w:w="120" w:type="dxa"/>
            <w:vAlign w:val="bottom"/>
            <w:tcBorders>
              <w:top w:val="single" w:sz="8" w:color="CCEEFF"/>
            </w:tcBorders>
            <w:shd w:val="clear" w:color="auto" w:fill="CCEEFF"/>
          </w:tcPr>
          <w:p>
            <w:pPr>
              <w:spacing w:after="0"/>
              <w:rPr>
                <w:sz w:val="22"/>
                <w:szCs w:val="22"/>
                <w:color w:val="auto"/>
              </w:rPr>
            </w:pPr>
          </w:p>
        </w:tc>
        <w:tc>
          <w:tcPr>
            <w:tcW w:w="120" w:type="dxa"/>
            <w:vAlign w:val="bottom"/>
            <w:tcBorders>
              <w:top w:val="single" w:sz="8" w:color="auto"/>
              <w:bottom w:val="single" w:sz="8" w:color="auto"/>
            </w:tcBorders>
            <w:shd w:val="clear" w:color="auto" w:fill="CCEEFF"/>
          </w:tcPr>
          <w:p>
            <w:pPr>
              <w:spacing w:after="0"/>
              <w:rPr>
                <w:sz w:val="22"/>
                <w:szCs w:val="22"/>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(26,108)</w:t>
            </w:r>
          </w:p>
        </w:tc>
        <w:tc>
          <w:tcPr>
            <w:tcW w:w="120" w:type="dxa"/>
            <w:vAlign w:val="bottom"/>
            <w:tcBorders>
              <w:top w:val="single" w:sz="8" w:color="CCEEFF"/>
            </w:tcBorders>
            <w:shd w:val="clear" w:color="auto" w:fill="CCEEFF"/>
          </w:tcPr>
          <w:p>
            <w:pPr>
              <w:spacing w:after="0"/>
              <w:rPr>
                <w:sz w:val="22"/>
                <w:szCs w:val="22"/>
                <w:color w:val="auto"/>
              </w:rPr>
            </w:pPr>
          </w:p>
        </w:tc>
        <w:tc>
          <w:tcPr>
            <w:tcW w:w="160" w:type="dxa"/>
            <w:vAlign w:val="bottom"/>
            <w:tcBorders>
              <w:top w:val="single" w:sz="8" w:color="auto"/>
              <w:bottom w:val="single" w:sz="8" w:color="auto"/>
            </w:tcBorders>
            <w:shd w:val="clear" w:color="auto" w:fill="CCEEFF"/>
          </w:tcPr>
          <w:p>
            <w:pPr>
              <w:spacing w:after="0"/>
              <w:rPr>
                <w:sz w:val="22"/>
                <w:szCs w:val="22"/>
                <w:color w:val="auto"/>
              </w:rPr>
            </w:pP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(34,779)</w:t>
            </w:r>
          </w:p>
        </w:tc>
        <w:tc>
          <w:tcPr>
            <w:tcW w:w="0" w:type="dxa"/>
            <w:vAlign w:val="bottom"/>
          </w:tcPr>
          <w:p>
            <w:pPr>
              <w:spacing w:after="0"/>
              <w:rPr>
                <w:sz w:val="1"/>
                <w:szCs w:val="1"/>
                <w:color w:val="auto"/>
              </w:rPr>
            </w:pPr>
          </w:p>
        </w:tc>
      </w:tr>
      <w:tr>
        <w:trPr>
          <w:trHeight w:val="156"/>
        </w:trPr>
        <w:tc>
          <w:tcPr>
            <w:tcW w:w="2240" w:type="dxa"/>
            <w:vAlign w:val="bottom"/>
          </w:tcPr>
          <w:p>
            <w:pPr>
              <w:ind w:left="20"/>
              <w:spacing w:after="0" w:line="156" w:lineRule="exact"/>
              <w:rPr>
                <w:sz w:val="20"/>
                <w:szCs w:val="20"/>
                <w:color w:val="auto"/>
              </w:rPr>
            </w:pPr>
            <w:r>
              <w:rPr>
                <w:rFonts w:ascii="Arial" w:cs="Arial" w:eastAsia="Arial" w:hAnsi="Arial"/>
                <w:sz w:val="14"/>
                <w:szCs w:val="14"/>
                <w:color w:val="auto"/>
              </w:rPr>
              <w:t>Less: Net income (loss)</w:t>
            </w:r>
          </w:p>
        </w:tc>
        <w:tc>
          <w:tcPr>
            <w:tcW w:w="1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240" w:type="dxa"/>
            <w:vAlign w:val="bottom"/>
          </w:tcPr>
          <w:p>
            <w:pPr>
              <w:ind w:left="20"/>
              <w:spacing w:after="0"/>
              <w:rPr>
                <w:sz w:val="20"/>
                <w:szCs w:val="20"/>
                <w:color w:val="auto"/>
              </w:rPr>
            </w:pPr>
            <w:r>
              <w:rPr>
                <w:rFonts w:ascii="Arial" w:cs="Arial" w:eastAsia="Arial" w:hAnsi="Arial"/>
                <w:sz w:val="14"/>
                <w:szCs w:val="14"/>
                <w:color w:val="auto"/>
              </w:rPr>
              <w:t>attributable to non-controlling</w:t>
            </w:r>
          </w:p>
        </w:tc>
        <w:tc>
          <w:tcPr>
            <w:tcW w:w="1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240" w:type="dxa"/>
            <w:vAlign w:val="bottom"/>
          </w:tcPr>
          <w:p>
            <w:pPr>
              <w:ind w:left="20"/>
              <w:spacing w:after="0"/>
              <w:rPr>
                <w:sz w:val="20"/>
                <w:szCs w:val="20"/>
                <w:color w:val="auto"/>
              </w:rPr>
            </w:pPr>
            <w:r>
              <w:rPr>
                <w:rFonts w:ascii="Arial" w:cs="Arial" w:eastAsia="Arial" w:hAnsi="Arial"/>
                <w:sz w:val="14"/>
                <w:szCs w:val="14"/>
                <w:color w:val="auto"/>
              </w:rPr>
              <w:t>interests in consolidated</w:t>
            </w:r>
          </w:p>
        </w:tc>
        <w:tc>
          <w:tcPr>
            <w:tcW w:w="1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8"/>
        </w:trPr>
        <w:tc>
          <w:tcPr>
            <w:tcW w:w="224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subsidiaries</w:t>
            </w:r>
          </w:p>
        </w:tc>
        <w:tc>
          <w:tcPr>
            <w:tcW w:w="16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350</w:t>
            </w:r>
          </w:p>
        </w:tc>
        <w:tc>
          <w:tcPr>
            <w:tcW w:w="12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(4,289)</w:t>
            </w:r>
          </w:p>
        </w:tc>
        <w:tc>
          <w:tcPr>
            <w:tcW w:w="12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(12,522)</w:t>
            </w:r>
          </w:p>
        </w:tc>
        <w:tc>
          <w:tcPr>
            <w:tcW w:w="12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11</w:t>
            </w:r>
          </w:p>
        </w:tc>
        <w:tc>
          <w:tcPr>
            <w:tcW w:w="10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(69)</w:t>
            </w:r>
          </w:p>
        </w:tc>
        <w:tc>
          <w:tcPr>
            <w:tcW w:w="12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w:t>
            </w:r>
          </w:p>
        </w:tc>
        <w:tc>
          <w:tcPr>
            <w:tcW w:w="12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(16,528)</w:t>
            </w:r>
          </w:p>
        </w:tc>
        <w:tc>
          <w:tcPr>
            <w:tcW w:w="0" w:type="dxa"/>
            <w:vAlign w:val="bottom"/>
          </w:tcPr>
          <w:p>
            <w:pPr>
              <w:spacing w:after="0"/>
              <w:rPr>
                <w:sz w:val="1"/>
                <w:szCs w:val="1"/>
                <w:color w:val="auto"/>
              </w:rPr>
            </w:pPr>
          </w:p>
        </w:tc>
      </w:tr>
      <w:tr>
        <w:trPr>
          <w:trHeight w:val="158"/>
        </w:trPr>
        <w:tc>
          <w:tcPr>
            <w:tcW w:w="2240" w:type="dxa"/>
            <w:vAlign w:val="bottom"/>
            <w:shd w:val="clear" w:color="auto" w:fill="CCEEFF"/>
          </w:tcPr>
          <w:p>
            <w:pPr>
              <w:ind w:left="20"/>
              <w:spacing w:after="0" w:line="158" w:lineRule="exact"/>
              <w:rPr>
                <w:sz w:val="20"/>
                <w:szCs w:val="20"/>
                <w:color w:val="auto"/>
              </w:rPr>
            </w:pPr>
            <w:r>
              <w:rPr>
                <w:rFonts w:ascii="Arial" w:cs="Arial" w:eastAsia="Arial" w:hAnsi="Arial"/>
                <w:sz w:val="14"/>
                <w:szCs w:val="14"/>
                <w:b w:val="1"/>
                <w:bCs w:val="1"/>
                <w:color w:val="auto"/>
              </w:rPr>
              <w:t>Net income (loss) attributable to</w:t>
            </w: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4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40,366</w:t>
            </w:r>
          </w:p>
        </w:tc>
        <w:tc>
          <w:tcPr>
            <w:tcW w:w="260" w:type="dxa"/>
            <w:vAlign w:val="bottom"/>
            <w:gridSpan w:val="2"/>
            <w:vMerge w:val="restart"/>
            <w:shd w:val="clear" w:color="auto" w:fill="CCEEFF"/>
          </w:tcPr>
          <w:p>
            <w:pPr>
              <w:jc w:val="right"/>
              <w:ind w:right="40"/>
              <w:spacing w:after="0"/>
              <w:rPr>
                <w:sz w:val="20"/>
                <w:szCs w:val="20"/>
                <w:color w:val="auto"/>
              </w:rPr>
            </w:pPr>
            <w:r>
              <w:rPr>
                <w:rFonts w:ascii="Arial" w:cs="Arial" w:eastAsia="Arial" w:hAnsi="Arial"/>
                <w:sz w:val="14"/>
                <w:szCs w:val="14"/>
                <w:color w:val="auto"/>
              </w:rPr>
              <w:t>$</w:t>
            </w: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(14,861)</w:t>
            </w:r>
          </w:p>
        </w:tc>
        <w:tc>
          <w:tcPr>
            <w:tcW w:w="120" w:type="dxa"/>
            <w:vAlign w:val="bottom"/>
            <w:shd w:val="clear" w:color="auto" w:fill="CCEEFF"/>
          </w:tcPr>
          <w:p>
            <w:pPr>
              <w:spacing w:after="0"/>
              <w:rPr>
                <w:sz w:val="13"/>
                <w:szCs w:val="13"/>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(245)</w:t>
            </w:r>
          </w:p>
        </w:tc>
        <w:tc>
          <w:tcPr>
            <w:tcW w:w="120" w:type="dxa"/>
            <w:vAlign w:val="bottom"/>
            <w:shd w:val="clear" w:color="auto" w:fill="CCEEFF"/>
          </w:tcPr>
          <w:p>
            <w:pPr>
              <w:spacing w:after="0"/>
              <w:rPr>
                <w:sz w:val="13"/>
                <w:szCs w:val="13"/>
                <w:color w:val="auto"/>
              </w:rPr>
            </w:pP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(17,162)</w:t>
            </w:r>
          </w:p>
        </w:tc>
        <w:tc>
          <w:tcPr>
            <w:tcW w:w="120" w:type="dxa"/>
            <w:vAlign w:val="bottom"/>
            <w:shd w:val="clear" w:color="auto" w:fill="CCEEFF"/>
          </w:tcPr>
          <w:p>
            <w:pPr>
              <w:spacing w:after="0"/>
              <w:rPr>
                <w:sz w:val="13"/>
                <w:szCs w:val="13"/>
                <w:color w:val="auto"/>
              </w:rPr>
            </w:pPr>
          </w:p>
        </w:tc>
        <w:tc>
          <w:tcPr>
            <w:tcW w:w="140" w:type="dxa"/>
            <w:vAlign w:val="bottom"/>
            <w:vMerge w:val="restart"/>
            <w:shd w:val="clear" w:color="auto" w:fill="CCEEFF"/>
          </w:tcPr>
          <w:p>
            <w:pPr>
              <w:ind w:left="20"/>
              <w:spacing w:after="0"/>
              <w:rPr>
                <w:sz w:val="20"/>
                <w:szCs w:val="20"/>
                <w:color w:val="auto"/>
              </w:rPr>
            </w:pPr>
            <w:r>
              <w:rPr>
                <w:rFonts w:ascii="Arial" w:cs="Arial" w:eastAsia="Arial" w:hAnsi="Arial"/>
                <w:sz w:val="14"/>
                <w:szCs w:val="14"/>
                <w:color w:val="auto"/>
              </w:rPr>
              <w:t>$</w:t>
            </w:r>
          </w:p>
        </w:tc>
        <w:tc>
          <w:tcPr>
            <w:tcW w:w="80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371</w:t>
            </w:r>
          </w:p>
        </w:tc>
        <w:tc>
          <w:tcPr>
            <w:tcW w:w="100" w:type="dxa"/>
            <w:vAlign w:val="bottom"/>
            <w:shd w:val="clear" w:color="auto" w:fill="CCEEFF"/>
          </w:tcPr>
          <w:p>
            <w:pPr>
              <w:spacing w:after="0"/>
              <w:rPr>
                <w:sz w:val="13"/>
                <w:szCs w:val="13"/>
                <w:color w:val="auto"/>
              </w:rPr>
            </w:pP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(621)</w:t>
            </w:r>
          </w:p>
        </w:tc>
        <w:tc>
          <w:tcPr>
            <w:tcW w:w="120" w:type="dxa"/>
            <w:vAlign w:val="bottom"/>
            <w:shd w:val="clear" w:color="auto" w:fill="CCEEFF"/>
          </w:tcPr>
          <w:p>
            <w:pPr>
              <w:spacing w:after="0"/>
              <w:rPr>
                <w:sz w:val="13"/>
                <w:szCs w:val="13"/>
                <w:color w:val="auto"/>
              </w:rPr>
            </w:pP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(26,099)</w:t>
            </w:r>
          </w:p>
        </w:tc>
        <w:tc>
          <w:tcPr>
            <w:tcW w:w="120" w:type="dxa"/>
            <w:vAlign w:val="bottom"/>
            <w:shd w:val="clear" w:color="auto" w:fill="CCEEFF"/>
          </w:tcPr>
          <w:p>
            <w:pPr>
              <w:spacing w:after="0"/>
              <w:rPr>
                <w:sz w:val="13"/>
                <w:szCs w:val="13"/>
                <w:color w:val="auto"/>
              </w:rPr>
            </w:pP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(18,251)</w:t>
            </w:r>
          </w:p>
        </w:tc>
        <w:tc>
          <w:tcPr>
            <w:tcW w:w="0" w:type="dxa"/>
            <w:vAlign w:val="bottom"/>
          </w:tcPr>
          <w:p>
            <w:pPr>
              <w:spacing w:after="0"/>
              <w:rPr>
                <w:sz w:val="1"/>
                <w:szCs w:val="1"/>
                <w:color w:val="auto"/>
              </w:rPr>
            </w:pPr>
          </w:p>
        </w:tc>
      </w:tr>
      <w:tr>
        <w:trPr>
          <w:trHeight w:val="191"/>
        </w:trPr>
        <w:tc>
          <w:tcPr>
            <w:tcW w:w="224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shareholders</w:t>
            </w:r>
          </w:p>
        </w:tc>
        <w:tc>
          <w:tcPr>
            <w:tcW w:w="160" w:type="dxa"/>
            <w:vAlign w:val="bottom"/>
            <w:vMerge w:val="continue"/>
            <w:shd w:val="clear" w:color="auto" w:fill="CCEEFF"/>
          </w:tcPr>
          <w:p>
            <w:pPr>
              <w:spacing w:after="0"/>
              <w:rPr>
                <w:sz w:val="16"/>
                <w:szCs w:val="16"/>
                <w:color w:val="auto"/>
              </w:rPr>
            </w:pPr>
          </w:p>
        </w:tc>
        <w:tc>
          <w:tcPr>
            <w:tcW w:w="840" w:type="dxa"/>
            <w:vAlign w:val="bottom"/>
            <w:vMerge w:val="continue"/>
            <w:shd w:val="clear" w:color="auto" w:fill="CCEEFF"/>
          </w:tcPr>
          <w:p>
            <w:pPr>
              <w:spacing w:after="0"/>
              <w:rPr>
                <w:sz w:val="16"/>
                <w:szCs w:val="16"/>
                <w:color w:val="auto"/>
              </w:rPr>
            </w:pPr>
          </w:p>
        </w:tc>
        <w:tc>
          <w:tcPr>
            <w:tcW w:w="260" w:type="dxa"/>
            <w:vAlign w:val="bottom"/>
            <w:gridSpan w:val="2"/>
            <w:vMerge w:val="continue"/>
            <w:shd w:val="clear" w:color="auto" w:fill="CCEEFF"/>
          </w:tcPr>
          <w:p>
            <w:pPr>
              <w:spacing w:after="0"/>
              <w:rPr>
                <w:sz w:val="16"/>
                <w:szCs w:val="16"/>
                <w:color w:val="auto"/>
              </w:rPr>
            </w:pPr>
          </w:p>
        </w:tc>
        <w:tc>
          <w:tcPr>
            <w:tcW w:w="840" w:type="dxa"/>
            <w:vAlign w:val="bottom"/>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 w:type="dxa"/>
            <w:vAlign w:val="bottom"/>
            <w:vMerge w:val="continue"/>
            <w:shd w:val="clear" w:color="auto" w:fill="CCEEFF"/>
          </w:tcPr>
          <w:p>
            <w:pPr>
              <w:spacing w:after="0"/>
              <w:rPr>
                <w:sz w:val="16"/>
                <w:szCs w:val="16"/>
                <w:color w:val="auto"/>
              </w:rPr>
            </w:pPr>
          </w:p>
        </w:tc>
        <w:tc>
          <w:tcPr>
            <w:tcW w:w="920" w:type="dxa"/>
            <w:vAlign w:val="bottom"/>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vMerge w:val="continue"/>
            <w:shd w:val="clear" w:color="auto" w:fill="CCEEFF"/>
          </w:tcPr>
          <w:p>
            <w:pPr>
              <w:spacing w:after="0"/>
              <w:rPr>
                <w:sz w:val="16"/>
                <w:szCs w:val="16"/>
                <w:color w:val="auto"/>
              </w:rPr>
            </w:pPr>
          </w:p>
        </w:tc>
        <w:tc>
          <w:tcPr>
            <w:tcW w:w="820" w:type="dxa"/>
            <w:vAlign w:val="bottom"/>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 w:type="dxa"/>
            <w:vAlign w:val="bottom"/>
            <w:vMerge w:val="continue"/>
            <w:shd w:val="clear" w:color="auto" w:fill="CCEEFF"/>
          </w:tcPr>
          <w:p>
            <w:pPr>
              <w:spacing w:after="0"/>
              <w:rPr>
                <w:sz w:val="16"/>
                <w:szCs w:val="16"/>
                <w:color w:val="auto"/>
              </w:rPr>
            </w:pPr>
          </w:p>
        </w:tc>
        <w:tc>
          <w:tcPr>
            <w:tcW w:w="80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vMerge w:val="continue"/>
            <w:shd w:val="clear" w:color="auto" w:fill="CCEEFF"/>
          </w:tcPr>
          <w:p>
            <w:pPr>
              <w:spacing w:after="0"/>
              <w:rPr>
                <w:sz w:val="16"/>
                <w:szCs w:val="16"/>
                <w:color w:val="auto"/>
              </w:rPr>
            </w:pPr>
          </w:p>
        </w:tc>
        <w:tc>
          <w:tcPr>
            <w:tcW w:w="820" w:type="dxa"/>
            <w:vAlign w:val="bottom"/>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vMerge w:val="continue"/>
            <w:shd w:val="clear" w:color="auto" w:fill="CCEEFF"/>
          </w:tcPr>
          <w:p>
            <w:pPr>
              <w:spacing w:after="0"/>
              <w:rPr>
                <w:sz w:val="16"/>
                <w:szCs w:val="16"/>
                <w:color w:val="auto"/>
              </w:rPr>
            </w:pPr>
          </w:p>
        </w:tc>
        <w:tc>
          <w:tcPr>
            <w:tcW w:w="820" w:type="dxa"/>
            <w:vAlign w:val="bottom"/>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60" w:type="dxa"/>
            <w:vAlign w:val="bottom"/>
            <w:vMerge w:val="continue"/>
            <w:shd w:val="clear" w:color="auto" w:fill="CCEEFF"/>
          </w:tcPr>
          <w:p>
            <w:pPr>
              <w:spacing w:after="0"/>
              <w:rPr>
                <w:sz w:val="16"/>
                <w:szCs w:val="16"/>
                <w:color w:val="auto"/>
              </w:rPr>
            </w:pPr>
          </w:p>
        </w:tc>
        <w:tc>
          <w:tcPr>
            <w:tcW w:w="66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2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5" w:lineRule="exact"/>
        <w:rPr>
          <w:sz w:val="20"/>
          <w:szCs w:val="20"/>
          <w:color w:val="auto"/>
        </w:rPr>
      </w:pPr>
    </w:p>
    <w:p>
      <w:pPr>
        <w:jc w:val="center"/>
        <w:ind w:right="-399"/>
        <w:spacing w:after="0"/>
        <w:rPr>
          <w:sz w:val="20"/>
          <w:szCs w:val="20"/>
          <w:color w:val="auto"/>
        </w:rPr>
      </w:pPr>
      <w:r>
        <w:rPr>
          <w:rFonts w:ascii="Arial" w:cs="Arial" w:eastAsia="Arial" w:hAnsi="Arial"/>
          <w:sz w:val="16"/>
          <w:szCs w:val="16"/>
          <w:color w:val="auto"/>
        </w:rPr>
        <w:t>38</w:t>
      </w:r>
    </w:p>
    <w:p>
      <w:pPr>
        <w:sectPr>
          <w:pgSz w:w="11900" w:h="16838" w:orient="portrait"/>
          <w:cols w:equalWidth="0" w:num="1">
            <w:col w:w="11020"/>
          </w:cols>
          <w:pgMar w:left="240" w:top="117" w:right="639" w:bottom="1440" w:gutter="0" w:footer="0" w:header="0"/>
        </w:sectPr>
      </w:pPr>
    </w:p>
    <w:bookmarkStart w:id="38" w:name="page39"/>
    <w:bookmarkEnd w:id="38"/>
    <w:p>
      <w:pPr>
        <w:ind w:right="3820"/>
        <w:spacing w:after="0" w:line="305" w:lineRule="auto"/>
        <w:rPr>
          <w:sz w:val="20"/>
          <w:szCs w:val="20"/>
          <w:color w:val="auto"/>
        </w:rPr>
      </w:pPr>
      <w:r>
        <w:rPr>
          <w:rFonts w:ascii="Arial" w:cs="Arial" w:eastAsia="Arial" w:hAnsi="Arial"/>
          <w:sz w:val="22"/>
          <w:szCs w:val="22"/>
          <w:b w:val="1"/>
          <w:bCs w:val="1"/>
          <w:color w:val="00497F"/>
        </w:rPr>
        <w:t xml:space="preserve">FORTRESS TRANSPORTATION AND INFRASTRUCTURE INVESTORS LLC NOTES TO CONSOLIDATED FINANCIAL STATEMENTS </w:t>
      </w:r>
      <w:r>
        <w:rPr>
          <w:rFonts w:ascii="Arial" w:cs="Arial" w:eastAsia="Arial" w:hAnsi="Arial"/>
          <w:sz w:val="22"/>
          <w:szCs w:val="22"/>
          <w:b w:val="1"/>
          <w:bCs w:val="1"/>
          <w:i w:val="1"/>
          <w:iCs w:val="1"/>
          <w:color w:val="00497F"/>
        </w:rPr>
        <w:t>(unaudited)</w:t>
      </w:r>
    </w:p>
    <w:p>
      <w:pPr>
        <w:spacing w:after="0"/>
        <w:rPr>
          <w:sz w:val="20"/>
          <w:szCs w:val="20"/>
          <w:color w:val="auto"/>
        </w:rPr>
      </w:pPr>
      <w:r>
        <w:rPr>
          <w:rFonts w:ascii="Arial" w:cs="Arial" w:eastAsia="Arial" w:hAnsi="Arial"/>
          <w:sz w:val="18"/>
          <w:szCs w:val="18"/>
          <w:i w:val="1"/>
          <w:iCs w:val="1"/>
          <w:color w:val="00497F"/>
        </w:rPr>
        <w:t>(Dollar amounts in thousands, unless otherwise noted)</w:t>
      </w:r>
    </w:p>
    <w:p>
      <w:pPr>
        <w:spacing w:after="0" w:line="397"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The following table sets forth a reconciliation of Adjusted Net Loss to net loss attributable to shareholders:</w:t>
      </w:r>
    </w:p>
    <w:p>
      <w:pPr>
        <w:spacing w:after="0" w:line="386" w:lineRule="exact"/>
        <w:rPr>
          <w:sz w:val="20"/>
          <w:szCs w:val="20"/>
          <w:color w:val="auto"/>
        </w:rPr>
      </w:pPr>
    </w:p>
    <w:tbl>
      <w:tblPr>
        <w:tblLayout w:type="fixed"/>
        <w:tblInd w:w="340" w:type="dxa"/>
        <w:tblCellMar>
          <w:top w:w="0" w:type="dxa"/>
          <w:left w:w="0" w:type="dxa"/>
          <w:bottom w:w="0" w:type="dxa"/>
          <w:right w:w="0" w:type="dxa"/>
        </w:tblCellMar>
      </w:tblPr>
      <w:tr>
        <w:trPr>
          <w:trHeight w:val="203"/>
        </w:trPr>
        <w:tc>
          <w:tcPr>
            <w:tcW w:w="232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4260" w:type="dxa"/>
            <w:vAlign w:val="bottom"/>
            <w:tcBorders>
              <w:bottom w:val="single" w:sz="8" w:color="auto"/>
            </w:tcBorders>
            <w:gridSpan w:val="11"/>
          </w:tcPr>
          <w:p>
            <w:pPr>
              <w:ind w:left="620"/>
              <w:spacing w:after="0"/>
              <w:rPr>
                <w:sz w:val="20"/>
                <w:szCs w:val="20"/>
                <w:color w:val="auto"/>
              </w:rPr>
            </w:pPr>
            <w:r>
              <w:rPr>
                <w:rFonts w:ascii="Arial" w:cs="Arial" w:eastAsia="Arial" w:hAnsi="Arial"/>
                <w:sz w:val="14"/>
                <w:szCs w:val="14"/>
                <w:b w:val="1"/>
                <w:bCs w:val="1"/>
                <w:color w:val="auto"/>
              </w:rPr>
              <w:t>Nine Months Ended September 30, 2016</w:t>
            </w:r>
          </w:p>
        </w:tc>
        <w:tc>
          <w:tcPr>
            <w:tcW w:w="12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64"/>
        </w:trPr>
        <w:tc>
          <w:tcPr>
            <w:tcW w:w="232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spacing w:after="0"/>
              <w:rPr>
                <w:sz w:val="22"/>
                <w:szCs w:val="22"/>
                <w:color w:val="auto"/>
              </w:rPr>
            </w:pPr>
          </w:p>
        </w:tc>
        <w:tc>
          <w:tcPr>
            <w:tcW w:w="1360" w:type="dxa"/>
            <w:vAlign w:val="bottom"/>
            <w:tcBorders>
              <w:bottom w:val="single" w:sz="8" w:color="auto"/>
            </w:tcBorders>
            <w:gridSpan w:val="6"/>
          </w:tcPr>
          <w:p>
            <w:pPr>
              <w:jc w:val="center"/>
              <w:spacing w:after="0"/>
              <w:rPr>
                <w:sz w:val="20"/>
                <w:szCs w:val="20"/>
                <w:color w:val="auto"/>
              </w:rPr>
            </w:pPr>
            <w:r>
              <w:rPr>
                <w:rFonts w:ascii="Arial" w:cs="Arial" w:eastAsia="Arial" w:hAnsi="Arial"/>
                <w:sz w:val="14"/>
                <w:szCs w:val="14"/>
                <w:b w:val="1"/>
                <w:bCs w:val="1"/>
                <w:color w:val="auto"/>
              </w:rPr>
              <w:t>Equipment Leasing</w:t>
            </w:r>
          </w:p>
        </w:tc>
        <w:tc>
          <w:tcPr>
            <w:tcW w:w="10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gridSpan w:val="3"/>
          </w:tcPr>
          <w:p>
            <w:pPr>
              <w:ind w:left="40"/>
              <w:spacing w:after="0"/>
              <w:rPr>
                <w:sz w:val="20"/>
                <w:szCs w:val="20"/>
                <w:color w:val="auto"/>
              </w:rPr>
            </w:pPr>
            <w:r>
              <w:rPr>
                <w:rFonts w:ascii="Arial" w:cs="Arial" w:eastAsia="Arial" w:hAnsi="Arial"/>
                <w:sz w:val="14"/>
                <w:szCs w:val="14"/>
                <w:b w:val="1"/>
                <w:bCs w:val="1"/>
                <w:color w:val="auto"/>
              </w:rPr>
              <w:t>Infrastructure</w:t>
            </w:r>
          </w:p>
        </w:tc>
        <w:tc>
          <w:tcPr>
            <w:tcW w:w="14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68"/>
        </w:trPr>
        <w:tc>
          <w:tcPr>
            <w:tcW w:w="23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ind w:left="60"/>
              <w:spacing w:after="0"/>
              <w:rPr>
                <w:sz w:val="20"/>
                <w:szCs w:val="20"/>
                <w:color w:val="auto"/>
              </w:rPr>
            </w:pPr>
            <w:r>
              <w:rPr>
                <w:rFonts w:ascii="Arial" w:cs="Arial" w:eastAsia="Arial" w:hAnsi="Arial"/>
                <w:sz w:val="14"/>
                <w:szCs w:val="14"/>
                <w:b w:val="1"/>
                <w:bCs w:val="1"/>
                <w:color w:val="auto"/>
              </w:rPr>
              <w:t>Aviation</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0" w:type="dxa"/>
            <w:vAlign w:val="bottom"/>
            <w:gridSpan w:val="3"/>
          </w:tcPr>
          <w:p>
            <w:pPr>
              <w:jc w:val="center"/>
              <w:ind w:right="320"/>
              <w:spacing w:after="0"/>
              <w:rPr>
                <w:sz w:val="20"/>
                <w:szCs w:val="20"/>
                <w:color w:val="auto"/>
              </w:rPr>
            </w:pPr>
            <w:r>
              <w:rPr>
                <w:rFonts w:ascii="Arial" w:cs="Arial" w:eastAsia="Arial" w:hAnsi="Arial"/>
                <w:sz w:val="14"/>
                <w:szCs w:val="14"/>
                <w:b w:val="1"/>
                <w:bCs w:val="1"/>
                <w:color w:val="auto"/>
              </w:rPr>
              <w:t>Offshore</w:t>
            </w:r>
          </w:p>
        </w:tc>
        <w:tc>
          <w:tcPr>
            <w:tcW w:w="100" w:type="dxa"/>
            <w:vAlign w:val="bottom"/>
          </w:tcPr>
          <w:p>
            <w:pPr>
              <w:spacing w:after="0"/>
              <w:rPr>
                <w:sz w:val="14"/>
                <w:szCs w:val="14"/>
                <w:color w:val="auto"/>
              </w:rPr>
            </w:pPr>
          </w:p>
        </w:tc>
        <w:tc>
          <w:tcPr>
            <w:tcW w:w="9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Shipping</w:t>
            </w:r>
          </w:p>
        </w:tc>
        <w:tc>
          <w:tcPr>
            <w:tcW w:w="140" w:type="dxa"/>
            <w:vAlign w:val="bottom"/>
          </w:tcPr>
          <w:p>
            <w:pPr>
              <w:spacing w:after="0"/>
              <w:rPr>
                <w:sz w:val="14"/>
                <w:szCs w:val="14"/>
                <w:color w:val="auto"/>
              </w:rPr>
            </w:pPr>
          </w:p>
        </w:tc>
        <w:tc>
          <w:tcPr>
            <w:tcW w:w="9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Jefferson</w:t>
            </w:r>
          </w:p>
        </w:tc>
        <w:tc>
          <w:tcPr>
            <w:tcW w:w="1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gridSpan w:val="2"/>
          </w:tcPr>
          <w:p>
            <w:pPr>
              <w:ind w:left="20"/>
              <w:spacing w:after="0"/>
              <w:rPr>
                <w:sz w:val="20"/>
                <w:szCs w:val="20"/>
                <w:color w:val="auto"/>
              </w:rPr>
            </w:pPr>
            <w:r>
              <w:rPr>
                <w:rFonts w:ascii="Arial" w:cs="Arial" w:eastAsia="Arial" w:hAnsi="Arial"/>
                <w:sz w:val="14"/>
                <w:szCs w:val="14"/>
                <w:b w:val="1"/>
                <w:bCs w:val="1"/>
                <w:color w:val="auto"/>
              </w:rPr>
              <w:t>Ports and</w:t>
            </w:r>
          </w:p>
        </w:tc>
        <w:tc>
          <w:tcPr>
            <w:tcW w:w="1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232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ind w:left="60"/>
              <w:spacing w:after="0"/>
              <w:rPr>
                <w:sz w:val="20"/>
                <w:szCs w:val="20"/>
                <w:color w:val="auto"/>
              </w:rPr>
            </w:pPr>
            <w:r>
              <w:rPr>
                <w:rFonts w:ascii="Arial" w:cs="Arial" w:eastAsia="Arial" w:hAnsi="Arial"/>
                <w:sz w:val="14"/>
                <w:szCs w:val="14"/>
                <w:b w:val="1"/>
                <w:bCs w:val="1"/>
                <w:color w:val="auto"/>
              </w:rPr>
              <w:t>Leasing</w:t>
            </w:r>
          </w:p>
        </w:tc>
        <w:tc>
          <w:tcPr>
            <w:tcW w:w="80" w:type="dxa"/>
            <w:vAlign w:val="bottom"/>
            <w:tcBorders>
              <w:bottom w:val="single" w:sz="8" w:color="auto"/>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center"/>
              <w:ind w:right="88"/>
              <w:spacing w:after="0"/>
              <w:rPr>
                <w:sz w:val="20"/>
                <w:szCs w:val="20"/>
                <w:color w:val="auto"/>
              </w:rPr>
            </w:pPr>
            <w:r>
              <w:rPr>
                <w:rFonts w:ascii="Arial" w:cs="Arial" w:eastAsia="Arial" w:hAnsi="Arial"/>
                <w:sz w:val="14"/>
                <w:szCs w:val="14"/>
                <w:b w:val="1"/>
                <w:bCs w:val="1"/>
                <w:color w:val="auto"/>
              </w:rPr>
              <w:t>Energy</w:t>
            </w:r>
          </w:p>
        </w:tc>
        <w:tc>
          <w:tcPr>
            <w:tcW w:w="120" w:type="dxa"/>
            <w:vAlign w:val="bottom"/>
            <w:tcBorders>
              <w:bottom w:val="single" w:sz="8" w:color="CCEEFF"/>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center"/>
              <w:ind w:right="48"/>
              <w:spacing w:after="0"/>
              <w:rPr>
                <w:sz w:val="20"/>
                <w:szCs w:val="20"/>
                <w:color w:val="auto"/>
              </w:rPr>
            </w:pPr>
            <w:r>
              <w:rPr>
                <w:rFonts w:ascii="Arial" w:cs="Arial" w:eastAsia="Arial" w:hAnsi="Arial"/>
                <w:sz w:val="14"/>
                <w:szCs w:val="14"/>
                <w:b w:val="1"/>
                <w:bCs w:val="1"/>
                <w:color w:val="auto"/>
              </w:rPr>
              <w:t>Containers</w:t>
            </w:r>
          </w:p>
        </w:tc>
        <w:tc>
          <w:tcPr>
            <w:tcW w:w="1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center"/>
              <w:ind w:right="68"/>
              <w:spacing w:after="0"/>
              <w:rPr>
                <w:sz w:val="20"/>
                <w:szCs w:val="20"/>
                <w:color w:val="auto"/>
              </w:rPr>
            </w:pPr>
            <w:r>
              <w:rPr>
                <w:rFonts w:ascii="Arial" w:cs="Arial" w:eastAsia="Arial" w:hAnsi="Arial"/>
                <w:sz w:val="14"/>
                <w:szCs w:val="14"/>
                <w:b w:val="1"/>
                <w:bCs w:val="1"/>
                <w:color w:val="auto"/>
                <w:w w:val="99"/>
              </w:rPr>
              <w:t>Terminal</w:t>
            </w:r>
          </w:p>
        </w:tc>
        <w:tc>
          <w:tcPr>
            <w:tcW w:w="12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b w:val="1"/>
                <w:bCs w:val="1"/>
                <w:color w:val="auto"/>
              </w:rPr>
              <w:t>Railroad</w:t>
            </w:r>
          </w:p>
        </w:tc>
        <w:tc>
          <w:tcPr>
            <w:tcW w:w="1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Terminals</w:t>
            </w:r>
          </w:p>
        </w:tc>
        <w:tc>
          <w:tcPr>
            <w:tcW w:w="10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b w:val="1"/>
                <w:bCs w:val="1"/>
                <w:color w:val="auto"/>
              </w:rPr>
              <w:t>Corporate</w:t>
            </w:r>
          </w:p>
        </w:tc>
        <w:tc>
          <w:tcPr>
            <w:tcW w:w="12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51"/>
        </w:trPr>
        <w:tc>
          <w:tcPr>
            <w:tcW w:w="2320" w:type="dxa"/>
            <w:vAlign w:val="bottom"/>
            <w:shd w:val="clear" w:color="auto" w:fill="CCEEFF"/>
          </w:tcPr>
          <w:p>
            <w:pPr>
              <w:ind w:left="20"/>
              <w:spacing w:after="0"/>
              <w:rPr>
                <w:sz w:val="20"/>
                <w:szCs w:val="20"/>
                <w:color w:val="auto"/>
              </w:rPr>
            </w:pPr>
            <w:r>
              <w:rPr>
                <w:rFonts w:ascii="Arial" w:cs="Arial" w:eastAsia="Arial" w:hAnsi="Arial"/>
                <w:sz w:val="14"/>
                <w:szCs w:val="14"/>
                <w:color w:val="auto"/>
              </w:rPr>
              <w:t>Adjusted Net Income (Loss)</w:t>
            </w:r>
          </w:p>
        </w:tc>
        <w:tc>
          <w:tcPr>
            <w:tcW w:w="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40,016</w:t>
            </w:r>
          </w:p>
        </w:tc>
        <w:tc>
          <w:tcPr>
            <w:tcW w:w="360" w:type="dxa"/>
            <w:vAlign w:val="bottom"/>
            <w:gridSpan w:val="3"/>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(11,136)</w:t>
            </w:r>
          </w:p>
        </w:tc>
        <w:tc>
          <w:tcPr>
            <w:tcW w:w="12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(405)</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(18,495)</w:t>
            </w: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ind w:left="20"/>
              <w:spacing w:after="0"/>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702</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(621)</w:t>
            </w: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(21,875)</w:t>
            </w:r>
          </w:p>
        </w:tc>
        <w:tc>
          <w:tcPr>
            <w:tcW w:w="120" w:type="dxa"/>
            <w:vAlign w:val="bottom"/>
            <w:shd w:val="clear" w:color="auto" w:fill="CCEEFF"/>
          </w:tcPr>
          <w:p>
            <w:pPr>
              <w:spacing w:after="0"/>
              <w:rPr>
                <w:sz w:val="21"/>
                <w:szCs w:val="21"/>
                <w:color w:val="auto"/>
              </w:rPr>
            </w:pPr>
          </w:p>
        </w:tc>
        <w:tc>
          <w:tcPr>
            <w:tcW w:w="2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(11,814)</w:t>
            </w:r>
          </w:p>
        </w:tc>
        <w:tc>
          <w:tcPr>
            <w:tcW w:w="0" w:type="dxa"/>
            <w:vAlign w:val="bottom"/>
          </w:tcPr>
          <w:p>
            <w:pPr>
              <w:spacing w:after="0"/>
              <w:rPr>
                <w:sz w:val="1"/>
                <w:szCs w:val="1"/>
                <w:color w:val="auto"/>
              </w:rPr>
            </w:pPr>
          </w:p>
        </w:tc>
      </w:tr>
      <w:tr>
        <w:trPr>
          <w:trHeight w:val="156"/>
        </w:trPr>
        <w:tc>
          <w:tcPr>
            <w:tcW w:w="2320" w:type="dxa"/>
            <w:vAlign w:val="bottom"/>
          </w:tcPr>
          <w:p>
            <w:pPr>
              <w:ind w:left="20"/>
              <w:spacing w:after="0" w:line="156" w:lineRule="exact"/>
              <w:rPr>
                <w:sz w:val="20"/>
                <w:szCs w:val="20"/>
                <w:color w:val="auto"/>
              </w:rPr>
            </w:pPr>
            <w:r>
              <w:rPr>
                <w:rFonts w:ascii="Arial" w:cs="Arial" w:eastAsia="Arial" w:hAnsi="Arial"/>
                <w:sz w:val="14"/>
                <w:szCs w:val="14"/>
                <w:color w:val="auto"/>
              </w:rPr>
              <w:t>Add: Non-controlling share of</w:t>
            </w:r>
          </w:p>
        </w:tc>
        <w:tc>
          <w:tcPr>
            <w:tcW w:w="180" w:type="dxa"/>
            <w:vAlign w:val="bottom"/>
            <w:tcBorders>
              <w:top w:val="single" w:sz="8" w:color="auto"/>
            </w:tcBorders>
          </w:tcPr>
          <w:p>
            <w:pPr>
              <w:spacing w:after="0"/>
              <w:rPr>
                <w:sz w:val="13"/>
                <w:szCs w:val="13"/>
                <w:color w:val="auto"/>
              </w:rPr>
            </w:pPr>
          </w:p>
        </w:tc>
        <w:tc>
          <w:tcPr>
            <w:tcW w:w="780" w:type="dxa"/>
            <w:vAlign w:val="bottom"/>
            <w:tcBorders>
              <w:top w:val="single" w:sz="8" w:color="auto"/>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86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88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84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84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86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86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760" w:type="dxa"/>
            <w:vAlign w:val="bottom"/>
            <w:tcBorders>
              <w:top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320" w:type="dxa"/>
            <w:vAlign w:val="bottom"/>
          </w:tcPr>
          <w:p>
            <w:pPr>
              <w:ind w:left="20"/>
              <w:spacing w:after="0"/>
              <w:rPr>
                <w:sz w:val="20"/>
                <w:szCs w:val="20"/>
                <w:color w:val="auto"/>
              </w:rPr>
            </w:pPr>
            <w:r>
              <w:rPr>
                <w:rFonts w:ascii="Arial" w:cs="Arial" w:eastAsia="Arial" w:hAnsi="Arial"/>
                <w:sz w:val="14"/>
                <w:szCs w:val="14"/>
                <w:color w:val="auto"/>
              </w:rPr>
              <w:t>adjustments to Adjusted Net</w:t>
            </w: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8"/>
        </w:trPr>
        <w:tc>
          <w:tcPr>
            <w:tcW w:w="2320" w:type="dxa"/>
            <w:vAlign w:val="bottom"/>
          </w:tcPr>
          <w:p>
            <w:pPr>
              <w:ind w:left="20"/>
              <w:spacing w:after="0"/>
              <w:rPr>
                <w:sz w:val="20"/>
                <w:szCs w:val="20"/>
                <w:color w:val="auto"/>
              </w:rPr>
            </w:pPr>
            <w:r>
              <w:rPr>
                <w:rFonts w:ascii="Arial" w:cs="Arial" w:eastAsia="Arial" w:hAnsi="Arial"/>
                <w:sz w:val="14"/>
                <w:szCs w:val="14"/>
                <w:color w:val="auto"/>
              </w:rPr>
              <w:t>Income</w:t>
            </w:r>
          </w:p>
        </w:tc>
        <w:tc>
          <w:tcPr>
            <w:tcW w:w="1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tcPr>
          <w:p>
            <w:pPr>
              <w:jc w:val="right"/>
              <w:ind w:right="28"/>
              <w:spacing w:after="0"/>
              <w:rPr>
                <w:sz w:val="20"/>
                <w:szCs w:val="20"/>
                <w:color w:val="auto"/>
              </w:rPr>
            </w:pPr>
            <w:r>
              <w:rPr>
                <w:rFonts w:ascii="Arial" w:cs="Arial" w:eastAsia="Arial" w:hAnsi="Arial"/>
                <w:sz w:val="14"/>
                <w:szCs w:val="14"/>
                <w:color w:val="auto"/>
              </w:rPr>
              <w:t>2,891</w:t>
            </w:r>
          </w:p>
        </w:tc>
        <w:tc>
          <w:tcPr>
            <w:tcW w:w="0" w:type="dxa"/>
            <w:vAlign w:val="bottom"/>
          </w:tcPr>
          <w:p>
            <w:pPr>
              <w:spacing w:after="0"/>
              <w:rPr>
                <w:sz w:val="1"/>
                <w:szCs w:val="1"/>
                <w:color w:val="auto"/>
              </w:rPr>
            </w:pPr>
          </w:p>
        </w:tc>
      </w:tr>
      <w:tr>
        <w:trPr>
          <w:trHeight w:val="180"/>
        </w:trPr>
        <w:tc>
          <w:tcPr>
            <w:tcW w:w="2320" w:type="dxa"/>
            <w:vAlign w:val="bottom"/>
            <w:shd w:val="clear" w:color="auto" w:fill="CCEEFF"/>
          </w:tcPr>
          <w:p>
            <w:pPr>
              <w:ind w:left="20"/>
              <w:spacing w:after="0"/>
              <w:rPr>
                <w:sz w:val="20"/>
                <w:szCs w:val="20"/>
                <w:color w:val="auto"/>
              </w:rPr>
            </w:pPr>
            <w:r>
              <w:rPr>
                <w:rFonts w:ascii="Arial" w:cs="Arial" w:eastAsia="Arial" w:hAnsi="Arial"/>
                <w:sz w:val="14"/>
                <w:szCs w:val="14"/>
                <w:color w:val="auto"/>
              </w:rPr>
              <w:t>Add: Equity in losses of</w:t>
            </w:r>
          </w:p>
        </w:tc>
        <w:tc>
          <w:tcPr>
            <w:tcW w:w="18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2"/>
        </w:trPr>
        <w:tc>
          <w:tcPr>
            <w:tcW w:w="2320" w:type="dxa"/>
            <w:vAlign w:val="bottom"/>
            <w:shd w:val="clear" w:color="auto" w:fill="CCEEFF"/>
          </w:tcPr>
          <w:p>
            <w:pPr>
              <w:ind w:left="20"/>
              <w:spacing w:after="0"/>
              <w:rPr>
                <w:sz w:val="20"/>
                <w:szCs w:val="20"/>
                <w:color w:val="auto"/>
              </w:rPr>
            </w:pPr>
            <w:r>
              <w:rPr>
                <w:rFonts w:ascii="Arial" w:cs="Arial" w:eastAsia="Arial" w:hAnsi="Arial"/>
                <w:sz w:val="14"/>
                <w:szCs w:val="14"/>
                <w:color w:val="auto"/>
              </w:rPr>
              <w:t>unconsolidated entities</w:t>
            </w:r>
          </w:p>
        </w:tc>
        <w:tc>
          <w:tcPr>
            <w:tcW w:w="1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(1,335)</w:t>
            </w:r>
          </w:p>
        </w:tc>
        <w:tc>
          <w:tcPr>
            <w:tcW w:w="0" w:type="dxa"/>
            <w:vAlign w:val="bottom"/>
          </w:tcPr>
          <w:p>
            <w:pPr>
              <w:spacing w:after="0"/>
              <w:rPr>
                <w:sz w:val="1"/>
                <w:szCs w:val="1"/>
                <w:color w:val="auto"/>
              </w:rPr>
            </w:pPr>
          </w:p>
        </w:tc>
      </w:tr>
      <w:tr>
        <w:trPr>
          <w:trHeight w:val="176"/>
        </w:trPr>
        <w:tc>
          <w:tcPr>
            <w:tcW w:w="2320" w:type="dxa"/>
            <w:vAlign w:val="bottom"/>
          </w:tcPr>
          <w:p>
            <w:pPr>
              <w:ind w:left="20"/>
              <w:spacing w:after="0"/>
              <w:rPr>
                <w:sz w:val="20"/>
                <w:szCs w:val="20"/>
                <w:color w:val="auto"/>
              </w:rPr>
            </w:pPr>
            <w:r>
              <w:rPr>
                <w:rFonts w:ascii="Arial" w:cs="Arial" w:eastAsia="Arial" w:hAnsi="Arial"/>
                <w:sz w:val="14"/>
                <w:szCs w:val="14"/>
                <w:color w:val="auto"/>
              </w:rPr>
              <w:t>Add: Cash payments for income</w:t>
            </w:r>
          </w:p>
        </w:tc>
        <w:tc>
          <w:tcPr>
            <w:tcW w:w="1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8"/>
        </w:trPr>
        <w:tc>
          <w:tcPr>
            <w:tcW w:w="2320" w:type="dxa"/>
            <w:vAlign w:val="bottom"/>
          </w:tcPr>
          <w:p>
            <w:pPr>
              <w:ind w:left="20"/>
              <w:spacing w:after="0"/>
              <w:rPr>
                <w:sz w:val="20"/>
                <w:szCs w:val="20"/>
                <w:color w:val="auto"/>
              </w:rPr>
            </w:pPr>
            <w:r>
              <w:rPr>
                <w:rFonts w:ascii="Arial" w:cs="Arial" w:eastAsia="Arial" w:hAnsi="Arial"/>
                <w:sz w:val="14"/>
                <w:szCs w:val="14"/>
                <w:color w:val="auto"/>
              </w:rPr>
              <w:t>taxes</w:t>
            </w:r>
          </w:p>
        </w:tc>
        <w:tc>
          <w:tcPr>
            <w:tcW w:w="1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tcPr>
          <w:p>
            <w:pPr>
              <w:jc w:val="right"/>
              <w:ind w:right="28"/>
              <w:spacing w:after="0"/>
              <w:rPr>
                <w:sz w:val="20"/>
                <w:szCs w:val="20"/>
                <w:color w:val="auto"/>
              </w:rPr>
            </w:pPr>
            <w:r>
              <w:rPr>
                <w:rFonts w:ascii="Arial" w:cs="Arial" w:eastAsia="Arial" w:hAnsi="Arial"/>
                <w:sz w:val="14"/>
                <w:szCs w:val="14"/>
                <w:color w:val="auto"/>
              </w:rPr>
              <w:t>594</w:t>
            </w:r>
          </w:p>
        </w:tc>
        <w:tc>
          <w:tcPr>
            <w:tcW w:w="0" w:type="dxa"/>
            <w:vAlign w:val="bottom"/>
          </w:tcPr>
          <w:p>
            <w:pPr>
              <w:spacing w:after="0"/>
              <w:rPr>
                <w:sz w:val="1"/>
                <w:szCs w:val="1"/>
                <w:color w:val="auto"/>
              </w:rPr>
            </w:pPr>
          </w:p>
        </w:tc>
      </w:tr>
      <w:tr>
        <w:trPr>
          <w:trHeight w:val="274"/>
        </w:trPr>
        <w:tc>
          <w:tcPr>
            <w:tcW w:w="2320" w:type="dxa"/>
            <w:vAlign w:val="bottom"/>
            <w:shd w:val="clear" w:color="auto" w:fill="CCEEFF"/>
          </w:tcPr>
          <w:p>
            <w:pPr>
              <w:ind w:left="20"/>
              <w:spacing w:after="0"/>
              <w:rPr>
                <w:sz w:val="20"/>
                <w:szCs w:val="20"/>
                <w:color w:val="auto"/>
              </w:rPr>
            </w:pPr>
            <w:r>
              <w:rPr>
                <w:rFonts w:ascii="Arial" w:cs="Arial" w:eastAsia="Arial" w:hAnsi="Arial"/>
                <w:sz w:val="14"/>
                <w:szCs w:val="14"/>
                <w:color w:val="auto"/>
              </w:rPr>
              <w:t>Less: Incentive allocations</w:t>
            </w:r>
          </w:p>
        </w:tc>
        <w:tc>
          <w:tcPr>
            <w:tcW w:w="180" w:type="dxa"/>
            <w:vAlign w:val="bottom"/>
            <w:shd w:val="clear" w:color="auto" w:fill="CCEEFF"/>
          </w:tcPr>
          <w:p>
            <w:pPr>
              <w:spacing w:after="0"/>
              <w:rPr>
                <w:sz w:val="23"/>
                <w:szCs w:val="23"/>
                <w:color w:val="auto"/>
              </w:rPr>
            </w:pPr>
          </w:p>
        </w:tc>
        <w:tc>
          <w:tcPr>
            <w:tcW w:w="78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8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8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8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8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8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8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7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6"/>
        </w:trPr>
        <w:tc>
          <w:tcPr>
            <w:tcW w:w="2320" w:type="dxa"/>
            <w:vAlign w:val="bottom"/>
          </w:tcPr>
          <w:p>
            <w:pPr>
              <w:ind w:left="20"/>
              <w:spacing w:after="0"/>
              <w:rPr>
                <w:sz w:val="20"/>
                <w:szCs w:val="20"/>
                <w:color w:val="auto"/>
              </w:rPr>
            </w:pPr>
            <w:r>
              <w:rPr>
                <w:rFonts w:ascii="Arial" w:cs="Arial" w:eastAsia="Arial" w:hAnsi="Arial"/>
                <w:sz w:val="14"/>
                <w:szCs w:val="14"/>
                <w:color w:val="auto"/>
              </w:rPr>
              <w:t>Less: Pro-rata share of Adjusted</w:t>
            </w:r>
          </w:p>
        </w:tc>
        <w:tc>
          <w:tcPr>
            <w:tcW w:w="1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2320" w:type="dxa"/>
            <w:vAlign w:val="bottom"/>
          </w:tcPr>
          <w:p>
            <w:pPr>
              <w:ind w:left="20"/>
              <w:spacing w:after="0"/>
              <w:rPr>
                <w:sz w:val="20"/>
                <w:szCs w:val="20"/>
                <w:color w:val="auto"/>
              </w:rPr>
            </w:pPr>
            <w:r>
              <w:rPr>
                <w:rFonts w:ascii="Arial" w:cs="Arial" w:eastAsia="Arial" w:hAnsi="Arial"/>
                <w:sz w:val="14"/>
                <w:szCs w:val="14"/>
                <w:color w:val="auto"/>
              </w:rPr>
              <w:t>Net Income from investments in</w:t>
            </w: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8"/>
        </w:trPr>
        <w:tc>
          <w:tcPr>
            <w:tcW w:w="2320" w:type="dxa"/>
            <w:vAlign w:val="bottom"/>
          </w:tcPr>
          <w:p>
            <w:pPr>
              <w:ind w:left="20"/>
              <w:spacing w:after="0"/>
              <w:rPr>
                <w:sz w:val="20"/>
                <w:szCs w:val="20"/>
                <w:color w:val="auto"/>
              </w:rPr>
            </w:pPr>
            <w:r>
              <w:rPr>
                <w:rFonts w:ascii="Arial" w:cs="Arial" w:eastAsia="Arial" w:hAnsi="Arial"/>
                <w:sz w:val="14"/>
                <w:szCs w:val="14"/>
                <w:color w:val="auto"/>
              </w:rPr>
              <w:t>unconsolidated entities</w:t>
            </w:r>
          </w:p>
        </w:tc>
        <w:tc>
          <w:tcPr>
            <w:tcW w:w="1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tcPr>
          <w:p>
            <w:pPr>
              <w:jc w:val="right"/>
              <w:ind w:right="28"/>
              <w:spacing w:after="0"/>
              <w:rPr>
                <w:sz w:val="20"/>
                <w:szCs w:val="20"/>
                <w:color w:val="auto"/>
              </w:rPr>
            </w:pPr>
            <w:r>
              <w:rPr>
                <w:rFonts w:ascii="Arial" w:cs="Arial" w:eastAsia="Arial" w:hAnsi="Arial"/>
                <w:sz w:val="14"/>
                <w:szCs w:val="14"/>
                <w:color w:val="auto"/>
              </w:rPr>
              <w:t>1,444</w:t>
            </w:r>
          </w:p>
        </w:tc>
        <w:tc>
          <w:tcPr>
            <w:tcW w:w="0" w:type="dxa"/>
            <w:vAlign w:val="bottom"/>
          </w:tcPr>
          <w:p>
            <w:pPr>
              <w:spacing w:after="0"/>
              <w:rPr>
                <w:sz w:val="1"/>
                <w:szCs w:val="1"/>
                <w:color w:val="auto"/>
              </w:rPr>
            </w:pPr>
          </w:p>
        </w:tc>
      </w:tr>
      <w:tr>
        <w:trPr>
          <w:trHeight w:val="274"/>
        </w:trPr>
        <w:tc>
          <w:tcPr>
            <w:tcW w:w="2320" w:type="dxa"/>
            <w:vAlign w:val="bottom"/>
            <w:shd w:val="clear" w:color="auto" w:fill="CCEEFF"/>
          </w:tcPr>
          <w:p>
            <w:pPr>
              <w:ind w:left="20"/>
              <w:spacing w:after="0"/>
              <w:rPr>
                <w:sz w:val="20"/>
                <w:szCs w:val="20"/>
                <w:color w:val="auto"/>
              </w:rPr>
            </w:pPr>
            <w:r>
              <w:rPr>
                <w:rFonts w:ascii="Arial" w:cs="Arial" w:eastAsia="Arial" w:hAnsi="Arial"/>
                <w:sz w:val="14"/>
                <w:szCs w:val="14"/>
                <w:color w:val="auto"/>
              </w:rPr>
              <w:t>Less: Asset impairment charges</w:t>
            </w:r>
          </w:p>
        </w:tc>
        <w:tc>
          <w:tcPr>
            <w:tcW w:w="180" w:type="dxa"/>
            <w:vAlign w:val="bottom"/>
            <w:shd w:val="clear" w:color="auto" w:fill="CCEEFF"/>
          </w:tcPr>
          <w:p>
            <w:pPr>
              <w:spacing w:after="0"/>
              <w:rPr>
                <w:sz w:val="23"/>
                <w:szCs w:val="23"/>
                <w:color w:val="auto"/>
              </w:rPr>
            </w:pPr>
          </w:p>
        </w:tc>
        <w:tc>
          <w:tcPr>
            <w:tcW w:w="78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8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8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8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8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8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8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(7,450)</w:t>
            </w:r>
          </w:p>
        </w:tc>
        <w:tc>
          <w:tcPr>
            <w:tcW w:w="0" w:type="dxa"/>
            <w:vAlign w:val="bottom"/>
          </w:tcPr>
          <w:p>
            <w:pPr>
              <w:spacing w:after="0"/>
              <w:rPr>
                <w:sz w:val="1"/>
                <w:szCs w:val="1"/>
                <w:color w:val="auto"/>
              </w:rPr>
            </w:pPr>
          </w:p>
        </w:tc>
      </w:tr>
      <w:tr>
        <w:trPr>
          <w:trHeight w:val="176"/>
        </w:trPr>
        <w:tc>
          <w:tcPr>
            <w:tcW w:w="2320" w:type="dxa"/>
            <w:vAlign w:val="bottom"/>
          </w:tcPr>
          <w:p>
            <w:pPr>
              <w:ind w:left="20"/>
              <w:spacing w:after="0"/>
              <w:rPr>
                <w:sz w:val="20"/>
                <w:szCs w:val="20"/>
                <w:color w:val="auto"/>
              </w:rPr>
            </w:pPr>
            <w:r>
              <w:rPr>
                <w:rFonts w:ascii="Arial" w:cs="Arial" w:eastAsia="Arial" w:hAnsi="Arial"/>
                <w:sz w:val="14"/>
                <w:szCs w:val="14"/>
                <w:color w:val="auto"/>
              </w:rPr>
              <w:t>Less: Changes in fair value of non-</w:t>
            </w:r>
          </w:p>
        </w:tc>
        <w:tc>
          <w:tcPr>
            <w:tcW w:w="1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8"/>
        </w:trPr>
        <w:tc>
          <w:tcPr>
            <w:tcW w:w="2320" w:type="dxa"/>
            <w:vAlign w:val="bottom"/>
          </w:tcPr>
          <w:p>
            <w:pPr>
              <w:ind w:left="20"/>
              <w:spacing w:after="0"/>
              <w:rPr>
                <w:sz w:val="20"/>
                <w:szCs w:val="20"/>
                <w:color w:val="auto"/>
              </w:rPr>
            </w:pPr>
            <w:r>
              <w:rPr>
                <w:rFonts w:ascii="Arial" w:cs="Arial" w:eastAsia="Arial" w:hAnsi="Arial"/>
                <w:sz w:val="14"/>
                <w:szCs w:val="14"/>
                <w:color w:val="auto"/>
              </w:rPr>
              <w:t>hedge derivative instruments</w:t>
            </w:r>
          </w:p>
        </w:tc>
        <w:tc>
          <w:tcPr>
            <w:tcW w:w="1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(3)</w:t>
            </w:r>
          </w:p>
        </w:tc>
        <w:tc>
          <w:tcPr>
            <w:tcW w:w="0" w:type="dxa"/>
            <w:vAlign w:val="bottom"/>
          </w:tcPr>
          <w:p>
            <w:pPr>
              <w:spacing w:after="0"/>
              <w:rPr>
                <w:sz w:val="1"/>
                <w:szCs w:val="1"/>
                <w:color w:val="auto"/>
              </w:rPr>
            </w:pPr>
          </w:p>
        </w:tc>
      </w:tr>
      <w:tr>
        <w:trPr>
          <w:trHeight w:val="180"/>
        </w:trPr>
        <w:tc>
          <w:tcPr>
            <w:tcW w:w="2320" w:type="dxa"/>
            <w:vAlign w:val="bottom"/>
            <w:shd w:val="clear" w:color="auto" w:fill="CCEEFF"/>
          </w:tcPr>
          <w:p>
            <w:pPr>
              <w:ind w:left="20"/>
              <w:spacing w:after="0"/>
              <w:rPr>
                <w:sz w:val="20"/>
                <w:szCs w:val="20"/>
                <w:color w:val="auto"/>
              </w:rPr>
            </w:pPr>
            <w:r>
              <w:rPr>
                <w:rFonts w:ascii="Arial" w:cs="Arial" w:eastAsia="Arial" w:hAnsi="Arial"/>
                <w:sz w:val="14"/>
                <w:szCs w:val="14"/>
                <w:color w:val="auto"/>
              </w:rPr>
              <w:t>Less: Losses on the modification or</w:t>
            </w:r>
          </w:p>
        </w:tc>
        <w:tc>
          <w:tcPr>
            <w:tcW w:w="18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2320" w:type="dxa"/>
            <w:vAlign w:val="bottom"/>
            <w:shd w:val="clear" w:color="auto" w:fill="CCEEFF"/>
          </w:tcPr>
          <w:p>
            <w:pPr>
              <w:ind w:left="20"/>
              <w:spacing w:after="0"/>
              <w:rPr>
                <w:sz w:val="20"/>
                <w:szCs w:val="20"/>
                <w:color w:val="auto"/>
              </w:rPr>
            </w:pPr>
            <w:r>
              <w:rPr>
                <w:rFonts w:ascii="Arial" w:cs="Arial" w:eastAsia="Arial" w:hAnsi="Arial"/>
                <w:sz w:val="14"/>
                <w:szCs w:val="14"/>
                <w:color w:val="auto"/>
              </w:rPr>
              <w:t>extinguishment of debt and capital</w:t>
            </w:r>
          </w:p>
        </w:tc>
        <w:tc>
          <w:tcPr>
            <w:tcW w:w="18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2"/>
        </w:trPr>
        <w:tc>
          <w:tcPr>
            <w:tcW w:w="2320" w:type="dxa"/>
            <w:vAlign w:val="bottom"/>
            <w:shd w:val="clear" w:color="auto" w:fill="CCEEFF"/>
          </w:tcPr>
          <w:p>
            <w:pPr>
              <w:ind w:left="20"/>
              <w:spacing w:after="0"/>
              <w:rPr>
                <w:sz w:val="20"/>
                <w:szCs w:val="20"/>
                <w:color w:val="auto"/>
              </w:rPr>
            </w:pPr>
            <w:r>
              <w:rPr>
                <w:rFonts w:ascii="Arial" w:cs="Arial" w:eastAsia="Arial" w:hAnsi="Arial"/>
                <w:sz w:val="14"/>
                <w:szCs w:val="14"/>
                <w:color w:val="auto"/>
              </w:rPr>
              <w:t>lease obligations</w:t>
            </w:r>
          </w:p>
        </w:tc>
        <w:tc>
          <w:tcPr>
            <w:tcW w:w="1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(1,579)</w:t>
            </w:r>
          </w:p>
        </w:tc>
        <w:tc>
          <w:tcPr>
            <w:tcW w:w="0" w:type="dxa"/>
            <w:vAlign w:val="bottom"/>
          </w:tcPr>
          <w:p>
            <w:pPr>
              <w:spacing w:after="0"/>
              <w:rPr>
                <w:sz w:val="1"/>
                <w:szCs w:val="1"/>
                <w:color w:val="auto"/>
              </w:rPr>
            </w:pPr>
          </w:p>
        </w:tc>
      </w:tr>
      <w:tr>
        <w:trPr>
          <w:trHeight w:val="176"/>
        </w:trPr>
        <w:tc>
          <w:tcPr>
            <w:tcW w:w="2320" w:type="dxa"/>
            <w:vAlign w:val="bottom"/>
          </w:tcPr>
          <w:p>
            <w:pPr>
              <w:ind w:left="20"/>
              <w:spacing w:after="0"/>
              <w:rPr>
                <w:sz w:val="20"/>
                <w:szCs w:val="20"/>
                <w:color w:val="auto"/>
              </w:rPr>
            </w:pPr>
            <w:r>
              <w:rPr>
                <w:rFonts w:ascii="Arial" w:cs="Arial" w:eastAsia="Arial" w:hAnsi="Arial"/>
                <w:sz w:val="14"/>
                <w:szCs w:val="14"/>
                <w:color w:val="auto"/>
              </w:rPr>
              <w:t>Less: Acquisition and transaction</w:t>
            </w:r>
          </w:p>
        </w:tc>
        <w:tc>
          <w:tcPr>
            <w:tcW w:w="1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8"/>
        </w:trPr>
        <w:tc>
          <w:tcPr>
            <w:tcW w:w="2320" w:type="dxa"/>
            <w:vAlign w:val="bottom"/>
          </w:tcPr>
          <w:p>
            <w:pPr>
              <w:ind w:left="20"/>
              <w:spacing w:after="0"/>
              <w:rPr>
                <w:sz w:val="20"/>
                <w:szCs w:val="20"/>
                <w:color w:val="auto"/>
              </w:rPr>
            </w:pPr>
            <w:r>
              <w:rPr>
                <w:rFonts w:ascii="Arial" w:cs="Arial" w:eastAsia="Arial" w:hAnsi="Arial"/>
                <w:sz w:val="14"/>
                <w:szCs w:val="14"/>
                <w:color w:val="auto"/>
              </w:rPr>
              <w:t>expenses</w:t>
            </w:r>
          </w:p>
        </w:tc>
        <w:tc>
          <w:tcPr>
            <w:tcW w:w="1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(4,622)</w:t>
            </w:r>
          </w:p>
        </w:tc>
        <w:tc>
          <w:tcPr>
            <w:tcW w:w="0" w:type="dxa"/>
            <w:vAlign w:val="bottom"/>
          </w:tcPr>
          <w:p>
            <w:pPr>
              <w:spacing w:after="0"/>
              <w:rPr>
                <w:sz w:val="1"/>
                <w:szCs w:val="1"/>
                <w:color w:val="auto"/>
              </w:rPr>
            </w:pPr>
          </w:p>
        </w:tc>
      </w:tr>
      <w:tr>
        <w:trPr>
          <w:trHeight w:val="180"/>
        </w:trPr>
        <w:tc>
          <w:tcPr>
            <w:tcW w:w="2320" w:type="dxa"/>
            <w:vAlign w:val="bottom"/>
            <w:shd w:val="clear" w:color="auto" w:fill="CCEEFF"/>
          </w:tcPr>
          <w:p>
            <w:pPr>
              <w:ind w:left="20"/>
              <w:spacing w:after="0"/>
              <w:rPr>
                <w:sz w:val="20"/>
                <w:szCs w:val="20"/>
                <w:color w:val="auto"/>
              </w:rPr>
            </w:pPr>
            <w:r>
              <w:rPr>
                <w:rFonts w:ascii="Arial" w:cs="Arial" w:eastAsia="Arial" w:hAnsi="Arial"/>
                <w:sz w:val="14"/>
                <w:szCs w:val="14"/>
                <w:color w:val="auto"/>
              </w:rPr>
              <w:t>Less: Equity-based compensation</w:t>
            </w:r>
          </w:p>
        </w:tc>
        <w:tc>
          <w:tcPr>
            <w:tcW w:w="18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2"/>
        </w:trPr>
        <w:tc>
          <w:tcPr>
            <w:tcW w:w="2320" w:type="dxa"/>
            <w:vAlign w:val="bottom"/>
            <w:shd w:val="clear" w:color="auto" w:fill="CCEEFF"/>
          </w:tcPr>
          <w:p>
            <w:pPr>
              <w:ind w:left="20"/>
              <w:spacing w:after="0"/>
              <w:rPr>
                <w:sz w:val="20"/>
                <w:szCs w:val="20"/>
                <w:color w:val="auto"/>
              </w:rPr>
            </w:pPr>
            <w:r>
              <w:rPr>
                <w:rFonts w:ascii="Arial" w:cs="Arial" w:eastAsia="Arial" w:hAnsi="Arial"/>
                <w:sz w:val="14"/>
                <w:szCs w:val="14"/>
                <w:color w:val="auto"/>
              </w:rPr>
              <w:t>income</w:t>
            </w:r>
          </w:p>
        </w:tc>
        <w:tc>
          <w:tcPr>
            <w:tcW w:w="1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3,818</w:t>
            </w:r>
          </w:p>
        </w:tc>
        <w:tc>
          <w:tcPr>
            <w:tcW w:w="0" w:type="dxa"/>
            <w:vAlign w:val="bottom"/>
          </w:tcPr>
          <w:p>
            <w:pPr>
              <w:spacing w:after="0"/>
              <w:rPr>
                <w:sz w:val="1"/>
                <w:szCs w:val="1"/>
                <w:color w:val="auto"/>
              </w:rPr>
            </w:pPr>
          </w:p>
        </w:tc>
      </w:tr>
      <w:tr>
        <w:trPr>
          <w:trHeight w:val="266"/>
        </w:trPr>
        <w:tc>
          <w:tcPr>
            <w:tcW w:w="232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Less: Provision for income taxes</w:t>
            </w:r>
          </w:p>
        </w:tc>
        <w:tc>
          <w:tcPr>
            <w:tcW w:w="180" w:type="dxa"/>
            <w:vAlign w:val="bottom"/>
            <w:tcBorders>
              <w:bottom w:val="single" w:sz="8" w:color="CCEEFF"/>
            </w:tcBorders>
          </w:tcPr>
          <w:p>
            <w:pPr>
              <w:spacing w:after="0"/>
              <w:rPr>
                <w:sz w:val="23"/>
                <w:szCs w:val="23"/>
                <w:color w:val="auto"/>
              </w:rPr>
            </w:pPr>
          </w:p>
        </w:tc>
        <w:tc>
          <w:tcPr>
            <w:tcW w:w="780" w:type="dxa"/>
            <w:vAlign w:val="bottom"/>
            <w:tcBorders>
              <w:bottom w:val="single" w:sz="8" w:color="CCEEFF"/>
            </w:tcBorders>
          </w:tcPr>
          <w:p>
            <w:pPr>
              <w:spacing w:after="0"/>
              <w:rPr>
                <w:sz w:val="23"/>
                <w:szCs w:val="23"/>
                <w:color w:val="auto"/>
              </w:rPr>
            </w:pPr>
          </w:p>
        </w:tc>
        <w:tc>
          <w:tcPr>
            <w:tcW w:w="80" w:type="dxa"/>
            <w:vAlign w:val="bottom"/>
            <w:tcBorders>
              <w:bottom w:val="single" w:sz="8" w:color="CCEEFF"/>
            </w:tcBorders>
          </w:tcPr>
          <w:p>
            <w:pPr>
              <w:spacing w:after="0"/>
              <w:rPr>
                <w:sz w:val="23"/>
                <w:szCs w:val="23"/>
                <w:color w:val="auto"/>
              </w:rPr>
            </w:pPr>
          </w:p>
        </w:tc>
        <w:tc>
          <w:tcPr>
            <w:tcW w:w="120" w:type="dxa"/>
            <w:vAlign w:val="bottom"/>
            <w:tcBorders>
              <w:bottom w:val="single" w:sz="8" w:color="CCEEFF"/>
            </w:tcBorders>
          </w:tcPr>
          <w:p>
            <w:pPr>
              <w:spacing w:after="0"/>
              <w:rPr>
                <w:sz w:val="23"/>
                <w:szCs w:val="23"/>
                <w:color w:val="auto"/>
              </w:rPr>
            </w:pPr>
          </w:p>
        </w:tc>
        <w:tc>
          <w:tcPr>
            <w:tcW w:w="160" w:type="dxa"/>
            <w:vAlign w:val="bottom"/>
            <w:tcBorders>
              <w:bottom w:val="single" w:sz="8" w:color="CCEEFF"/>
            </w:tcBorders>
          </w:tcPr>
          <w:p>
            <w:pPr>
              <w:spacing w:after="0"/>
              <w:rPr>
                <w:sz w:val="23"/>
                <w:szCs w:val="23"/>
                <w:color w:val="auto"/>
              </w:rPr>
            </w:pPr>
          </w:p>
        </w:tc>
        <w:tc>
          <w:tcPr>
            <w:tcW w:w="860" w:type="dxa"/>
            <w:vAlign w:val="bottom"/>
            <w:tcBorders>
              <w:bottom w:val="single" w:sz="8" w:color="CCEEFF"/>
            </w:tcBorders>
          </w:tcPr>
          <w:p>
            <w:pPr>
              <w:spacing w:after="0"/>
              <w:rPr>
                <w:sz w:val="23"/>
                <w:szCs w:val="23"/>
                <w:color w:val="auto"/>
              </w:rPr>
            </w:pPr>
          </w:p>
        </w:tc>
        <w:tc>
          <w:tcPr>
            <w:tcW w:w="120" w:type="dxa"/>
            <w:vAlign w:val="bottom"/>
            <w:tcBorders>
              <w:bottom w:val="single" w:sz="8" w:color="CCEEFF"/>
            </w:tcBorders>
          </w:tcPr>
          <w:p>
            <w:pPr>
              <w:spacing w:after="0"/>
              <w:rPr>
                <w:sz w:val="23"/>
                <w:szCs w:val="23"/>
                <w:color w:val="auto"/>
              </w:rPr>
            </w:pPr>
          </w:p>
        </w:tc>
        <w:tc>
          <w:tcPr>
            <w:tcW w:w="20" w:type="dxa"/>
            <w:vAlign w:val="bottom"/>
            <w:tcBorders>
              <w:bottom w:val="single" w:sz="8" w:color="CCEEFF"/>
            </w:tcBorders>
          </w:tcPr>
          <w:p>
            <w:pPr>
              <w:spacing w:after="0"/>
              <w:rPr>
                <w:sz w:val="23"/>
                <w:szCs w:val="23"/>
                <w:color w:val="auto"/>
              </w:rPr>
            </w:pPr>
          </w:p>
        </w:tc>
        <w:tc>
          <w:tcPr>
            <w:tcW w:w="100" w:type="dxa"/>
            <w:vAlign w:val="bottom"/>
            <w:tcBorders>
              <w:bottom w:val="single" w:sz="8" w:color="CCEEFF"/>
            </w:tcBorders>
          </w:tcPr>
          <w:p>
            <w:pPr>
              <w:spacing w:after="0"/>
              <w:rPr>
                <w:sz w:val="23"/>
                <w:szCs w:val="23"/>
                <w:color w:val="auto"/>
              </w:rPr>
            </w:pPr>
          </w:p>
        </w:tc>
        <w:tc>
          <w:tcPr>
            <w:tcW w:w="880" w:type="dxa"/>
            <w:vAlign w:val="bottom"/>
            <w:tcBorders>
              <w:bottom w:val="single" w:sz="8" w:color="CCEEFF"/>
            </w:tcBorders>
          </w:tcPr>
          <w:p>
            <w:pPr>
              <w:spacing w:after="0"/>
              <w:rPr>
                <w:sz w:val="23"/>
                <w:szCs w:val="23"/>
                <w:color w:val="auto"/>
              </w:rPr>
            </w:pPr>
          </w:p>
        </w:tc>
        <w:tc>
          <w:tcPr>
            <w:tcW w:w="100" w:type="dxa"/>
            <w:vAlign w:val="bottom"/>
            <w:tcBorders>
              <w:bottom w:val="single" w:sz="8" w:color="CCEEFF"/>
            </w:tcBorders>
          </w:tcPr>
          <w:p>
            <w:pPr>
              <w:spacing w:after="0"/>
              <w:rPr>
                <w:sz w:val="23"/>
                <w:szCs w:val="23"/>
                <w:color w:val="auto"/>
              </w:rPr>
            </w:pPr>
          </w:p>
        </w:tc>
        <w:tc>
          <w:tcPr>
            <w:tcW w:w="140" w:type="dxa"/>
            <w:vAlign w:val="bottom"/>
            <w:tcBorders>
              <w:bottom w:val="single" w:sz="8" w:color="CCEEFF"/>
            </w:tcBorders>
          </w:tcPr>
          <w:p>
            <w:pPr>
              <w:spacing w:after="0"/>
              <w:rPr>
                <w:sz w:val="23"/>
                <w:szCs w:val="23"/>
                <w:color w:val="auto"/>
              </w:rPr>
            </w:pPr>
          </w:p>
        </w:tc>
        <w:tc>
          <w:tcPr>
            <w:tcW w:w="840" w:type="dxa"/>
            <w:vAlign w:val="bottom"/>
            <w:tcBorders>
              <w:bottom w:val="single" w:sz="8" w:color="CCEEFF"/>
            </w:tcBorders>
          </w:tcPr>
          <w:p>
            <w:pPr>
              <w:spacing w:after="0"/>
              <w:rPr>
                <w:sz w:val="23"/>
                <w:szCs w:val="23"/>
                <w:color w:val="auto"/>
              </w:rPr>
            </w:pPr>
          </w:p>
        </w:tc>
        <w:tc>
          <w:tcPr>
            <w:tcW w:w="120" w:type="dxa"/>
            <w:vAlign w:val="bottom"/>
            <w:tcBorders>
              <w:bottom w:val="single" w:sz="8" w:color="CCEEFF"/>
            </w:tcBorders>
          </w:tcPr>
          <w:p>
            <w:pPr>
              <w:spacing w:after="0"/>
              <w:rPr>
                <w:sz w:val="23"/>
                <w:szCs w:val="23"/>
                <w:color w:val="auto"/>
              </w:rPr>
            </w:pPr>
          </w:p>
        </w:tc>
        <w:tc>
          <w:tcPr>
            <w:tcW w:w="140" w:type="dxa"/>
            <w:vAlign w:val="bottom"/>
            <w:tcBorders>
              <w:bottom w:val="single" w:sz="8" w:color="CCEEFF"/>
            </w:tcBorders>
          </w:tcPr>
          <w:p>
            <w:pPr>
              <w:spacing w:after="0"/>
              <w:rPr>
                <w:sz w:val="23"/>
                <w:szCs w:val="23"/>
                <w:color w:val="auto"/>
              </w:rPr>
            </w:pPr>
          </w:p>
        </w:tc>
        <w:tc>
          <w:tcPr>
            <w:tcW w:w="840" w:type="dxa"/>
            <w:vAlign w:val="bottom"/>
            <w:tcBorders>
              <w:bottom w:val="single" w:sz="8" w:color="CCEEFF"/>
            </w:tcBorders>
          </w:tcPr>
          <w:p>
            <w:pPr>
              <w:spacing w:after="0"/>
              <w:rPr>
                <w:sz w:val="23"/>
                <w:szCs w:val="23"/>
                <w:color w:val="auto"/>
              </w:rPr>
            </w:pPr>
          </w:p>
        </w:tc>
        <w:tc>
          <w:tcPr>
            <w:tcW w:w="100" w:type="dxa"/>
            <w:vAlign w:val="bottom"/>
            <w:tcBorders>
              <w:bottom w:val="single" w:sz="8" w:color="CCEEFF"/>
            </w:tcBorders>
          </w:tcPr>
          <w:p>
            <w:pPr>
              <w:spacing w:after="0"/>
              <w:rPr>
                <w:sz w:val="23"/>
                <w:szCs w:val="23"/>
                <w:color w:val="auto"/>
              </w:rPr>
            </w:pPr>
          </w:p>
        </w:tc>
        <w:tc>
          <w:tcPr>
            <w:tcW w:w="140" w:type="dxa"/>
            <w:vAlign w:val="bottom"/>
            <w:tcBorders>
              <w:bottom w:val="single" w:sz="8" w:color="CCEEFF"/>
            </w:tcBorders>
          </w:tcPr>
          <w:p>
            <w:pPr>
              <w:spacing w:after="0"/>
              <w:rPr>
                <w:sz w:val="23"/>
                <w:szCs w:val="23"/>
                <w:color w:val="auto"/>
              </w:rPr>
            </w:pPr>
          </w:p>
        </w:tc>
        <w:tc>
          <w:tcPr>
            <w:tcW w:w="860" w:type="dxa"/>
            <w:vAlign w:val="bottom"/>
            <w:tcBorders>
              <w:bottom w:val="single" w:sz="8" w:color="CCEEFF"/>
            </w:tcBorders>
          </w:tcPr>
          <w:p>
            <w:pPr>
              <w:spacing w:after="0"/>
              <w:rPr>
                <w:sz w:val="23"/>
                <w:szCs w:val="23"/>
                <w:color w:val="auto"/>
              </w:rPr>
            </w:pPr>
          </w:p>
        </w:tc>
        <w:tc>
          <w:tcPr>
            <w:tcW w:w="100" w:type="dxa"/>
            <w:vAlign w:val="bottom"/>
            <w:tcBorders>
              <w:bottom w:val="single" w:sz="8" w:color="CCEEFF"/>
            </w:tcBorders>
          </w:tcPr>
          <w:p>
            <w:pPr>
              <w:spacing w:after="0"/>
              <w:rPr>
                <w:sz w:val="23"/>
                <w:szCs w:val="23"/>
                <w:color w:val="auto"/>
              </w:rPr>
            </w:pPr>
          </w:p>
        </w:tc>
        <w:tc>
          <w:tcPr>
            <w:tcW w:w="120" w:type="dxa"/>
            <w:vAlign w:val="bottom"/>
            <w:tcBorders>
              <w:bottom w:val="single" w:sz="8" w:color="CCEEFF"/>
            </w:tcBorders>
          </w:tcPr>
          <w:p>
            <w:pPr>
              <w:spacing w:after="0"/>
              <w:rPr>
                <w:sz w:val="23"/>
                <w:szCs w:val="23"/>
                <w:color w:val="auto"/>
              </w:rPr>
            </w:pPr>
          </w:p>
        </w:tc>
        <w:tc>
          <w:tcPr>
            <w:tcW w:w="860" w:type="dxa"/>
            <w:vAlign w:val="bottom"/>
            <w:tcBorders>
              <w:bottom w:val="single" w:sz="8" w:color="CCEEFF"/>
            </w:tcBorders>
          </w:tcPr>
          <w:p>
            <w:pPr>
              <w:spacing w:after="0"/>
              <w:rPr>
                <w:sz w:val="23"/>
                <w:szCs w:val="23"/>
                <w:color w:val="auto"/>
              </w:rPr>
            </w:pPr>
          </w:p>
        </w:tc>
        <w:tc>
          <w:tcPr>
            <w:tcW w:w="120" w:type="dxa"/>
            <w:vAlign w:val="bottom"/>
            <w:tcBorders>
              <w:bottom w:val="single" w:sz="8" w:color="CCEEFF"/>
            </w:tcBorders>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(195)</w:t>
            </w:r>
          </w:p>
        </w:tc>
        <w:tc>
          <w:tcPr>
            <w:tcW w:w="0" w:type="dxa"/>
            <w:vAlign w:val="bottom"/>
          </w:tcPr>
          <w:p>
            <w:pPr>
              <w:spacing w:after="0"/>
              <w:rPr>
                <w:sz w:val="1"/>
                <w:szCs w:val="1"/>
                <w:color w:val="auto"/>
              </w:rPr>
            </w:pPr>
          </w:p>
        </w:tc>
      </w:tr>
      <w:tr>
        <w:trPr>
          <w:trHeight w:val="160"/>
        </w:trPr>
        <w:tc>
          <w:tcPr>
            <w:tcW w:w="2320" w:type="dxa"/>
            <w:vAlign w:val="bottom"/>
            <w:shd w:val="clear" w:color="auto" w:fill="CCEEFF"/>
          </w:tcPr>
          <w:p>
            <w:pPr>
              <w:ind w:left="20"/>
              <w:spacing w:after="0" w:line="160" w:lineRule="exact"/>
              <w:rPr>
                <w:sz w:val="20"/>
                <w:szCs w:val="20"/>
                <w:color w:val="auto"/>
              </w:rPr>
            </w:pPr>
            <w:r>
              <w:rPr>
                <w:rFonts w:ascii="Arial" w:cs="Arial" w:eastAsia="Arial" w:hAnsi="Arial"/>
                <w:sz w:val="14"/>
                <w:szCs w:val="14"/>
                <w:color w:val="auto"/>
              </w:rPr>
              <w:t>Net loss attributable to</w:t>
            </w:r>
          </w:p>
        </w:tc>
        <w:tc>
          <w:tcPr>
            <w:tcW w:w="18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22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(18,251)</w:t>
            </w:r>
          </w:p>
        </w:tc>
        <w:tc>
          <w:tcPr>
            <w:tcW w:w="0" w:type="dxa"/>
            <w:vAlign w:val="bottom"/>
          </w:tcPr>
          <w:p>
            <w:pPr>
              <w:spacing w:after="0"/>
              <w:rPr>
                <w:sz w:val="1"/>
                <w:szCs w:val="1"/>
                <w:color w:val="auto"/>
              </w:rPr>
            </w:pPr>
          </w:p>
        </w:tc>
      </w:tr>
      <w:tr>
        <w:trPr>
          <w:trHeight w:val="189"/>
        </w:trPr>
        <w:tc>
          <w:tcPr>
            <w:tcW w:w="2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shareholders</w:t>
            </w:r>
          </w:p>
        </w:tc>
        <w:tc>
          <w:tcPr>
            <w:tcW w:w="180" w:type="dxa"/>
            <w:vAlign w:val="bottom"/>
            <w:tcBorders>
              <w:bottom w:val="single" w:sz="8" w:color="CCEEFF"/>
            </w:tcBorders>
            <w:shd w:val="clear" w:color="auto" w:fill="CCEEFF"/>
          </w:tcPr>
          <w:p>
            <w:pPr>
              <w:spacing w:after="0"/>
              <w:rPr>
                <w:sz w:val="16"/>
                <w:szCs w:val="16"/>
                <w:color w:val="auto"/>
              </w:rPr>
            </w:pPr>
          </w:p>
        </w:tc>
        <w:tc>
          <w:tcPr>
            <w:tcW w:w="78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86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2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88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84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84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86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86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auto"/>
            </w:tcBorders>
            <w:vMerge w:val="continue"/>
            <w:shd w:val="clear" w:color="auto" w:fill="CCEEFF"/>
          </w:tcPr>
          <w:p>
            <w:pPr>
              <w:spacing w:after="0"/>
              <w:rPr>
                <w:sz w:val="16"/>
                <w:szCs w:val="16"/>
                <w:color w:val="auto"/>
              </w:rPr>
            </w:pPr>
          </w:p>
        </w:tc>
        <w:tc>
          <w:tcPr>
            <w:tcW w:w="760" w:type="dxa"/>
            <w:vAlign w:val="bottom"/>
            <w:tcBorders>
              <w:bottom w:val="single" w:sz="8" w:color="auto"/>
            </w:tcBorders>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3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4" w:lineRule="exact"/>
        <w:rPr>
          <w:sz w:val="20"/>
          <w:szCs w:val="20"/>
          <w:color w:val="auto"/>
        </w:rPr>
      </w:pPr>
    </w:p>
    <w:p>
      <w:pPr>
        <w:ind w:left="340"/>
        <w:spacing w:after="0"/>
        <w:rPr>
          <w:sz w:val="20"/>
          <w:szCs w:val="20"/>
          <w:color w:val="auto"/>
        </w:rPr>
      </w:pPr>
      <w:r>
        <w:rPr>
          <w:rFonts w:ascii="Arial" w:cs="Arial" w:eastAsia="Arial" w:hAnsi="Arial"/>
          <w:sz w:val="16"/>
          <w:szCs w:val="16"/>
          <w:color w:val="auto"/>
        </w:rPr>
        <w:t>Summary information with respect to the Company’s geographic sources of revenue, based on location of customer, is as follows:</w:t>
      </w:r>
    </w:p>
    <w:p>
      <w:pPr>
        <w:spacing w:after="0" w:line="386" w:lineRule="exact"/>
        <w:rPr>
          <w:sz w:val="20"/>
          <w:szCs w:val="20"/>
          <w:color w:val="auto"/>
        </w:rPr>
      </w:pPr>
    </w:p>
    <w:tbl>
      <w:tblPr>
        <w:tblLayout w:type="fixed"/>
        <w:tblInd w:w="340" w:type="dxa"/>
        <w:tblCellMar>
          <w:top w:w="0" w:type="dxa"/>
          <w:left w:w="0" w:type="dxa"/>
          <w:bottom w:w="0" w:type="dxa"/>
          <w:right w:w="0" w:type="dxa"/>
        </w:tblCellMar>
      </w:tblPr>
      <w:tr>
        <w:trPr>
          <w:trHeight w:val="203"/>
        </w:trPr>
        <w:tc>
          <w:tcPr>
            <w:tcW w:w="1880" w:type="dxa"/>
            <w:vAlign w:val="bottom"/>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3760" w:type="dxa"/>
            <w:vAlign w:val="bottom"/>
            <w:tcBorders>
              <w:bottom w:val="single" w:sz="8" w:color="auto"/>
            </w:tcBorders>
            <w:gridSpan w:val="8"/>
          </w:tcPr>
          <w:p>
            <w:pPr>
              <w:ind w:left="340"/>
              <w:spacing w:after="0"/>
              <w:rPr>
                <w:sz w:val="20"/>
                <w:szCs w:val="20"/>
                <w:color w:val="auto"/>
              </w:rPr>
            </w:pPr>
            <w:r>
              <w:rPr>
                <w:rFonts w:ascii="Arial" w:cs="Arial" w:eastAsia="Arial" w:hAnsi="Arial"/>
                <w:sz w:val="14"/>
                <w:szCs w:val="14"/>
                <w:b w:val="1"/>
                <w:bCs w:val="1"/>
                <w:color w:val="auto"/>
              </w:rPr>
              <w:t>Nine Months Ended September 30, 2016</w:t>
            </w:r>
          </w:p>
        </w:tc>
        <w:tc>
          <w:tcPr>
            <w:tcW w:w="18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spacing w:after="0"/>
              <w:rPr>
                <w:sz w:val="17"/>
                <w:szCs w:val="17"/>
                <w:color w:val="auto"/>
              </w:rPr>
            </w:pPr>
          </w:p>
        </w:tc>
      </w:tr>
      <w:tr>
        <w:trPr>
          <w:trHeight w:val="264"/>
        </w:trPr>
        <w:tc>
          <w:tcPr>
            <w:tcW w:w="1880" w:type="dxa"/>
            <w:vAlign w:val="bottom"/>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spacing w:after="0"/>
              <w:rPr>
                <w:sz w:val="22"/>
                <w:szCs w:val="22"/>
                <w:color w:val="auto"/>
              </w:rPr>
            </w:pPr>
          </w:p>
        </w:tc>
        <w:tc>
          <w:tcPr>
            <w:tcW w:w="1500" w:type="dxa"/>
            <w:vAlign w:val="bottom"/>
            <w:tcBorders>
              <w:bottom w:val="single" w:sz="8" w:color="auto"/>
            </w:tcBorders>
            <w:gridSpan w:val="4"/>
          </w:tcPr>
          <w:p>
            <w:pPr>
              <w:jc w:val="center"/>
              <w:ind w:right="20"/>
              <w:spacing w:after="0"/>
              <w:rPr>
                <w:sz w:val="20"/>
                <w:szCs w:val="20"/>
                <w:color w:val="auto"/>
              </w:rPr>
            </w:pPr>
            <w:r>
              <w:rPr>
                <w:rFonts w:ascii="Arial" w:cs="Arial" w:eastAsia="Arial" w:hAnsi="Arial"/>
                <w:sz w:val="14"/>
                <w:szCs w:val="14"/>
                <w:b w:val="1"/>
                <w:bCs w:val="1"/>
                <w:color w:val="auto"/>
              </w:rPr>
              <w:t>Equipment Leasing</w:t>
            </w:r>
          </w:p>
        </w:tc>
        <w:tc>
          <w:tcPr>
            <w:tcW w:w="16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gridSpan w:val="2"/>
          </w:tcPr>
          <w:p>
            <w:pPr>
              <w:jc w:val="center"/>
              <w:ind w:right="200"/>
              <w:spacing w:after="0"/>
              <w:rPr>
                <w:sz w:val="20"/>
                <w:szCs w:val="20"/>
                <w:color w:val="auto"/>
              </w:rPr>
            </w:pPr>
            <w:r>
              <w:rPr>
                <w:rFonts w:ascii="Arial" w:cs="Arial" w:eastAsia="Arial" w:hAnsi="Arial"/>
                <w:sz w:val="14"/>
                <w:szCs w:val="14"/>
                <w:b w:val="1"/>
                <w:bCs w:val="1"/>
                <w:color w:val="auto"/>
              </w:rPr>
              <w:t>Infrastructure</w:t>
            </w:r>
          </w:p>
        </w:tc>
        <w:tc>
          <w:tcPr>
            <w:tcW w:w="18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40" w:type="dxa"/>
            <w:vAlign w:val="bottom"/>
          </w:tcPr>
          <w:p>
            <w:pPr>
              <w:spacing w:after="0"/>
              <w:rPr>
                <w:sz w:val="22"/>
                <w:szCs w:val="22"/>
                <w:color w:val="auto"/>
              </w:rPr>
            </w:pPr>
          </w:p>
        </w:tc>
      </w:tr>
      <w:tr>
        <w:trPr>
          <w:trHeight w:val="168"/>
        </w:trPr>
        <w:tc>
          <w:tcPr>
            <w:tcW w:w="18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Shipping</w:t>
            </w:r>
          </w:p>
        </w:tc>
        <w:tc>
          <w:tcPr>
            <w:tcW w:w="200" w:type="dxa"/>
            <w:vAlign w:val="bottom"/>
          </w:tcPr>
          <w:p>
            <w:pPr>
              <w:spacing w:after="0"/>
              <w:rPr>
                <w:sz w:val="14"/>
                <w:szCs w:val="14"/>
                <w:color w:val="auto"/>
              </w:rPr>
            </w:pPr>
          </w:p>
        </w:tc>
        <w:tc>
          <w:tcPr>
            <w:tcW w:w="112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rPr>
              <w:t>Jefferson</w:t>
            </w:r>
          </w:p>
        </w:tc>
        <w:tc>
          <w:tcPr>
            <w:tcW w:w="1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40" w:type="dxa"/>
            <w:vAlign w:val="bottom"/>
            <w:gridSpan w:val="2"/>
          </w:tcPr>
          <w:p>
            <w:pPr>
              <w:ind w:left="100"/>
              <w:spacing w:after="0"/>
              <w:rPr>
                <w:sz w:val="20"/>
                <w:szCs w:val="20"/>
                <w:color w:val="auto"/>
              </w:rPr>
            </w:pPr>
            <w:r>
              <w:rPr>
                <w:rFonts w:ascii="Arial" w:cs="Arial" w:eastAsia="Arial" w:hAnsi="Arial"/>
                <w:sz w:val="14"/>
                <w:szCs w:val="14"/>
                <w:b w:val="1"/>
                <w:bCs w:val="1"/>
                <w:color w:val="auto"/>
              </w:rPr>
              <w:t>Ports and</w:t>
            </w:r>
          </w:p>
        </w:tc>
        <w:tc>
          <w:tcPr>
            <w:tcW w:w="260" w:type="dxa"/>
            <w:vAlign w:val="bottom"/>
          </w:tcPr>
          <w:p>
            <w:pPr>
              <w:spacing w:after="0"/>
              <w:rPr>
                <w:sz w:val="14"/>
                <w:szCs w:val="14"/>
                <w:color w:val="auto"/>
              </w:rPr>
            </w:pPr>
          </w:p>
        </w:tc>
        <w:tc>
          <w:tcPr>
            <w:tcW w:w="940" w:type="dxa"/>
            <w:vAlign w:val="bottom"/>
          </w:tcPr>
          <w:p>
            <w:pPr>
              <w:spacing w:after="0"/>
              <w:rPr>
                <w:sz w:val="14"/>
                <w:szCs w:val="14"/>
                <w:color w:val="auto"/>
              </w:rPr>
            </w:pPr>
          </w:p>
        </w:tc>
      </w:tr>
      <w:tr>
        <w:trPr>
          <w:trHeight w:val="203"/>
        </w:trPr>
        <w:tc>
          <w:tcPr>
            <w:tcW w:w="1880" w:type="dxa"/>
            <w:vAlign w:val="bottom"/>
          </w:tcPr>
          <w:p>
            <w:pPr>
              <w:spacing w:after="0"/>
              <w:rPr>
                <w:sz w:val="17"/>
                <w:szCs w:val="17"/>
                <w:color w:val="auto"/>
              </w:rPr>
            </w:pPr>
          </w:p>
        </w:tc>
        <w:tc>
          <w:tcPr>
            <w:tcW w:w="1240" w:type="dxa"/>
            <w:vAlign w:val="bottom"/>
            <w:gridSpan w:val="2"/>
          </w:tcPr>
          <w:p>
            <w:pPr>
              <w:ind w:left="60"/>
              <w:spacing w:after="0"/>
              <w:rPr>
                <w:sz w:val="20"/>
                <w:szCs w:val="20"/>
                <w:color w:val="auto"/>
              </w:rPr>
            </w:pPr>
            <w:r>
              <w:rPr>
                <w:rFonts w:ascii="Arial" w:cs="Arial" w:eastAsia="Arial" w:hAnsi="Arial"/>
                <w:sz w:val="14"/>
                <w:szCs w:val="14"/>
                <w:b w:val="1"/>
                <w:bCs w:val="1"/>
                <w:color w:val="auto"/>
              </w:rPr>
              <w:t>Aviation Leasing</w:t>
            </w:r>
          </w:p>
        </w:tc>
        <w:tc>
          <w:tcPr>
            <w:tcW w:w="120" w:type="dxa"/>
            <w:vAlign w:val="bottom"/>
          </w:tcPr>
          <w:p>
            <w:pPr>
              <w:spacing w:after="0"/>
              <w:rPr>
                <w:sz w:val="17"/>
                <w:szCs w:val="17"/>
                <w:color w:val="auto"/>
              </w:rPr>
            </w:pPr>
          </w:p>
        </w:tc>
        <w:tc>
          <w:tcPr>
            <w:tcW w:w="138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rPr>
              <w:t>Offshore Energy</w:t>
            </w:r>
          </w:p>
        </w:tc>
        <w:tc>
          <w:tcPr>
            <w:tcW w:w="160" w:type="dxa"/>
            <w:vAlign w:val="bottom"/>
          </w:tcPr>
          <w:p>
            <w:pPr>
              <w:spacing w:after="0"/>
              <w:rPr>
                <w:sz w:val="17"/>
                <w:szCs w:val="17"/>
                <w:color w:val="auto"/>
              </w:rPr>
            </w:pPr>
          </w:p>
        </w:tc>
        <w:tc>
          <w:tcPr>
            <w:tcW w:w="11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Containers</w:t>
            </w:r>
          </w:p>
        </w:tc>
        <w:tc>
          <w:tcPr>
            <w:tcW w:w="200" w:type="dxa"/>
            <w:vAlign w:val="bottom"/>
          </w:tcPr>
          <w:p>
            <w:pPr>
              <w:spacing w:after="0"/>
              <w:rPr>
                <w:sz w:val="17"/>
                <w:szCs w:val="17"/>
                <w:color w:val="auto"/>
              </w:rPr>
            </w:pPr>
          </w:p>
        </w:tc>
        <w:tc>
          <w:tcPr>
            <w:tcW w:w="112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rPr>
              <w:t>Terminal</w:t>
            </w:r>
          </w:p>
        </w:tc>
        <w:tc>
          <w:tcPr>
            <w:tcW w:w="120" w:type="dxa"/>
            <w:vAlign w:val="bottom"/>
          </w:tcPr>
          <w:p>
            <w:pPr>
              <w:spacing w:after="0"/>
              <w:rPr>
                <w:sz w:val="17"/>
                <w:szCs w:val="17"/>
                <w:color w:val="auto"/>
              </w:rPr>
            </w:pPr>
          </w:p>
        </w:tc>
        <w:tc>
          <w:tcPr>
            <w:tcW w:w="11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Railroad</w:t>
            </w:r>
          </w:p>
        </w:tc>
        <w:tc>
          <w:tcPr>
            <w:tcW w:w="180" w:type="dxa"/>
            <w:vAlign w:val="bottom"/>
          </w:tcPr>
          <w:p>
            <w:pPr>
              <w:spacing w:after="0"/>
              <w:rPr>
                <w:sz w:val="17"/>
                <w:szCs w:val="17"/>
                <w:color w:val="auto"/>
              </w:rPr>
            </w:pPr>
          </w:p>
        </w:tc>
        <w:tc>
          <w:tcPr>
            <w:tcW w:w="1140" w:type="dxa"/>
            <w:vAlign w:val="bottom"/>
            <w:gridSpan w:val="2"/>
          </w:tcPr>
          <w:p>
            <w:pPr>
              <w:ind w:left="80"/>
              <w:spacing w:after="0"/>
              <w:rPr>
                <w:sz w:val="20"/>
                <w:szCs w:val="20"/>
                <w:color w:val="auto"/>
              </w:rPr>
            </w:pPr>
            <w:r>
              <w:rPr>
                <w:rFonts w:ascii="Arial" w:cs="Arial" w:eastAsia="Arial" w:hAnsi="Arial"/>
                <w:sz w:val="14"/>
                <w:szCs w:val="14"/>
                <w:b w:val="1"/>
                <w:bCs w:val="1"/>
                <w:color w:val="auto"/>
              </w:rPr>
              <w:t>Terminals</w:t>
            </w:r>
          </w:p>
        </w:tc>
        <w:tc>
          <w:tcPr>
            <w:tcW w:w="260" w:type="dxa"/>
            <w:vAlign w:val="bottom"/>
          </w:tcPr>
          <w:p>
            <w:pPr>
              <w:spacing w:after="0"/>
              <w:rPr>
                <w:sz w:val="17"/>
                <w:szCs w:val="17"/>
                <w:color w:val="auto"/>
              </w:rPr>
            </w:pPr>
          </w:p>
        </w:tc>
        <w:tc>
          <w:tcPr>
            <w:tcW w:w="940" w:type="dxa"/>
            <w:vAlign w:val="bottom"/>
          </w:tcPr>
          <w:p>
            <w:pPr>
              <w:jc w:val="right"/>
              <w:ind w:right="368"/>
              <w:spacing w:after="0"/>
              <w:rPr>
                <w:sz w:val="20"/>
                <w:szCs w:val="20"/>
                <w:color w:val="auto"/>
              </w:rPr>
            </w:pPr>
            <w:r>
              <w:rPr>
                <w:rFonts w:ascii="Arial" w:cs="Arial" w:eastAsia="Arial" w:hAnsi="Arial"/>
                <w:sz w:val="14"/>
                <w:szCs w:val="14"/>
                <w:b w:val="1"/>
                <w:bCs w:val="1"/>
                <w:color w:val="auto"/>
              </w:rPr>
              <w:t>Total</w:t>
            </w:r>
          </w:p>
        </w:tc>
      </w:tr>
      <w:tr>
        <w:trPr>
          <w:trHeight w:val="265"/>
        </w:trPr>
        <w:tc>
          <w:tcPr>
            <w:tcW w:w="18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Revenues</w:t>
            </w:r>
          </w:p>
        </w:tc>
        <w:tc>
          <w:tcPr>
            <w:tcW w:w="400" w:type="dxa"/>
            <w:vAlign w:val="bottom"/>
            <w:tcBorders>
              <w:top w:val="single" w:sz="8" w:color="auto"/>
            </w:tcBorders>
            <w:shd w:val="clear" w:color="auto" w:fill="CCEEFF"/>
          </w:tcPr>
          <w:p>
            <w:pPr>
              <w:spacing w:after="0"/>
              <w:rPr>
                <w:sz w:val="23"/>
                <w:szCs w:val="23"/>
                <w:color w:val="auto"/>
              </w:rPr>
            </w:pPr>
          </w:p>
        </w:tc>
        <w:tc>
          <w:tcPr>
            <w:tcW w:w="84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440" w:type="dxa"/>
            <w:vAlign w:val="bottom"/>
            <w:tcBorders>
              <w:top w:val="single" w:sz="8" w:color="auto"/>
            </w:tcBorders>
            <w:shd w:val="clear" w:color="auto" w:fill="CCEEFF"/>
          </w:tcPr>
          <w:p>
            <w:pPr>
              <w:spacing w:after="0"/>
              <w:rPr>
                <w:sz w:val="23"/>
                <w:szCs w:val="23"/>
                <w:color w:val="auto"/>
              </w:rPr>
            </w:pPr>
          </w:p>
        </w:tc>
        <w:tc>
          <w:tcPr>
            <w:tcW w:w="800" w:type="dxa"/>
            <w:vAlign w:val="bottom"/>
            <w:tcBorders>
              <w:top w:val="single" w:sz="8" w:color="auto"/>
            </w:tcBorders>
            <w:shd w:val="clear" w:color="auto" w:fill="CCEEFF"/>
          </w:tcPr>
          <w:p>
            <w:pPr>
              <w:spacing w:after="0"/>
              <w:rPr>
                <w:sz w:val="23"/>
                <w:szCs w:val="23"/>
                <w:color w:val="auto"/>
              </w:rPr>
            </w:pPr>
          </w:p>
        </w:tc>
        <w:tc>
          <w:tcPr>
            <w:tcW w:w="140" w:type="dxa"/>
            <w:vAlign w:val="bottom"/>
            <w:tcBorders>
              <w:top w:val="single" w:sz="8" w:color="CCEEFF"/>
            </w:tcBorders>
            <w:shd w:val="clear" w:color="auto" w:fill="CCEEFF"/>
          </w:tcPr>
          <w:p>
            <w:pPr>
              <w:spacing w:after="0"/>
              <w:rPr>
                <w:sz w:val="23"/>
                <w:szCs w:val="23"/>
                <w:color w:val="auto"/>
              </w:rPr>
            </w:pPr>
          </w:p>
        </w:tc>
        <w:tc>
          <w:tcPr>
            <w:tcW w:w="160" w:type="dxa"/>
            <w:vAlign w:val="bottom"/>
            <w:tcBorders>
              <w:top w:val="single" w:sz="8" w:color="auto"/>
            </w:tcBorders>
            <w:shd w:val="clear" w:color="auto" w:fill="CCEEFF"/>
          </w:tcPr>
          <w:p>
            <w:pPr>
              <w:spacing w:after="0"/>
              <w:rPr>
                <w:sz w:val="23"/>
                <w:szCs w:val="23"/>
                <w:color w:val="auto"/>
              </w:rPr>
            </w:pPr>
          </w:p>
        </w:tc>
        <w:tc>
          <w:tcPr>
            <w:tcW w:w="104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200" w:type="dxa"/>
            <w:vAlign w:val="bottom"/>
            <w:tcBorders>
              <w:top w:val="single" w:sz="8" w:color="auto"/>
            </w:tcBorders>
            <w:shd w:val="clear" w:color="auto" w:fill="CCEEFF"/>
          </w:tcPr>
          <w:p>
            <w:pPr>
              <w:spacing w:after="0"/>
              <w:rPr>
                <w:sz w:val="23"/>
                <w:szCs w:val="23"/>
                <w:color w:val="auto"/>
              </w:rPr>
            </w:pPr>
          </w:p>
        </w:tc>
        <w:tc>
          <w:tcPr>
            <w:tcW w:w="100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120" w:type="dxa"/>
            <w:vAlign w:val="bottom"/>
            <w:tcBorders>
              <w:top w:val="single" w:sz="8" w:color="auto"/>
            </w:tcBorders>
            <w:shd w:val="clear" w:color="auto" w:fill="CCEEFF"/>
          </w:tcPr>
          <w:p>
            <w:pPr>
              <w:spacing w:after="0"/>
              <w:rPr>
                <w:sz w:val="23"/>
                <w:szCs w:val="23"/>
                <w:color w:val="auto"/>
              </w:rPr>
            </w:pPr>
          </w:p>
        </w:tc>
        <w:tc>
          <w:tcPr>
            <w:tcW w:w="108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180" w:type="dxa"/>
            <w:vAlign w:val="bottom"/>
            <w:tcBorders>
              <w:top w:val="single" w:sz="8" w:color="auto"/>
            </w:tcBorders>
            <w:shd w:val="clear" w:color="auto" w:fill="CCEEFF"/>
          </w:tcPr>
          <w:p>
            <w:pPr>
              <w:spacing w:after="0"/>
              <w:rPr>
                <w:sz w:val="23"/>
                <w:szCs w:val="23"/>
                <w:color w:val="auto"/>
              </w:rPr>
            </w:pPr>
          </w:p>
        </w:tc>
        <w:tc>
          <w:tcPr>
            <w:tcW w:w="102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260" w:type="dxa"/>
            <w:vAlign w:val="bottom"/>
            <w:tcBorders>
              <w:top w:val="single" w:sz="8" w:color="auto"/>
            </w:tcBorders>
            <w:shd w:val="clear" w:color="auto" w:fill="CCEEFF"/>
          </w:tcPr>
          <w:p>
            <w:pPr>
              <w:spacing w:after="0"/>
              <w:rPr>
                <w:sz w:val="23"/>
                <w:szCs w:val="23"/>
                <w:color w:val="auto"/>
              </w:rPr>
            </w:pPr>
          </w:p>
        </w:tc>
        <w:tc>
          <w:tcPr>
            <w:tcW w:w="940" w:type="dxa"/>
            <w:vAlign w:val="bottom"/>
            <w:tcBorders>
              <w:top w:val="single" w:sz="8" w:color="auto"/>
            </w:tcBorders>
            <w:shd w:val="clear" w:color="auto" w:fill="CCEEFF"/>
          </w:tcPr>
          <w:p>
            <w:pPr>
              <w:spacing w:after="0"/>
              <w:rPr>
                <w:sz w:val="23"/>
                <w:szCs w:val="23"/>
                <w:color w:val="auto"/>
              </w:rPr>
            </w:pPr>
          </w:p>
        </w:tc>
      </w:tr>
      <w:tr>
        <w:trPr>
          <w:trHeight w:val="266"/>
        </w:trPr>
        <w:tc>
          <w:tcPr>
            <w:tcW w:w="1880" w:type="dxa"/>
            <w:vAlign w:val="bottom"/>
          </w:tcPr>
          <w:p>
            <w:pPr>
              <w:ind w:left="20"/>
              <w:spacing w:after="0"/>
              <w:rPr>
                <w:sz w:val="20"/>
                <w:szCs w:val="20"/>
                <w:color w:val="auto"/>
              </w:rPr>
            </w:pPr>
            <w:r>
              <w:rPr>
                <w:rFonts w:ascii="Arial" w:cs="Arial" w:eastAsia="Arial" w:hAnsi="Arial"/>
                <w:sz w:val="14"/>
                <w:szCs w:val="14"/>
                <w:color w:val="auto"/>
              </w:rPr>
              <w:t>Africa</w:t>
            </w:r>
          </w:p>
        </w:tc>
        <w:tc>
          <w:tcPr>
            <w:tcW w:w="400" w:type="dxa"/>
            <w:vAlign w:val="bottom"/>
          </w:tcPr>
          <w:p>
            <w:pPr>
              <w:ind w:left="40"/>
              <w:spacing w:after="0"/>
              <w:rPr>
                <w:sz w:val="20"/>
                <w:szCs w:val="20"/>
                <w:color w:val="auto"/>
              </w:rPr>
            </w:pPr>
            <w:r>
              <w:rPr>
                <w:rFonts w:ascii="Arial" w:cs="Arial" w:eastAsia="Arial" w:hAnsi="Arial"/>
                <w:sz w:val="14"/>
                <w:szCs w:val="14"/>
                <w:color w:val="auto"/>
              </w:rPr>
              <w:t>$</w:t>
            </w:r>
          </w:p>
        </w:tc>
        <w:tc>
          <w:tcPr>
            <w:tcW w:w="840" w:type="dxa"/>
            <w:vAlign w:val="bottom"/>
          </w:tcPr>
          <w:p>
            <w:pPr>
              <w:jc w:val="right"/>
              <w:ind w:right="48"/>
              <w:spacing w:after="0"/>
              <w:rPr>
                <w:sz w:val="20"/>
                <w:szCs w:val="20"/>
                <w:color w:val="auto"/>
              </w:rPr>
            </w:pPr>
            <w:r>
              <w:rPr>
                <w:rFonts w:ascii="Arial" w:cs="Arial" w:eastAsia="Arial" w:hAnsi="Arial"/>
                <w:sz w:val="14"/>
                <w:szCs w:val="14"/>
                <w:color w:val="auto"/>
              </w:rPr>
              <w:t>9,201</w:t>
            </w:r>
          </w:p>
        </w:tc>
        <w:tc>
          <w:tcPr>
            <w:tcW w:w="560" w:type="dxa"/>
            <w:vAlign w:val="bottom"/>
            <w:gridSpan w:val="2"/>
          </w:tcPr>
          <w:p>
            <w:pPr>
              <w:jc w:val="right"/>
              <w:ind w:right="248"/>
              <w:spacing w:after="0"/>
              <w:rPr>
                <w:sz w:val="20"/>
                <w:szCs w:val="20"/>
                <w:color w:val="auto"/>
              </w:rPr>
            </w:pPr>
            <w:r>
              <w:rPr>
                <w:rFonts w:ascii="Arial" w:cs="Arial" w:eastAsia="Arial" w:hAnsi="Arial"/>
                <w:sz w:val="14"/>
                <w:szCs w:val="14"/>
                <w:color w:val="auto"/>
              </w:rPr>
              <w:t>$</w:t>
            </w:r>
          </w:p>
        </w:tc>
        <w:tc>
          <w:tcPr>
            <w:tcW w:w="94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1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1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11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1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940" w:type="dxa"/>
            <w:vAlign w:val="bottom"/>
          </w:tcPr>
          <w:p>
            <w:pPr>
              <w:jc w:val="right"/>
              <w:ind w:right="48"/>
              <w:spacing w:after="0"/>
              <w:rPr>
                <w:sz w:val="20"/>
                <w:szCs w:val="20"/>
                <w:color w:val="auto"/>
              </w:rPr>
            </w:pPr>
            <w:r>
              <w:rPr>
                <w:rFonts w:ascii="Arial" w:cs="Arial" w:eastAsia="Arial" w:hAnsi="Arial"/>
                <w:sz w:val="14"/>
                <w:szCs w:val="14"/>
                <w:color w:val="auto"/>
              </w:rPr>
              <w:t>9,201</w:t>
            </w:r>
          </w:p>
        </w:tc>
      </w:tr>
      <w:tr>
        <w:trPr>
          <w:trHeight w:val="274"/>
        </w:trPr>
        <w:tc>
          <w:tcPr>
            <w:tcW w:w="1880" w:type="dxa"/>
            <w:vAlign w:val="bottom"/>
            <w:shd w:val="clear" w:color="auto" w:fill="CCEEFF"/>
          </w:tcPr>
          <w:p>
            <w:pPr>
              <w:ind w:left="20"/>
              <w:spacing w:after="0"/>
              <w:rPr>
                <w:sz w:val="20"/>
                <w:szCs w:val="20"/>
                <w:color w:val="auto"/>
              </w:rPr>
            </w:pPr>
            <w:r>
              <w:rPr>
                <w:rFonts w:ascii="Arial" w:cs="Arial" w:eastAsia="Arial" w:hAnsi="Arial"/>
                <w:sz w:val="14"/>
                <w:szCs w:val="14"/>
                <w:color w:val="auto"/>
              </w:rPr>
              <w:t>Asia</w:t>
            </w:r>
          </w:p>
        </w:tc>
        <w:tc>
          <w:tcPr>
            <w:tcW w:w="400" w:type="dxa"/>
            <w:vAlign w:val="bottom"/>
            <w:shd w:val="clear" w:color="auto" w:fill="CCEEFF"/>
          </w:tcPr>
          <w:p>
            <w:pPr>
              <w:spacing w:after="0"/>
              <w:rPr>
                <w:sz w:val="23"/>
                <w:szCs w:val="23"/>
                <w:color w:val="auto"/>
              </w:rPr>
            </w:pPr>
          </w:p>
        </w:tc>
        <w:tc>
          <w:tcPr>
            <w:tcW w:w="8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30,665</w:t>
            </w:r>
          </w:p>
        </w:tc>
        <w:tc>
          <w:tcPr>
            <w:tcW w:w="120" w:type="dxa"/>
            <w:vAlign w:val="bottom"/>
            <w:shd w:val="clear" w:color="auto" w:fill="CCEEFF"/>
          </w:tcPr>
          <w:p>
            <w:pPr>
              <w:spacing w:after="0"/>
              <w:rPr>
                <w:sz w:val="23"/>
                <w:szCs w:val="23"/>
                <w:color w:val="auto"/>
              </w:rPr>
            </w:pPr>
          </w:p>
        </w:tc>
        <w:tc>
          <w:tcPr>
            <w:tcW w:w="440" w:type="dxa"/>
            <w:vAlign w:val="bottom"/>
            <w:shd w:val="clear" w:color="auto" w:fill="CCEEFF"/>
          </w:tcPr>
          <w:p>
            <w:pPr>
              <w:spacing w:after="0"/>
              <w:rPr>
                <w:sz w:val="23"/>
                <w:szCs w:val="23"/>
                <w:color w:val="auto"/>
              </w:rPr>
            </w:pPr>
          </w:p>
        </w:tc>
        <w:tc>
          <w:tcPr>
            <w:tcW w:w="8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2,973</w:t>
            </w:r>
          </w:p>
        </w:tc>
        <w:tc>
          <w:tcPr>
            <w:tcW w:w="14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0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858</w:t>
            </w: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3"/>
                <w:szCs w:val="23"/>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3"/>
                <w:szCs w:val="23"/>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23"/>
                <w:szCs w:val="23"/>
                <w:color w:val="auto"/>
              </w:rPr>
            </w:pPr>
          </w:p>
        </w:tc>
        <w:tc>
          <w:tcPr>
            <w:tcW w:w="9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34,496</w:t>
            </w:r>
          </w:p>
        </w:tc>
      </w:tr>
      <w:tr>
        <w:trPr>
          <w:trHeight w:val="266"/>
        </w:trPr>
        <w:tc>
          <w:tcPr>
            <w:tcW w:w="1880" w:type="dxa"/>
            <w:vAlign w:val="bottom"/>
          </w:tcPr>
          <w:p>
            <w:pPr>
              <w:ind w:left="20"/>
              <w:spacing w:after="0"/>
              <w:rPr>
                <w:sz w:val="20"/>
                <w:szCs w:val="20"/>
                <w:color w:val="auto"/>
              </w:rPr>
            </w:pPr>
            <w:r>
              <w:rPr>
                <w:rFonts w:ascii="Arial" w:cs="Arial" w:eastAsia="Arial" w:hAnsi="Arial"/>
                <w:sz w:val="14"/>
                <w:szCs w:val="14"/>
                <w:color w:val="auto"/>
              </w:rPr>
              <w:t>Europe</w:t>
            </w:r>
          </w:p>
        </w:tc>
        <w:tc>
          <w:tcPr>
            <w:tcW w:w="400" w:type="dxa"/>
            <w:vAlign w:val="bottom"/>
          </w:tcPr>
          <w:p>
            <w:pPr>
              <w:spacing w:after="0"/>
              <w:rPr>
                <w:sz w:val="23"/>
                <w:szCs w:val="23"/>
                <w:color w:val="auto"/>
              </w:rPr>
            </w:pPr>
          </w:p>
        </w:tc>
        <w:tc>
          <w:tcPr>
            <w:tcW w:w="840" w:type="dxa"/>
            <w:vAlign w:val="bottom"/>
          </w:tcPr>
          <w:p>
            <w:pPr>
              <w:jc w:val="right"/>
              <w:ind w:right="48"/>
              <w:spacing w:after="0"/>
              <w:rPr>
                <w:sz w:val="20"/>
                <w:szCs w:val="20"/>
                <w:color w:val="auto"/>
              </w:rPr>
            </w:pPr>
            <w:r>
              <w:rPr>
                <w:rFonts w:ascii="Arial" w:cs="Arial" w:eastAsia="Arial" w:hAnsi="Arial"/>
                <w:sz w:val="14"/>
                <w:szCs w:val="14"/>
                <w:color w:val="auto"/>
              </w:rPr>
              <w:t>20,929</w:t>
            </w:r>
          </w:p>
        </w:tc>
        <w:tc>
          <w:tcPr>
            <w:tcW w:w="12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800" w:type="dxa"/>
            <w:vAlign w:val="bottom"/>
          </w:tcPr>
          <w:p>
            <w:pPr>
              <w:jc w:val="right"/>
              <w:ind w:right="48"/>
              <w:spacing w:after="0"/>
              <w:rPr>
                <w:sz w:val="20"/>
                <w:szCs w:val="20"/>
                <w:color w:val="auto"/>
              </w:rPr>
            </w:pPr>
            <w:r>
              <w:rPr>
                <w:rFonts w:ascii="Arial" w:cs="Arial" w:eastAsia="Arial" w:hAnsi="Arial"/>
                <w:sz w:val="14"/>
                <w:szCs w:val="14"/>
                <w:color w:val="auto"/>
              </w:rPr>
              <w:t>248</w:t>
            </w:r>
          </w:p>
        </w:tc>
        <w:tc>
          <w:tcPr>
            <w:tcW w:w="1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3"/>
                <w:szCs w:val="23"/>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3"/>
                <w:szCs w:val="23"/>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3"/>
                <w:szCs w:val="23"/>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23"/>
                <w:szCs w:val="23"/>
                <w:color w:val="auto"/>
              </w:rPr>
            </w:pPr>
          </w:p>
        </w:tc>
        <w:tc>
          <w:tcPr>
            <w:tcW w:w="940" w:type="dxa"/>
            <w:vAlign w:val="bottom"/>
          </w:tcPr>
          <w:p>
            <w:pPr>
              <w:jc w:val="right"/>
              <w:ind w:right="48"/>
              <w:spacing w:after="0"/>
              <w:rPr>
                <w:sz w:val="20"/>
                <w:szCs w:val="20"/>
                <w:color w:val="auto"/>
              </w:rPr>
            </w:pPr>
            <w:r>
              <w:rPr>
                <w:rFonts w:ascii="Arial" w:cs="Arial" w:eastAsia="Arial" w:hAnsi="Arial"/>
                <w:sz w:val="14"/>
                <w:szCs w:val="14"/>
                <w:color w:val="auto"/>
              </w:rPr>
              <w:t>21,177</w:t>
            </w:r>
          </w:p>
        </w:tc>
      </w:tr>
      <w:tr>
        <w:trPr>
          <w:trHeight w:val="274"/>
        </w:trPr>
        <w:tc>
          <w:tcPr>
            <w:tcW w:w="1880" w:type="dxa"/>
            <w:vAlign w:val="bottom"/>
            <w:shd w:val="clear" w:color="auto" w:fill="CCEEFF"/>
          </w:tcPr>
          <w:p>
            <w:pPr>
              <w:ind w:left="20"/>
              <w:spacing w:after="0"/>
              <w:rPr>
                <w:sz w:val="20"/>
                <w:szCs w:val="20"/>
                <w:color w:val="auto"/>
              </w:rPr>
            </w:pPr>
            <w:r>
              <w:rPr>
                <w:rFonts w:ascii="Arial" w:cs="Arial" w:eastAsia="Arial" w:hAnsi="Arial"/>
                <w:sz w:val="14"/>
                <w:szCs w:val="14"/>
                <w:color w:val="auto"/>
              </w:rPr>
              <w:t>North America</w:t>
            </w:r>
          </w:p>
        </w:tc>
        <w:tc>
          <w:tcPr>
            <w:tcW w:w="400" w:type="dxa"/>
            <w:vAlign w:val="bottom"/>
            <w:shd w:val="clear" w:color="auto" w:fill="CCEEFF"/>
          </w:tcPr>
          <w:p>
            <w:pPr>
              <w:spacing w:after="0"/>
              <w:rPr>
                <w:sz w:val="23"/>
                <w:szCs w:val="23"/>
                <w:color w:val="auto"/>
              </w:rPr>
            </w:pPr>
          </w:p>
        </w:tc>
        <w:tc>
          <w:tcPr>
            <w:tcW w:w="8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4,192</w:t>
            </w:r>
          </w:p>
        </w:tc>
        <w:tc>
          <w:tcPr>
            <w:tcW w:w="120" w:type="dxa"/>
            <w:vAlign w:val="bottom"/>
            <w:shd w:val="clear" w:color="auto" w:fill="CCEEFF"/>
          </w:tcPr>
          <w:p>
            <w:pPr>
              <w:spacing w:after="0"/>
              <w:rPr>
                <w:sz w:val="23"/>
                <w:szCs w:val="23"/>
                <w:color w:val="auto"/>
              </w:rPr>
            </w:pPr>
          </w:p>
        </w:tc>
        <w:tc>
          <w:tcPr>
            <w:tcW w:w="440" w:type="dxa"/>
            <w:vAlign w:val="bottom"/>
            <w:shd w:val="clear" w:color="auto" w:fill="CCEEFF"/>
          </w:tcPr>
          <w:p>
            <w:pPr>
              <w:spacing w:after="0"/>
              <w:rPr>
                <w:sz w:val="23"/>
                <w:szCs w:val="23"/>
                <w:color w:val="auto"/>
              </w:rPr>
            </w:pPr>
          </w:p>
        </w:tc>
        <w:tc>
          <w:tcPr>
            <w:tcW w:w="8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1,212</w:t>
            </w:r>
          </w:p>
        </w:tc>
        <w:tc>
          <w:tcPr>
            <w:tcW w:w="14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0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329</w:t>
            </w: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0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11,271</w:t>
            </w: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0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23,107</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0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16</w:t>
            </w:r>
          </w:p>
        </w:tc>
        <w:tc>
          <w:tcPr>
            <w:tcW w:w="12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9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40,127</w:t>
            </w:r>
          </w:p>
        </w:tc>
      </w:tr>
      <w:tr>
        <w:trPr>
          <w:trHeight w:val="266"/>
        </w:trPr>
        <w:tc>
          <w:tcPr>
            <w:tcW w:w="188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South America</w:t>
            </w:r>
          </w:p>
        </w:tc>
        <w:tc>
          <w:tcPr>
            <w:tcW w:w="400" w:type="dxa"/>
            <w:vAlign w:val="bottom"/>
            <w:tcBorders>
              <w:bottom w:val="single" w:sz="8" w:color="auto"/>
            </w:tcBorders>
          </w:tcPr>
          <w:p>
            <w:pPr>
              <w:spacing w:after="0"/>
              <w:rPr>
                <w:sz w:val="23"/>
                <w:szCs w:val="23"/>
                <w:color w:val="auto"/>
              </w:rPr>
            </w:pPr>
          </w:p>
        </w:tc>
        <w:tc>
          <w:tcPr>
            <w:tcW w:w="8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1,373</w:t>
            </w:r>
          </w:p>
        </w:tc>
        <w:tc>
          <w:tcPr>
            <w:tcW w:w="120" w:type="dxa"/>
            <w:vAlign w:val="bottom"/>
            <w:tcBorders>
              <w:bottom w:val="single" w:sz="8" w:color="CCEEFF"/>
            </w:tcBorders>
          </w:tcPr>
          <w:p>
            <w:pPr>
              <w:spacing w:after="0"/>
              <w:rPr>
                <w:sz w:val="23"/>
                <w:szCs w:val="23"/>
                <w:color w:val="auto"/>
              </w:rPr>
            </w:pPr>
          </w:p>
        </w:tc>
        <w:tc>
          <w:tcPr>
            <w:tcW w:w="440" w:type="dxa"/>
            <w:vAlign w:val="bottom"/>
            <w:tcBorders>
              <w:bottom w:val="single" w:sz="8" w:color="auto"/>
            </w:tcBorders>
          </w:tcPr>
          <w:p>
            <w:pPr>
              <w:spacing w:after="0"/>
              <w:rPr>
                <w:sz w:val="23"/>
                <w:szCs w:val="23"/>
                <w:color w:val="auto"/>
              </w:rPr>
            </w:pPr>
          </w:p>
        </w:tc>
        <w:tc>
          <w:tcPr>
            <w:tcW w:w="8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CCEEFF"/>
            </w:tcBorders>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10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10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10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10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9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1,373</w:t>
            </w:r>
          </w:p>
        </w:tc>
      </w:tr>
      <w:tr>
        <w:trPr>
          <w:trHeight w:val="241"/>
        </w:trPr>
        <w:tc>
          <w:tcPr>
            <w:tcW w:w="1880" w:type="dxa"/>
            <w:vAlign w:val="bottom"/>
            <w:shd w:val="clear" w:color="auto" w:fill="CCEEFF"/>
          </w:tcPr>
          <w:p>
            <w:pPr>
              <w:ind w:left="20"/>
              <w:spacing w:after="0"/>
              <w:rPr>
                <w:sz w:val="20"/>
                <w:szCs w:val="20"/>
                <w:color w:val="auto"/>
              </w:rPr>
            </w:pPr>
            <w:r>
              <w:rPr>
                <w:rFonts w:ascii="Arial" w:cs="Arial" w:eastAsia="Arial" w:hAnsi="Arial"/>
                <w:sz w:val="14"/>
                <w:szCs w:val="14"/>
                <w:color w:val="auto"/>
              </w:rPr>
              <w:t>Total</w:t>
            </w:r>
          </w:p>
        </w:tc>
        <w:tc>
          <w:tcPr>
            <w:tcW w:w="400" w:type="dxa"/>
            <w:vAlign w:val="bottom"/>
            <w:shd w:val="clear" w:color="auto" w:fill="CCEEFF"/>
          </w:tcPr>
          <w:p>
            <w:pPr>
              <w:ind w:left="40"/>
              <w:spacing w:after="0"/>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66,360</w:t>
            </w:r>
          </w:p>
        </w:tc>
        <w:tc>
          <w:tcPr>
            <w:tcW w:w="560" w:type="dxa"/>
            <w:vAlign w:val="bottom"/>
            <w:gridSpan w:val="2"/>
            <w:shd w:val="clear" w:color="auto" w:fill="CCEEFF"/>
          </w:tcPr>
          <w:p>
            <w:pPr>
              <w:jc w:val="right"/>
              <w:ind w:right="248"/>
              <w:spacing w:after="0"/>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4,433</w:t>
            </w:r>
          </w:p>
        </w:tc>
        <w:tc>
          <w:tcPr>
            <w:tcW w:w="14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1,187</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0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11,271</w:t>
            </w: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23,107</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0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16</w:t>
            </w:r>
          </w:p>
        </w:tc>
        <w:tc>
          <w:tcPr>
            <w:tcW w:w="120" w:type="dxa"/>
            <w:vAlign w:val="bottom"/>
            <w:shd w:val="clear" w:color="auto" w:fill="CCEEFF"/>
          </w:tcPr>
          <w:p>
            <w:pPr>
              <w:spacing w:after="0"/>
              <w:rPr>
                <w:sz w:val="20"/>
                <w:szCs w:val="20"/>
                <w:color w:val="auto"/>
              </w:rPr>
            </w:pPr>
          </w:p>
        </w:tc>
        <w:tc>
          <w:tcPr>
            <w:tcW w:w="2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9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106,374</w:t>
            </w:r>
          </w:p>
        </w:tc>
      </w:tr>
      <w:tr>
        <w:trPr>
          <w:trHeight w:val="20"/>
        </w:trPr>
        <w:tc>
          <w:tcPr>
            <w:tcW w:w="188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39</w:t>
      </w:r>
    </w:p>
    <w:p>
      <w:pPr>
        <w:sectPr>
          <w:pgSz w:w="11900" w:h="16838" w:orient="portrait"/>
          <w:cols w:equalWidth="0" w:num="1">
            <w:col w:w="11420"/>
          </w:cols>
          <w:pgMar w:left="240" w:top="117" w:right="239" w:bottom="1440" w:gutter="0" w:footer="0" w:header="0"/>
        </w:sectPr>
      </w:pPr>
    </w:p>
    <w:bookmarkStart w:id="39" w:name="page40"/>
    <w:bookmarkEnd w:id="39"/>
    <w:p>
      <w:pPr>
        <w:ind w:right="3820"/>
        <w:spacing w:after="0" w:line="305" w:lineRule="auto"/>
        <w:rPr>
          <w:sz w:val="20"/>
          <w:szCs w:val="20"/>
          <w:color w:val="auto"/>
        </w:rPr>
      </w:pPr>
      <w:r>
        <w:rPr>
          <w:rFonts w:ascii="Arial" w:cs="Arial" w:eastAsia="Arial" w:hAnsi="Arial"/>
          <w:sz w:val="22"/>
          <w:szCs w:val="22"/>
          <w:b w:val="1"/>
          <w:bCs w:val="1"/>
          <w:color w:val="00497F"/>
        </w:rPr>
        <w:t xml:space="preserve">FORTRESS TRANSPORTATION AND INFRASTRUCTURE INVESTORS LLC NOTES TO CONSOLIDATED FINANCIAL STATEMENTS </w:t>
      </w:r>
      <w:r>
        <w:rPr>
          <w:rFonts w:ascii="Arial" w:cs="Arial" w:eastAsia="Arial" w:hAnsi="Arial"/>
          <w:sz w:val="22"/>
          <w:szCs w:val="22"/>
          <w:b w:val="1"/>
          <w:bCs w:val="1"/>
          <w:i w:val="1"/>
          <w:iCs w:val="1"/>
          <w:color w:val="00497F"/>
        </w:rPr>
        <w:t>(unaudited)</w:t>
      </w:r>
    </w:p>
    <w:p>
      <w:pPr>
        <w:spacing w:after="0"/>
        <w:rPr>
          <w:sz w:val="20"/>
          <w:szCs w:val="20"/>
          <w:color w:val="auto"/>
        </w:rPr>
      </w:pPr>
      <w:r>
        <w:rPr>
          <w:rFonts w:ascii="Arial" w:cs="Arial" w:eastAsia="Arial" w:hAnsi="Arial"/>
          <w:sz w:val="18"/>
          <w:szCs w:val="18"/>
          <w:i w:val="1"/>
          <w:iCs w:val="1"/>
          <w:color w:val="00497F"/>
        </w:rPr>
        <w:t>(Dollar amounts in thousands, unless otherwise noted)</w:t>
      </w:r>
    </w:p>
    <w:p>
      <w:pPr>
        <w:spacing w:after="0" w:line="395" w:lineRule="exact"/>
        <w:rPr>
          <w:sz w:val="20"/>
          <w:szCs w:val="20"/>
          <w:color w:val="auto"/>
        </w:rPr>
      </w:pPr>
    </w:p>
    <w:p>
      <w:pPr>
        <w:ind w:left="340"/>
        <w:spacing w:after="0"/>
        <w:rPr>
          <w:sz w:val="20"/>
          <w:szCs w:val="20"/>
          <w:color w:val="auto"/>
        </w:rPr>
      </w:pPr>
      <w:r>
        <w:rPr>
          <w:rFonts w:ascii="Arial" w:cs="Arial" w:eastAsia="Arial" w:hAnsi="Arial"/>
          <w:sz w:val="16"/>
          <w:szCs w:val="16"/>
          <w:b w:val="1"/>
          <w:bCs w:val="1"/>
          <w:color w:val="00497F"/>
        </w:rPr>
        <w:t>V. Balance Sheet and location of long-lived assets</w:t>
      </w:r>
    </w:p>
    <w:p>
      <w:pPr>
        <w:spacing w:after="0" w:line="169" w:lineRule="exact"/>
        <w:rPr>
          <w:sz w:val="20"/>
          <w:szCs w:val="20"/>
          <w:color w:val="auto"/>
        </w:rPr>
      </w:pPr>
    </w:p>
    <w:p>
      <w:pPr>
        <w:ind w:left="340" w:right="840"/>
        <w:spacing w:after="0" w:line="291" w:lineRule="auto"/>
        <w:rPr>
          <w:sz w:val="20"/>
          <w:szCs w:val="20"/>
          <w:color w:val="auto"/>
        </w:rPr>
      </w:pPr>
      <w:r>
        <w:rPr>
          <w:rFonts w:ascii="Arial" w:cs="Arial" w:eastAsia="Arial" w:hAnsi="Arial"/>
          <w:sz w:val="16"/>
          <w:szCs w:val="16"/>
          <w:color w:val="auto"/>
        </w:rPr>
        <w:t>The following tables sets forth summarized balance sheet information and the geographic location of property, plant and equipment and leasing equipment, net as of September 30, 2017 and December 31, 2016:</w:t>
      </w:r>
    </w:p>
    <w:p>
      <w:pPr>
        <w:spacing w:after="0" w:line="259" w:lineRule="exact"/>
        <w:rPr>
          <w:sz w:val="20"/>
          <w:szCs w:val="20"/>
          <w:color w:val="auto"/>
        </w:rPr>
      </w:pPr>
    </w:p>
    <w:tbl>
      <w:tblPr>
        <w:tblLayout w:type="fixed"/>
        <w:tblInd w:w="340" w:type="dxa"/>
        <w:tblCellMar>
          <w:top w:w="0" w:type="dxa"/>
          <w:left w:w="0" w:type="dxa"/>
          <w:bottom w:w="0" w:type="dxa"/>
          <w:right w:w="0" w:type="dxa"/>
        </w:tblCellMar>
      </w:tblPr>
      <w:tr>
        <w:trPr>
          <w:trHeight w:val="203"/>
        </w:trPr>
        <w:tc>
          <w:tcPr>
            <w:tcW w:w="2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2040" w:type="dxa"/>
            <w:vAlign w:val="bottom"/>
            <w:tcBorders>
              <w:bottom w:val="single" w:sz="8" w:color="auto"/>
            </w:tcBorders>
            <w:gridSpan w:val="5"/>
          </w:tcPr>
          <w:p>
            <w:pPr>
              <w:ind w:left="180"/>
              <w:spacing w:after="0"/>
              <w:rPr>
                <w:sz w:val="20"/>
                <w:szCs w:val="20"/>
                <w:color w:val="auto"/>
              </w:rPr>
            </w:pPr>
            <w:r>
              <w:rPr>
                <w:rFonts w:ascii="Arial" w:cs="Arial" w:eastAsia="Arial" w:hAnsi="Arial"/>
                <w:sz w:val="14"/>
                <w:szCs w:val="14"/>
                <w:b w:val="1"/>
                <w:bCs w:val="1"/>
                <w:color w:val="auto"/>
              </w:rPr>
              <w:t>September 30, 2017</w:t>
            </w:r>
          </w:p>
        </w:tc>
        <w:tc>
          <w:tcPr>
            <w:tcW w:w="14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64"/>
        </w:trPr>
        <w:tc>
          <w:tcPr>
            <w:tcW w:w="22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spacing w:after="0"/>
              <w:rPr>
                <w:sz w:val="22"/>
                <w:szCs w:val="22"/>
                <w:color w:val="auto"/>
              </w:rPr>
            </w:pPr>
          </w:p>
        </w:tc>
        <w:tc>
          <w:tcPr>
            <w:tcW w:w="1400" w:type="dxa"/>
            <w:vAlign w:val="bottom"/>
            <w:tcBorders>
              <w:bottom w:val="single" w:sz="8" w:color="auto"/>
            </w:tcBorders>
            <w:gridSpan w:val="8"/>
          </w:tcPr>
          <w:p>
            <w:pPr>
              <w:jc w:val="center"/>
              <w:ind w:left="8"/>
              <w:spacing w:after="0"/>
              <w:rPr>
                <w:sz w:val="20"/>
                <w:szCs w:val="20"/>
                <w:color w:val="auto"/>
              </w:rPr>
            </w:pPr>
            <w:r>
              <w:rPr>
                <w:rFonts w:ascii="Arial" w:cs="Arial" w:eastAsia="Arial" w:hAnsi="Arial"/>
                <w:sz w:val="14"/>
                <w:szCs w:val="14"/>
                <w:b w:val="1"/>
                <w:bCs w:val="1"/>
                <w:color w:val="auto"/>
              </w:rPr>
              <w:t>Equipment Leasing</w:t>
            </w:r>
          </w:p>
        </w:tc>
        <w:tc>
          <w:tcPr>
            <w:tcW w:w="10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2040" w:type="dxa"/>
            <w:vAlign w:val="bottom"/>
            <w:tcBorders>
              <w:bottom w:val="single" w:sz="8" w:color="auto"/>
            </w:tcBorders>
            <w:gridSpan w:val="5"/>
          </w:tcPr>
          <w:p>
            <w:pPr>
              <w:ind w:left="440"/>
              <w:spacing w:after="0"/>
              <w:rPr>
                <w:sz w:val="20"/>
                <w:szCs w:val="20"/>
                <w:color w:val="auto"/>
              </w:rPr>
            </w:pPr>
            <w:r>
              <w:rPr>
                <w:rFonts w:ascii="Arial" w:cs="Arial" w:eastAsia="Arial" w:hAnsi="Arial"/>
                <w:sz w:val="14"/>
                <w:szCs w:val="14"/>
                <w:b w:val="1"/>
                <w:bCs w:val="1"/>
                <w:color w:val="auto"/>
              </w:rPr>
              <w:t>Infrastructure</w:t>
            </w:r>
          </w:p>
        </w:tc>
        <w:tc>
          <w:tcPr>
            <w:tcW w:w="14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68"/>
        </w:trPr>
        <w:tc>
          <w:tcPr>
            <w:tcW w:w="2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jc w:val="right"/>
              <w:ind w:right="48"/>
              <w:spacing w:after="0"/>
              <w:rPr>
                <w:sz w:val="20"/>
                <w:szCs w:val="20"/>
                <w:color w:val="auto"/>
              </w:rPr>
            </w:pPr>
            <w:r>
              <w:rPr>
                <w:rFonts w:ascii="Arial" w:cs="Arial" w:eastAsia="Arial" w:hAnsi="Arial"/>
                <w:sz w:val="14"/>
                <w:szCs w:val="14"/>
                <w:b w:val="1"/>
                <w:bCs w:val="1"/>
                <w:color w:val="auto"/>
              </w:rPr>
              <w:t>Aviation</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rPr>
              <w:t>Offshore</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gridSpan w:val="2"/>
          </w:tcPr>
          <w:p>
            <w:pPr>
              <w:ind w:left="60"/>
              <w:spacing w:after="0"/>
              <w:rPr>
                <w:sz w:val="20"/>
                <w:szCs w:val="20"/>
                <w:color w:val="auto"/>
              </w:rPr>
            </w:pPr>
            <w:r>
              <w:rPr>
                <w:rFonts w:ascii="Arial" w:cs="Arial" w:eastAsia="Arial" w:hAnsi="Arial"/>
                <w:sz w:val="14"/>
                <w:szCs w:val="14"/>
                <w:b w:val="1"/>
                <w:bCs w:val="1"/>
                <w:color w:val="auto"/>
              </w:rPr>
              <w:t>Shipping</w:t>
            </w:r>
          </w:p>
        </w:tc>
        <w:tc>
          <w:tcPr>
            <w:tcW w:w="140" w:type="dxa"/>
            <w:vAlign w:val="bottom"/>
          </w:tcPr>
          <w:p>
            <w:pPr>
              <w:spacing w:after="0"/>
              <w:rPr>
                <w:sz w:val="14"/>
                <w:szCs w:val="14"/>
                <w:color w:val="auto"/>
              </w:rPr>
            </w:pPr>
          </w:p>
        </w:tc>
        <w:tc>
          <w:tcPr>
            <w:tcW w:w="9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Jefferson</w:t>
            </w:r>
          </w:p>
        </w:tc>
        <w:tc>
          <w:tcPr>
            <w:tcW w:w="1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gridSpan w:val="2"/>
          </w:tcPr>
          <w:p>
            <w:pPr>
              <w:ind w:left="20"/>
              <w:spacing w:after="0"/>
              <w:rPr>
                <w:sz w:val="20"/>
                <w:szCs w:val="20"/>
                <w:color w:val="auto"/>
              </w:rPr>
            </w:pPr>
            <w:r>
              <w:rPr>
                <w:rFonts w:ascii="Arial" w:cs="Arial" w:eastAsia="Arial" w:hAnsi="Arial"/>
                <w:sz w:val="14"/>
                <w:szCs w:val="14"/>
                <w:b w:val="1"/>
                <w:bCs w:val="1"/>
                <w:color w:val="auto"/>
              </w:rPr>
              <w:t>Ports and</w:t>
            </w:r>
          </w:p>
        </w:tc>
        <w:tc>
          <w:tcPr>
            <w:tcW w:w="1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222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Leasing</w:t>
            </w:r>
          </w:p>
        </w:tc>
        <w:tc>
          <w:tcPr>
            <w:tcW w:w="120" w:type="dxa"/>
            <w:vAlign w:val="bottom"/>
            <w:tcBorders>
              <w:bottom w:val="single" w:sz="8" w:color="auto"/>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gridSpan w:val="2"/>
          </w:tcPr>
          <w:p>
            <w:pPr>
              <w:jc w:val="center"/>
              <w:ind w:right="100"/>
              <w:spacing w:after="0"/>
              <w:rPr>
                <w:sz w:val="20"/>
                <w:szCs w:val="20"/>
                <w:color w:val="auto"/>
              </w:rPr>
            </w:pPr>
            <w:r>
              <w:rPr>
                <w:rFonts w:ascii="Arial" w:cs="Arial" w:eastAsia="Arial" w:hAnsi="Arial"/>
                <w:sz w:val="14"/>
                <w:szCs w:val="14"/>
                <w:b w:val="1"/>
                <w:bCs w:val="1"/>
                <w:color w:val="auto"/>
              </w:rPr>
              <w:t>Energy</w:t>
            </w:r>
          </w:p>
        </w:tc>
        <w:tc>
          <w:tcPr>
            <w:tcW w:w="2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Containers</w:t>
            </w:r>
          </w:p>
        </w:tc>
        <w:tc>
          <w:tcPr>
            <w:tcW w:w="1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center"/>
              <w:ind w:right="68"/>
              <w:spacing w:after="0"/>
              <w:rPr>
                <w:sz w:val="20"/>
                <w:szCs w:val="20"/>
                <w:color w:val="auto"/>
              </w:rPr>
            </w:pPr>
            <w:r>
              <w:rPr>
                <w:rFonts w:ascii="Arial" w:cs="Arial" w:eastAsia="Arial" w:hAnsi="Arial"/>
                <w:sz w:val="14"/>
                <w:szCs w:val="14"/>
                <w:b w:val="1"/>
                <w:bCs w:val="1"/>
                <w:color w:val="auto"/>
                <w:w w:val="99"/>
              </w:rPr>
              <w:t>Terminal</w:t>
            </w:r>
          </w:p>
        </w:tc>
        <w:tc>
          <w:tcPr>
            <w:tcW w:w="12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b w:val="1"/>
                <w:bCs w:val="1"/>
                <w:color w:val="auto"/>
              </w:rPr>
              <w:t>Railroad</w:t>
            </w:r>
          </w:p>
        </w:tc>
        <w:tc>
          <w:tcPr>
            <w:tcW w:w="1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Terminals</w:t>
            </w:r>
          </w:p>
        </w:tc>
        <w:tc>
          <w:tcPr>
            <w:tcW w:w="10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b w:val="1"/>
                <w:bCs w:val="1"/>
                <w:color w:val="auto"/>
              </w:rPr>
              <w:t>Corporate</w:t>
            </w:r>
          </w:p>
        </w:tc>
        <w:tc>
          <w:tcPr>
            <w:tcW w:w="12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38"/>
        </w:trPr>
        <w:tc>
          <w:tcPr>
            <w:tcW w:w="222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Total assets</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792,335</w:t>
            </w:r>
          </w:p>
        </w:tc>
        <w:tc>
          <w:tcPr>
            <w:tcW w:w="340" w:type="dxa"/>
            <w:vAlign w:val="bottom"/>
            <w:gridSpan w:val="3"/>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231,152</w:t>
            </w:r>
          </w:p>
        </w:tc>
        <w:tc>
          <w:tcPr>
            <w:tcW w:w="10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88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4,090</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84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557,833</w:t>
            </w: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w:t>
            </w:r>
          </w:p>
        </w:tc>
        <w:tc>
          <w:tcPr>
            <w:tcW w:w="84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49,318</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86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110,679</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86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164,514</w:t>
            </w: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82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1,909,921</w:t>
            </w:r>
          </w:p>
        </w:tc>
        <w:tc>
          <w:tcPr>
            <w:tcW w:w="0" w:type="dxa"/>
            <w:vAlign w:val="bottom"/>
          </w:tcPr>
          <w:p>
            <w:pPr>
              <w:spacing w:after="0"/>
              <w:rPr>
                <w:sz w:val="1"/>
                <w:szCs w:val="1"/>
                <w:color w:val="auto"/>
              </w:rPr>
            </w:pPr>
          </w:p>
        </w:tc>
      </w:tr>
      <w:tr>
        <w:trPr>
          <w:trHeight w:val="20"/>
        </w:trPr>
        <w:tc>
          <w:tcPr>
            <w:tcW w:w="22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5"/>
        </w:trPr>
        <w:tc>
          <w:tcPr>
            <w:tcW w:w="2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9"/>
        </w:trPr>
        <w:tc>
          <w:tcPr>
            <w:tcW w:w="2220" w:type="dxa"/>
            <w:vAlign w:val="bottom"/>
            <w:shd w:val="clear" w:color="auto" w:fill="CCEEFF"/>
          </w:tcPr>
          <w:p>
            <w:pPr>
              <w:ind w:left="20"/>
              <w:spacing w:after="0"/>
              <w:rPr>
                <w:sz w:val="20"/>
                <w:szCs w:val="20"/>
                <w:color w:val="auto"/>
              </w:rPr>
            </w:pPr>
            <w:r>
              <w:rPr>
                <w:rFonts w:ascii="Arial" w:cs="Arial" w:eastAsia="Arial" w:hAnsi="Arial"/>
                <w:sz w:val="14"/>
                <w:szCs w:val="14"/>
                <w:color w:val="auto"/>
              </w:rPr>
              <w:t>Debt, net</w:t>
            </w: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53,531</w:t>
            </w:r>
          </w:p>
        </w:tc>
        <w:tc>
          <w:tcPr>
            <w:tcW w:w="10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b w:val="1"/>
                <w:bCs w:val="1"/>
                <w:color w:val="auto"/>
              </w:rPr>
              <w:t>—</w:t>
            </w:r>
          </w:p>
        </w:tc>
        <w:tc>
          <w:tcPr>
            <w:tcW w:w="140" w:type="dxa"/>
            <w:vAlign w:val="bottom"/>
            <w:shd w:val="clear" w:color="auto" w:fill="CCEEFF"/>
          </w:tcPr>
          <w:p>
            <w:pPr>
              <w:spacing w:after="0"/>
              <w:rPr>
                <w:sz w:val="23"/>
                <w:szCs w:val="23"/>
                <w:color w:val="auto"/>
              </w:rPr>
            </w:pPr>
          </w:p>
        </w:tc>
        <w:tc>
          <w:tcPr>
            <w:tcW w:w="84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184,526</w:t>
            </w: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84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18,034</w:t>
            </w: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b w:val="1"/>
                <w:bCs w:val="1"/>
                <w:color w:val="auto"/>
              </w:rPr>
              <w:t>—</w:t>
            </w:r>
          </w:p>
        </w:tc>
        <w:tc>
          <w:tcPr>
            <w:tcW w:w="120" w:type="dxa"/>
            <w:vAlign w:val="bottom"/>
            <w:shd w:val="clear" w:color="auto" w:fill="CCEEFF"/>
          </w:tcPr>
          <w:p>
            <w:pPr>
              <w:spacing w:after="0"/>
              <w:rPr>
                <w:sz w:val="23"/>
                <w:szCs w:val="23"/>
                <w:color w:val="auto"/>
              </w:rPr>
            </w:pPr>
          </w:p>
        </w:tc>
        <w:tc>
          <w:tcPr>
            <w:tcW w:w="86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399,489</w:t>
            </w: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82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655,580</w:t>
            </w:r>
          </w:p>
        </w:tc>
        <w:tc>
          <w:tcPr>
            <w:tcW w:w="0" w:type="dxa"/>
            <w:vAlign w:val="bottom"/>
          </w:tcPr>
          <w:p>
            <w:pPr>
              <w:spacing w:after="0"/>
              <w:rPr>
                <w:sz w:val="1"/>
                <w:szCs w:val="1"/>
                <w:color w:val="auto"/>
              </w:rPr>
            </w:pPr>
          </w:p>
        </w:tc>
      </w:tr>
      <w:tr>
        <w:trPr>
          <w:trHeight w:val="319"/>
        </w:trPr>
        <w:tc>
          <w:tcPr>
            <w:tcW w:w="2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800" w:type="dxa"/>
            <w:vAlign w:val="bottom"/>
            <w:tcBorders>
              <w:top w:val="single" w:sz="8" w:color="auto"/>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82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88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84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84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86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86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82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69"/>
        </w:trPr>
        <w:tc>
          <w:tcPr>
            <w:tcW w:w="222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Total liabilities</w:t>
            </w: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116,080</w:t>
            </w: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58,589</w:t>
            </w:r>
          </w:p>
        </w:tc>
        <w:tc>
          <w:tcPr>
            <w:tcW w:w="10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b w:val="1"/>
                <w:bCs w:val="1"/>
                <w:color w:val="auto"/>
              </w:rPr>
              <w:t>—</w:t>
            </w:r>
          </w:p>
        </w:tc>
        <w:tc>
          <w:tcPr>
            <w:tcW w:w="140" w:type="dxa"/>
            <w:vAlign w:val="bottom"/>
            <w:shd w:val="clear" w:color="auto" w:fill="CCEEFF"/>
          </w:tcPr>
          <w:p>
            <w:pPr>
              <w:spacing w:after="0"/>
              <w:rPr>
                <w:sz w:val="23"/>
                <w:szCs w:val="23"/>
                <w:color w:val="auto"/>
              </w:rPr>
            </w:pPr>
          </w:p>
        </w:tc>
        <w:tc>
          <w:tcPr>
            <w:tcW w:w="84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203,148</w:t>
            </w: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84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33,936</w:t>
            </w: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86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16,588</w:t>
            </w: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86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403,657</w:t>
            </w: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82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831,998</w:t>
            </w:r>
          </w:p>
        </w:tc>
        <w:tc>
          <w:tcPr>
            <w:tcW w:w="0" w:type="dxa"/>
            <w:vAlign w:val="bottom"/>
          </w:tcPr>
          <w:p>
            <w:pPr>
              <w:spacing w:after="0"/>
              <w:rPr>
                <w:sz w:val="1"/>
                <w:szCs w:val="1"/>
                <w:color w:val="auto"/>
              </w:rPr>
            </w:pPr>
          </w:p>
        </w:tc>
      </w:tr>
      <w:tr>
        <w:trPr>
          <w:trHeight w:val="319"/>
        </w:trPr>
        <w:tc>
          <w:tcPr>
            <w:tcW w:w="2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800" w:type="dxa"/>
            <w:vAlign w:val="bottom"/>
            <w:tcBorders>
              <w:top w:val="single" w:sz="8" w:color="auto"/>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82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88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84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84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86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86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82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76"/>
        </w:trPr>
        <w:tc>
          <w:tcPr>
            <w:tcW w:w="2220" w:type="dxa"/>
            <w:vAlign w:val="bottom"/>
            <w:shd w:val="clear" w:color="auto" w:fill="CCEEFF"/>
          </w:tcPr>
          <w:p>
            <w:pPr>
              <w:ind w:left="20"/>
              <w:spacing w:after="0"/>
              <w:rPr>
                <w:sz w:val="20"/>
                <w:szCs w:val="20"/>
                <w:color w:val="auto"/>
              </w:rPr>
            </w:pPr>
            <w:r>
              <w:rPr>
                <w:rFonts w:ascii="Arial" w:cs="Arial" w:eastAsia="Arial" w:hAnsi="Arial"/>
                <w:sz w:val="14"/>
                <w:szCs w:val="14"/>
                <w:color w:val="auto"/>
              </w:rPr>
              <w:t>Non-controlling interests in equity</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4"/>
                <w:szCs w:val="14"/>
                <w:b w:val="1"/>
                <w:bCs w:val="1"/>
                <w:color w:val="auto"/>
              </w:rPr>
              <w:t>3,040</w:t>
            </w: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2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14"/>
                <w:szCs w:val="14"/>
                <w:b w:val="1"/>
                <w:bCs w:val="1"/>
                <w:color w:val="auto"/>
              </w:rPr>
              <w:t>—</w:t>
            </w: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8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4"/>
                <w:szCs w:val="14"/>
                <w:b w:val="1"/>
                <w:bCs w:val="1"/>
                <w:color w:val="auto"/>
              </w:rPr>
              <w:t>—</w:t>
            </w:r>
          </w:p>
        </w:tc>
        <w:tc>
          <w:tcPr>
            <w:tcW w:w="140" w:type="dxa"/>
            <w:vAlign w:val="bottom"/>
            <w:shd w:val="clear" w:color="auto" w:fill="CCEEFF"/>
          </w:tcPr>
          <w:p>
            <w:pPr>
              <w:spacing w:after="0"/>
              <w:rPr>
                <w:sz w:val="15"/>
                <w:szCs w:val="15"/>
                <w:color w:val="auto"/>
              </w:rPr>
            </w:pPr>
          </w:p>
        </w:tc>
        <w:tc>
          <w:tcPr>
            <w:tcW w:w="84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91,106</w:t>
            </w: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4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2,540</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6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4"/>
                <w:szCs w:val="14"/>
                <w:b w:val="1"/>
                <w:bCs w:val="1"/>
                <w:color w:val="auto"/>
              </w:rPr>
              <w:t>—</w:t>
            </w:r>
          </w:p>
        </w:tc>
        <w:tc>
          <w:tcPr>
            <w:tcW w:w="120" w:type="dxa"/>
            <w:vAlign w:val="bottom"/>
            <w:shd w:val="clear" w:color="auto" w:fill="CCEEFF"/>
          </w:tcPr>
          <w:p>
            <w:pPr>
              <w:spacing w:after="0"/>
              <w:rPr>
                <w:sz w:val="15"/>
                <w:szCs w:val="15"/>
                <w:color w:val="auto"/>
              </w:rPr>
            </w:pPr>
          </w:p>
        </w:tc>
        <w:tc>
          <w:tcPr>
            <w:tcW w:w="86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524</w:t>
            </w: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2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97,210</w:t>
            </w:r>
          </w:p>
        </w:tc>
        <w:tc>
          <w:tcPr>
            <w:tcW w:w="0" w:type="dxa"/>
            <w:vAlign w:val="bottom"/>
          </w:tcPr>
          <w:p>
            <w:pPr>
              <w:spacing w:after="0"/>
              <w:rPr>
                <w:sz w:val="1"/>
                <w:szCs w:val="1"/>
                <w:color w:val="auto"/>
              </w:rPr>
            </w:pPr>
          </w:p>
        </w:tc>
      </w:tr>
      <w:tr>
        <w:trPr>
          <w:trHeight w:val="189"/>
        </w:trPr>
        <w:tc>
          <w:tcPr>
            <w:tcW w:w="2220" w:type="dxa"/>
            <w:vAlign w:val="bottom"/>
            <w:shd w:val="clear" w:color="auto" w:fill="CCEEFF"/>
          </w:tcPr>
          <w:p>
            <w:pPr>
              <w:ind w:left="20"/>
              <w:spacing w:after="0"/>
              <w:rPr>
                <w:sz w:val="20"/>
                <w:szCs w:val="20"/>
                <w:color w:val="auto"/>
              </w:rPr>
            </w:pPr>
            <w:r>
              <w:rPr>
                <w:rFonts w:ascii="Arial" w:cs="Arial" w:eastAsia="Arial" w:hAnsi="Arial"/>
                <w:sz w:val="14"/>
                <w:szCs w:val="14"/>
                <w:color w:val="auto"/>
              </w:rPr>
              <w:t>of consolidated subsidiaries</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0" w:type="dxa"/>
            <w:vAlign w:val="bottom"/>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20" w:type="dxa"/>
            <w:vAlign w:val="bottom"/>
            <w:gridSpan w:val="2"/>
            <w:vMerge w:val="continue"/>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80" w:type="dxa"/>
            <w:vAlign w:val="bottom"/>
            <w:gridSpan w:val="2"/>
            <w:vMerge w:val="continue"/>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40" w:type="dxa"/>
            <w:vAlign w:val="bottom"/>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4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60" w:type="dxa"/>
            <w:vAlign w:val="bottom"/>
            <w:gridSpan w:val="2"/>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60" w:type="dxa"/>
            <w:vAlign w:val="bottom"/>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2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2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8"/>
        </w:trPr>
        <w:tc>
          <w:tcPr>
            <w:tcW w:w="2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9"/>
        </w:trPr>
        <w:tc>
          <w:tcPr>
            <w:tcW w:w="222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Total equity</w:t>
            </w:r>
          </w:p>
        </w:tc>
        <w:tc>
          <w:tcPr>
            <w:tcW w:w="10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676,255</w:t>
            </w:r>
          </w:p>
        </w:tc>
        <w:tc>
          <w:tcPr>
            <w:tcW w:w="120" w:type="dxa"/>
            <w:vAlign w:val="bottom"/>
            <w:tcBorders>
              <w:bottom w:val="single" w:sz="8" w:color="auto"/>
            </w:tcBorders>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00" w:type="dxa"/>
            <w:vAlign w:val="bottom"/>
            <w:tcBorders>
              <w:bottom w:val="single" w:sz="8" w:color="auto"/>
            </w:tcBorders>
            <w:shd w:val="clear" w:color="auto" w:fill="CCEEFF"/>
          </w:tcPr>
          <w:p>
            <w:pPr>
              <w:spacing w:after="0"/>
              <w:rPr>
                <w:sz w:val="23"/>
                <w:szCs w:val="23"/>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172,563</w:t>
            </w:r>
          </w:p>
        </w:tc>
        <w:tc>
          <w:tcPr>
            <w:tcW w:w="100" w:type="dxa"/>
            <w:vAlign w:val="bottom"/>
            <w:tcBorders>
              <w:bottom w:val="single" w:sz="8" w:color="auto"/>
            </w:tcBorders>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0" w:type="dxa"/>
            <w:vAlign w:val="bottom"/>
            <w:tcBorders>
              <w:bottom w:val="single" w:sz="8" w:color="auto"/>
            </w:tcBorders>
            <w:shd w:val="clear" w:color="auto" w:fill="CCEEFF"/>
          </w:tcPr>
          <w:p>
            <w:pPr>
              <w:spacing w:after="0"/>
              <w:rPr>
                <w:sz w:val="23"/>
                <w:szCs w:val="23"/>
                <w:color w:val="auto"/>
              </w:rPr>
            </w:pPr>
          </w:p>
        </w:tc>
        <w:tc>
          <w:tcPr>
            <w:tcW w:w="100" w:type="dxa"/>
            <w:vAlign w:val="bottom"/>
            <w:tcBorders>
              <w:bottom w:val="single" w:sz="8" w:color="auto"/>
            </w:tcBorders>
            <w:shd w:val="clear" w:color="auto" w:fill="CCEEFF"/>
          </w:tcPr>
          <w:p>
            <w:pPr>
              <w:spacing w:after="0"/>
              <w:rPr>
                <w:sz w:val="23"/>
                <w:szCs w:val="23"/>
                <w:color w:val="auto"/>
              </w:rPr>
            </w:pPr>
          </w:p>
        </w:tc>
        <w:tc>
          <w:tcPr>
            <w:tcW w:w="88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4,090</w:t>
            </w:r>
          </w:p>
        </w:tc>
        <w:tc>
          <w:tcPr>
            <w:tcW w:w="10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8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354,685</w:t>
            </w:r>
          </w:p>
        </w:tc>
        <w:tc>
          <w:tcPr>
            <w:tcW w:w="12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8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15,382</w:t>
            </w:r>
          </w:p>
        </w:tc>
        <w:tc>
          <w:tcPr>
            <w:tcW w:w="10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86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94,091</w:t>
            </w:r>
          </w:p>
        </w:tc>
        <w:tc>
          <w:tcPr>
            <w:tcW w:w="10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(239,143)</w:t>
            </w:r>
          </w:p>
        </w:tc>
        <w:tc>
          <w:tcPr>
            <w:tcW w:w="12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8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1,077,923</w:t>
            </w:r>
          </w:p>
        </w:tc>
        <w:tc>
          <w:tcPr>
            <w:tcW w:w="0" w:type="dxa"/>
            <w:vAlign w:val="bottom"/>
          </w:tcPr>
          <w:p>
            <w:pPr>
              <w:spacing w:after="0"/>
              <w:rPr>
                <w:sz w:val="1"/>
                <w:szCs w:val="1"/>
                <w:color w:val="auto"/>
              </w:rPr>
            </w:pPr>
          </w:p>
        </w:tc>
      </w:tr>
      <w:tr>
        <w:trPr>
          <w:trHeight w:val="292"/>
        </w:trPr>
        <w:tc>
          <w:tcPr>
            <w:tcW w:w="2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2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Total liabilities and equity</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792,335</w:t>
            </w:r>
          </w:p>
        </w:tc>
        <w:tc>
          <w:tcPr>
            <w:tcW w:w="120" w:type="dxa"/>
            <w:vAlign w:val="bottom"/>
            <w:tcBorders>
              <w:bottom w:val="single" w:sz="8" w:color="auto"/>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231,152</w:t>
            </w:r>
          </w:p>
        </w:tc>
        <w:tc>
          <w:tcPr>
            <w:tcW w:w="100" w:type="dxa"/>
            <w:vAlign w:val="bottom"/>
            <w:tcBorders>
              <w:bottom w:val="single" w:sz="8" w:color="auto"/>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auto"/>
            </w:tcBorders>
            <w:shd w:val="clear" w:color="auto" w:fill="CCEEFF"/>
          </w:tcPr>
          <w:p>
            <w:pPr>
              <w:spacing w:after="0"/>
              <w:rPr>
                <w:sz w:val="22"/>
                <w:szCs w:val="22"/>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88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4,090</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8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557,833</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w:t>
            </w:r>
          </w:p>
        </w:tc>
        <w:tc>
          <w:tcPr>
            <w:tcW w:w="8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49,318</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86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110,679</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8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164,514</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8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1,909,921</w:t>
            </w:r>
          </w:p>
        </w:tc>
        <w:tc>
          <w:tcPr>
            <w:tcW w:w="0" w:type="dxa"/>
            <w:vAlign w:val="bottom"/>
          </w:tcPr>
          <w:p>
            <w:pPr>
              <w:spacing w:after="0"/>
              <w:rPr>
                <w:sz w:val="1"/>
                <w:szCs w:val="1"/>
                <w:color w:val="auto"/>
              </w:rPr>
            </w:pPr>
          </w:p>
        </w:tc>
      </w:tr>
      <w:tr>
        <w:trPr>
          <w:trHeight w:val="20"/>
        </w:trPr>
        <w:tc>
          <w:tcPr>
            <w:tcW w:w="2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8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47"/>
        </w:trPr>
        <w:tc>
          <w:tcPr>
            <w:tcW w:w="222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040" w:type="dxa"/>
            <w:vAlign w:val="bottom"/>
            <w:tcBorders>
              <w:bottom w:val="single" w:sz="8" w:color="auto"/>
            </w:tcBorders>
            <w:gridSpan w:val="5"/>
          </w:tcPr>
          <w:p>
            <w:pPr>
              <w:ind w:left="140"/>
              <w:spacing w:after="0"/>
              <w:rPr>
                <w:sz w:val="20"/>
                <w:szCs w:val="20"/>
                <w:color w:val="auto"/>
              </w:rPr>
            </w:pPr>
            <w:r>
              <w:rPr>
                <w:rFonts w:ascii="Arial" w:cs="Arial" w:eastAsia="Arial" w:hAnsi="Arial"/>
                <w:sz w:val="14"/>
                <w:szCs w:val="14"/>
                <w:b w:val="1"/>
                <w:bCs w:val="1"/>
                <w:color w:val="auto"/>
              </w:rPr>
              <w:t>September 30, 2017</w:t>
            </w:r>
          </w:p>
        </w:tc>
        <w:tc>
          <w:tcPr>
            <w:tcW w:w="14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2220" w:type="dxa"/>
            <w:vAlign w:val="bottom"/>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spacing w:after="0"/>
              <w:rPr>
                <w:sz w:val="22"/>
                <w:szCs w:val="22"/>
                <w:color w:val="auto"/>
              </w:rPr>
            </w:pPr>
          </w:p>
        </w:tc>
        <w:tc>
          <w:tcPr>
            <w:tcW w:w="1400" w:type="dxa"/>
            <w:vAlign w:val="bottom"/>
            <w:tcBorders>
              <w:bottom w:val="single" w:sz="8" w:color="auto"/>
            </w:tcBorders>
            <w:gridSpan w:val="8"/>
          </w:tcPr>
          <w:p>
            <w:pPr>
              <w:ind w:left="20"/>
              <w:spacing w:after="0"/>
              <w:rPr>
                <w:sz w:val="20"/>
                <w:szCs w:val="20"/>
                <w:color w:val="auto"/>
              </w:rPr>
            </w:pPr>
            <w:r>
              <w:rPr>
                <w:rFonts w:ascii="Arial" w:cs="Arial" w:eastAsia="Arial" w:hAnsi="Arial"/>
                <w:sz w:val="14"/>
                <w:szCs w:val="14"/>
                <w:b w:val="1"/>
                <w:bCs w:val="1"/>
                <w:color w:val="auto"/>
              </w:rPr>
              <w:t>Equipment Leasing</w:t>
            </w:r>
          </w:p>
        </w:tc>
        <w:tc>
          <w:tcPr>
            <w:tcW w:w="10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gridSpan w:val="3"/>
          </w:tcPr>
          <w:p>
            <w:pPr>
              <w:ind w:left="40"/>
              <w:spacing w:after="0"/>
              <w:rPr>
                <w:sz w:val="20"/>
                <w:szCs w:val="20"/>
                <w:color w:val="auto"/>
              </w:rPr>
            </w:pPr>
            <w:r>
              <w:rPr>
                <w:rFonts w:ascii="Arial" w:cs="Arial" w:eastAsia="Arial" w:hAnsi="Arial"/>
                <w:sz w:val="14"/>
                <w:szCs w:val="14"/>
                <w:b w:val="1"/>
                <w:bCs w:val="1"/>
                <w:color w:val="auto"/>
              </w:rPr>
              <w:t>Infrastructure</w:t>
            </w:r>
          </w:p>
        </w:tc>
        <w:tc>
          <w:tcPr>
            <w:tcW w:w="14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68"/>
        </w:trPr>
        <w:tc>
          <w:tcPr>
            <w:tcW w:w="2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jc w:val="right"/>
              <w:ind w:right="148"/>
              <w:spacing w:after="0"/>
              <w:rPr>
                <w:sz w:val="20"/>
                <w:szCs w:val="20"/>
                <w:color w:val="auto"/>
              </w:rPr>
            </w:pPr>
            <w:r>
              <w:rPr>
                <w:rFonts w:ascii="Arial" w:cs="Arial" w:eastAsia="Arial" w:hAnsi="Arial"/>
                <w:sz w:val="14"/>
                <w:szCs w:val="14"/>
                <w:b w:val="1"/>
                <w:bCs w:val="1"/>
                <w:color w:val="auto"/>
              </w:rPr>
              <w:t>Aviation</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rPr>
              <w:t>Offshore</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gridSpan w:val="2"/>
          </w:tcPr>
          <w:p>
            <w:pPr>
              <w:ind w:left="20"/>
              <w:spacing w:after="0"/>
              <w:rPr>
                <w:sz w:val="20"/>
                <w:szCs w:val="20"/>
                <w:color w:val="auto"/>
              </w:rPr>
            </w:pPr>
            <w:r>
              <w:rPr>
                <w:rFonts w:ascii="Arial" w:cs="Arial" w:eastAsia="Arial" w:hAnsi="Arial"/>
                <w:sz w:val="14"/>
                <w:szCs w:val="14"/>
                <w:b w:val="1"/>
                <w:bCs w:val="1"/>
                <w:color w:val="auto"/>
              </w:rPr>
              <w:t>Shipping</w:t>
            </w:r>
          </w:p>
        </w:tc>
        <w:tc>
          <w:tcPr>
            <w:tcW w:w="140" w:type="dxa"/>
            <w:vAlign w:val="bottom"/>
          </w:tcPr>
          <w:p>
            <w:pPr>
              <w:spacing w:after="0"/>
              <w:rPr>
                <w:sz w:val="14"/>
                <w:szCs w:val="14"/>
                <w:color w:val="auto"/>
              </w:rPr>
            </w:pPr>
          </w:p>
        </w:tc>
        <w:tc>
          <w:tcPr>
            <w:tcW w:w="9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Jefferson</w:t>
            </w:r>
          </w:p>
        </w:tc>
        <w:tc>
          <w:tcPr>
            <w:tcW w:w="1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gridSpan w:val="2"/>
          </w:tcPr>
          <w:p>
            <w:pPr>
              <w:ind w:left="20"/>
              <w:spacing w:after="0"/>
              <w:rPr>
                <w:sz w:val="20"/>
                <w:szCs w:val="20"/>
                <w:color w:val="auto"/>
              </w:rPr>
            </w:pPr>
            <w:r>
              <w:rPr>
                <w:rFonts w:ascii="Arial" w:cs="Arial" w:eastAsia="Arial" w:hAnsi="Arial"/>
                <w:sz w:val="14"/>
                <w:szCs w:val="14"/>
                <w:b w:val="1"/>
                <w:bCs w:val="1"/>
                <w:color w:val="auto"/>
              </w:rPr>
              <w:t>Ports and</w:t>
            </w:r>
          </w:p>
        </w:tc>
        <w:tc>
          <w:tcPr>
            <w:tcW w:w="1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2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jc w:val="right"/>
              <w:ind w:right="168"/>
              <w:spacing w:after="0"/>
              <w:rPr>
                <w:sz w:val="20"/>
                <w:szCs w:val="20"/>
                <w:color w:val="auto"/>
              </w:rPr>
            </w:pPr>
            <w:r>
              <w:rPr>
                <w:rFonts w:ascii="Arial" w:cs="Arial" w:eastAsia="Arial" w:hAnsi="Arial"/>
                <w:sz w:val="14"/>
                <w:szCs w:val="14"/>
                <w:b w:val="1"/>
                <w:bCs w:val="1"/>
                <w:color w:val="auto"/>
              </w:rPr>
              <w:t>Leasing</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rPr>
              <w:t>Energy</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80" w:type="dxa"/>
            <w:vAlign w:val="bottom"/>
            <w:gridSpan w:val="3"/>
          </w:tcPr>
          <w:p>
            <w:pPr>
              <w:ind w:left="40"/>
              <w:spacing w:after="0"/>
              <w:rPr>
                <w:sz w:val="20"/>
                <w:szCs w:val="20"/>
                <w:color w:val="auto"/>
              </w:rPr>
            </w:pPr>
            <w:r>
              <w:rPr>
                <w:rFonts w:ascii="Arial" w:cs="Arial" w:eastAsia="Arial" w:hAnsi="Arial"/>
                <w:sz w:val="14"/>
                <w:szCs w:val="14"/>
                <w:b w:val="1"/>
                <w:bCs w:val="1"/>
                <w:color w:val="auto"/>
              </w:rPr>
              <w:t>Containers</w:t>
            </w:r>
          </w:p>
        </w:tc>
        <w:tc>
          <w:tcPr>
            <w:tcW w:w="140" w:type="dxa"/>
            <w:vAlign w:val="bottom"/>
          </w:tcPr>
          <w:p>
            <w:pPr>
              <w:spacing w:after="0"/>
              <w:rPr>
                <w:sz w:val="17"/>
                <w:szCs w:val="17"/>
                <w:color w:val="auto"/>
              </w:rPr>
            </w:pPr>
          </w:p>
        </w:tc>
        <w:tc>
          <w:tcPr>
            <w:tcW w:w="9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9"/>
              </w:rPr>
              <w:t>Terminal</w:t>
            </w:r>
          </w:p>
        </w:tc>
        <w:tc>
          <w:tcPr>
            <w:tcW w:w="140" w:type="dxa"/>
            <w:vAlign w:val="bottom"/>
          </w:tcPr>
          <w:p>
            <w:pPr>
              <w:spacing w:after="0"/>
              <w:rPr>
                <w:sz w:val="17"/>
                <w:szCs w:val="17"/>
                <w:color w:val="auto"/>
              </w:rPr>
            </w:pPr>
          </w:p>
        </w:tc>
        <w:tc>
          <w:tcPr>
            <w:tcW w:w="94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rPr>
              <w:t>Railroad</w:t>
            </w:r>
          </w:p>
        </w:tc>
        <w:tc>
          <w:tcPr>
            <w:tcW w:w="140" w:type="dxa"/>
            <w:vAlign w:val="bottom"/>
          </w:tcPr>
          <w:p>
            <w:pPr>
              <w:spacing w:after="0"/>
              <w:rPr>
                <w:sz w:val="17"/>
                <w:szCs w:val="17"/>
                <w:color w:val="auto"/>
              </w:rPr>
            </w:pPr>
          </w:p>
        </w:tc>
        <w:tc>
          <w:tcPr>
            <w:tcW w:w="960" w:type="dxa"/>
            <w:vAlign w:val="bottom"/>
            <w:gridSpan w:val="2"/>
          </w:tcPr>
          <w:p>
            <w:pPr>
              <w:ind w:left="20"/>
              <w:spacing w:after="0"/>
              <w:rPr>
                <w:sz w:val="20"/>
                <w:szCs w:val="20"/>
                <w:color w:val="auto"/>
              </w:rPr>
            </w:pPr>
            <w:r>
              <w:rPr>
                <w:rFonts w:ascii="Arial" w:cs="Arial" w:eastAsia="Arial" w:hAnsi="Arial"/>
                <w:sz w:val="14"/>
                <w:szCs w:val="14"/>
                <w:b w:val="1"/>
                <w:bCs w:val="1"/>
                <w:color w:val="auto"/>
              </w:rPr>
              <w:t>Terminals</w:t>
            </w:r>
          </w:p>
        </w:tc>
        <w:tc>
          <w:tcPr>
            <w:tcW w:w="120" w:type="dxa"/>
            <w:vAlign w:val="bottom"/>
          </w:tcPr>
          <w:p>
            <w:pPr>
              <w:spacing w:after="0"/>
              <w:rPr>
                <w:sz w:val="17"/>
                <w:szCs w:val="17"/>
                <w:color w:val="auto"/>
              </w:rPr>
            </w:pPr>
          </w:p>
        </w:tc>
        <w:tc>
          <w:tcPr>
            <w:tcW w:w="98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rPr>
              <w:t>Corporate</w:t>
            </w:r>
          </w:p>
        </w:tc>
        <w:tc>
          <w:tcPr>
            <w:tcW w:w="160" w:type="dxa"/>
            <w:vAlign w:val="bottom"/>
          </w:tcPr>
          <w:p>
            <w:pPr>
              <w:spacing w:after="0"/>
              <w:rPr>
                <w:sz w:val="17"/>
                <w:szCs w:val="17"/>
                <w:color w:val="auto"/>
              </w:rPr>
            </w:pPr>
          </w:p>
        </w:tc>
        <w:tc>
          <w:tcPr>
            <w:tcW w:w="820" w:type="dxa"/>
            <w:vAlign w:val="bottom"/>
          </w:tcPr>
          <w:p>
            <w:pPr>
              <w:jc w:val="right"/>
              <w:ind w:right="248"/>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55"/>
        </w:trPr>
        <w:tc>
          <w:tcPr>
            <w:tcW w:w="2220" w:type="dxa"/>
            <w:vAlign w:val="bottom"/>
            <w:tcBorders>
              <w:top w:val="single" w:sz="8" w:color="CCEEFF"/>
            </w:tcBorders>
            <w:shd w:val="clear" w:color="auto" w:fill="CCEEFF"/>
          </w:tcPr>
          <w:p>
            <w:pPr>
              <w:ind w:left="20"/>
              <w:spacing w:after="0" w:line="155" w:lineRule="exact"/>
              <w:rPr>
                <w:sz w:val="20"/>
                <w:szCs w:val="20"/>
                <w:color w:val="auto"/>
              </w:rPr>
            </w:pPr>
            <w:r>
              <w:rPr>
                <w:rFonts w:ascii="Arial" w:cs="Arial" w:eastAsia="Arial" w:hAnsi="Arial"/>
                <w:sz w:val="14"/>
                <w:szCs w:val="14"/>
                <w:b w:val="1"/>
                <w:bCs w:val="1"/>
                <w:color w:val="auto"/>
              </w:rPr>
              <w:t>Property, plant and equipment</w:t>
            </w:r>
          </w:p>
        </w:tc>
        <w:tc>
          <w:tcPr>
            <w:tcW w:w="100" w:type="dxa"/>
            <w:vAlign w:val="bottom"/>
            <w:tcBorders>
              <w:top w:val="single" w:sz="8" w:color="auto"/>
            </w:tcBorders>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spacing w:after="0"/>
              <w:rPr>
                <w:sz w:val="13"/>
                <w:szCs w:val="13"/>
                <w:color w:val="auto"/>
              </w:rPr>
            </w:pPr>
          </w:p>
        </w:tc>
        <w:tc>
          <w:tcPr>
            <w:tcW w:w="800" w:type="dxa"/>
            <w:vAlign w:val="bottom"/>
            <w:tcBorders>
              <w:top w:val="single" w:sz="8" w:color="auto"/>
            </w:tcBorders>
            <w:shd w:val="clear" w:color="auto" w:fill="CCEEFF"/>
          </w:tcPr>
          <w:p>
            <w:pPr>
              <w:spacing w:after="0"/>
              <w:rPr>
                <w:sz w:val="13"/>
                <w:szCs w:val="13"/>
                <w:color w:val="auto"/>
              </w:rPr>
            </w:pPr>
          </w:p>
        </w:tc>
        <w:tc>
          <w:tcPr>
            <w:tcW w:w="12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spacing w:after="0"/>
              <w:rPr>
                <w:sz w:val="13"/>
                <w:szCs w:val="13"/>
                <w:color w:val="auto"/>
              </w:rPr>
            </w:pPr>
          </w:p>
        </w:tc>
        <w:tc>
          <w:tcPr>
            <w:tcW w:w="82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spacing w:after="0"/>
              <w:rPr>
                <w:sz w:val="13"/>
                <w:szCs w:val="13"/>
                <w:color w:val="auto"/>
              </w:rPr>
            </w:pPr>
          </w:p>
        </w:tc>
        <w:tc>
          <w:tcPr>
            <w:tcW w:w="2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spacing w:after="0"/>
              <w:rPr>
                <w:sz w:val="13"/>
                <w:szCs w:val="13"/>
                <w:color w:val="auto"/>
              </w:rPr>
            </w:pPr>
          </w:p>
        </w:tc>
        <w:tc>
          <w:tcPr>
            <w:tcW w:w="88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auto"/>
            </w:tcBorders>
            <w:shd w:val="clear" w:color="auto" w:fill="CCEEFF"/>
          </w:tcPr>
          <w:p>
            <w:pPr>
              <w:spacing w:after="0"/>
              <w:rPr>
                <w:sz w:val="13"/>
                <w:szCs w:val="13"/>
                <w:color w:val="auto"/>
              </w:rPr>
            </w:pPr>
          </w:p>
        </w:tc>
        <w:tc>
          <w:tcPr>
            <w:tcW w:w="840" w:type="dxa"/>
            <w:vAlign w:val="bottom"/>
            <w:tcBorders>
              <w:top w:val="single" w:sz="8" w:color="auto"/>
            </w:tcBorders>
            <w:shd w:val="clear" w:color="auto" w:fill="CCEEFF"/>
          </w:tcPr>
          <w:p>
            <w:pPr>
              <w:spacing w:after="0"/>
              <w:rPr>
                <w:sz w:val="13"/>
                <w:szCs w:val="13"/>
                <w:color w:val="auto"/>
              </w:rPr>
            </w:pPr>
          </w:p>
        </w:tc>
        <w:tc>
          <w:tcPr>
            <w:tcW w:w="12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auto"/>
            </w:tcBorders>
            <w:shd w:val="clear" w:color="auto" w:fill="CCEEFF"/>
          </w:tcPr>
          <w:p>
            <w:pPr>
              <w:spacing w:after="0"/>
              <w:rPr>
                <w:sz w:val="13"/>
                <w:szCs w:val="13"/>
                <w:color w:val="auto"/>
              </w:rPr>
            </w:pPr>
          </w:p>
        </w:tc>
        <w:tc>
          <w:tcPr>
            <w:tcW w:w="84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auto"/>
            </w:tcBorders>
            <w:shd w:val="clear" w:color="auto" w:fill="CCEEFF"/>
          </w:tcPr>
          <w:p>
            <w:pPr>
              <w:spacing w:after="0"/>
              <w:rPr>
                <w:sz w:val="13"/>
                <w:szCs w:val="13"/>
                <w:color w:val="auto"/>
              </w:rPr>
            </w:pPr>
          </w:p>
        </w:tc>
        <w:tc>
          <w:tcPr>
            <w:tcW w:w="86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spacing w:after="0"/>
              <w:rPr>
                <w:sz w:val="13"/>
                <w:szCs w:val="13"/>
                <w:color w:val="auto"/>
              </w:rPr>
            </w:pPr>
          </w:p>
        </w:tc>
        <w:tc>
          <w:tcPr>
            <w:tcW w:w="860" w:type="dxa"/>
            <w:vAlign w:val="bottom"/>
            <w:tcBorders>
              <w:top w:val="single" w:sz="8" w:color="auto"/>
            </w:tcBorders>
            <w:shd w:val="clear" w:color="auto" w:fill="CCEEFF"/>
          </w:tcPr>
          <w:p>
            <w:pPr>
              <w:spacing w:after="0"/>
              <w:rPr>
                <w:sz w:val="13"/>
                <w:szCs w:val="13"/>
                <w:color w:val="auto"/>
              </w:rPr>
            </w:pPr>
          </w:p>
        </w:tc>
        <w:tc>
          <w:tcPr>
            <w:tcW w:w="120" w:type="dxa"/>
            <w:vAlign w:val="bottom"/>
            <w:tcBorders>
              <w:top w:val="single" w:sz="8" w:color="CCEEFF"/>
            </w:tcBorders>
            <w:shd w:val="clear" w:color="auto" w:fill="CCEEFF"/>
          </w:tcPr>
          <w:p>
            <w:pPr>
              <w:spacing w:after="0"/>
              <w:rPr>
                <w:sz w:val="13"/>
                <w:szCs w:val="13"/>
                <w:color w:val="auto"/>
              </w:rPr>
            </w:pPr>
          </w:p>
        </w:tc>
        <w:tc>
          <w:tcPr>
            <w:tcW w:w="160" w:type="dxa"/>
            <w:vAlign w:val="bottom"/>
            <w:tcBorders>
              <w:top w:val="single" w:sz="8" w:color="auto"/>
            </w:tcBorders>
            <w:shd w:val="clear" w:color="auto" w:fill="CCEEFF"/>
          </w:tcPr>
          <w:p>
            <w:pPr>
              <w:spacing w:after="0"/>
              <w:rPr>
                <w:sz w:val="13"/>
                <w:szCs w:val="13"/>
                <w:color w:val="auto"/>
              </w:rPr>
            </w:pPr>
          </w:p>
        </w:tc>
        <w:tc>
          <w:tcPr>
            <w:tcW w:w="820" w:type="dxa"/>
            <w:vAlign w:val="bottom"/>
            <w:tcBorders>
              <w:top w:val="single" w:sz="8" w:color="auto"/>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04"/>
        </w:trPr>
        <w:tc>
          <w:tcPr>
            <w:tcW w:w="222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and leasing equipment, net</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69"/>
        </w:trPr>
        <w:tc>
          <w:tcPr>
            <w:tcW w:w="2220" w:type="dxa"/>
            <w:vAlign w:val="bottom"/>
          </w:tcPr>
          <w:p>
            <w:pPr>
              <w:ind w:left="20"/>
              <w:spacing w:after="0"/>
              <w:rPr>
                <w:sz w:val="20"/>
                <w:szCs w:val="20"/>
                <w:color w:val="auto"/>
              </w:rPr>
            </w:pPr>
            <w:r>
              <w:rPr>
                <w:rFonts w:ascii="Arial" w:cs="Arial" w:eastAsia="Arial" w:hAnsi="Arial"/>
                <w:sz w:val="14"/>
                <w:szCs w:val="14"/>
                <w:color w:val="auto"/>
              </w:rPr>
              <w:t>Africa</w:t>
            </w:r>
          </w:p>
        </w:tc>
        <w:tc>
          <w:tcPr>
            <w:tcW w:w="10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20" w:type="dxa"/>
            <w:vAlign w:val="bottom"/>
          </w:tcPr>
          <w:p>
            <w:pPr>
              <w:spacing w:after="0"/>
              <w:rPr>
                <w:sz w:val="23"/>
                <w:szCs w:val="23"/>
                <w:color w:val="auto"/>
              </w:rPr>
            </w:pPr>
          </w:p>
        </w:tc>
        <w:tc>
          <w:tcPr>
            <w:tcW w:w="800" w:type="dxa"/>
            <w:vAlign w:val="bottom"/>
          </w:tcPr>
          <w:p>
            <w:pPr>
              <w:jc w:val="right"/>
              <w:ind w:right="48"/>
              <w:spacing w:after="0"/>
              <w:rPr>
                <w:sz w:val="20"/>
                <w:szCs w:val="20"/>
                <w:color w:val="auto"/>
              </w:rPr>
            </w:pPr>
            <w:r>
              <w:rPr>
                <w:rFonts w:ascii="Arial" w:cs="Arial" w:eastAsia="Arial" w:hAnsi="Arial"/>
                <w:sz w:val="14"/>
                <w:szCs w:val="14"/>
                <w:b w:val="1"/>
                <w:bCs w:val="1"/>
                <w:color w:val="auto"/>
              </w:rPr>
              <w:t>38,926</w:t>
            </w:r>
          </w:p>
        </w:tc>
        <w:tc>
          <w:tcPr>
            <w:tcW w:w="240" w:type="dxa"/>
            <w:vAlign w:val="bottom"/>
            <w:gridSpan w:val="2"/>
          </w:tcPr>
          <w:p>
            <w:pPr>
              <w:jc w:val="right"/>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23"/>
                <w:szCs w:val="23"/>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rPr>
              <w:t>—</w:t>
            </w:r>
          </w:p>
        </w:tc>
        <w:tc>
          <w:tcPr>
            <w:tcW w:w="120" w:type="dxa"/>
            <w:vAlign w:val="bottom"/>
            <w:gridSpan w:val="2"/>
          </w:tcPr>
          <w:p>
            <w:pPr>
              <w:jc w:val="right"/>
              <w:spacing w:after="0"/>
              <w:rPr>
                <w:sz w:val="20"/>
                <w:szCs w:val="20"/>
                <w:color w:val="auto"/>
              </w:rPr>
            </w:pPr>
            <w:r>
              <w:rPr>
                <w:rFonts w:ascii="Arial" w:cs="Arial" w:eastAsia="Arial" w:hAnsi="Arial"/>
                <w:sz w:val="14"/>
                <w:szCs w:val="14"/>
                <w:b w:val="1"/>
                <w:bCs w:val="1"/>
                <w:color w:val="auto"/>
              </w:rPr>
              <w:t>$</w:t>
            </w: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rPr>
              <w:t>—</w:t>
            </w:r>
          </w:p>
        </w:tc>
        <w:tc>
          <w:tcPr>
            <w:tcW w:w="14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96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rPr>
              <w:t>—</w:t>
            </w:r>
          </w:p>
        </w:tc>
        <w:tc>
          <w:tcPr>
            <w:tcW w:w="140" w:type="dxa"/>
            <w:vAlign w:val="bottom"/>
          </w:tcPr>
          <w:p>
            <w:pPr>
              <w:ind w:left="20"/>
              <w:spacing w:after="0"/>
              <w:rPr>
                <w:sz w:val="20"/>
                <w:szCs w:val="20"/>
                <w:color w:val="auto"/>
              </w:rPr>
            </w:pPr>
            <w:r>
              <w:rPr>
                <w:rFonts w:ascii="Arial" w:cs="Arial" w:eastAsia="Arial" w:hAnsi="Arial"/>
                <w:sz w:val="14"/>
                <w:szCs w:val="14"/>
                <w:b w:val="1"/>
                <w:bCs w:val="1"/>
                <w:color w:val="auto"/>
              </w:rPr>
              <w:t>$</w:t>
            </w:r>
          </w:p>
        </w:tc>
        <w:tc>
          <w:tcPr>
            <w:tcW w:w="94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rPr>
              <w:t>—</w:t>
            </w:r>
          </w:p>
        </w:tc>
        <w:tc>
          <w:tcPr>
            <w:tcW w:w="14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96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rPr>
              <w:t>—</w:t>
            </w:r>
          </w:p>
        </w:tc>
        <w:tc>
          <w:tcPr>
            <w:tcW w:w="12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98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rPr>
              <w:t>—</w:t>
            </w:r>
          </w:p>
        </w:tc>
        <w:tc>
          <w:tcPr>
            <w:tcW w:w="16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820" w:type="dxa"/>
            <w:vAlign w:val="bottom"/>
          </w:tcPr>
          <w:p>
            <w:pPr>
              <w:jc w:val="right"/>
              <w:ind w:right="28"/>
              <w:spacing w:after="0"/>
              <w:rPr>
                <w:sz w:val="20"/>
                <w:szCs w:val="20"/>
                <w:color w:val="auto"/>
              </w:rPr>
            </w:pPr>
            <w:r>
              <w:rPr>
                <w:rFonts w:ascii="Arial" w:cs="Arial" w:eastAsia="Arial" w:hAnsi="Arial"/>
                <w:sz w:val="14"/>
                <w:szCs w:val="14"/>
                <w:b w:val="1"/>
                <w:bCs w:val="1"/>
                <w:color w:val="auto"/>
              </w:rPr>
              <w:t>38,926</w:t>
            </w:r>
          </w:p>
        </w:tc>
        <w:tc>
          <w:tcPr>
            <w:tcW w:w="0" w:type="dxa"/>
            <w:vAlign w:val="bottom"/>
          </w:tcPr>
          <w:p>
            <w:pPr>
              <w:spacing w:after="0"/>
              <w:rPr>
                <w:sz w:val="1"/>
                <w:szCs w:val="1"/>
                <w:color w:val="auto"/>
              </w:rPr>
            </w:pPr>
          </w:p>
        </w:tc>
      </w:tr>
      <w:tr>
        <w:trPr>
          <w:trHeight w:val="271"/>
        </w:trPr>
        <w:tc>
          <w:tcPr>
            <w:tcW w:w="2220" w:type="dxa"/>
            <w:vAlign w:val="bottom"/>
            <w:shd w:val="clear" w:color="auto" w:fill="CCEEFF"/>
          </w:tcPr>
          <w:p>
            <w:pPr>
              <w:ind w:left="20"/>
              <w:spacing w:after="0"/>
              <w:rPr>
                <w:sz w:val="20"/>
                <w:szCs w:val="20"/>
                <w:color w:val="auto"/>
              </w:rPr>
            </w:pPr>
            <w:r>
              <w:rPr>
                <w:rFonts w:ascii="Arial" w:cs="Arial" w:eastAsia="Arial" w:hAnsi="Arial"/>
                <w:sz w:val="14"/>
                <w:szCs w:val="14"/>
                <w:color w:val="auto"/>
              </w:rPr>
              <w:t>Asia</w:t>
            </w: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80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280,554</w:t>
            </w: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82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36,710</w:t>
            </w:r>
          </w:p>
        </w:tc>
        <w:tc>
          <w:tcPr>
            <w:tcW w:w="10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b w:val="1"/>
                <w:bCs w:val="1"/>
                <w:color w:val="auto"/>
              </w:rPr>
              <w:t>—</w:t>
            </w:r>
          </w:p>
        </w:tc>
        <w:tc>
          <w:tcPr>
            <w:tcW w:w="140" w:type="dxa"/>
            <w:vAlign w:val="bottom"/>
            <w:shd w:val="clear" w:color="auto" w:fill="CCEEFF"/>
          </w:tcPr>
          <w:p>
            <w:pPr>
              <w:spacing w:after="0"/>
              <w:rPr>
                <w:sz w:val="23"/>
                <w:szCs w:val="23"/>
                <w:color w:val="auto"/>
              </w:rPr>
            </w:pP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b w:val="1"/>
                <w:bCs w:val="1"/>
                <w:color w:val="auto"/>
              </w:rPr>
              <w:t>—</w:t>
            </w:r>
          </w:p>
        </w:tc>
        <w:tc>
          <w:tcPr>
            <w:tcW w:w="140" w:type="dxa"/>
            <w:vAlign w:val="bottom"/>
            <w:shd w:val="clear" w:color="auto" w:fill="CCEEFF"/>
          </w:tcPr>
          <w:p>
            <w:pPr>
              <w:spacing w:after="0"/>
              <w:rPr>
                <w:sz w:val="23"/>
                <w:szCs w:val="23"/>
                <w:color w:val="auto"/>
              </w:rPr>
            </w:pP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b w:val="1"/>
                <w:bCs w:val="1"/>
                <w:color w:val="auto"/>
              </w:rPr>
              <w:t>—</w:t>
            </w:r>
          </w:p>
        </w:tc>
        <w:tc>
          <w:tcPr>
            <w:tcW w:w="140" w:type="dxa"/>
            <w:vAlign w:val="bottom"/>
            <w:shd w:val="clear" w:color="auto" w:fill="CCEEFF"/>
          </w:tcPr>
          <w:p>
            <w:pPr>
              <w:spacing w:after="0"/>
              <w:rPr>
                <w:sz w:val="23"/>
                <w:szCs w:val="23"/>
                <w:color w:val="auto"/>
              </w:rPr>
            </w:pP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b w:val="1"/>
                <w:bCs w:val="1"/>
                <w:color w:val="auto"/>
              </w:rPr>
              <w:t>—</w:t>
            </w:r>
          </w:p>
        </w:tc>
        <w:tc>
          <w:tcPr>
            <w:tcW w:w="120" w:type="dxa"/>
            <w:vAlign w:val="bottom"/>
            <w:shd w:val="clear" w:color="auto" w:fill="CCEEFF"/>
          </w:tcPr>
          <w:p>
            <w:pPr>
              <w:spacing w:after="0"/>
              <w:rPr>
                <w:sz w:val="23"/>
                <w:szCs w:val="23"/>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b w:val="1"/>
                <w:bCs w:val="1"/>
                <w:color w:val="auto"/>
              </w:rPr>
              <w:t>—</w:t>
            </w:r>
          </w:p>
        </w:tc>
        <w:tc>
          <w:tcPr>
            <w:tcW w:w="160" w:type="dxa"/>
            <w:vAlign w:val="bottom"/>
            <w:shd w:val="clear" w:color="auto" w:fill="CCEEFF"/>
          </w:tcPr>
          <w:p>
            <w:pPr>
              <w:spacing w:after="0"/>
              <w:rPr>
                <w:sz w:val="23"/>
                <w:szCs w:val="23"/>
                <w:color w:val="auto"/>
              </w:rPr>
            </w:pPr>
          </w:p>
        </w:tc>
        <w:tc>
          <w:tcPr>
            <w:tcW w:w="82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317,264</w:t>
            </w:r>
          </w:p>
        </w:tc>
        <w:tc>
          <w:tcPr>
            <w:tcW w:w="0" w:type="dxa"/>
            <w:vAlign w:val="bottom"/>
          </w:tcPr>
          <w:p>
            <w:pPr>
              <w:spacing w:after="0"/>
              <w:rPr>
                <w:sz w:val="1"/>
                <w:szCs w:val="1"/>
                <w:color w:val="auto"/>
              </w:rPr>
            </w:pPr>
          </w:p>
        </w:tc>
      </w:tr>
      <w:tr>
        <w:trPr>
          <w:trHeight w:val="269"/>
        </w:trPr>
        <w:tc>
          <w:tcPr>
            <w:tcW w:w="2220" w:type="dxa"/>
            <w:vAlign w:val="bottom"/>
          </w:tcPr>
          <w:p>
            <w:pPr>
              <w:ind w:left="20"/>
              <w:spacing w:after="0"/>
              <w:rPr>
                <w:sz w:val="20"/>
                <w:szCs w:val="20"/>
                <w:color w:val="auto"/>
              </w:rPr>
            </w:pPr>
            <w:r>
              <w:rPr>
                <w:rFonts w:ascii="Arial" w:cs="Arial" w:eastAsia="Arial" w:hAnsi="Arial"/>
                <w:sz w:val="14"/>
                <w:szCs w:val="14"/>
                <w:color w:val="auto"/>
              </w:rPr>
              <w:t>Europe</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00" w:type="dxa"/>
            <w:vAlign w:val="bottom"/>
          </w:tcPr>
          <w:p>
            <w:pPr>
              <w:jc w:val="right"/>
              <w:ind w:right="48"/>
              <w:spacing w:after="0"/>
              <w:rPr>
                <w:sz w:val="20"/>
                <w:szCs w:val="20"/>
                <w:color w:val="auto"/>
              </w:rPr>
            </w:pPr>
            <w:r>
              <w:rPr>
                <w:rFonts w:ascii="Arial" w:cs="Arial" w:eastAsia="Arial" w:hAnsi="Arial"/>
                <w:sz w:val="14"/>
                <w:szCs w:val="14"/>
                <w:b w:val="1"/>
                <w:bCs w:val="1"/>
                <w:color w:val="auto"/>
              </w:rPr>
              <w:t>269,448</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20" w:type="dxa"/>
            <w:vAlign w:val="bottom"/>
          </w:tcPr>
          <w:p>
            <w:pPr>
              <w:jc w:val="right"/>
              <w:ind w:right="48"/>
              <w:spacing w:after="0"/>
              <w:rPr>
                <w:sz w:val="20"/>
                <w:szCs w:val="20"/>
                <w:color w:val="auto"/>
              </w:rPr>
            </w:pPr>
            <w:r>
              <w:rPr>
                <w:rFonts w:ascii="Arial" w:cs="Arial" w:eastAsia="Arial" w:hAnsi="Arial"/>
                <w:sz w:val="14"/>
                <w:szCs w:val="14"/>
                <w:b w:val="1"/>
                <w:bCs w:val="1"/>
                <w:color w:val="auto"/>
              </w:rPr>
              <w:t>127,968</w:t>
            </w: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rPr>
              <w:t>—</w:t>
            </w:r>
          </w:p>
        </w:tc>
        <w:tc>
          <w:tcPr>
            <w:tcW w:w="140" w:type="dxa"/>
            <w:vAlign w:val="bottom"/>
          </w:tcPr>
          <w:p>
            <w:pPr>
              <w:spacing w:after="0"/>
              <w:rPr>
                <w:sz w:val="23"/>
                <w:szCs w:val="23"/>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rPr>
              <w:t>—</w:t>
            </w:r>
          </w:p>
        </w:tc>
        <w:tc>
          <w:tcPr>
            <w:tcW w:w="140" w:type="dxa"/>
            <w:vAlign w:val="bottom"/>
          </w:tcPr>
          <w:p>
            <w:pPr>
              <w:spacing w:after="0"/>
              <w:rPr>
                <w:sz w:val="23"/>
                <w:szCs w:val="23"/>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rPr>
              <w:t>—</w:t>
            </w:r>
          </w:p>
        </w:tc>
        <w:tc>
          <w:tcPr>
            <w:tcW w:w="140" w:type="dxa"/>
            <w:vAlign w:val="bottom"/>
          </w:tcPr>
          <w:p>
            <w:pPr>
              <w:spacing w:after="0"/>
              <w:rPr>
                <w:sz w:val="23"/>
                <w:szCs w:val="23"/>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rPr>
              <w:t>—</w:t>
            </w:r>
          </w:p>
        </w:tc>
        <w:tc>
          <w:tcPr>
            <w:tcW w:w="120" w:type="dxa"/>
            <w:vAlign w:val="bottom"/>
          </w:tcPr>
          <w:p>
            <w:pPr>
              <w:spacing w:after="0"/>
              <w:rPr>
                <w:sz w:val="23"/>
                <w:szCs w:val="23"/>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23"/>
                <w:szCs w:val="23"/>
                <w:color w:val="auto"/>
              </w:rPr>
            </w:pPr>
          </w:p>
        </w:tc>
        <w:tc>
          <w:tcPr>
            <w:tcW w:w="820" w:type="dxa"/>
            <w:vAlign w:val="bottom"/>
          </w:tcPr>
          <w:p>
            <w:pPr>
              <w:jc w:val="right"/>
              <w:ind w:right="28"/>
              <w:spacing w:after="0"/>
              <w:rPr>
                <w:sz w:val="20"/>
                <w:szCs w:val="20"/>
                <w:color w:val="auto"/>
              </w:rPr>
            </w:pPr>
            <w:r>
              <w:rPr>
                <w:rFonts w:ascii="Arial" w:cs="Arial" w:eastAsia="Arial" w:hAnsi="Arial"/>
                <w:sz w:val="14"/>
                <w:szCs w:val="14"/>
                <w:b w:val="1"/>
                <w:bCs w:val="1"/>
                <w:color w:val="auto"/>
              </w:rPr>
              <w:t>397,416</w:t>
            </w:r>
          </w:p>
        </w:tc>
        <w:tc>
          <w:tcPr>
            <w:tcW w:w="0" w:type="dxa"/>
            <w:vAlign w:val="bottom"/>
          </w:tcPr>
          <w:p>
            <w:pPr>
              <w:spacing w:after="0"/>
              <w:rPr>
                <w:sz w:val="1"/>
                <w:szCs w:val="1"/>
                <w:color w:val="auto"/>
              </w:rPr>
            </w:pPr>
          </w:p>
        </w:tc>
      </w:tr>
      <w:tr>
        <w:trPr>
          <w:trHeight w:val="271"/>
        </w:trPr>
        <w:tc>
          <w:tcPr>
            <w:tcW w:w="2220" w:type="dxa"/>
            <w:vAlign w:val="bottom"/>
            <w:shd w:val="clear" w:color="auto" w:fill="CCEEFF"/>
          </w:tcPr>
          <w:p>
            <w:pPr>
              <w:ind w:left="20"/>
              <w:spacing w:after="0"/>
              <w:rPr>
                <w:sz w:val="20"/>
                <w:szCs w:val="20"/>
                <w:color w:val="auto"/>
              </w:rPr>
            </w:pPr>
            <w:r>
              <w:rPr>
                <w:rFonts w:ascii="Arial" w:cs="Arial" w:eastAsia="Arial" w:hAnsi="Arial"/>
                <w:sz w:val="14"/>
                <w:szCs w:val="14"/>
                <w:color w:val="auto"/>
              </w:rPr>
              <w:t>North America</w:t>
            </w: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80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127,600</w:t>
            </w: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b w:val="1"/>
                <w:bCs w:val="1"/>
                <w:color w:val="auto"/>
              </w:rPr>
              <w:t>—</w:t>
            </w:r>
          </w:p>
        </w:tc>
        <w:tc>
          <w:tcPr>
            <w:tcW w:w="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b w:val="1"/>
                <w:bCs w:val="1"/>
                <w:color w:val="auto"/>
              </w:rPr>
              <w:t>—</w:t>
            </w:r>
          </w:p>
        </w:tc>
        <w:tc>
          <w:tcPr>
            <w:tcW w:w="140" w:type="dxa"/>
            <w:vAlign w:val="bottom"/>
            <w:shd w:val="clear" w:color="auto" w:fill="CCEEFF"/>
          </w:tcPr>
          <w:p>
            <w:pPr>
              <w:spacing w:after="0"/>
              <w:rPr>
                <w:sz w:val="23"/>
                <w:szCs w:val="23"/>
                <w:color w:val="auto"/>
              </w:rPr>
            </w:pPr>
          </w:p>
        </w:tc>
        <w:tc>
          <w:tcPr>
            <w:tcW w:w="84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365,016</w:t>
            </w: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84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35,593</w:t>
            </w: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86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104,633</w:t>
            </w: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b w:val="1"/>
                <w:bCs w:val="1"/>
                <w:color w:val="auto"/>
              </w:rPr>
              <w:t>—</w:t>
            </w:r>
          </w:p>
        </w:tc>
        <w:tc>
          <w:tcPr>
            <w:tcW w:w="160" w:type="dxa"/>
            <w:vAlign w:val="bottom"/>
            <w:shd w:val="clear" w:color="auto" w:fill="CCEEFF"/>
          </w:tcPr>
          <w:p>
            <w:pPr>
              <w:spacing w:after="0"/>
              <w:rPr>
                <w:sz w:val="23"/>
                <w:szCs w:val="23"/>
                <w:color w:val="auto"/>
              </w:rPr>
            </w:pPr>
          </w:p>
        </w:tc>
        <w:tc>
          <w:tcPr>
            <w:tcW w:w="82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632,842</w:t>
            </w:r>
          </w:p>
        </w:tc>
        <w:tc>
          <w:tcPr>
            <w:tcW w:w="0" w:type="dxa"/>
            <w:vAlign w:val="bottom"/>
          </w:tcPr>
          <w:p>
            <w:pPr>
              <w:spacing w:after="0"/>
              <w:rPr>
                <w:sz w:val="1"/>
                <w:szCs w:val="1"/>
                <w:color w:val="auto"/>
              </w:rPr>
            </w:pPr>
          </w:p>
        </w:tc>
      </w:tr>
      <w:tr>
        <w:trPr>
          <w:trHeight w:val="269"/>
        </w:trPr>
        <w:tc>
          <w:tcPr>
            <w:tcW w:w="222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South America</w:t>
            </w:r>
          </w:p>
        </w:tc>
        <w:tc>
          <w:tcPr>
            <w:tcW w:w="100" w:type="dxa"/>
            <w:vAlign w:val="bottom"/>
            <w:tcBorders>
              <w:bottom w:val="single" w:sz="8" w:color="auto"/>
            </w:tcBorders>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8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7,315</w:t>
            </w:r>
          </w:p>
        </w:tc>
        <w:tc>
          <w:tcPr>
            <w:tcW w:w="120" w:type="dxa"/>
            <w:vAlign w:val="bottom"/>
            <w:tcBorders>
              <w:bottom w:val="single" w:sz="8" w:color="CCEEFF"/>
            </w:tcBorders>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100" w:type="dxa"/>
            <w:vAlign w:val="bottom"/>
            <w:tcBorders>
              <w:bottom w:val="single" w:sz="8" w:color="auto"/>
            </w:tcBorders>
          </w:tcPr>
          <w:p>
            <w:pPr>
              <w:spacing w:after="0"/>
              <w:rPr>
                <w:sz w:val="23"/>
                <w:szCs w:val="23"/>
                <w:color w:val="auto"/>
              </w:rPr>
            </w:pPr>
          </w:p>
        </w:tc>
        <w:tc>
          <w:tcPr>
            <w:tcW w:w="8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w:t>
            </w:r>
          </w:p>
        </w:tc>
        <w:tc>
          <w:tcPr>
            <w:tcW w:w="100" w:type="dxa"/>
            <w:vAlign w:val="bottom"/>
            <w:tcBorders>
              <w:bottom w:val="single" w:sz="8" w:color="CCEEFF"/>
            </w:tcBorders>
          </w:tcPr>
          <w:p>
            <w:pPr>
              <w:spacing w:after="0"/>
              <w:rPr>
                <w:sz w:val="23"/>
                <w:szCs w:val="23"/>
                <w:color w:val="auto"/>
              </w:rPr>
            </w:pPr>
          </w:p>
        </w:tc>
        <w:tc>
          <w:tcPr>
            <w:tcW w:w="20" w:type="dxa"/>
            <w:vAlign w:val="bottom"/>
            <w:tcBorders>
              <w:bottom w:val="single" w:sz="8" w:color="CCEEFF"/>
            </w:tcBorders>
          </w:tcPr>
          <w:p>
            <w:pPr>
              <w:spacing w:after="0"/>
              <w:rPr>
                <w:sz w:val="23"/>
                <w:szCs w:val="23"/>
                <w:color w:val="auto"/>
              </w:rPr>
            </w:pPr>
          </w:p>
        </w:tc>
        <w:tc>
          <w:tcPr>
            <w:tcW w:w="10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100" w:type="dxa"/>
            <w:vAlign w:val="bottom"/>
            <w:tcBorders>
              <w:bottom w:val="single" w:sz="8" w:color="auto"/>
            </w:tcBorders>
          </w:tcPr>
          <w:p>
            <w:pPr>
              <w:spacing w:after="0"/>
              <w:rPr>
                <w:sz w:val="23"/>
                <w:szCs w:val="23"/>
                <w:color w:val="auto"/>
              </w:rPr>
            </w:pPr>
          </w:p>
        </w:tc>
        <w:tc>
          <w:tcPr>
            <w:tcW w:w="8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w:t>
            </w:r>
          </w:p>
        </w:tc>
        <w:tc>
          <w:tcPr>
            <w:tcW w:w="100" w:type="dxa"/>
            <w:vAlign w:val="bottom"/>
            <w:tcBorders>
              <w:bottom w:val="single" w:sz="8" w:color="CCEEFF"/>
            </w:tcBorders>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8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w:t>
            </w:r>
          </w:p>
        </w:tc>
        <w:tc>
          <w:tcPr>
            <w:tcW w:w="120" w:type="dxa"/>
            <w:vAlign w:val="bottom"/>
            <w:tcBorders>
              <w:bottom w:val="single" w:sz="8" w:color="CCEEFF"/>
            </w:tcBorders>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8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w:t>
            </w:r>
          </w:p>
        </w:tc>
        <w:tc>
          <w:tcPr>
            <w:tcW w:w="100" w:type="dxa"/>
            <w:vAlign w:val="bottom"/>
            <w:tcBorders>
              <w:bottom w:val="single" w:sz="8" w:color="CCEEFF"/>
            </w:tcBorders>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8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w:t>
            </w:r>
          </w:p>
        </w:tc>
        <w:tc>
          <w:tcPr>
            <w:tcW w:w="100" w:type="dxa"/>
            <w:vAlign w:val="bottom"/>
            <w:tcBorders>
              <w:bottom w:val="single" w:sz="8" w:color="CCEEFF"/>
            </w:tcBorders>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8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w:t>
            </w:r>
          </w:p>
        </w:tc>
        <w:tc>
          <w:tcPr>
            <w:tcW w:w="120" w:type="dxa"/>
            <w:vAlign w:val="bottom"/>
            <w:tcBorders>
              <w:bottom w:val="single" w:sz="8" w:color="CCEEFF"/>
            </w:tcBorders>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8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7,315</w:t>
            </w:r>
          </w:p>
        </w:tc>
        <w:tc>
          <w:tcPr>
            <w:tcW w:w="0" w:type="dxa"/>
            <w:vAlign w:val="bottom"/>
          </w:tcPr>
          <w:p>
            <w:pPr>
              <w:spacing w:after="0"/>
              <w:rPr>
                <w:sz w:val="1"/>
                <w:szCs w:val="1"/>
                <w:color w:val="auto"/>
              </w:rPr>
            </w:pPr>
          </w:p>
        </w:tc>
      </w:tr>
      <w:tr>
        <w:trPr>
          <w:trHeight w:val="238"/>
        </w:trPr>
        <w:tc>
          <w:tcPr>
            <w:tcW w:w="222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Total</w:t>
            </w: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20" w:type="dxa"/>
            <w:vAlign w:val="bottom"/>
            <w:shd w:val="clear" w:color="auto" w:fill="CCEEFF"/>
          </w:tcPr>
          <w:p>
            <w:pPr>
              <w:spacing w:after="0"/>
              <w:rPr>
                <w:sz w:val="20"/>
                <w:szCs w:val="20"/>
                <w:color w:val="auto"/>
              </w:rPr>
            </w:pPr>
          </w:p>
        </w:tc>
        <w:tc>
          <w:tcPr>
            <w:tcW w:w="80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723,843</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00" w:type="dxa"/>
            <w:vAlign w:val="bottom"/>
            <w:shd w:val="clear" w:color="auto" w:fill="CCEEFF"/>
          </w:tcPr>
          <w:p>
            <w:pPr>
              <w:spacing w:after="0"/>
              <w:rPr>
                <w:sz w:val="20"/>
                <w:szCs w:val="20"/>
                <w:color w:val="auto"/>
              </w:rPr>
            </w:pPr>
          </w:p>
        </w:tc>
        <w:tc>
          <w:tcPr>
            <w:tcW w:w="82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164,678</w:t>
            </w:r>
          </w:p>
        </w:tc>
        <w:tc>
          <w:tcPr>
            <w:tcW w:w="100" w:type="dxa"/>
            <w:vAlign w:val="bottom"/>
            <w:shd w:val="clear" w:color="auto" w:fill="CCEEFF"/>
          </w:tcPr>
          <w:p>
            <w:pPr>
              <w:spacing w:after="0"/>
              <w:rPr>
                <w:sz w:val="20"/>
                <w:szCs w:val="20"/>
                <w:color w:val="auto"/>
              </w:rPr>
            </w:pPr>
          </w:p>
        </w:tc>
        <w:tc>
          <w:tcPr>
            <w:tcW w:w="120" w:type="dxa"/>
            <w:vAlign w:val="bottom"/>
            <w:gridSpan w:val="2"/>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b w:val="1"/>
                <w:bCs w:val="1"/>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84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365,016</w:t>
            </w: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w:t>
            </w:r>
          </w:p>
        </w:tc>
        <w:tc>
          <w:tcPr>
            <w:tcW w:w="84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35,593</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86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104,633</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b w:val="1"/>
                <w:bCs w:val="1"/>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82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1,393,763</w:t>
            </w:r>
          </w:p>
        </w:tc>
        <w:tc>
          <w:tcPr>
            <w:tcW w:w="0" w:type="dxa"/>
            <w:vAlign w:val="bottom"/>
          </w:tcPr>
          <w:p>
            <w:pPr>
              <w:spacing w:after="0"/>
              <w:rPr>
                <w:sz w:val="1"/>
                <w:szCs w:val="1"/>
                <w:color w:val="auto"/>
              </w:rPr>
            </w:pPr>
          </w:p>
        </w:tc>
      </w:tr>
      <w:tr>
        <w:trPr>
          <w:trHeight w:val="20"/>
        </w:trPr>
        <w:tc>
          <w:tcPr>
            <w:tcW w:w="22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40</w:t>
      </w:r>
    </w:p>
    <w:p>
      <w:pPr>
        <w:sectPr>
          <w:pgSz w:w="11900" w:h="16838" w:orient="portrait"/>
          <w:cols w:equalWidth="0" w:num="1">
            <w:col w:w="11420"/>
          </w:cols>
          <w:pgMar w:left="240" w:top="117" w:right="239" w:bottom="1440" w:gutter="0" w:footer="0" w:header="0"/>
        </w:sectPr>
      </w:pPr>
    </w:p>
    <w:bookmarkStart w:id="40" w:name="page41"/>
    <w:bookmarkEnd w:id="40"/>
    <w:p>
      <w:pPr>
        <w:ind w:right="3820"/>
        <w:spacing w:after="0" w:line="305" w:lineRule="auto"/>
        <w:rPr>
          <w:sz w:val="20"/>
          <w:szCs w:val="20"/>
          <w:color w:val="auto"/>
        </w:rPr>
      </w:pPr>
      <w:r>
        <w:rPr>
          <w:rFonts w:ascii="Arial" w:cs="Arial" w:eastAsia="Arial" w:hAnsi="Arial"/>
          <w:sz w:val="22"/>
          <w:szCs w:val="22"/>
          <w:b w:val="1"/>
          <w:bCs w:val="1"/>
          <w:color w:val="00497F"/>
        </w:rPr>
        <w:t xml:space="preserve">FORTRESS TRANSPORTATION AND INFRASTRUCTURE INVESTORS LLC NOTES TO CONSOLIDATED FINANCIAL STATEMENTS </w:t>
      </w:r>
      <w:r>
        <w:rPr>
          <w:rFonts w:ascii="Arial" w:cs="Arial" w:eastAsia="Arial" w:hAnsi="Arial"/>
          <w:sz w:val="22"/>
          <w:szCs w:val="22"/>
          <w:b w:val="1"/>
          <w:bCs w:val="1"/>
          <w:i w:val="1"/>
          <w:iCs w:val="1"/>
          <w:color w:val="00497F"/>
        </w:rPr>
        <w:t>(unaudited)</w:t>
      </w:r>
    </w:p>
    <w:p>
      <w:pPr>
        <w:spacing w:after="0"/>
        <w:rPr>
          <w:sz w:val="20"/>
          <w:szCs w:val="20"/>
          <w:color w:val="auto"/>
        </w:rPr>
      </w:pPr>
      <w:r>
        <w:rPr>
          <w:rFonts w:ascii="Arial" w:cs="Arial" w:eastAsia="Arial" w:hAnsi="Arial"/>
          <w:sz w:val="18"/>
          <w:szCs w:val="18"/>
          <w:i w:val="1"/>
          <w:iCs w:val="1"/>
          <w:color w:val="00497F"/>
        </w:rPr>
        <w:t>(Dollar amounts in thousands, unless otherwise noted)</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tbl>
      <w:tblPr>
        <w:tblLayout w:type="fixed"/>
        <w:tblInd w:w="340" w:type="dxa"/>
        <w:tblCellMar>
          <w:top w:w="0" w:type="dxa"/>
          <w:left w:w="0" w:type="dxa"/>
          <w:bottom w:w="0" w:type="dxa"/>
          <w:right w:w="0" w:type="dxa"/>
        </w:tblCellMar>
      </w:tblPr>
      <w:tr>
        <w:trPr>
          <w:trHeight w:val="203"/>
        </w:trPr>
        <w:tc>
          <w:tcPr>
            <w:tcW w:w="232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2060" w:type="dxa"/>
            <w:vAlign w:val="bottom"/>
            <w:tcBorders>
              <w:bottom w:val="single" w:sz="8" w:color="auto"/>
            </w:tcBorders>
            <w:gridSpan w:val="5"/>
          </w:tcPr>
          <w:p>
            <w:pPr>
              <w:ind w:left="240"/>
              <w:spacing w:after="0"/>
              <w:rPr>
                <w:sz w:val="20"/>
                <w:szCs w:val="20"/>
                <w:color w:val="auto"/>
              </w:rPr>
            </w:pPr>
            <w:r>
              <w:rPr>
                <w:rFonts w:ascii="Arial" w:cs="Arial" w:eastAsia="Arial" w:hAnsi="Arial"/>
                <w:sz w:val="14"/>
                <w:szCs w:val="14"/>
                <w:b w:val="1"/>
                <w:bCs w:val="1"/>
                <w:color w:val="auto"/>
              </w:rPr>
              <w:t>December 31, 2016</w:t>
            </w:r>
          </w:p>
        </w:tc>
        <w:tc>
          <w:tcPr>
            <w:tcW w:w="14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64"/>
        </w:trPr>
        <w:tc>
          <w:tcPr>
            <w:tcW w:w="232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spacing w:after="0"/>
              <w:rPr>
                <w:sz w:val="22"/>
                <w:szCs w:val="22"/>
                <w:color w:val="auto"/>
              </w:rPr>
            </w:pPr>
          </w:p>
        </w:tc>
        <w:tc>
          <w:tcPr>
            <w:tcW w:w="1420" w:type="dxa"/>
            <w:vAlign w:val="bottom"/>
            <w:tcBorders>
              <w:bottom w:val="single" w:sz="8" w:color="auto"/>
            </w:tcBorders>
            <w:gridSpan w:val="6"/>
          </w:tcPr>
          <w:p>
            <w:pPr>
              <w:jc w:val="center"/>
              <w:spacing w:after="0"/>
              <w:rPr>
                <w:sz w:val="20"/>
                <w:szCs w:val="20"/>
                <w:color w:val="auto"/>
              </w:rPr>
            </w:pPr>
            <w:r>
              <w:rPr>
                <w:rFonts w:ascii="Arial" w:cs="Arial" w:eastAsia="Arial" w:hAnsi="Arial"/>
                <w:sz w:val="14"/>
                <w:szCs w:val="14"/>
                <w:b w:val="1"/>
                <w:bCs w:val="1"/>
                <w:color w:val="auto"/>
              </w:rPr>
              <w:t>Equipment Leasing</w:t>
            </w:r>
          </w:p>
        </w:tc>
        <w:tc>
          <w:tcPr>
            <w:tcW w:w="880" w:type="dxa"/>
            <w:vAlign w:val="bottom"/>
            <w:tcBorders>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2060" w:type="dxa"/>
            <w:vAlign w:val="bottom"/>
            <w:tcBorders>
              <w:bottom w:val="single" w:sz="8" w:color="auto"/>
            </w:tcBorders>
            <w:gridSpan w:val="5"/>
          </w:tcPr>
          <w:p>
            <w:pPr>
              <w:ind w:left="460"/>
              <w:spacing w:after="0"/>
              <w:rPr>
                <w:sz w:val="20"/>
                <w:szCs w:val="20"/>
                <w:color w:val="auto"/>
              </w:rPr>
            </w:pPr>
            <w:r>
              <w:rPr>
                <w:rFonts w:ascii="Arial" w:cs="Arial" w:eastAsia="Arial" w:hAnsi="Arial"/>
                <w:sz w:val="14"/>
                <w:szCs w:val="14"/>
                <w:b w:val="1"/>
                <w:bCs w:val="1"/>
                <w:color w:val="auto"/>
              </w:rPr>
              <w:t>Infrastructure</w:t>
            </w:r>
          </w:p>
        </w:tc>
        <w:tc>
          <w:tcPr>
            <w:tcW w:w="14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68"/>
        </w:trPr>
        <w:tc>
          <w:tcPr>
            <w:tcW w:w="23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ind w:left="60"/>
              <w:spacing w:after="0"/>
              <w:rPr>
                <w:sz w:val="20"/>
                <w:szCs w:val="20"/>
                <w:color w:val="auto"/>
              </w:rPr>
            </w:pPr>
            <w:r>
              <w:rPr>
                <w:rFonts w:ascii="Arial" w:cs="Arial" w:eastAsia="Arial" w:hAnsi="Arial"/>
                <w:sz w:val="14"/>
                <w:szCs w:val="14"/>
                <w:b w:val="1"/>
                <w:bCs w:val="1"/>
                <w:color w:val="auto"/>
              </w:rPr>
              <w:t>Aviation</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Offshore</w:t>
            </w:r>
          </w:p>
        </w:tc>
        <w:tc>
          <w:tcPr>
            <w:tcW w:w="100" w:type="dxa"/>
            <w:vAlign w:val="bottom"/>
          </w:tcPr>
          <w:p>
            <w:pPr>
              <w:spacing w:after="0"/>
              <w:rPr>
                <w:sz w:val="14"/>
                <w:szCs w:val="14"/>
                <w:color w:val="auto"/>
              </w:rPr>
            </w:pPr>
          </w:p>
        </w:tc>
        <w:tc>
          <w:tcPr>
            <w:tcW w:w="10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Shipping</w:t>
            </w:r>
          </w:p>
        </w:tc>
        <w:tc>
          <w:tcPr>
            <w:tcW w:w="120" w:type="dxa"/>
            <w:vAlign w:val="bottom"/>
          </w:tcPr>
          <w:p>
            <w:pPr>
              <w:spacing w:after="0"/>
              <w:rPr>
                <w:sz w:val="14"/>
                <w:szCs w:val="14"/>
                <w:color w:val="auto"/>
              </w:rPr>
            </w:pPr>
          </w:p>
        </w:tc>
        <w:tc>
          <w:tcPr>
            <w:tcW w:w="9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Jefferson</w:t>
            </w:r>
          </w:p>
        </w:tc>
        <w:tc>
          <w:tcPr>
            <w:tcW w:w="1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gridSpan w:val="2"/>
          </w:tcPr>
          <w:p>
            <w:pPr>
              <w:ind w:left="20"/>
              <w:spacing w:after="0"/>
              <w:rPr>
                <w:sz w:val="20"/>
                <w:szCs w:val="20"/>
                <w:color w:val="auto"/>
              </w:rPr>
            </w:pPr>
            <w:r>
              <w:rPr>
                <w:rFonts w:ascii="Arial" w:cs="Arial" w:eastAsia="Arial" w:hAnsi="Arial"/>
                <w:sz w:val="14"/>
                <w:szCs w:val="14"/>
                <w:b w:val="1"/>
                <w:bCs w:val="1"/>
                <w:color w:val="auto"/>
              </w:rPr>
              <w:t>Ports and</w:t>
            </w:r>
          </w:p>
        </w:tc>
        <w:tc>
          <w:tcPr>
            <w:tcW w:w="1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232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ind w:left="80"/>
              <w:spacing w:after="0"/>
              <w:rPr>
                <w:sz w:val="20"/>
                <w:szCs w:val="20"/>
                <w:color w:val="auto"/>
              </w:rPr>
            </w:pPr>
            <w:r>
              <w:rPr>
                <w:rFonts w:ascii="Arial" w:cs="Arial" w:eastAsia="Arial" w:hAnsi="Arial"/>
                <w:sz w:val="14"/>
                <w:szCs w:val="14"/>
                <w:b w:val="1"/>
                <w:bCs w:val="1"/>
                <w:color w:val="auto"/>
              </w:rPr>
              <w:t>Leasing</w:t>
            </w:r>
          </w:p>
        </w:tc>
        <w:tc>
          <w:tcPr>
            <w:tcW w:w="100" w:type="dxa"/>
            <w:vAlign w:val="bottom"/>
            <w:tcBorders>
              <w:bottom w:val="single" w:sz="8" w:color="auto"/>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center"/>
              <w:ind w:right="68"/>
              <w:spacing w:after="0"/>
              <w:rPr>
                <w:sz w:val="20"/>
                <w:szCs w:val="20"/>
                <w:color w:val="auto"/>
              </w:rPr>
            </w:pPr>
            <w:r>
              <w:rPr>
                <w:rFonts w:ascii="Arial" w:cs="Arial" w:eastAsia="Arial" w:hAnsi="Arial"/>
                <w:sz w:val="14"/>
                <w:szCs w:val="14"/>
                <w:b w:val="1"/>
                <w:bCs w:val="1"/>
                <w:color w:val="auto"/>
              </w:rPr>
              <w:t>Energy</w:t>
            </w:r>
          </w:p>
        </w:tc>
        <w:tc>
          <w:tcPr>
            <w:tcW w:w="12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center"/>
              <w:ind w:right="28"/>
              <w:spacing w:after="0"/>
              <w:rPr>
                <w:sz w:val="20"/>
                <w:szCs w:val="20"/>
                <w:color w:val="auto"/>
              </w:rPr>
            </w:pPr>
            <w:r>
              <w:rPr>
                <w:rFonts w:ascii="Arial" w:cs="Arial" w:eastAsia="Arial" w:hAnsi="Arial"/>
                <w:sz w:val="14"/>
                <w:szCs w:val="14"/>
                <w:b w:val="1"/>
                <w:bCs w:val="1"/>
                <w:color w:val="auto"/>
              </w:rPr>
              <w:t>Containers</w:t>
            </w:r>
          </w:p>
        </w:tc>
        <w:tc>
          <w:tcPr>
            <w:tcW w:w="12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center"/>
              <w:ind w:right="68"/>
              <w:spacing w:after="0"/>
              <w:rPr>
                <w:sz w:val="20"/>
                <w:szCs w:val="20"/>
                <w:color w:val="auto"/>
              </w:rPr>
            </w:pPr>
            <w:r>
              <w:rPr>
                <w:rFonts w:ascii="Arial" w:cs="Arial" w:eastAsia="Arial" w:hAnsi="Arial"/>
                <w:sz w:val="14"/>
                <w:szCs w:val="14"/>
                <w:b w:val="1"/>
                <w:bCs w:val="1"/>
                <w:color w:val="auto"/>
              </w:rPr>
              <w:t>Terminal</w:t>
            </w:r>
          </w:p>
        </w:tc>
        <w:tc>
          <w:tcPr>
            <w:tcW w:w="10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b w:val="1"/>
                <w:bCs w:val="1"/>
                <w:color w:val="auto"/>
              </w:rPr>
              <w:t>Railroad</w:t>
            </w:r>
          </w:p>
        </w:tc>
        <w:tc>
          <w:tcPr>
            <w:tcW w:w="1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b w:val="1"/>
                <w:bCs w:val="1"/>
                <w:color w:val="auto"/>
                <w:w w:val="99"/>
              </w:rPr>
              <w:t>Terminals</w:t>
            </w:r>
          </w:p>
        </w:tc>
        <w:tc>
          <w:tcPr>
            <w:tcW w:w="12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b w:val="1"/>
                <w:bCs w:val="1"/>
                <w:color w:val="auto"/>
              </w:rPr>
              <w:t>Corporate</w:t>
            </w:r>
          </w:p>
        </w:tc>
        <w:tc>
          <w:tcPr>
            <w:tcW w:w="10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ind w:right="268"/>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38"/>
        </w:trPr>
        <w:tc>
          <w:tcPr>
            <w:tcW w:w="232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Total assets</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625,680</w:t>
            </w:r>
          </w:p>
        </w:tc>
        <w:tc>
          <w:tcPr>
            <w:tcW w:w="38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220,544</w:t>
            </w: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4,333</w:t>
            </w: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534,638</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ind w:left="40"/>
              <w:spacing w:after="0"/>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40,428</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63,331</w:t>
            </w: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58,358</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1,547,312</w:t>
            </w:r>
          </w:p>
        </w:tc>
        <w:tc>
          <w:tcPr>
            <w:tcW w:w="0" w:type="dxa"/>
            <w:vAlign w:val="bottom"/>
          </w:tcPr>
          <w:p>
            <w:pPr>
              <w:spacing w:after="0"/>
              <w:rPr>
                <w:sz w:val="1"/>
                <w:szCs w:val="1"/>
                <w:color w:val="auto"/>
              </w:rPr>
            </w:pPr>
          </w:p>
        </w:tc>
      </w:tr>
      <w:tr>
        <w:trPr>
          <w:trHeight w:val="20"/>
        </w:trPr>
        <w:tc>
          <w:tcPr>
            <w:tcW w:w="23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5"/>
        </w:trPr>
        <w:tc>
          <w:tcPr>
            <w:tcW w:w="2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6"/>
        </w:trPr>
        <w:tc>
          <w:tcPr>
            <w:tcW w:w="2320" w:type="dxa"/>
            <w:vAlign w:val="bottom"/>
            <w:shd w:val="clear" w:color="auto" w:fill="CCEEFF"/>
          </w:tcPr>
          <w:p>
            <w:pPr>
              <w:ind w:left="20"/>
              <w:spacing w:after="0"/>
              <w:rPr>
                <w:sz w:val="20"/>
                <w:szCs w:val="20"/>
                <w:color w:val="auto"/>
              </w:rPr>
            </w:pPr>
            <w:r>
              <w:rPr>
                <w:rFonts w:ascii="Arial" w:cs="Arial" w:eastAsia="Arial" w:hAnsi="Arial"/>
                <w:sz w:val="14"/>
                <w:szCs w:val="14"/>
                <w:color w:val="auto"/>
              </w:rPr>
              <w:t>Debt, net</w:t>
            </w:r>
          </w:p>
        </w:tc>
        <w:tc>
          <w:tcPr>
            <w:tcW w:w="160" w:type="dxa"/>
            <w:vAlign w:val="bottom"/>
            <w:shd w:val="clear" w:color="auto" w:fill="CCEEFF"/>
          </w:tcPr>
          <w:p>
            <w:pPr>
              <w:spacing w:after="0"/>
              <w:rPr>
                <w:sz w:val="23"/>
                <w:szCs w:val="23"/>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8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62,655</w:t>
            </w:r>
          </w:p>
        </w:tc>
        <w:tc>
          <w:tcPr>
            <w:tcW w:w="1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3"/>
                <w:szCs w:val="23"/>
                <w:color w:val="auto"/>
              </w:rPr>
            </w:pPr>
          </w:p>
        </w:tc>
        <w:tc>
          <w:tcPr>
            <w:tcW w:w="8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184,702</w:t>
            </w: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8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12,155</w:t>
            </w: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3"/>
                <w:szCs w:val="23"/>
                <w:color w:val="auto"/>
              </w:rPr>
            </w:pP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3"/>
                <w:szCs w:val="23"/>
                <w:color w:val="auto"/>
              </w:rPr>
            </w:pPr>
          </w:p>
        </w:tc>
        <w:tc>
          <w:tcPr>
            <w:tcW w:w="8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259,512</w:t>
            </w:r>
          </w:p>
        </w:tc>
        <w:tc>
          <w:tcPr>
            <w:tcW w:w="0" w:type="dxa"/>
            <w:vAlign w:val="bottom"/>
          </w:tcPr>
          <w:p>
            <w:pPr>
              <w:spacing w:after="0"/>
              <w:rPr>
                <w:sz w:val="1"/>
                <w:szCs w:val="1"/>
                <w:color w:val="auto"/>
              </w:rPr>
            </w:pPr>
          </w:p>
        </w:tc>
      </w:tr>
      <w:tr>
        <w:trPr>
          <w:trHeight w:val="322"/>
        </w:trPr>
        <w:tc>
          <w:tcPr>
            <w:tcW w:w="232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76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82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88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86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84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84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86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82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69"/>
        </w:trPr>
        <w:tc>
          <w:tcPr>
            <w:tcW w:w="232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Total liabilities</w:t>
            </w:r>
          </w:p>
        </w:tc>
        <w:tc>
          <w:tcPr>
            <w:tcW w:w="160" w:type="dxa"/>
            <w:vAlign w:val="bottom"/>
            <w:shd w:val="clear" w:color="auto" w:fill="CCEEFF"/>
          </w:tcPr>
          <w:p>
            <w:pPr>
              <w:spacing w:after="0"/>
              <w:rPr>
                <w:sz w:val="23"/>
                <w:szCs w:val="23"/>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74,989</w:t>
            </w: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8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66,002</w:t>
            </w:r>
          </w:p>
        </w:tc>
        <w:tc>
          <w:tcPr>
            <w:tcW w:w="1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3"/>
                <w:szCs w:val="23"/>
                <w:color w:val="auto"/>
              </w:rPr>
            </w:pPr>
          </w:p>
        </w:tc>
        <w:tc>
          <w:tcPr>
            <w:tcW w:w="8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205,536</w:t>
            </w: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8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24,971</w:t>
            </w: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8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6,287</w:t>
            </w: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8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3,847</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8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381,632</w:t>
            </w:r>
          </w:p>
        </w:tc>
        <w:tc>
          <w:tcPr>
            <w:tcW w:w="0" w:type="dxa"/>
            <w:vAlign w:val="bottom"/>
          </w:tcPr>
          <w:p>
            <w:pPr>
              <w:spacing w:after="0"/>
              <w:rPr>
                <w:sz w:val="1"/>
                <w:szCs w:val="1"/>
                <w:color w:val="auto"/>
              </w:rPr>
            </w:pPr>
          </w:p>
        </w:tc>
      </w:tr>
      <w:tr>
        <w:trPr>
          <w:trHeight w:val="319"/>
        </w:trPr>
        <w:tc>
          <w:tcPr>
            <w:tcW w:w="232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76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82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88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86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84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84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86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82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76"/>
        </w:trPr>
        <w:tc>
          <w:tcPr>
            <w:tcW w:w="2320" w:type="dxa"/>
            <w:vAlign w:val="bottom"/>
            <w:shd w:val="clear" w:color="auto" w:fill="CCEEFF"/>
          </w:tcPr>
          <w:p>
            <w:pPr>
              <w:ind w:left="20"/>
              <w:spacing w:after="0"/>
              <w:rPr>
                <w:sz w:val="20"/>
                <w:szCs w:val="20"/>
                <w:color w:val="auto"/>
              </w:rPr>
            </w:pPr>
            <w:r>
              <w:rPr>
                <w:rFonts w:ascii="Arial" w:cs="Arial" w:eastAsia="Arial" w:hAnsi="Arial"/>
                <w:sz w:val="14"/>
                <w:szCs w:val="14"/>
                <w:color w:val="auto"/>
              </w:rPr>
              <w:t>Non-controlling interests in equity</w:t>
            </w:r>
          </w:p>
        </w:tc>
        <w:tc>
          <w:tcPr>
            <w:tcW w:w="160" w:type="dxa"/>
            <w:vAlign w:val="bottom"/>
            <w:shd w:val="clear" w:color="auto" w:fill="CCEEFF"/>
          </w:tcPr>
          <w:p>
            <w:pPr>
              <w:spacing w:after="0"/>
              <w:rPr>
                <w:sz w:val="15"/>
                <w:szCs w:val="15"/>
                <w:color w:val="auto"/>
              </w:rPr>
            </w:pP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1,334</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2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3,325</w:t>
            </w: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5"/>
                <w:szCs w:val="15"/>
                <w:color w:val="auto"/>
              </w:rPr>
            </w:pPr>
          </w:p>
        </w:tc>
        <w:tc>
          <w:tcPr>
            <w:tcW w:w="86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104,087</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4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2,114</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4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483</w:t>
            </w: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6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525</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2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111,868</w:t>
            </w:r>
          </w:p>
        </w:tc>
        <w:tc>
          <w:tcPr>
            <w:tcW w:w="0" w:type="dxa"/>
            <w:vAlign w:val="bottom"/>
          </w:tcPr>
          <w:p>
            <w:pPr>
              <w:spacing w:after="0"/>
              <w:rPr>
                <w:sz w:val="1"/>
                <w:szCs w:val="1"/>
                <w:color w:val="auto"/>
              </w:rPr>
            </w:pPr>
          </w:p>
        </w:tc>
      </w:tr>
      <w:tr>
        <w:trPr>
          <w:trHeight w:val="189"/>
        </w:trPr>
        <w:tc>
          <w:tcPr>
            <w:tcW w:w="2320" w:type="dxa"/>
            <w:vAlign w:val="bottom"/>
            <w:shd w:val="clear" w:color="auto" w:fill="CCEEFF"/>
          </w:tcPr>
          <w:p>
            <w:pPr>
              <w:ind w:left="20"/>
              <w:spacing w:after="0"/>
              <w:rPr>
                <w:sz w:val="20"/>
                <w:szCs w:val="20"/>
                <w:color w:val="auto"/>
              </w:rPr>
            </w:pPr>
            <w:r>
              <w:rPr>
                <w:rFonts w:ascii="Arial" w:cs="Arial" w:eastAsia="Arial" w:hAnsi="Arial"/>
                <w:sz w:val="14"/>
                <w:szCs w:val="14"/>
                <w:color w:val="auto"/>
              </w:rPr>
              <w:t>of consolidated subsidiaries</w:t>
            </w:r>
          </w:p>
        </w:tc>
        <w:tc>
          <w:tcPr>
            <w:tcW w:w="160" w:type="dxa"/>
            <w:vAlign w:val="bottom"/>
            <w:shd w:val="clear" w:color="auto" w:fill="CCEEFF"/>
          </w:tcPr>
          <w:p>
            <w:pPr>
              <w:spacing w:after="0"/>
              <w:rPr>
                <w:sz w:val="16"/>
                <w:szCs w:val="16"/>
                <w:color w:val="auto"/>
              </w:rPr>
            </w:pPr>
          </w:p>
        </w:tc>
        <w:tc>
          <w:tcPr>
            <w:tcW w:w="76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20" w:type="dxa"/>
            <w:vAlign w:val="bottom"/>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0" w:type="dxa"/>
            <w:vAlign w:val="bottom"/>
            <w:gridSpan w:val="2"/>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6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4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40" w:type="dxa"/>
            <w:vAlign w:val="bottom"/>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6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2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3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8"/>
        </w:trPr>
        <w:tc>
          <w:tcPr>
            <w:tcW w:w="2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9"/>
        </w:trPr>
        <w:tc>
          <w:tcPr>
            <w:tcW w:w="232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Total equity</w:t>
            </w:r>
          </w:p>
        </w:tc>
        <w:tc>
          <w:tcPr>
            <w:tcW w:w="160" w:type="dxa"/>
            <w:vAlign w:val="bottom"/>
            <w:tcBorders>
              <w:bottom w:val="single" w:sz="8" w:color="auto"/>
            </w:tcBorders>
            <w:shd w:val="clear" w:color="auto" w:fill="CCEEFF"/>
          </w:tcPr>
          <w:p>
            <w:pPr>
              <w:spacing w:after="0"/>
              <w:rPr>
                <w:sz w:val="23"/>
                <w:szCs w:val="23"/>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550,691</w:t>
            </w:r>
          </w:p>
        </w:tc>
        <w:tc>
          <w:tcPr>
            <w:tcW w:w="100" w:type="dxa"/>
            <w:vAlign w:val="bottom"/>
            <w:tcBorders>
              <w:bottom w:val="single" w:sz="8" w:color="auto"/>
            </w:tcBorders>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8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154,542</w:t>
            </w:r>
          </w:p>
        </w:tc>
        <w:tc>
          <w:tcPr>
            <w:tcW w:w="120" w:type="dxa"/>
            <w:vAlign w:val="bottom"/>
            <w:shd w:val="clear" w:color="auto" w:fill="CCEEFF"/>
          </w:tcPr>
          <w:p>
            <w:pPr>
              <w:spacing w:after="0"/>
              <w:rPr>
                <w:sz w:val="23"/>
                <w:szCs w:val="23"/>
                <w:color w:val="auto"/>
              </w:rPr>
            </w:pPr>
          </w:p>
        </w:tc>
        <w:tc>
          <w:tcPr>
            <w:tcW w:w="100" w:type="dxa"/>
            <w:vAlign w:val="bottom"/>
            <w:tcBorders>
              <w:bottom w:val="single" w:sz="8" w:color="auto"/>
            </w:tcBorders>
            <w:shd w:val="clear" w:color="auto" w:fill="CCEEFF"/>
          </w:tcPr>
          <w:p>
            <w:pPr>
              <w:spacing w:after="0"/>
              <w:rPr>
                <w:sz w:val="23"/>
                <w:szCs w:val="23"/>
                <w:color w:val="auto"/>
              </w:rPr>
            </w:pPr>
          </w:p>
        </w:tc>
        <w:tc>
          <w:tcPr>
            <w:tcW w:w="8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4,333</w:t>
            </w:r>
          </w:p>
        </w:tc>
        <w:tc>
          <w:tcPr>
            <w:tcW w:w="12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86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329,102</w:t>
            </w:r>
          </w:p>
        </w:tc>
        <w:tc>
          <w:tcPr>
            <w:tcW w:w="10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84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15,457</w:t>
            </w:r>
          </w:p>
        </w:tc>
        <w:tc>
          <w:tcPr>
            <w:tcW w:w="10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8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57,044</w:t>
            </w:r>
          </w:p>
        </w:tc>
        <w:tc>
          <w:tcPr>
            <w:tcW w:w="12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8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54,511</w:t>
            </w:r>
          </w:p>
        </w:tc>
        <w:tc>
          <w:tcPr>
            <w:tcW w:w="10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8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1,165,680</w:t>
            </w:r>
          </w:p>
        </w:tc>
        <w:tc>
          <w:tcPr>
            <w:tcW w:w="0" w:type="dxa"/>
            <w:vAlign w:val="bottom"/>
          </w:tcPr>
          <w:p>
            <w:pPr>
              <w:spacing w:after="0"/>
              <w:rPr>
                <w:sz w:val="1"/>
                <w:szCs w:val="1"/>
                <w:color w:val="auto"/>
              </w:rPr>
            </w:pPr>
          </w:p>
        </w:tc>
      </w:tr>
      <w:tr>
        <w:trPr>
          <w:trHeight w:val="292"/>
        </w:trPr>
        <w:tc>
          <w:tcPr>
            <w:tcW w:w="2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2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Total liabilities and equity</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625,680</w:t>
            </w:r>
          </w:p>
        </w:tc>
        <w:tc>
          <w:tcPr>
            <w:tcW w:w="100" w:type="dxa"/>
            <w:vAlign w:val="bottom"/>
            <w:tcBorders>
              <w:bottom w:val="single" w:sz="8" w:color="auto"/>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220,544</w:t>
            </w:r>
          </w:p>
        </w:tc>
        <w:tc>
          <w:tcPr>
            <w:tcW w:w="1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4,333</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534,638</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40,428</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63,331</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58,358</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1,547,312</w:t>
            </w:r>
          </w:p>
        </w:tc>
        <w:tc>
          <w:tcPr>
            <w:tcW w:w="0" w:type="dxa"/>
            <w:vAlign w:val="bottom"/>
          </w:tcPr>
          <w:p>
            <w:pPr>
              <w:spacing w:after="0"/>
              <w:rPr>
                <w:sz w:val="1"/>
                <w:szCs w:val="1"/>
                <w:color w:val="auto"/>
              </w:rPr>
            </w:pPr>
          </w:p>
        </w:tc>
      </w:tr>
      <w:tr>
        <w:trPr>
          <w:trHeight w:val="20"/>
        </w:trPr>
        <w:tc>
          <w:tcPr>
            <w:tcW w:w="23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47"/>
        </w:trPr>
        <w:tc>
          <w:tcPr>
            <w:tcW w:w="232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060" w:type="dxa"/>
            <w:vAlign w:val="bottom"/>
            <w:tcBorders>
              <w:bottom w:val="single" w:sz="8" w:color="auto"/>
            </w:tcBorders>
            <w:gridSpan w:val="5"/>
          </w:tcPr>
          <w:p>
            <w:pPr>
              <w:ind w:left="240"/>
              <w:spacing w:after="0"/>
              <w:rPr>
                <w:sz w:val="20"/>
                <w:szCs w:val="20"/>
                <w:color w:val="auto"/>
              </w:rPr>
            </w:pPr>
            <w:r>
              <w:rPr>
                <w:rFonts w:ascii="Arial" w:cs="Arial" w:eastAsia="Arial" w:hAnsi="Arial"/>
                <w:sz w:val="14"/>
                <w:szCs w:val="14"/>
                <w:b w:val="1"/>
                <w:bCs w:val="1"/>
                <w:color w:val="auto"/>
              </w:rPr>
              <w:t>December 31, 2016</w:t>
            </w:r>
          </w:p>
        </w:tc>
        <w:tc>
          <w:tcPr>
            <w:tcW w:w="14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232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spacing w:after="0"/>
              <w:rPr>
                <w:sz w:val="22"/>
                <w:szCs w:val="22"/>
                <w:color w:val="auto"/>
              </w:rPr>
            </w:pPr>
          </w:p>
        </w:tc>
        <w:tc>
          <w:tcPr>
            <w:tcW w:w="1420" w:type="dxa"/>
            <w:vAlign w:val="bottom"/>
            <w:tcBorders>
              <w:bottom w:val="single" w:sz="8" w:color="auto"/>
            </w:tcBorders>
            <w:gridSpan w:val="6"/>
          </w:tcPr>
          <w:p>
            <w:pPr>
              <w:jc w:val="center"/>
              <w:spacing w:after="0"/>
              <w:rPr>
                <w:sz w:val="20"/>
                <w:szCs w:val="20"/>
                <w:color w:val="auto"/>
              </w:rPr>
            </w:pPr>
            <w:r>
              <w:rPr>
                <w:rFonts w:ascii="Arial" w:cs="Arial" w:eastAsia="Arial" w:hAnsi="Arial"/>
                <w:sz w:val="14"/>
                <w:szCs w:val="14"/>
                <w:b w:val="1"/>
                <w:bCs w:val="1"/>
                <w:color w:val="auto"/>
              </w:rPr>
              <w:t>Equipment Leasing</w:t>
            </w:r>
          </w:p>
        </w:tc>
        <w:tc>
          <w:tcPr>
            <w:tcW w:w="880" w:type="dxa"/>
            <w:vAlign w:val="bottom"/>
            <w:tcBorders>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gridSpan w:val="3"/>
          </w:tcPr>
          <w:p>
            <w:pPr>
              <w:ind w:left="40"/>
              <w:spacing w:after="0"/>
              <w:rPr>
                <w:sz w:val="20"/>
                <w:szCs w:val="20"/>
                <w:color w:val="auto"/>
              </w:rPr>
            </w:pPr>
            <w:r>
              <w:rPr>
                <w:rFonts w:ascii="Arial" w:cs="Arial" w:eastAsia="Arial" w:hAnsi="Arial"/>
                <w:sz w:val="14"/>
                <w:szCs w:val="14"/>
                <w:b w:val="1"/>
                <w:bCs w:val="1"/>
                <w:color w:val="auto"/>
              </w:rPr>
              <w:t>Infrastructure</w:t>
            </w:r>
          </w:p>
        </w:tc>
        <w:tc>
          <w:tcPr>
            <w:tcW w:w="14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68"/>
        </w:trPr>
        <w:tc>
          <w:tcPr>
            <w:tcW w:w="23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ind w:left="60"/>
              <w:spacing w:after="0"/>
              <w:rPr>
                <w:sz w:val="20"/>
                <w:szCs w:val="20"/>
                <w:color w:val="auto"/>
              </w:rPr>
            </w:pPr>
            <w:r>
              <w:rPr>
                <w:rFonts w:ascii="Arial" w:cs="Arial" w:eastAsia="Arial" w:hAnsi="Arial"/>
                <w:sz w:val="14"/>
                <w:szCs w:val="14"/>
                <w:b w:val="1"/>
                <w:bCs w:val="1"/>
                <w:color w:val="auto"/>
              </w:rPr>
              <w:t>Aviation</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Offshore</w:t>
            </w:r>
          </w:p>
        </w:tc>
        <w:tc>
          <w:tcPr>
            <w:tcW w:w="100" w:type="dxa"/>
            <w:vAlign w:val="bottom"/>
          </w:tcPr>
          <w:p>
            <w:pPr>
              <w:spacing w:after="0"/>
              <w:rPr>
                <w:sz w:val="14"/>
                <w:szCs w:val="14"/>
                <w:color w:val="auto"/>
              </w:rPr>
            </w:pPr>
          </w:p>
        </w:tc>
        <w:tc>
          <w:tcPr>
            <w:tcW w:w="10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Shipping</w:t>
            </w:r>
          </w:p>
        </w:tc>
        <w:tc>
          <w:tcPr>
            <w:tcW w:w="120" w:type="dxa"/>
            <w:vAlign w:val="bottom"/>
          </w:tcPr>
          <w:p>
            <w:pPr>
              <w:spacing w:after="0"/>
              <w:rPr>
                <w:sz w:val="14"/>
                <w:szCs w:val="14"/>
                <w:color w:val="auto"/>
              </w:rPr>
            </w:pPr>
          </w:p>
        </w:tc>
        <w:tc>
          <w:tcPr>
            <w:tcW w:w="9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Jefferson</w:t>
            </w:r>
          </w:p>
        </w:tc>
        <w:tc>
          <w:tcPr>
            <w:tcW w:w="1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rPr>
              <w:t>Ports and</w:t>
            </w:r>
          </w:p>
        </w:tc>
        <w:tc>
          <w:tcPr>
            <w:tcW w:w="1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23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ind w:left="80"/>
              <w:spacing w:after="0"/>
              <w:rPr>
                <w:sz w:val="20"/>
                <w:szCs w:val="20"/>
                <w:color w:val="auto"/>
              </w:rPr>
            </w:pPr>
            <w:r>
              <w:rPr>
                <w:rFonts w:ascii="Arial" w:cs="Arial" w:eastAsia="Arial" w:hAnsi="Arial"/>
                <w:sz w:val="14"/>
                <w:szCs w:val="14"/>
                <w:b w:val="1"/>
                <w:bCs w:val="1"/>
                <w:color w:val="auto"/>
              </w:rPr>
              <w:t>Leasing</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Energy</w:t>
            </w:r>
          </w:p>
        </w:tc>
        <w:tc>
          <w:tcPr>
            <w:tcW w:w="100" w:type="dxa"/>
            <w:vAlign w:val="bottom"/>
          </w:tcPr>
          <w:p>
            <w:pPr>
              <w:spacing w:after="0"/>
              <w:rPr>
                <w:sz w:val="17"/>
                <w:szCs w:val="17"/>
                <w:color w:val="auto"/>
              </w:rPr>
            </w:pPr>
          </w:p>
        </w:tc>
        <w:tc>
          <w:tcPr>
            <w:tcW w:w="10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Containers</w:t>
            </w:r>
          </w:p>
        </w:tc>
        <w:tc>
          <w:tcPr>
            <w:tcW w:w="120" w:type="dxa"/>
            <w:vAlign w:val="bottom"/>
          </w:tcPr>
          <w:p>
            <w:pPr>
              <w:spacing w:after="0"/>
              <w:rPr>
                <w:sz w:val="17"/>
                <w:szCs w:val="17"/>
                <w:color w:val="auto"/>
              </w:rPr>
            </w:pPr>
          </w:p>
        </w:tc>
        <w:tc>
          <w:tcPr>
            <w:tcW w:w="9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Terminal</w:t>
            </w:r>
          </w:p>
        </w:tc>
        <w:tc>
          <w:tcPr>
            <w:tcW w:w="160" w:type="dxa"/>
            <w:vAlign w:val="bottom"/>
          </w:tcPr>
          <w:p>
            <w:pPr>
              <w:spacing w:after="0"/>
              <w:rPr>
                <w:sz w:val="17"/>
                <w:szCs w:val="17"/>
                <w:color w:val="auto"/>
              </w:rPr>
            </w:pPr>
          </w:p>
        </w:tc>
        <w:tc>
          <w:tcPr>
            <w:tcW w:w="94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rPr>
              <w:t>Railroad</w:t>
            </w:r>
          </w:p>
        </w:tc>
        <w:tc>
          <w:tcPr>
            <w:tcW w:w="140" w:type="dxa"/>
            <w:vAlign w:val="bottom"/>
          </w:tcPr>
          <w:p>
            <w:pPr>
              <w:spacing w:after="0"/>
              <w:rPr>
                <w:sz w:val="17"/>
                <w:szCs w:val="17"/>
                <w:color w:val="auto"/>
              </w:rPr>
            </w:pPr>
          </w:p>
        </w:tc>
        <w:tc>
          <w:tcPr>
            <w:tcW w:w="96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w w:val="99"/>
              </w:rPr>
              <w:t>Terminals</w:t>
            </w:r>
          </w:p>
        </w:tc>
        <w:tc>
          <w:tcPr>
            <w:tcW w:w="120" w:type="dxa"/>
            <w:vAlign w:val="bottom"/>
          </w:tcPr>
          <w:p>
            <w:pPr>
              <w:spacing w:after="0"/>
              <w:rPr>
                <w:sz w:val="17"/>
                <w:szCs w:val="17"/>
                <w:color w:val="auto"/>
              </w:rPr>
            </w:pPr>
          </w:p>
        </w:tc>
        <w:tc>
          <w:tcPr>
            <w:tcW w:w="96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rPr>
              <w:t>Corporate</w:t>
            </w:r>
          </w:p>
        </w:tc>
        <w:tc>
          <w:tcPr>
            <w:tcW w:w="180" w:type="dxa"/>
            <w:vAlign w:val="bottom"/>
          </w:tcPr>
          <w:p>
            <w:pPr>
              <w:spacing w:after="0"/>
              <w:rPr>
                <w:sz w:val="17"/>
                <w:szCs w:val="17"/>
                <w:color w:val="auto"/>
              </w:rPr>
            </w:pPr>
          </w:p>
        </w:tc>
        <w:tc>
          <w:tcPr>
            <w:tcW w:w="820" w:type="dxa"/>
            <w:vAlign w:val="bottom"/>
          </w:tcPr>
          <w:p>
            <w:pPr>
              <w:jc w:val="right"/>
              <w:ind w:right="268"/>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55"/>
        </w:trPr>
        <w:tc>
          <w:tcPr>
            <w:tcW w:w="2320" w:type="dxa"/>
            <w:vAlign w:val="bottom"/>
            <w:tcBorders>
              <w:top w:val="single" w:sz="8" w:color="CCEEFF"/>
            </w:tcBorders>
            <w:shd w:val="clear" w:color="auto" w:fill="CCEEFF"/>
          </w:tcPr>
          <w:p>
            <w:pPr>
              <w:ind w:left="20"/>
              <w:spacing w:after="0" w:line="155" w:lineRule="exact"/>
              <w:rPr>
                <w:sz w:val="20"/>
                <w:szCs w:val="20"/>
                <w:color w:val="auto"/>
              </w:rPr>
            </w:pPr>
            <w:r>
              <w:rPr>
                <w:rFonts w:ascii="Arial" w:cs="Arial" w:eastAsia="Arial" w:hAnsi="Arial"/>
                <w:sz w:val="14"/>
                <w:szCs w:val="14"/>
                <w:b w:val="1"/>
                <w:bCs w:val="1"/>
                <w:color w:val="auto"/>
              </w:rPr>
              <w:t>Property, plant and equipment</w:t>
            </w:r>
          </w:p>
        </w:tc>
        <w:tc>
          <w:tcPr>
            <w:tcW w:w="160" w:type="dxa"/>
            <w:vAlign w:val="bottom"/>
            <w:tcBorders>
              <w:top w:val="single" w:sz="8" w:color="auto"/>
            </w:tcBorders>
            <w:shd w:val="clear" w:color="auto" w:fill="CCEEFF"/>
          </w:tcPr>
          <w:p>
            <w:pPr>
              <w:spacing w:after="0"/>
              <w:rPr>
                <w:sz w:val="13"/>
                <w:szCs w:val="13"/>
                <w:color w:val="auto"/>
              </w:rPr>
            </w:pPr>
          </w:p>
        </w:tc>
        <w:tc>
          <w:tcPr>
            <w:tcW w:w="76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spacing w:after="0"/>
              <w:rPr>
                <w:sz w:val="13"/>
                <w:szCs w:val="13"/>
                <w:color w:val="auto"/>
              </w:rPr>
            </w:pPr>
          </w:p>
        </w:tc>
        <w:tc>
          <w:tcPr>
            <w:tcW w:w="120" w:type="dxa"/>
            <w:vAlign w:val="bottom"/>
            <w:tcBorders>
              <w:top w:val="single" w:sz="8" w:color="CCEEFF"/>
            </w:tcBorders>
            <w:shd w:val="clear" w:color="auto" w:fill="CCEEFF"/>
          </w:tcPr>
          <w:p>
            <w:pPr>
              <w:spacing w:after="0"/>
              <w:rPr>
                <w:sz w:val="13"/>
                <w:szCs w:val="13"/>
                <w:color w:val="auto"/>
              </w:rPr>
            </w:pPr>
          </w:p>
        </w:tc>
        <w:tc>
          <w:tcPr>
            <w:tcW w:w="160" w:type="dxa"/>
            <w:vAlign w:val="bottom"/>
            <w:tcBorders>
              <w:top w:val="single" w:sz="8" w:color="auto"/>
            </w:tcBorders>
            <w:shd w:val="clear" w:color="auto" w:fill="CCEEFF"/>
          </w:tcPr>
          <w:p>
            <w:pPr>
              <w:spacing w:after="0"/>
              <w:rPr>
                <w:sz w:val="13"/>
                <w:szCs w:val="13"/>
                <w:color w:val="auto"/>
              </w:rPr>
            </w:pPr>
          </w:p>
        </w:tc>
        <w:tc>
          <w:tcPr>
            <w:tcW w:w="820" w:type="dxa"/>
            <w:vAlign w:val="bottom"/>
            <w:tcBorders>
              <w:top w:val="single" w:sz="8" w:color="auto"/>
            </w:tcBorders>
            <w:shd w:val="clear" w:color="auto" w:fill="CCEEFF"/>
          </w:tcPr>
          <w:p>
            <w:pPr>
              <w:spacing w:after="0"/>
              <w:rPr>
                <w:sz w:val="13"/>
                <w:szCs w:val="13"/>
                <w:color w:val="auto"/>
              </w:rPr>
            </w:pPr>
          </w:p>
        </w:tc>
        <w:tc>
          <w:tcPr>
            <w:tcW w:w="12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spacing w:after="0"/>
              <w:rPr>
                <w:sz w:val="13"/>
                <w:szCs w:val="13"/>
                <w:color w:val="auto"/>
              </w:rPr>
            </w:pPr>
          </w:p>
        </w:tc>
        <w:tc>
          <w:tcPr>
            <w:tcW w:w="880" w:type="dxa"/>
            <w:vAlign w:val="bottom"/>
            <w:tcBorders>
              <w:top w:val="single" w:sz="8" w:color="auto"/>
            </w:tcBorders>
            <w:shd w:val="clear" w:color="auto" w:fill="CCEEFF"/>
          </w:tcPr>
          <w:p>
            <w:pPr>
              <w:spacing w:after="0"/>
              <w:rPr>
                <w:sz w:val="13"/>
                <w:szCs w:val="13"/>
                <w:color w:val="auto"/>
              </w:rPr>
            </w:pPr>
          </w:p>
        </w:tc>
        <w:tc>
          <w:tcPr>
            <w:tcW w:w="12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spacing w:after="0"/>
              <w:rPr>
                <w:sz w:val="13"/>
                <w:szCs w:val="13"/>
                <w:color w:val="auto"/>
              </w:rPr>
            </w:pPr>
          </w:p>
        </w:tc>
        <w:tc>
          <w:tcPr>
            <w:tcW w:w="86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60" w:type="dxa"/>
            <w:vAlign w:val="bottom"/>
            <w:tcBorders>
              <w:top w:val="single" w:sz="8" w:color="auto"/>
            </w:tcBorders>
            <w:shd w:val="clear" w:color="auto" w:fill="CCEEFF"/>
          </w:tcPr>
          <w:p>
            <w:pPr>
              <w:spacing w:after="0"/>
              <w:rPr>
                <w:sz w:val="13"/>
                <w:szCs w:val="13"/>
                <w:color w:val="auto"/>
              </w:rPr>
            </w:pPr>
          </w:p>
        </w:tc>
        <w:tc>
          <w:tcPr>
            <w:tcW w:w="84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auto"/>
            </w:tcBorders>
            <w:shd w:val="clear" w:color="auto" w:fill="CCEEFF"/>
          </w:tcPr>
          <w:p>
            <w:pPr>
              <w:spacing w:after="0"/>
              <w:rPr>
                <w:sz w:val="13"/>
                <w:szCs w:val="13"/>
                <w:color w:val="auto"/>
              </w:rPr>
            </w:pPr>
          </w:p>
        </w:tc>
        <w:tc>
          <w:tcPr>
            <w:tcW w:w="840" w:type="dxa"/>
            <w:vAlign w:val="bottom"/>
            <w:tcBorders>
              <w:top w:val="single" w:sz="8" w:color="auto"/>
            </w:tcBorders>
            <w:shd w:val="clear" w:color="auto" w:fill="CCEEFF"/>
          </w:tcPr>
          <w:p>
            <w:pPr>
              <w:spacing w:after="0"/>
              <w:rPr>
                <w:sz w:val="13"/>
                <w:szCs w:val="13"/>
                <w:color w:val="auto"/>
              </w:rPr>
            </w:pPr>
          </w:p>
        </w:tc>
        <w:tc>
          <w:tcPr>
            <w:tcW w:w="12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spacing w:after="0"/>
              <w:rPr>
                <w:sz w:val="13"/>
                <w:szCs w:val="13"/>
                <w:color w:val="auto"/>
              </w:rPr>
            </w:pPr>
          </w:p>
        </w:tc>
        <w:tc>
          <w:tcPr>
            <w:tcW w:w="86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80" w:type="dxa"/>
            <w:vAlign w:val="bottom"/>
            <w:tcBorders>
              <w:top w:val="single" w:sz="8" w:color="auto"/>
            </w:tcBorders>
            <w:shd w:val="clear" w:color="auto" w:fill="CCEEFF"/>
          </w:tcPr>
          <w:p>
            <w:pPr>
              <w:spacing w:after="0"/>
              <w:rPr>
                <w:sz w:val="13"/>
                <w:szCs w:val="13"/>
                <w:color w:val="auto"/>
              </w:rPr>
            </w:pPr>
          </w:p>
        </w:tc>
        <w:tc>
          <w:tcPr>
            <w:tcW w:w="820" w:type="dxa"/>
            <w:vAlign w:val="bottom"/>
            <w:tcBorders>
              <w:top w:val="single" w:sz="8" w:color="auto"/>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04"/>
        </w:trPr>
        <w:tc>
          <w:tcPr>
            <w:tcW w:w="232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and leasing equipment, net</w:t>
            </w:r>
          </w:p>
        </w:tc>
        <w:tc>
          <w:tcPr>
            <w:tcW w:w="16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66"/>
        </w:trPr>
        <w:tc>
          <w:tcPr>
            <w:tcW w:w="2320" w:type="dxa"/>
            <w:vAlign w:val="bottom"/>
          </w:tcPr>
          <w:p>
            <w:pPr>
              <w:ind w:left="20"/>
              <w:spacing w:after="0"/>
              <w:rPr>
                <w:sz w:val="20"/>
                <w:szCs w:val="20"/>
                <w:color w:val="auto"/>
              </w:rPr>
            </w:pPr>
            <w:r>
              <w:rPr>
                <w:rFonts w:ascii="Arial" w:cs="Arial" w:eastAsia="Arial" w:hAnsi="Arial"/>
                <w:sz w:val="14"/>
                <w:szCs w:val="14"/>
                <w:color w:val="auto"/>
              </w:rPr>
              <w:t>Africa</w:t>
            </w: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760" w:type="dxa"/>
            <w:vAlign w:val="bottom"/>
          </w:tcPr>
          <w:p>
            <w:pPr>
              <w:jc w:val="right"/>
              <w:spacing w:after="0"/>
              <w:rPr>
                <w:sz w:val="20"/>
                <w:szCs w:val="20"/>
                <w:color w:val="auto"/>
              </w:rPr>
            </w:pPr>
            <w:r>
              <w:rPr>
                <w:rFonts w:ascii="Arial" w:cs="Arial" w:eastAsia="Arial" w:hAnsi="Arial"/>
                <w:sz w:val="14"/>
                <w:szCs w:val="14"/>
                <w:color w:val="auto"/>
              </w:rPr>
              <w:t>51,136</w:t>
            </w:r>
          </w:p>
        </w:tc>
        <w:tc>
          <w:tcPr>
            <w:tcW w:w="380" w:type="dxa"/>
            <w:vAlign w:val="bottom"/>
            <w:gridSpan w:val="3"/>
          </w:tcPr>
          <w:p>
            <w:pPr>
              <w:jc w:val="right"/>
              <w:spacing w:after="0"/>
              <w:rPr>
                <w:sz w:val="20"/>
                <w:szCs w:val="20"/>
                <w:color w:val="auto"/>
              </w:rPr>
            </w:pPr>
            <w:r>
              <w:rPr>
                <w:rFonts w:ascii="Arial" w:cs="Arial" w:eastAsia="Arial" w:hAnsi="Arial"/>
                <w:sz w:val="14"/>
                <w:szCs w:val="14"/>
                <w:color w:val="auto"/>
              </w:rPr>
              <w:t>$</w:t>
            </w:r>
          </w:p>
        </w:tc>
        <w:tc>
          <w:tcPr>
            <w:tcW w:w="9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10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9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ind w:left="40"/>
              <w:spacing w:after="0"/>
              <w:rPr>
                <w:sz w:val="20"/>
                <w:szCs w:val="20"/>
                <w:color w:val="auto"/>
              </w:rPr>
            </w:pPr>
            <w:r>
              <w:rPr>
                <w:rFonts w:ascii="Arial" w:cs="Arial" w:eastAsia="Arial" w:hAnsi="Arial"/>
                <w:sz w:val="14"/>
                <w:szCs w:val="14"/>
                <w:color w:val="auto"/>
              </w:rPr>
              <w:t>$</w:t>
            </w:r>
          </w:p>
        </w:tc>
        <w:tc>
          <w:tcPr>
            <w:tcW w:w="9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9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9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tcPr>
          <w:p>
            <w:pPr>
              <w:jc w:val="right"/>
              <w:spacing w:after="0"/>
              <w:rPr>
                <w:sz w:val="20"/>
                <w:szCs w:val="20"/>
                <w:color w:val="auto"/>
              </w:rPr>
            </w:pPr>
            <w:r>
              <w:rPr>
                <w:rFonts w:ascii="Arial" w:cs="Arial" w:eastAsia="Arial" w:hAnsi="Arial"/>
                <w:sz w:val="14"/>
                <w:szCs w:val="14"/>
                <w:color w:val="auto"/>
              </w:rPr>
              <w:t>$</w:t>
            </w:r>
          </w:p>
        </w:tc>
        <w:tc>
          <w:tcPr>
            <w:tcW w:w="820" w:type="dxa"/>
            <w:vAlign w:val="bottom"/>
          </w:tcPr>
          <w:p>
            <w:pPr>
              <w:jc w:val="right"/>
              <w:ind w:right="48"/>
              <w:spacing w:after="0"/>
              <w:rPr>
                <w:sz w:val="20"/>
                <w:szCs w:val="20"/>
                <w:color w:val="auto"/>
              </w:rPr>
            </w:pPr>
            <w:r>
              <w:rPr>
                <w:rFonts w:ascii="Arial" w:cs="Arial" w:eastAsia="Arial" w:hAnsi="Arial"/>
                <w:sz w:val="14"/>
                <w:szCs w:val="14"/>
                <w:color w:val="auto"/>
              </w:rPr>
              <w:t>51,136</w:t>
            </w:r>
          </w:p>
        </w:tc>
        <w:tc>
          <w:tcPr>
            <w:tcW w:w="0" w:type="dxa"/>
            <w:vAlign w:val="bottom"/>
          </w:tcPr>
          <w:p>
            <w:pPr>
              <w:spacing w:after="0"/>
              <w:rPr>
                <w:sz w:val="1"/>
                <w:szCs w:val="1"/>
                <w:color w:val="auto"/>
              </w:rPr>
            </w:pPr>
          </w:p>
        </w:tc>
      </w:tr>
      <w:tr>
        <w:trPr>
          <w:trHeight w:val="274"/>
        </w:trPr>
        <w:tc>
          <w:tcPr>
            <w:tcW w:w="2320" w:type="dxa"/>
            <w:vAlign w:val="bottom"/>
            <w:shd w:val="clear" w:color="auto" w:fill="CCEEFF"/>
          </w:tcPr>
          <w:p>
            <w:pPr>
              <w:ind w:left="20"/>
              <w:spacing w:after="0"/>
              <w:rPr>
                <w:sz w:val="20"/>
                <w:szCs w:val="20"/>
                <w:color w:val="auto"/>
              </w:rPr>
            </w:pPr>
            <w:r>
              <w:rPr>
                <w:rFonts w:ascii="Arial" w:cs="Arial" w:eastAsia="Arial" w:hAnsi="Arial"/>
                <w:sz w:val="14"/>
                <w:szCs w:val="14"/>
                <w:color w:val="auto"/>
              </w:rPr>
              <w:t>Asia</w:t>
            </w:r>
          </w:p>
        </w:tc>
        <w:tc>
          <w:tcPr>
            <w:tcW w:w="160" w:type="dxa"/>
            <w:vAlign w:val="bottom"/>
            <w:shd w:val="clear" w:color="auto" w:fill="CCEEFF"/>
          </w:tcPr>
          <w:p>
            <w:pPr>
              <w:spacing w:after="0"/>
              <w:rPr>
                <w:sz w:val="23"/>
                <w:szCs w:val="23"/>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212,635</w:t>
            </w: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8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169,499</w:t>
            </w:r>
          </w:p>
        </w:tc>
        <w:tc>
          <w:tcPr>
            <w:tcW w:w="1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3"/>
                <w:szCs w:val="23"/>
                <w:color w:val="auto"/>
              </w:rPr>
            </w:pP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3"/>
                <w:szCs w:val="23"/>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3"/>
                <w:szCs w:val="23"/>
                <w:color w:val="auto"/>
              </w:rPr>
            </w:pP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3"/>
                <w:szCs w:val="23"/>
                <w:color w:val="auto"/>
              </w:rPr>
            </w:pP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3"/>
                <w:szCs w:val="23"/>
                <w:color w:val="auto"/>
              </w:rPr>
            </w:pPr>
          </w:p>
        </w:tc>
        <w:tc>
          <w:tcPr>
            <w:tcW w:w="8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382,134</w:t>
            </w:r>
          </w:p>
        </w:tc>
        <w:tc>
          <w:tcPr>
            <w:tcW w:w="0" w:type="dxa"/>
            <w:vAlign w:val="bottom"/>
          </w:tcPr>
          <w:p>
            <w:pPr>
              <w:spacing w:after="0"/>
              <w:rPr>
                <w:sz w:val="1"/>
                <w:szCs w:val="1"/>
                <w:color w:val="auto"/>
              </w:rPr>
            </w:pPr>
          </w:p>
        </w:tc>
      </w:tr>
      <w:tr>
        <w:trPr>
          <w:trHeight w:val="266"/>
        </w:trPr>
        <w:tc>
          <w:tcPr>
            <w:tcW w:w="2320" w:type="dxa"/>
            <w:vAlign w:val="bottom"/>
          </w:tcPr>
          <w:p>
            <w:pPr>
              <w:ind w:left="20"/>
              <w:spacing w:after="0"/>
              <w:rPr>
                <w:sz w:val="20"/>
                <w:szCs w:val="20"/>
                <w:color w:val="auto"/>
              </w:rPr>
            </w:pPr>
            <w:r>
              <w:rPr>
                <w:rFonts w:ascii="Arial" w:cs="Arial" w:eastAsia="Arial" w:hAnsi="Arial"/>
                <w:sz w:val="14"/>
                <w:szCs w:val="14"/>
                <w:color w:val="auto"/>
              </w:rPr>
              <w:t>Europe</w:t>
            </w:r>
          </w:p>
        </w:tc>
        <w:tc>
          <w:tcPr>
            <w:tcW w:w="16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225,934</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3"/>
                <w:szCs w:val="23"/>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3"/>
                <w:szCs w:val="23"/>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3"/>
                <w:szCs w:val="23"/>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3"/>
                <w:szCs w:val="23"/>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3"/>
                <w:szCs w:val="23"/>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3"/>
                <w:szCs w:val="23"/>
                <w:color w:val="auto"/>
              </w:rPr>
            </w:pPr>
          </w:p>
        </w:tc>
        <w:tc>
          <w:tcPr>
            <w:tcW w:w="820" w:type="dxa"/>
            <w:vAlign w:val="bottom"/>
          </w:tcPr>
          <w:p>
            <w:pPr>
              <w:jc w:val="right"/>
              <w:ind w:right="48"/>
              <w:spacing w:after="0"/>
              <w:rPr>
                <w:sz w:val="20"/>
                <w:szCs w:val="20"/>
                <w:color w:val="auto"/>
              </w:rPr>
            </w:pPr>
            <w:r>
              <w:rPr>
                <w:rFonts w:ascii="Arial" w:cs="Arial" w:eastAsia="Arial" w:hAnsi="Arial"/>
                <w:sz w:val="14"/>
                <w:szCs w:val="14"/>
                <w:color w:val="auto"/>
              </w:rPr>
              <w:t>225,934</w:t>
            </w:r>
          </w:p>
        </w:tc>
        <w:tc>
          <w:tcPr>
            <w:tcW w:w="0" w:type="dxa"/>
            <w:vAlign w:val="bottom"/>
          </w:tcPr>
          <w:p>
            <w:pPr>
              <w:spacing w:after="0"/>
              <w:rPr>
                <w:sz w:val="1"/>
                <w:szCs w:val="1"/>
                <w:color w:val="auto"/>
              </w:rPr>
            </w:pPr>
          </w:p>
        </w:tc>
      </w:tr>
      <w:tr>
        <w:trPr>
          <w:trHeight w:val="274"/>
        </w:trPr>
        <w:tc>
          <w:tcPr>
            <w:tcW w:w="2320" w:type="dxa"/>
            <w:vAlign w:val="bottom"/>
            <w:shd w:val="clear" w:color="auto" w:fill="CCEEFF"/>
          </w:tcPr>
          <w:p>
            <w:pPr>
              <w:ind w:left="20"/>
              <w:spacing w:after="0"/>
              <w:rPr>
                <w:sz w:val="20"/>
                <w:szCs w:val="20"/>
                <w:color w:val="auto"/>
              </w:rPr>
            </w:pPr>
            <w:r>
              <w:rPr>
                <w:rFonts w:ascii="Arial" w:cs="Arial" w:eastAsia="Arial" w:hAnsi="Arial"/>
                <w:sz w:val="14"/>
                <w:szCs w:val="14"/>
                <w:color w:val="auto"/>
              </w:rPr>
              <w:t>North America</w:t>
            </w:r>
          </w:p>
        </w:tc>
        <w:tc>
          <w:tcPr>
            <w:tcW w:w="160" w:type="dxa"/>
            <w:vAlign w:val="bottom"/>
            <w:shd w:val="clear" w:color="auto" w:fill="CCEEFF"/>
          </w:tcPr>
          <w:p>
            <w:pPr>
              <w:spacing w:after="0"/>
              <w:rPr>
                <w:sz w:val="23"/>
                <w:szCs w:val="23"/>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56,456</w:t>
            </w: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3"/>
                <w:szCs w:val="23"/>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3"/>
                <w:szCs w:val="23"/>
                <w:color w:val="auto"/>
              </w:rPr>
            </w:pPr>
          </w:p>
        </w:tc>
        <w:tc>
          <w:tcPr>
            <w:tcW w:w="8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319,503</w:t>
            </w: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8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29,866</w:t>
            </w: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8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44,486</w:t>
            </w: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3"/>
                <w:szCs w:val="23"/>
                <w:color w:val="auto"/>
              </w:rPr>
            </w:pPr>
          </w:p>
        </w:tc>
        <w:tc>
          <w:tcPr>
            <w:tcW w:w="8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450,311</w:t>
            </w:r>
          </w:p>
        </w:tc>
        <w:tc>
          <w:tcPr>
            <w:tcW w:w="0" w:type="dxa"/>
            <w:vAlign w:val="bottom"/>
          </w:tcPr>
          <w:p>
            <w:pPr>
              <w:spacing w:after="0"/>
              <w:rPr>
                <w:sz w:val="1"/>
                <w:szCs w:val="1"/>
                <w:color w:val="auto"/>
              </w:rPr>
            </w:pPr>
          </w:p>
        </w:tc>
      </w:tr>
      <w:tr>
        <w:trPr>
          <w:trHeight w:val="266"/>
        </w:trPr>
        <w:tc>
          <w:tcPr>
            <w:tcW w:w="232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South America</w:t>
            </w:r>
          </w:p>
        </w:tc>
        <w:tc>
          <w:tcPr>
            <w:tcW w:w="160" w:type="dxa"/>
            <w:vAlign w:val="bottom"/>
            <w:tcBorders>
              <w:bottom w:val="single" w:sz="8" w:color="auto"/>
            </w:tcBorders>
          </w:tcPr>
          <w:p>
            <w:pPr>
              <w:spacing w:after="0"/>
              <w:rPr>
                <w:sz w:val="23"/>
                <w:szCs w:val="23"/>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8,121</w:t>
            </w:r>
          </w:p>
        </w:tc>
        <w:tc>
          <w:tcPr>
            <w:tcW w:w="100" w:type="dxa"/>
            <w:vAlign w:val="bottom"/>
            <w:tcBorders>
              <w:bottom w:val="single" w:sz="8" w:color="auto"/>
            </w:tcBorders>
          </w:tcPr>
          <w:p>
            <w:pPr>
              <w:spacing w:after="0"/>
              <w:rPr>
                <w:sz w:val="23"/>
                <w:szCs w:val="23"/>
                <w:color w:val="auto"/>
              </w:rPr>
            </w:pPr>
          </w:p>
        </w:tc>
        <w:tc>
          <w:tcPr>
            <w:tcW w:w="120" w:type="dxa"/>
            <w:vAlign w:val="bottom"/>
            <w:tcBorders>
              <w:bottom w:val="single" w:sz="8" w:color="CCEEFF"/>
            </w:tcBorders>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8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tcPr>
          <w:p>
            <w:pPr>
              <w:spacing w:after="0"/>
              <w:rPr>
                <w:sz w:val="23"/>
                <w:szCs w:val="23"/>
                <w:color w:val="auto"/>
              </w:rPr>
            </w:pPr>
          </w:p>
        </w:tc>
        <w:tc>
          <w:tcPr>
            <w:tcW w:w="100" w:type="dxa"/>
            <w:vAlign w:val="bottom"/>
            <w:tcBorders>
              <w:bottom w:val="single" w:sz="8" w:color="auto"/>
            </w:tcBorders>
          </w:tcPr>
          <w:p>
            <w:pPr>
              <w:spacing w:after="0"/>
              <w:rPr>
                <w:sz w:val="23"/>
                <w:szCs w:val="23"/>
                <w:color w:val="auto"/>
              </w:rPr>
            </w:pPr>
          </w:p>
        </w:tc>
        <w:tc>
          <w:tcPr>
            <w:tcW w:w="8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8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8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8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8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8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8,121</w:t>
            </w:r>
          </w:p>
        </w:tc>
        <w:tc>
          <w:tcPr>
            <w:tcW w:w="0" w:type="dxa"/>
            <w:vAlign w:val="bottom"/>
          </w:tcPr>
          <w:p>
            <w:pPr>
              <w:spacing w:after="0"/>
              <w:rPr>
                <w:sz w:val="1"/>
                <w:szCs w:val="1"/>
                <w:color w:val="auto"/>
              </w:rPr>
            </w:pPr>
          </w:p>
        </w:tc>
      </w:tr>
      <w:tr>
        <w:trPr>
          <w:trHeight w:val="241"/>
        </w:trPr>
        <w:tc>
          <w:tcPr>
            <w:tcW w:w="2320" w:type="dxa"/>
            <w:vAlign w:val="bottom"/>
            <w:shd w:val="clear" w:color="auto" w:fill="CCEEFF"/>
          </w:tcPr>
          <w:p>
            <w:pPr>
              <w:ind w:left="20"/>
              <w:spacing w:after="0"/>
              <w:rPr>
                <w:sz w:val="20"/>
                <w:szCs w:val="20"/>
                <w:color w:val="auto"/>
              </w:rPr>
            </w:pPr>
            <w:r>
              <w:rPr>
                <w:rFonts w:ascii="Arial" w:cs="Arial" w:eastAsia="Arial" w:hAnsi="Arial"/>
                <w:sz w:val="14"/>
                <w:szCs w:val="14"/>
                <w:color w:val="auto"/>
              </w:rPr>
              <w:t>Total</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554,282</w:t>
            </w:r>
          </w:p>
        </w:tc>
        <w:tc>
          <w:tcPr>
            <w:tcW w:w="38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169,499</w:t>
            </w: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319,503</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ind w:left="40"/>
              <w:spacing w:after="0"/>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29,866</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44,486</w:t>
            </w: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1,117,636</w:t>
            </w:r>
          </w:p>
        </w:tc>
        <w:tc>
          <w:tcPr>
            <w:tcW w:w="0" w:type="dxa"/>
            <w:vAlign w:val="bottom"/>
          </w:tcPr>
          <w:p>
            <w:pPr>
              <w:spacing w:after="0"/>
              <w:rPr>
                <w:sz w:val="1"/>
                <w:szCs w:val="1"/>
                <w:color w:val="auto"/>
              </w:rPr>
            </w:pPr>
          </w:p>
        </w:tc>
      </w:tr>
      <w:tr>
        <w:trPr>
          <w:trHeight w:val="20"/>
        </w:trPr>
        <w:tc>
          <w:tcPr>
            <w:tcW w:w="23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39" w:lineRule="exact"/>
        <w:rPr>
          <w:sz w:val="20"/>
          <w:szCs w:val="20"/>
          <w:color w:val="auto"/>
        </w:rPr>
      </w:pPr>
    </w:p>
    <w:p>
      <w:pPr>
        <w:spacing w:after="0"/>
        <w:rPr>
          <w:sz w:val="20"/>
          <w:szCs w:val="20"/>
          <w:color w:val="auto"/>
        </w:rPr>
      </w:pPr>
      <w:r>
        <w:rPr>
          <w:rFonts w:ascii="Arial" w:cs="Arial" w:eastAsia="Arial" w:hAnsi="Arial"/>
          <w:sz w:val="22"/>
          <w:szCs w:val="22"/>
          <w:b w:val="1"/>
          <w:bCs w:val="1"/>
          <w:color w:val="00497F"/>
        </w:rPr>
        <w:t>15. EARNINGS PER SHARE</w:t>
      </w:r>
    </w:p>
    <w:p>
      <w:pPr>
        <w:spacing w:after="0" w:line="171" w:lineRule="exact"/>
        <w:rPr>
          <w:sz w:val="20"/>
          <w:szCs w:val="20"/>
          <w:color w:val="auto"/>
        </w:rPr>
      </w:pPr>
    </w:p>
    <w:p>
      <w:pPr>
        <w:jc w:val="both"/>
        <w:ind w:left="340"/>
        <w:spacing w:after="0" w:line="269" w:lineRule="auto"/>
        <w:rPr>
          <w:sz w:val="20"/>
          <w:szCs w:val="20"/>
          <w:color w:val="auto"/>
        </w:rPr>
      </w:pPr>
      <w:r>
        <w:rPr>
          <w:rFonts w:ascii="Arial" w:cs="Arial" w:eastAsia="Arial" w:hAnsi="Arial"/>
          <w:sz w:val="16"/>
          <w:szCs w:val="16"/>
          <w:color w:val="auto"/>
        </w:rPr>
        <w:t>Basic earnings (loss) per share (“EPS”) is calculated by dividing net income (loss) attributable to the Company by the weighted average number of shares of common stock outstanding. Diluted EPS is calculated by dividing net income (loss) attributable to the Company by the weighted average number of shares of common stock outstanding, plus potentially dilutive securities. Potentially dilutive securities are calculated using the treasury stock method.</w:t>
      </w:r>
    </w:p>
    <w:p>
      <w:pPr>
        <w:spacing w:after="0" w:line="111"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The calculation of basic and diluted EPS is presented below.</w:t>
      </w:r>
    </w:p>
    <w:p>
      <w:pPr>
        <w:spacing w:after="0" w:line="359" w:lineRule="exact"/>
        <w:rPr>
          <w:sz w:val="20"/>
          <w:szCs w:val="20"/>
          <w:color w:val="auto"/>
        </w:rPr>
      </w:pPr>
    </w:p>
    <w:tbl>
      <w:tblPr>
        <w:tblLayout w:type="fixed"/>
        <w:tblInd w:w="340" w:type="dxa"/>
        <w:tblCellMar>
          <w:top w:w="0" w:type="dxa"/>
          <w:left w:w="0" w:type="dxa"/>
          <w:bottom w:w="0" w:type="dxa"/>
          <w:right w:w="0" w:type="dxa"/>
        </w:tblCellMar>
      </w:tblPr>
      <w:tr>
        <w:trPr>
          <w:trHeight w:val="202"/>
        </w:trPr>
        <w:tc>
          <w:tcPr>
            <w:tcW w:w="5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780" w:type="dxa"/>
            <w:vAlign w:val="bottom"/>
            <w:gridSpan w:val="5"/>
          </w:tcPr>
          <w:p>
            <w:pPr>
              <w:ind w:left="20"/>
              <w:spacing w:after="0"/>
              <w:rPr>
                <w:sz w:val="20"/>
                <w:szCs w:val="20"/>
                <w:color w:val="auto"/>
              </w:rPr>
            </w:pPr>
            <w:r>
              <w:rPr>
                <w:rFonts w:ascii="Arial" w:cs="Arial" w:eastAsia="Arial" w:hAnsi="Arial"/>
                <w:sz w:val="14"/>
                <w:szCs w:val="14"/>
                <w:b w:val="1"/>
                <w:bCs w:val="1"/>
                <w:color w:val="auto"/>
              </w:rPr>
              <w:t>Three Months Ended September 30,</w:t>
            </w:r>
          </w:p>
        </w:tc>
        <w:tc>
          <w:tcPr>
            <w:tcW w:w="140" w:type="dxa"/>
            <w:vAlign w:val="bottom"/>
          </w:tcPr>
          <w:p>
            <w:pPr>
              <w:spacing w:after="0"/>
              <w:rPr>
                <w:sz w:val="17"/>
                <w:szCs w:val="17"/>
                <w:color w:val="auto"/>
              </w:rPr>
            </w:pPr>
          </w:p>
        </w:tc>
        <w:tc>
          <w:tcPr>
            <w:tcW w:w="2500" w:type="dxa"/>
            <w:vAlign w:val="bottom"/>
            <w:gridSpan w:val="4"/>
          </w:tcPr>
          <w:p>
            <w:pPr>
              <w:jc w:val="right"/>
              <w:ind w:right="48"/>
              <w:spacing w:after="0"/>
              <w:rPr>
                <w:sz w:val="20"/>
                <w:szCs w:val="20"/>
                <w:color w:val="auto"/>
              </w:rPr>
            </w:pPr>
            <w:r>
              <w:rPr>
                <w:rFonts w:ascii="Arial" w:cs="Arial" w:eastAsia="Arial" w:hAnsi="Arial"/>
                <w:sz w:val="14"/>
                <w:szCs w:val="14"/>
                <w:b w:val="1"/>
                <w:bCs w:val="1"/>
                <w:color w:val="auto"/>
              </w:rPr>
              <w:t>Nine Months Ended September 30,</w:t>
            </w:r>
          </w:p>
        </w:tc>
      </w:tr>
      <w:tr>
        <w:trPr>
          <w:trHeight w:val="29"/>
        </w:trPr>
        <w:tc>
          <w:tcPr>
            <w:tcW w:w="514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63"/>
        </w:trPr>
        <w:tc>
          <w:tcPr>
            <w:tcW w:w="5140" w:type="dxa"/>
            <w:vAlign w:val="bottom"/>
            <w:tcBorders>
              <w:bottom w:val="single" w:sz="8" w:color="CCEEFF"/>
            </w:tcBorders>
          </w:tcPr>
          <w:p>
            <w:pPr>
              <w:ind w:left="20"/>
              <w:spacing w:after="0"/>
              <w:rPr>
                <w:sz w:val="20"/>
                <w:szCs w:val="20"/>
                <w:color w:val="auto"/>
              </w:rPr>
            </w:pPr>
            <w:r>
              <w:rPr>
                <w:rFonts w:ascii="Arial" w:cs="Arial" w:eastAsia="Arial" w:hAnsi="Arial"/>
                <w:sz w:val="14"/>
                <w:szCs w:val="14"/>
                <w:i w:val="1"/>
                <w:iCs w:val="1"/>
                <w:color w:val="auto"/>
              </w:rPr>
              <w:t>(in thousands, except share and per share data)</w:t>
            </w:r>
          </w:p>
        </w:tc>
        <w:tc>
          <w:tcPr>
            <w:tcW w:w="12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ind w:right="408"/>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408"/>
              <w:spacing w:after="0"/>
              <w:rPr>
                <w:sz w:val="20"/>
                <w:szCs w:val="20"/>
                <w:color w:val="auto"/>
              </w:rPr>
            </w:pPr>
            <w:r>
              <w:rPr>
                <w:rFonts w:ascii="Arial" w:cs="Arial" w:eastAsia="Arial" w:hAnsi="Arial"/>
                <w:sz w:val="14"/>
                <w:szCs w:val="14"/>
                <w:b w:val="1"/>
                <w:bCs w:val="1"/>
                <w:color w:val="auto"/>
              </w:rPr>
              <w:t>2016</w:t>
            </w:r>
          </w:p>
        </w:tc>
        <w:tc>
          <w:tcPr>
            <w:tcW w:w="20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408"/>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388"/>
              <w:spacing w:after="0"/>
              <w:rPr>
                <w:sz w:val="20"/>
                <w:szCs w:val="20"/>
                <w:color w:val="auto"/>
              </w:rPr>
            </w:pPr>
            <w:r>
              <w:rPr>
                <w:rFonts w:ascii="Arial" w:cs="Arial" w:eastAsia="Arial" w:hAnsi="Arial"/>
                <w:sz w:val="14"/>
                <w:szCs w:val="14"/>
                <w:b w:val="1"/>
                <w:bCs w:val="1"/>
                <w:color w:val="auto"/>
              </w:rPr>
              <w:t>2016</w:t>
            </w:r>
          </w:p>
        </w:tc>
      </w:tr>
      <w:tr>
        <w:trPr>
          <w:trHeight w:val="251"/>
        </w:trPr>
        <w:tc>
          <w:tcPr>
            <w:tcW w:w="5140" w:type="dxa"/>
            <w:vAlign w:val="bottom"/>
            <w:shd w:val="clear" w:color="auto" w:fill="CCEEFF"/>
          </w:tcPr>
          <w:p>
            <w:pPr>
              <w:ind w:left="20"/>
              <w:spacing w:after="0"/>
              <w:rPr>
                <w:sz w:val="20"/>
                <w:szCs w:val="20"/>
                <w:color w:val="auto"/>
              </w:rPr>
            </w:pPr>
            <w:r>
              <w:rPr>
                <w:rFonts w:ascii="Arial" w:cs="Arial" w:eastAsia="Arial" w:hAnsi="Arial"/>
                <w:sz w:val="14"/>
                <w:szCs w:val="14"/>
                <w:color w:val="auto"/>
              </w:rPr>
              <w:t>Net income (loss) attributable to shareholders</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18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2,998</w:t>
            </w:r>
          </w:p>
        </w:tc>
        <w:tc>
          <w:tcPr>
            <w:tcW w:w="120" w:type="dxa"/>
            <w:vAlign w:val="bottom"/>
            <w:shd w:val="clear" w:color="auto" w:fill="CCEEFF"/>
          </w:tcPr>
          <w:p>
            <w:pPr>
              <w:spacing w:after="0"/>
              <w:rPr>
                <w:sz w:val="21"/>
                <w:szCs w:val="21"/>
                <w:color w:val="auto"/>
              </w:rPr>
            </w:pPr>
          </w:p>
        </w:tc>
        <w:tc>
          <w:tcPr>
            <w:tcW w:w="30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(1,276)</w:t>
            </w:r>
          </w:p>
        </w:tc>
        <w:tc>
          <w:tcPr>
            <w:tcW w:w="20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(2,876)</w:t>
            </w: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(18,251)</w:t>
            </w:r>
          </w:p>
        </w:tc>
      </w:tr>
      <w:tr>
        <w:trPr>
          <w:trHeight w:val="269"/>
        </w:trPr>
        <w:tc>
          <w:tcPr>
            <w:tcW w:w="5140" w:type="dxa"/>
            <w:vAlign w:val="bottom"/>
          </w:tcPr>
          <w:p>
            <w:pPr>
              <w:ind w:left="20"/>
              <w:spacing w:after="0"/>
              <w:rPr>
                <w:sz w:val="20"/>
                <w:szCs w:val="20"/>
                <w:color w:val="auto"/>
              </w:rPr>
            </w:pPr>
            <w:r>
              <w:rPr>
                <w:rFonts w:ascii="Arial" w:cs="Arial" w:eastAsia="Arial" w:hAnsi="Arial"/>
                <w:sz w:val="14"/>
                <w:szCs w:val="14"/>
                <w:color w:val="auto"/>
              </w:rPr>
              <w:t>Weighted Average Shares Outstanding - Basic</w:t>
            </w:r>
          </w:p>
        </w:tc>
        <w:tc>
          <w:tcPr>
            <w:tcW w:w="120" w:type="dxa"/>
            <w:vAlign w:val="bottom"/>
          </w:tcPr>
          <w:p>
            <w:pPr>
              <w:spacing w:after="0"/>
              <w:rPr>
                <w:sz w:val="23"/>
                <w:szCs w:val="23"/>
                <w:color w:val="auto"/>
              </w:rPr>
            </w:pPr>
          </w:p>
        </w:tc>
        <w:tc>
          <w:tcPr>
            <w:tcW w:w="1180" w:type="dxa"/>
            <w:vAlign w:val="bottom"/>
          </w:tcPr>
          <w:p>
            <w:pPr>
              <w:jc w:val="right"/>
              <w:ind w:right="28"/>
              <w:spacing w:after="0"/>
              <w:rPr>
                <w:sz w:val="20"/>
                <w:szCs w:val="20"/>
                <w:color w:val="auto"/>
              </w:rPr>
            </w:pPr>
            <w:r>
              <w:rPr>
                <w:rFonts w:ascii="Arial" w:cs="Arial" w:eastAsia="Arial" w:hAnsi="Arial"/>
                <w:sz w:val="14"/>
                <w:szCs w:val="14"/>
                <w:b w:val="1"/>
                <w:bCs w:val="1"/>
                <w:color w:val="auto"/>
              </w:rPr>
              <w:t>75,770,529</w:t>
            </w: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80" w:type="dxa"/>
            <w:vAlign w:val="bottom"/>
          </w:tcPr>
          <w:p>
            <w:pPr>
              <w:jc w:val="right"/>
              <w:ind w:right="28"/>
              <w:spacing w:after="0"/>
              <w:rPr>
                <w:sz w:val="20"/>
                <w:szCs w:val="20"/>
                <w:color w:val="auto"/>
              </w:rPr>
            </w:pPr>
            <w:r>
              <w:rPr>
                <w:rFonts w:ascii="Arial" w:cs="Arial" w:eastAsia="Arial" w:hAnsi="Arial"/>
                <w:sz w:val="14"/>
                <w:szCs w:val="14"/>
                <w:color w:val="auto"/>
              </w:rPr>
              <w:t>75,746,200</w:t>
            </w:r>
          </w:p>
        </w:tc>
        <w:tc>
          <w:tcPr>
            <w:tcW w:w="2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40" w:type="dxa"/>
            <w:vAlign w:val="bottom"/>
          </w:tcPr>
          <w:p>
            <w:pPr>
              <w:jc w:val="right"/>
              <w:ind w:right="28"/>
              <w:spacing w:after="0"/>
              <w:rPr>
                <w:sz w:val="20"/>
                <w:szCs w:val="20"/>
                <w:color w:val="auto"/>
              </w:rPr>
            </w:pPr>
            <w:r>
              <w:rPr>
                <w:rFonts w:ascii="Arial" w:cs="Arial" w:eastAsia="Arial" w:hAnsi="Arial"/>
                <w:sz w:val="14"/>
                <w:szCs w:val="14"/>
                <w:b w:val="1"/>
                <w:bCs w:val="1"/>
                <w:color w:val="auto"/>
              </w:rPr>
              <w:t>75,765,144</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80" w:type="dxa"/>
            <w:vAlign w:val="bottom"/>
          </w:tcPr>
          <w:p>
            <w:pPr>
              <w:jc w:val="right"/>
              <w:ind w:right="8"/>
              <w:spacing w:after="0"/>
              <w:rPr>
                <w:sz w:val="20"/>
                <w:szCs w:val="20"/>
                <w:color w:val="auto"/>
              </w:rPr>
            </w:pPr>
            <w:r>
              <w:rPr>
                <w:rFonts w:ascii="Arial" w:cs="Arial" w:eastAsia="Arial" w:hAnsi="Arial"/>
                <w:sz w:val="14"/>
                <w:szCs w:val="14"/>
                <w:color w:val="auto"/>
              </w:rPr>
              <w:t>75,734,587</w:t>
            </w:r>
          </w:p>
        </w:tc>
      </w:tr>
      <w:tr>
        <w:trPr>
          <w:trHeight w:val="271"/>
        </w:trPr>
        <w:tc>
          <w:tcPr>
            <w:tcW w:w="5140" w:type="dxa"/>
            <w:vAlign w:val="bottom"/>
            <w:shd w:val="clear" w:color="auto" w:fill="CCEEFF"/>
          </w:tcPr>
          <w:p>
            <w:pPr>
              <w:ind w:left="20"/>
              <w:spacing w:after="0"/>
              <w:rPr>
                <w:sz w:val="20"/>
                <w:szCs w:val="20"/>
                <w:color w:val="auto"/>
              </w:rPr>
            </w:pPr>
            <w:r>
              <w:rPr>
                <w:rFonts w:ascii="Arial" w:cs="Arial" w:eastAsia="Arial" w:hAnsi="Arial"/>
                <w:sz w:val="14"/>
                <w:szCs w:val="14"/>
                <w:color w:val="auto"/>
              </w:rPr>
              <w:t>Weighted Average Shares Outstanding - Diluted</w:t>
            </w:r>
          </w:p>
        </w:tc>
        <w:tc>
          <w:tcPr>
            <w:tcW w:w="120" w:type="dxa"/>
            <w:vAlign w:val="bottom"/>
            <w:shd w:val="clear" w:color="auto" w:fill="CCEEFF"/>
          </w:tcPr>
          <w:p>
            <w:pPr>
              <w:spacing w:after="0"/>
              <w:rPr>
                <w:sz w:val="23"/>
                <w:szCs w:val="23"/>
                <w:color w:val="auto"/>
              </w:rPr>
            </w:pPr>
          </w:p>
        </w:tc>
        <w:tc>
          <w:tcPr>
            <w:tcW w:w="118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75,770,665</w:t>
            </w:r>
          </w:p>
        </w:tc>
        <w:tc>
          <w:tcPr>
            <w:tcW w:w="12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9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75,746,200</w:t>
            </w:r>
          </w:p>
        </w:tc>
        <w:tc>
          <w:tcPr>
            <w:tcW w:w="2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14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75,765,144</w:t>
            </w:r>
          </w:p>
        </w:tc>
        <w:tc>
          <w:tcPr>
            <w:tcW w:w="10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9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75,734,587</w:t>
            </w:r>
          </w:p>
        </w:tc>
      </w:tr>
      <w:tr>
        <w:trPr>
          <w:trHeight w:val="324"/>
        </w:trPr>
        <w:tc>
          <w:tcPr>
            <w:tcW w:w="5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270"/>
        </w:trPr>
        <w:tc>
          <w:tcPr>
            <w:tcW w:w="5140" w:type="dxa"/>
            <w:vAlign w:val="bottom"/>
            <w:shd w:val="clear" w:color="auto" w:fill="CCEEFF"/>
          </w:tcPr>
          <w:p>
            <w:pPr>
              <w:ind w:left="20"/>
              <w:spacing w:after="0"/>
              <w:rPr>
                <w:sz w:val="20"/>
                <w:szCs w:val="20"/>
                <w:color w:val="auto"/>
              </w:rPr>
            </w:pPr>
            <w:r>
              <w:rPr>
                <w:rFonts w:ascii="Arial" w:cs="Arial" w:eastAsia="Arial" w:hAnsi="Arial"/>
                <w:sz w:val="14"/>
                <w:szCs w:val="14"/>
                <w:color w:val="auto"/>
              </w:rPr>
              <w:t>Basic EPS</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18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0.04</w:t>
            </w:r>
          </w:p>
        </w:tc>
        <w:tc>
          <w:tcPr>
            <w:tcW w:w="120" w:type="dxa"/>
            <w:vAlign w:val="bottom"/>
            <w:shd w:val="clear" w:color="auto" w:fill="CCEEFF"/>
          </w:tcPr>
          <w:p>
            <w:pPr>
              <w:spacing w:after="0"/>
              <w:rPr>
                <w:sz w:val="23"/>
                <w:szCs w:val="23"/>
                <w:color w:val="auto"/>
              </w:rPr>
            </w:pPr>
          </w:p>
        </w:tc>
        <w:tc>
          <w:tcPr>
            <w:tcW w:w="30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(0.02)</w:t>
            </w:r>
          </w:p>
        </w:tc>
        <w:tc>
          <w:tcPr>
            <w:tcW w:w="200" w:type="dxa"/>
            <w:vAlign w:val="bottom"/>
            <w:shd w:val="clear" w:color="auto" w:fill="CCEEFF"/>
          </w:tcPr>
          <w:p>
            <w:pPr>
              <w:spacing w:after="0"/>
              <w:rPr>
                <w:sz w:val="23"/>
                <w:szCs w:val="23"/>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(0.04)</w:t>
            </w:r>
          </w:p>
        </w:tc>
        <w:tc>
          <w:tcPr>
            <w:tcW w:w="100" w:type="dxa"/>
            <w:vAlign w:val="bottom"/>
            <w:shd w:val="clear" w:color="auto" w:fill="CCEEFF"/>
          </w:tcPr>
          <w:p>
            <w:pPr>
              <w:spacing w:after="0"/>
              <w:rPr>
                <w:sz w:val="23"/>
                <w:szCs w:val="23"/>
                <w:color w:val="auto"/>
              </w:rPr>
            </w:pPr>
          </w:p>
        </w:tc>
        <w:tc>
          <w:tcPr>
            <w:tcW w:w="28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(0.24)</w:t>
            </w:r>
          </w:p>
        </w:tc>
      </w:tr>
      <w:tr>
        <w:trPr>
          <w:trHeight w:val="268"/>
        </w:trPr>
        <w:tc>
          <w:tcPr>
            <w:tcW w:w="5140" w:type="dxa"/>
            <w:vAlign w:val="bottom"/>
          </w:tcPr>
          <w:p>
            <w:pPr>
              <w:ind w:left="20"/>
              <w:spacing w:after="0"/>
              <w:rPr>
                <w:sz w:val="20"/>
                <w:szCs w:val="20"/>
                <w:color w:val="auto"/>
              </w:rPr>
            </w:pPr>
            <w:r>
              <w:rPr>
                <w:rFonts w:ascii="Arial" w:cs="Arial" w:eastAsia="Arial" w:hAnsi="Arial"/>
                <w:sz w:val="14"/>
                <w:szCs w:val="14"/>
                <w:color w:val="auto"/>
              </w:rPr>
              <w:t>Diluted EPS</w:t>
            </w:r>
          </w:p>
        </w:tc>
        <w:tc>
          <w:tcPr>
            <w:tcW w:w="12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180" w:type="dxa"/>
            <w:vAlign w:val="bottom"/>
          </w:tcPr>
          <w:p>
            <w:pPr>
              <w:jc w:val="right"/>
              <w:ind w:right="28"/>
              <w:spacing w:after="0"/>
              <w:rPr>
                <w:sz w:val="20"/>
                <w:szCs w:val="20"/>
                <w:color w:val="auto"/>
              </w:rPr>
            </w:pPr>
            <w:r>
              <w:rPr>
                <w:rFonts w:ascii="Arial" w:cs="Arial" w:eastAsia="Arial" w:hAnsi="Arial"/>
                <w:sz w:val="14"/>
                <w:szCs w:val="14"/>
                <w:b w:val="1"/>
                <w:bCs w:val="1"/>
                <w:color w:val="auto"/>
              </w:rPr>
              <w:t>0.04</w:t>
            </w:r>
          </w:p>
        </w:tc>
        <w:tc>
          <w:tcPr>
            <w:tcW w:w="120" w:type="dxa"/>
            <w:vAlign w:val="bottom"/>
          </w:tcPr>
          <w:p>
            <w:pPr>
              <w:spacing w:after="0"/>
              <w:rPr>
                <w:sz w:val="23"/>
                <w:szCs w:val="23"/>
                <w:color w:val="auto"/>
              </w:rPr>
            </w:pPr>
          </w:p>
        </w:tc>
        <w:tc>
          <w:tcPr>
            <w:tcW w:w="30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980" w:type="dxa"/>
            <w:vAlign w:val="bottom"/>
          </w:tcPr>
          <w:p>
            <w:pPr>
              <w:jc w:val="right"/>
              <w:spacing w:after="0"/>
              <w:rPr>
                <w:sz w:val="20"/>
                <w:szCs w:val="20"/>
                <w:color w:val="auto"/>
              </w:rPr>
            </w:pPr>
            <w:r>
              <w:rPr>
                <w:rFonts w:ascii="Arial" w:cs="Arial" w:eastAsia="Arial" w:hAnsi="Arial"/>
                <w:sz w:val="14"/>
                <w:szCs w:val="14"/>
                <w:color w:val="auto"/>
              </w:rPr>
              <w:t>(0.02)</w:t>
            </w:r>
          </w:p>
        </w:tc>
        <w:tc>
          <w:tcPr>
            <w:tcW w:w="200" w:type="dxa"/>
            <w:vAlign w:val="bottom"/>
          </w:tcPr>
          <w:p>
            <w:pPr>
              <w:spacing w:after="0"/>
              <w:rPr>
                <w:sz w:val="23"/>
                <w:szCs w:val="23"/>
                <w:color w:val="auto"/>
              </w:rPr>
            </w:pPr>
          </w:p>
        </w:tc>
        <w:tc>
          <w:tcPr>
            <w:tcW w:w="14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140" w:type="dxa"/>
            <w:vAlign w:val="bottom"/>
          </w:tcPr>
          <w:p>
            <w:pPr>
              <w:jc w:val="right"/>
              <w:spacing w:after="0"/>
              <w:rPr>
                <w:sz w:val="20"/>
                <w:szCs w:val="20"/>
                <w:color w:val="auto"/>
              </w:rPr>
            </w:pPr>
            <w:r>
              <w:rPr>
                <w:rFonts w:ascii="Arial" w:cs="Arial" w:eastAsia="Arial" w:hAnsi="Arial"/>
                <w:sz w:val="14"/>
                <w:szCs w:val="14"/>
                <w:b w:val="1"/>
                <w:bCs w:val="1"/>
                <w:color w:val="auto"/>
              </w:rPr>
              <w:t>(0.04)</w:t>
            </w:r>
          </w:p>
        </w:tc>
        <w:tc>
          <w:tcPr>
            <w:tcW w:w="100" w:type="dxa"/>
            <w:vAlign w:val="bottom"/>
          </w:tcPr>
          <w:p>
            <w:pPr>
              <w:spacing w:after="0"/>
              <w:rPr>
                <w:sz w:val="23"/>
                <w:szCs w:val="23"/>
                <w:color w:val="auto"/>
              </w:rPr>
            </w:pPr>
          </w:p>
        </w:tc>
        <w:tc>
          <w:tcPr>
            <w:tcW w:w="28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980" w:type="dxa"/>
            <w:vAlign w:val="bottom"/>
          </w:tcPr>
          <w:p>
            <w:pPr>
              <w:jc w:val="right"/>
              <w:spacing w:after="0"/>
              <w:rPr>
                <w:sz w:val="20"/>
                <w:szCs w:val="20"/>
                <w:color w:val="auto"/>
              </w:rPr>
            </w:pPr>
            <w:r>
              <w:rPr>
                <w:rFonts w:ascii="Arial" w:cs="Arial" w:eastAsia="Arial" w:hAnsi="Arial"/>
                <w:sz w:val="14"/>
                <w:szCs w:val="14"/>
                <w:color w:val="auto"/>
              </w:rPr>
              <w:t>(0.24)</w:t>
            </w:r>
          </w:p>
        </w:tc>
      </w:tr>
    </w:tbl>
    <w:p>
      <w:pPr>
        <w:spacing w:after="0" w:line="200" w:lineRule="exact"/>
        <w:rPr>
          <w:sz w:val="20"/>
          <w:szCs w:val="20"/>
          <w:color w:val="auto"/>
        </w:rPr>
      </w:pPr>
    </w:p>
    <w:p>
      <w:pPr>
        <w:sectPr>
          <w:pgSz w:w="11900" w:h="16838" w:orient="portrait"/>
          <w:cols w:equalWidth="0" w:num="1">
            <w:col w:w="11420"/>
          </w:cols>
          <w:pgMar w:left="240" w:top="117" w:right="239" w:bottom="1440" w:gutter="0" w:footer="0" w:header="0"/>
        </w:sectPr>
      </w:pPr>
    </w:p>
    <w:p>
      <w:pPr>
        <w:spacing w:after="0" w:line="2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41</w:t>
      </w:r>
    </w:p>
    <w:p>
      <w:pPr>
        <w:sectPr>
          <w:pgSz w:w="11900" w:h="16838" w:orient="portrait"/>
          <w:cols w:equalWidth="0" w:num="1">
            <w:col w:w="11420"/>
          </w:cols>
          <w:pgMar w:left="240" w:top="117" w:right="239" w:bottom="1440" w:gutter="0" w:footer="0" w:header="0"/>
          <w:type w:val="continuous"/>
        </w:sectPr>
      </w:pPr>
    </w:p>
    <w:bookmarkStart w:id="41" w:name="page42"/>
    <w:bookmarkEnd w:id="41"/>
    <w:p>
      <w:pPr>
        <w:ind w:right="3820"/>
        <w:spacing w:after="0" w:line="305" w:lineRule="auto"/>
        <w:rPr>
          <w:sz w:val="20"/>
          <w:szCs w:val="20"/>
          <w:color w:val="auto"/>
        </w:rPr>
      </w:pPr>
      <w:r>
        <w:rPr>
          <w:rFonts w:ascii="Arial" w:cs="Arial" w:eastAsia="Arial" w:hAnsi="Arial"/>
          <w:sz w:val="22"/>
          <w:szCs w:val="22"/>
          <w:b w:val="1"/>
          <w:bCs w:val="1"/>
          <w:color w:val="00497F"/>
        </w:rPr>
        <w:t xml:space="preserve">FORTRESS TRANSPORTATION AND INFRASTRUCTURE INVESTORS LLC NOTES TO CONSOLIDATED FINANCIAL STATEMENTS </w:t>
      </w:r>
      <w:r>
        <w:rPr>
          <w:rFonts w:ascii="Arial" w:cs="Arial" w:eastAsia="Arial" w:hAnsi="Arial"/>
          <w:sz w:val="22"/>
          <w:szCs w:val="22"/>
          <w:b w:val="1"/>
          <w:bCs w:val="1"/>
          <w:i w:val="1"/>
          <w:iCs w:val="1"/>
          <w:color w:val="00497F"/>
        </w:rPr>
        <w:t>(unaudited)</w:t>
      </w:r>
    </w:p>
    <w:p>
      <w:pPr>
        <w:spacing w:after="0"/>
        <w:rPr>
          <w:sz w:val="20"/>
          <w:szCs w:val="20"/>
          <w:color w:val="auto"/>
        </w:rPr>
      </w:pPr>
      <w:r>
        <w:rPr>
          <w:rFonts w:ascii="Arial" w:cs="Arial" w:eastAsia="Arial" w:hAnsi="Arial"/>
          <w:sz w:val="18"/>
          <w:szCs w:val="18"/>
          <w:i w:val="1"/>
          <w:iCs w:val="1"/>
          <w:color w:val="00497F"/>
        </w:rPr>
        <w:t>(Dollar amounts in thousands, unless otherwise noted)</w:t>
      </w:r>
    </w:p>
    <w:p>
      <w:pPr>
        <w:spacing w:after="0" w:line="397" w:lineRule="exact"/>
        <w:rPr>
          <w:sz w:val="20"/>
          <w:szCs w:val="20"/>
          <w:color w:val="auto"/>
        </w:rPr>
      </w:pPr>
    </w:p>
    <w:p>
      <w:pPr>
        <w:jc w:val="both"/>
        <w:ind w:left="340"/>
        <w:spacing w:after="0" w:line="269" w:lineRule="auto"/>
        <w:rPr>
          <w:sz w:val="20"/>
          <w:szCs w:val="20"/>
          <w:color w:val="auto"/>
        </w:rPr>
      </w:pPr>
      <w:r>
        <w:rPr>
          <w:rFonts w:ascii="Arial" w:cs="Arial" w:eastAsia="Arial" w:hAnsi="Arial"/>
          <w:sz w:val="16"/>
          <w:szCs w:val="16"/>
          <w:color w:val="auto"/>
        </w:rPr>
        <w:t>For the nine months ended September 30, 2017, 1,048 shares have been excluded from the calculation of Diluted EPS because the impact would be anti-dilutive. For the three and nine months ended September 30, 2016, 7,333 and 9,474 shares, respectively, have been excluded from the calculation of Diluted EPS because the impact would be anti-dilutive.</w:t>
      </w:r>
    </w:p>
    <w:p>
      <w:pPr>
        <w:spacing w:after="0" w:line="106" w:lineRule="exact"/>
        <w:rPr>
          <w:sz w:val="20"/>
          <w:szCs w:val="20"/>
          <w:color w:val="auto"/>
        </w:rPr>
      </w:pPr>
    </w:p>
    <w:p>
      <w:pPr>
        <w:spacing w:after="0"/>
        <w:rPr>
          <w:sz w:val="20"/>
          <w:szCs w:val="20"/>
          <w:color w:val="auto"/>
        </w:rPr>
      </w:pPr>
      <w:r>
        <w:rPr>
          <w:rFonts w:ascii="Arial" w:cs="Arial" w:eastAsia="Arial" w:hAnsi="Arial"/>
          <w:sz w:val="22"/>
          <w:szCs w:val="22"/>
          <w:b w:val="1"/>
          <w:bCs w:val="1"/>
          <w:color w:val="00497F"/>
        </w:rPr>
        <w:t>16. COMMITMENTS AND CONTINGENCIES</w:t>
      </w:r>
    </w:p>
    <w:p>
      <w:pPr>
        <w:spacing w:after="0" w:line="171" w:lineRule="exact"/>
        <w:rPr>
          <w:sz w:val="20"/>
          <w:szCs w:val="20"/>
          <w:color w:val="auto"/>
        </w:rPr>
      </w:pPr>
    </w:p>
    <w:p>
      <w:pPr>
        <w:jc w:val="both"/>
        <w:ind w:left="340"/>
        <w:spacing w:after="0" w:line="254" w:lineRule="auto"/>
        <w:rPr>
          <w:sz w:val="20"/>
          <w:szCs w:val="20"/>
          <w:color w:val="auto"/>
        </w:rPr>
      </w:pPr>
      <w:r>
        <w:rPr>
          <w:rFonts w:ascii="Arial" w:cs="Arial" w:eastAsia="Arial" w:hAnsi="Arial"/>
          <w:sz w:val="16"/>
          <w:szCs w:val="16"/>
          <w:color w:val="auto"/>
        </w:rPr>
        <w:t>In the normal course of business the Company and its subsidiaries may be involved in various claims, legal proceedings, or may enter into contracts that contain a variety of representations and warranties and which provide general indemnifications. Within the Company’s Offshore Energy segment, lessees have asserted that they are entitled to certain reimbursable expenses or adjustments per the terms of the related charter agreement. Although the Company believes it has strong defenses against these claims, the range of potential damages is $0 to $6,580 at September 30, 2017. No amount has been recorded for this matter in the Company’s consolidated financial statements as of September 30, 2017, and the Company will continue to vigorously defend against these claims. The Company’s maximum exposure under other arrangements is unknown as no additional claims have been made. The Company believes the risk of loss in connection with such arrangements is remote.</w:t>
      </w:r>
    </w:p>
    <w:p>
      <w:pPr>
        <w:spacing w:after="0" w:line="123" w:lineRule="exact"/>
        <w:rPr>
          <w:sz w:val="20"/>
          <w:szCs w:val="20"/>
          <w:color w:val="auto"/>
        </w:rPr>
      </w:pPr>
    </w:p>
    <w:p>
      <w:pPr>
        <w:jc w:val="both"/>
        <w:ind w:left="340"/>
        <w:spacing w:after="0" w:line="269" w:lineRule="auto"/>
        <w:rPr>
          <w:sz w:val="20"/>
          <w:szCs w:val="20"/>
          <w:color w:val="auto"/>
        </w:rPr>
      </w:pPr>
      <w:r>
        <w:rPr>
          <w:rFonts w:ascii="Arial" w:cs="Arial" w:eastAsia="Arial" w:hAnsi="Arial"/>
          <w:sz w:val="16"/>
          <w:szCs w:val="16"/>
          <w:color w:val="auto"/>
        </w:rPr>
        <w:t>The Company has also entered into an arrangement with its non-controlling interest holder of Repauno, whereby the non-controlling interest holder may receive additional payments contingent upon the achievement of certain conditions, not to exceed $15,000. The Company will account for such amounts when and if such conditions are achieved.</w:t>
      </w:r>
    </w:p>
    <w:p>
      <w:pPr>
        <w:spacing w:after="0" w:line="111" w:lineRule="exact"/>
        <w:rPr>
          <w:sz w:val="20"/>
          <w:szCs w:val="20"/>
          <w:color w:val="auto"/>
        </w:rPr>
      </w:pPr>
    </w:p>
    <w:p>
      <w:pPr>
        <w:jc w:val="both"/>
        <w:ind w:left="340"/>
        <w:spacing w:after="0" w:line="291" w:lineRule="auto"/>
        <w:rPr>
          <w:sz w:val="20"/>
          <w:szCs w:val="20"/>
          <w:color w:val="auto"/>
        </w:rPr>
      </w:pPr>
      <w:r>
        <w:rPr>
          <w:rFonts w:ascii="Arial" w:cs="Arial" w:eastAsia="Arial" w:hAnsi="Arial"/>
          <w:sz w:val="16"/>
          <w:szCs w:val="16"/>
          <w:color w:val="auto"/>
        </w:rPr>
        <w:t>The Company has entered into an arrangement with the seller of Hannibal, whereby the seller may receive additional payments contingent upon the achievement of certain conditions, not to exceed $5,000. The Company will account for such amounts when and if such conditions are achieved.</w:t>
      </w:r>
    </w:p>
    <w:p>
      <w:pPr>
        <w:spacing w:after="0" w:line="94"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Several of the Company’s subsidiaries are lessees under various operating and capital leases. Total rent expense for operating leases was as follows:</w:t>
      </w:r>
    </w:p>
    <w:p>
      <w:pPr>
        <w:spacing w:after="0" w:line="386" w:lineRule="exact"/>
        <w:rPr>
          <w:sz w:val="20"/>
          <w:szCs w:val="20"/>
          <w:color w:val="auto"/>
        </w:rPr>
      </w:pPr>
    </w:p>
    <w:tbl>
      <w:tblPr>
        <w:tblLayout w:type="fixed"/>
        <w:tblInd w:w="340" w:type="dxa"/>
        <w:tblCellMar>
          <w:top w:w="0" w:type="dxa"/>
          <w:left w:w="0" w:type="dxa"/>
          <w:bottom w:w="0" w:type="dxa"/>
          <w:right w:w="0" w:type="dxa"/>
        </w:tblCellMar>
      </w:tblPr>
      <w:tr>
        <w:trPr>
          <w:trHeight w:val="203"/>
        </w:trPr>
        <w:tc>
          <w:tcPr>
            <w:tcW w:w="5140" w:type="dxa"/>
            <w:vAlign w:val="bottom"/>
          </w:tcPr>
          <w:p>
            <w:pPr>
              <w:spacing w:after="0"/>
              <w:rPr>
                <w:sz w:val="17"/>
                <w:szCs w:val="17"/>
                <w:color w:val="auto"/>
              </w:rPr>
            </w:pPr>
          </w:p>
        </w:tc>
        <w:tc>
          <w:tcPr>
            <w:tcW w:w="2900" w:type="dxa"/>
            <w:vAlign w:val="bottom"/>
            <w:gridSpan w:val="6"/>
          </w:tcPr>
          <w:p>
            <w:pPr>
              <w:ind w:left="140"/>
              <w:spacing w:after="0"/>
              <w:rPr>
                <w:sz w:val="20"/>
                <w:szCs w:val="20"/>
                <w:color w:val="auto"/>
              </w:rPr>
            </w:pPr>
            <w:r>
              <w:rPr>
                <w:rFonts w:ascii="Arial" w:cs="Arial" w:eastAsia="Arial" w:hAnsi="Arial"/>
                <w:sz w:val="14"/>
                <w:szCs w:val="14"/>
                <w:b w:val="1"/>
                <w:bCs w:val="1"/>
                <w:color w:val="auto"/>
              </w:rPr>
              <w:t>Three Months Ended September 30,</w:t>
            </w:r>
          </w:p>
        </w:tc>
        <w:tc>
          <w:tcPr>
            <w:tcW w:w="140" w:type="dxa"/>
            <w:vAlign w:val="bottom"/>
          </w:tcPr>
          <w:p>
            <w:pPr>
              <w:spacing w:after="0"/>
              <w:rPr>
                <w:sz w:val="17"/>
                <w:szCs w:val="17"/>
                <w:color w:val="auto"/>
              </w:rPr>
            </w:pPr>
          </w:p>
        </w:tc>
        <w:tc>
          <w:tcPr>
            <w:tcW w:w="2500" w:type="dxa"/>
            <w:vAlign w:val="bottom"/>
            <w:gridSpan w:val="4"/>
          </w:tcPr>
          <w:p>
            <w:pPr>
              <w:jc w:val="right"/>
              <w:ind w:right="48"/>
              <w:spacing w:after="0"/>
              <w:rPr>
                <w:sz w:val="20"/>
                <w:szCs w:val="20"/>
                <w:color w:val="auto"/>
              </w:rPr>
            </w:pPr>
            <w:r>
              <w:rPr>
                <w:rFonts w:ascii="Arial" w:cs="Arial" w:eastAsia="Arial" w:hAnsi="Arial"/>
                <w:sz w:val="14"/>
                <w:szCs w:val="14"/>
                <w:b w:val="1"/>
                <w:bCs w:val="1"/>
                <w:color w:val="auto"/>
              </w:rPr>
              <w:t>Nine Months Ended September 30,</w:t>
            </w:r>
          </w:p>
        </w:tc>
      </w:tr>
      <w:tr>
        <w:trPr>
          <w:trHeight w:val="264"/>
        </w:trPr>
        <w:tc>
          <w:tcPr>
            <w:tcW w:w="5140" w:type="dxa"/>
            <w:vAlign w:val="bottom"/>
            <w:tcBorders>
              <w:bottom w:val="single" w:sz="8" w:color="CCEEFF"/>
            </w:tcBorders>
          </w:tcPr>
          <w:p>
            <w:pPr>
              <w:spacing w:after="0"/>
              <w:rPr>
                <w:sz w:val="22"/>
                <w:szCs w:val="22"/>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2017</w:t>
            </w:r>
          </w:p>
        </w:tc>
        <w:tc>
          <w:tcPr>
            <w:tcW w:w="480" w:type="dxa"/>
            <w:vAlign w:val="bottom"/>
            <w:tcBorders>
              <w:top w:val="single" w:sz="8" w:color="auto"/>
              <w:bottom w:val="single" w:sz="8" w:color="auto"/>
            </w:tcBorders>
          </w:tcPr>
          <w:p>
            <w:pPr>
              <w:spacing w:after="0"/>
              <w:rPr>
                <w:sz w:val="22"/>
                <w:szCs w:val="22"/>
                <w:color w:val="auto"/>
              </w:rPr>
            </w:pPr>
          </w:p>
        </w:tc>
        <w:tc>
          <w:tcPr>
            <w:tcW w:w="120" w:type="dxa"/>
            <w:vAlign w:val="bottom"/>
            <w:tcBorders>
              <w:top w:val="single" w:sz="8" w:color="auto"/>
              <w:bottom w:val="single" w:sz="8" w:color="CCEEFF"/>
            </w:tcBorders>
          </w:tcPr>
          <w:p>
            <w:pPr>
              <w:spacing w:after="0"/>
              <w:rPr>
                <w:sz w:val="22"/>
                <w:szCs w:val="22"/>
                <w:color w:val="auto"/>
              </w:rPr>
            </w:pPr>
          </w:p>
        </w:tc>
        <w:tc>
          <w:tcPr>
            <w:tcW w:w="300" w:type="dxa"/>
            <w:vAlign w:val="bottom"/>
            <w:tcBorders>
              <w:top w:val="single" w:sz="8" w:color="auto"/>
              <w:bottom w:val="single" w:sz="8" w:color="auto"/>
            </w:tcBorders>
          </w:tcPr>
          <w:p>
            <w:pPr>
              <w:spacing w:after="0"/>
              <w:rPr>
                <w:sz w:val="22"/>
                <w:szCs w:val="22"/>
                <w:color w:val="auto"/>
              </w:rPr>
            </w:pPr>
          </w:p>
        </w:tc>
        <w:tc>
          <w:tcPr>
            <w:tcW w:w="980" w:type="dxa"/>
            <w:vAlign w:val="bottom"/>
            <w:tcBorders>
              <w:top w:val="single" w:sz="8" w:color="auto"/>
              <w:bottom w:val="single" w:sz="8" w:color="auto"/>
            </w:tcBorders>
          </w:tcPr>
          <w:p>
            <w:pPr>
              <w:jc w:val="right"/>
              <w:ind w:right="408"/>
              <w:spacing w:after="0"/>
              <w:rPr>
                <w:sz w:val="20"/>
                <w:szCs w:val="20"/>
                <w:color w:val="auto"/>
              </w:rPr>
            </w:pPr>
            <w:r>
              <w:rPr>
                <w:rFonts w:ascii="Arial" w:cs="Arial" w:eastAsia="Arial" w:hAnsi="Arial"/>
                <w:sz w:val="14"/>
                <w:szCs w:val="14"/>
                <w:b w:val="1"/>
                <w:bCs w:val="1"/>
                <w:color w:val="auto"/>
              </w:rPr>
              <w:t>2016</w:t>
            </w:r>
          </w:p>
        </w:tc>
        <w:tc>
          <w:tcPr>
            <w:tcW w:w="200" w:type="dxa"/>
            <w:vAlign w:val="bottom"/>
            <w:tcBorders>
              <w:bottom w:val="single" w:sz="8" w:color="CCEEFF"/>
            </w:tcBorders>
          </w:tcPr>
          <w:p>
            <w:pPr>
              <w:spacing w:after="0"/>
              <w:rPr>
                <w:sz w:val="22"/>
                <w:szCs w:val="22"/>
                <w:color w:val="auto"/>
              </w:rPr>
            </w:pPr>
          </w:p>
        </w:tc>
        <w:tc>
          <w:tcPr>
            <w:tcW w:w="140" w:type="dxa"/>
            <w:vAlign w:val="bottom"/>
            <w:tcBorders>
              <w:top w:val="single" w:sz="8" w:color="auto"/>
              <w:bottom w:val="single" w:sz="8" w:color="auto"/>
            </w:tcBorders>
          </w:tcPr>
          <w:p>
            <w:pPr>
              <w:spacing w:after="0"/>
              <w:rPr>
                <w:sz w:val="22"/>
                <w:szCs w:val="22"/>
                <w:color w:val="auto"/>
              </w:rPr>
            </w:pPr>
          </w:p>
        </w:tc>
        <w:tc>
          <w:tcPr>
            <w:tcW w:w="1140" w:type="dxa"/>
            <w:vAlign w:val="bottom"/>
            <w:tcBorders>
              <w:top w:val="single" w:sz="8" w:color="auto"/>
              <w:bottom w:val="single" w:sz="8" w:color="auto"/>
            </w:tcBorders>
          </w:tcPr>
          <w:p>
            <w:pPr>
              <w:jc w:val="right"/>
              <w:ind w:right="408"/>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top w:val="single" w:sz="8" w:color="auto"/>
              <w:bottom w:val="single" w:sz="8" w:color="CCEEFF"/>
            </w:tcBorders>
          </w:tcPr>
          <w:p>
            <w:pPr>
              <w:spacing w:after="0"/>
              <w:rPr>
                <w:sz w:val="22"/>
                <w:szCs w:val="22"/>
                <w:color w:val="auto"/>
              </w:rPr>
            </w:pPr>
          </w:p>
        </w:tc>
        <w:tc>
          <w:tcPr>
            <w:tcW w:w="280" w:type="dxa"/>
            <w:vAlign w:val="bottom"/>
            <w:tcBorders>
              <w:top w:val="single" w:sz="8" w:color="auto"/>
              <w:bottom w:val="single" w:sz="8" w:color="auto"/>
            </w:tcBorders>
          </w:tcPr>
          <w:p>
            <w:pPr>
              <w:spacing w:after="0"/>
              <w:rPr>
                <w:sz w:val="22"/>
                <w:szCs w:val="22"/>
                <w:color w:val="auto"/>
              </w:rPr>
            </w:pPr>
          </w:p>
        </w:tc>
        <w:tc>
          <w:tcPr>
            <w:tcW w:w="980" w:type="dxa"/>
            <w:vAlign w:val="bottom"/>
            <w:tcBorders>
              <w:top w:val="single" w:sz="8" w:color="auto"/>
              <w:bottom w:val="single" w:sz="8" w:color="auto"/>
            </w:tcBorders>
          </w:tcPr>
          <w:p>
            <w:pPr>
              <w:jc w:val="right"/>
              <w:ind w:right="388"/>
              <w:spacing w:after="0"/>
              <w:rPr>
                <w:sz w:val="20"/>
                <w:szCs w:val="20"/>
                <w:color w:val="auto"/>
              </w:rPr>
            </w:pPr>
            <w:r>
              <w:rPr>
                <w:rFonts w:ascii="Arial" w:cs="Arial" w:eastAsia="Arial" w:hAnsi="Arial"/>
                <w:sz w:val="14"/>
                <w:szCs w:val="14"/>
                <w:b w:val="1"/>
                <w:bCs w:val="1"/>
                <w:color w:val="auto"/>
              </w:rPr>
              <w:t>2016</w:t>
            </w:r>
          </w:p>
        </w:tc>
      </w:tr>
      <w:tr>
        <w:trPr>
          <w:trHeight w:val="251"/>
        </w:trPr>
        <w:tc>
          <w:tcPr>
            <w:tcW w:w="5140" w:type="dxa"/>
            <w:vAlign w:val="bottom"/>
            <w:shd w:val="clear" w:color="auto" w:fill="CCEEFF"/>
          </w:tcPr>
          <w:p>
            <w:pPr>
              <w:ind w:left="500"/>
              <w:spacing w:after="0"/>
              <w:rPr>
                <w:sz w:val="20"/>
                <w:szCs w:val="20"/>
                <w:color w:val="auto"/>
              </w:rPr>
            </w:pPr>
            <w:r>
              <w:rPr>
                <w:rFonts w:ascii="Arial" w:cs="Arial" w:eastAsia="Arial" w:hAnsi="Arial"/>
                <w:sz w:val="14"/>
                <w:szCs w:val="14"/>
                <w:color w:val="auto"/>
              </w:rPr>
              <w:t>Rent expense</w:t>
            </w:r>
          </w:p>
        </w:tc>
        <w:tc>
          <w:tcPr>
            <w:tcW w:w="820" w:type="dxa"/>
            <w:vAlign w:val="bottom"/>
            <w:shd w:val="clear" w:color="auto" w:fill="CCEEFF"/>
          </w:tcPr>
          <w:p>
            <w:pPr>
              <w:jc w:val="right"/>
              <w:ind w:right="648"/>
              <w:spacing w:after="0"/>
              <w:rPr>
                <w:sz w:val="20"/>
                <w:szCs w:val="20"/>
                <w:color w:val="auto"/>
              </w:rPr>
            </w:pPr>
            <w:r>
              <w:rPr>
                <w:rFonts w:ascii="Arial" w:cs="Arial" w:eastAsia="Arial" w:hAnsi="Arial"/>
                <w:sz w:val="14"/>
                <w:szCs w:val="14"/>
                <w:b w:val="1"/>
                <w:bCs w:val="1"/>
                <w:color w:val="auto"/>
              </w:rPr>
              <w:t>$</w:t>
            </w:r>
          </w:p>
        </w:tc>
        <w:tc>
          <w:tcPr>
            <w:tcW w:w="48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1,235</w:t>
            </w:r>
          </w:p>
        </w:tc>
        <w:tc>
          <w:tcPr>
            <w:tcW w:w="120" w:type="dxa"/>
            <w:vAlign w:val="bottom"/>
            <w:shd w:val="clear" w:color="auto" w:fill="CCEEFF"/>
          </w:tcPr>
          <w:p>
            <w:pPr>
              <w:spacing w:after="0"/>
              <w:rPr>
                <w:sz w:val="21"/>
                <w:szCs w:val="21"/>
                <w:color w:val="auto"/>
              </w:rPr>
            </w:pPr>
          </w:p>
        </w:tc>
        <w:tc>
          <w:tcPr>
            <w:tcW w:w="30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9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1,197</w:t>
            </w:r>
          </w:p>
        </w:tc>
        <w:tc>
          <w:tcPr>
            <w:tcW w:w="20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14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3,755</w:t>
            </w: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9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3,724</w:t>
            </w:r>
          </w:p>
        </w:tc>
      </w:tr>
    </w:tbl>
    <w:p>
      <w:pPr>
        <w:spacing w:after="0" w:line="144" w:lineRule="exact"/>
        <w:rPr>
          <w:sz w:val="20"/>
          <w:szCs w:val="20"/>
          <w:color w:val="auto"/>
        </w:rPr>
      </w:pPr>
    </w:p>
    <w:p>
      <w:pPr>
        <w:ind w:left="340"/>
        <w:spacing w:after="0"/>
        <w:rPr>
          <w:sz w:val="20"/>
          <w:szCs w:val="20"/>
          <w:color w:val="auto"/>
        </w:rPr>
      </w:pPr>
      <w:r>
        <w:rPr>
          <w:rFonts w:ascii="Arial" w:cs="Arial" w:eastAsia="Arial" w:hAnsi="Arial"/>
          <w:sz w:val="16"/>
          <w:szCs w:val="16"/>
          <w:color w:val="auto"/>
        </w:rPr>
        <w:t>As of September 30, 2017, minimum future rental payments under operating and capital leases are as follows:</w:t>
      </w:r>
    </w:p>
    <w:p>
      <w:pPr>
        <w:spacing w:after="0" w:line="334" w:lineRule="exact"/>
        <w:rPr>
          <w:sz w:val="20"/>
          <w:szCs w:val="20"/>
          <w:color w:val="auto"/>
        </w:rPr>
      </w:pPr>
    </w:p>
    <w:tbl>
      <w:tblPr>
        <w:tblLayout w:type="fixed"/>
        <w:tblInd w:w="340" w:type="dxa"/>
        <w:tblCellMar>
          <w:top w:w="0" w:type="dxa"/>
          <w:left w:w="0" w:type="dxa"/>
          <w:bottom w:w="0" w:type="dxa"/>
          <w:right w:w="0" w:type="dxa"/>
        </w:tblCellMar>
      </w:tblPr>
      <w:tr>
        <w:trPr>
          <w:trHeight w:val="198"/>
        </w:trPr>
        <w:tc>
          <w:tcPr>
            <w:tcW w:w="8980" w:type="dxa"/>
            <w:vAlign w:val="bottom"/>
          </w:tcPr>
          <w:p>
            <w:pPr>
              <w:ind w:left="20"/>
              <w:spacing w:after="0"/>
              <w:rPr>
                <w:sz w:val="20"/>
                <w:szCs w:val="20"/>
                <w:color w:val="auto"/>
              </w:rPr>
            </w:pPr>
            <w:r>
              <w:rPr>
                <w:rFonts w:ascii="Arial" w:cs="Arial" w:eastAsia="Arial" w:hAnsi="Arial"/>
                <w:sz w:val="14"/>
                <w:szCs w:val="14"/>
                <w:color w:val="auto"/>
              </w:rPr>
              <w:t>2017</w:t>
            </w:r>
          </w:p>
        </w:tc>
        <w:tc>
          <w:tcPr>
            <w:tcW w:w="640" w:type="dxa"/>
            <w:vAlign w:val="bottom"/>
          </w:tcPr>
          <w:p>
            <w:pPr>
              <w:jc w:val="right"/>
              <w:ind w:right="448"/>
              <w:spacing w:after="0"/>
              <w:rPr>
                <w:sz w:val="20"/>
                <w:szCs w:val="20"/>
                <w:color w:val="auto"/>
              </w:rPr>
            </w:pPr>
            <w:r>
              <w:rPr>
                <w:rFonts w:ascii="Arial" w:cs="Arial" w:eastAsia="Arial" w:hAnsi="Arial"/>
                <w:sz w:val="14"/>
                <w:szCs w:val="14"/>
                <w:color w:val="auto"/>
              </w:rPr>
              <w:t>$</w:t>
            </w:r>
          </w:p>
        </w:tc>
        <w:tc>
          <w:tcPr>
            <w:tcW w:w="1060" w:type="dxa"/>
            <w:vAlign w:val="bottom"/>
          </w:tcPr>
          <w:p>
            <w:pPr>
              <w:jc w:val="right"/>
              <w:ind w:right="8"/>
              <w:spacing w:after="0"/>
              <w:rPr>
                <w:sz w:val="20"/>
                <w:szCs w:val="20"/>
                <w:color w:val="auto"/>
              </w:rPr>
            </w:pPr>
            <w:r>
              <w:rPr>
                <w:rFonts w:ascii="Arial" w:cs="Arial" w:eastAsia="Arial" w:hAnsi="Arial"/>
                <w:sz w:val="14"/>
                <w:szCs w:val="14"/>
                <w:color w:val="auto"/>
              </w:rPr>
              <w:t>2,047</w:t>
            </w:r>
          </w:p>
        </w:tc>
      </w:tr>
      <w:tr>
        <w:trPr>
          <w:trHeight w:val="220"/>
        </w:trPr>
        <w:tc>
          <w:tcPr>
            <w:tcW w:w="8980" w:type="dxa"/>
            <w:vAlign w:val="bottom"/>
            <w:shd w:val="clear" w:color="auto" w:fill="CCEEFF"/>
          </w:tcPr>
          <w:p>
            <w:pPr>
              <w:ind w:left="20"/>
              <w:spacing w:after="0"/>
              <w:rPr>
                <w:sz w:val="20"/>
                <w:szCs w:val="20"/>
                <w:color w:val="auto"/>
              </w:rPr>
            </w:pPr>
            <w:r>
              <w:rPr>
                <w:rFonts w:ascii="Arial" w:cs="Arial" w:eastAsia="Arial" w:hAnsi="Arial"/>
                <w:sz w:val="14"/>
                <w:szCs w:val="14"/>
                <w:color w:val="auto"/>
              </w:rPr>
              <w:t>2018</w:t>
            </w:r>
          </w:p>
        </w:tc>
        <w:tc>
          <w:tcPr>
            <w:tcW w:w="64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6,925</w:t>
            </w:r>
          </w:p>
        </w:tc>
      </w:tr>
      <w:tr>
        <w:trPr>
          <w:trHeight w:val="212"/>
        </w:trPr>
        <w:tc>
          <w:tcPr>
            <w:tcW w:w="8980" w:type="dxa"/>
            <w:vAlign w:val="bottom"/>
          </w:tcPr>
          <w:p>
            <w:pPr>
              <w:ind w:left="20"/>
              <w:spacing w:after="0"/>
              <w:rPr>
                <w:sz w:val="20"/>
                <w:szCs w:val="20"/>
                <w:color w:val="auto"/>
              </w:rPr>
            </w:pPr>
            <w:r>
              <w:rPr>
                <w:rFonts w:ascii="Arial" w:cs="Arial" w:eastAsia="Arial" w:hAnsi="Arial"/>
                <w:sz w:val="14"/>
                <w:szCs w:val="14"/>
                <w:color w:val="auto"/>
              </w:rPr>
              <w:t>2019</w:t>
            </w:r>
          </w:p>
        </w:tc>
        <w:tc>
          <w:tcPr>
            <w:tcW w:w="640" w:type="dxa"/>
            <w:vAlign w:val="bottom"/>
          </w:tcPr>
          <w:p>
            <w:pPr>
              <w:spacing w:after="0"/>
              <w:rPr>
                <w:sz w:val="18"/>
                <w:szCs w:val="18"/>
                <w:color w:val="auto"/>
              </w:rPr>
            </w:pPr>
          </w:p>
        </w:tc>
        <w:tc>
          <w:tcPr>
            <w:tcW w:w="1060" w:type="dxa"/>
            <w:vAlign w:val="bottom"/>
          </w:tcPr>
          <w:p>
            <w:pPr>
              <w:jc w:val="right"/>
              <w:ind w:right="8"/>
              <w:spacing w:after="0"/>
              <w:rPr>
                <w:sz w:val="20"/>
                <w:szCs w:val="20"/>
                <w:color w:val="auto"/>
              </w:rPr>
            </w:pPr>
            <w:r>
              <w:rPr>
                <w:rFonts w:ascii="Arial" w:cs="Arial" w:eastAsia="Arial" w:hAnsi="Arial"/>
                <w:sz w:val="14"/>
                <w:szCs w:val="14"/>
                <w:color w:val="auto"/>
              </w:rPr>
              <w:t>6,514</w:t>
            </w:r>
          </w:p>
        </w:tc>
      </w:tr>
      <w:tr>
        <w:trPr>
          <w:trHeight w:val="220"/>
        </w:trPr>
        <w:tc>
          <w:tcPr>
            <w:tcW w:w="8980" w:type="dxa"/>
            <w:vAlign w:val="bottom"/>
            <w:shd w:val="clear" w:color="auto" w:fill="CCEEFF"/>
          </w:tcPr>
          <w:p>
            <w:pPr>
              <w:ind w:left="20"/>
              <w:spacing w:after="0"/>
              <w:rPr>
                <w:sz w:val="20"/>
                <w:szCs w:val="20"/>
                <w:color w:val="auto"/>
              </w:rPr>
            </w:pPr>
            <w:r>
              <w:rPr>
                <w:rFonts w:ascii="Arial" w:cs="Arial" w:eastAsia="Arial" w:hAnsi="Arial"/>
                <w:sz w:val="14"/>
                <w:szCs w:val="14"/>
                <w:color w:val="auto"/>
              </w:rPr>
              <w:t>2020</w:t>
            </w:r>
          </w:p>
        </w:tc>
        <w:tc>
          <w:tcPr>
            <w:tcW w:w="64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5,484</w:t>
            </w:r>
          </w:p>
        </w:tc>
      </w:tr>
      <w:tr>
        <w:trPr>
          <w:trHeight w:val="212"/>
        </w:trPr>
        <w:tc>
          <w:tcPr>
            <w:tcW w:w="8980" w:type="dxa"/>
            <w:vAlign w:val="bottom"/>
          </w:tcPr>
          <w:p>
            <w:pPr>
              <w:ind w:left="20"/>
              <w:spacing w:after="0"/>
              <w:rPr>
                <w:sz w:val="20"/>
                <w:szCs w:val="20"/>
                <w:color w:val="auto"/>
              </w:rPr>
            </w:pPr>
            <w:r>
              <w:rPr>
                <w:rFonts w:ascii="Arial" w:cs="Arial" w:eastAsia="Arial" w:hAnsi="Arial"/>
                <w:sz w:val="14"/>
                <w:szCs w:val="14"/>
                <w:color w:val="auto"/>
              </w:rPr>
              <w:t>2021</w:t>
            </w:r>
          </w:p>
        </w:tc>
        <w:tc>
          <w:tcPr>
            <w:tcW w:w="640" w:type="dxa"/>
            <w:vAlign w:val="bottom"/>
          </w:tcPr>
          <w:p>
            <w:pPr>
              <w:spacing w:after="0"/>
              <w:rPr>
                <w:sz w:val="18"/>
                <w:szCs w:val="18"/>
                <w:color w:val="auto"/>
              </w:rPr>
            </w:pPr>
          </w:p>
        </w:tc>
        <w:tc>
          <w:tcPr>
            <w:tcW w:w="1060" w:type="dxa"/>
            <w:vAlign w:val="bottom"/>
          </w:tcPr>
          <w:p>
            <w:pPr>
              <w:jc w:val="right"/>
              <w:ind w:right="8"/>
              <w:spacing w:after="0"/>
              <w:rPr>
                <w:sz w:val="20"/>
                <w:szCs w:val="20"/>
                <w:color w:val="auto"/>
              </w:rPr>
            </w:pPr>
            <w:r>
              <w:rPr>
                <w:rFonts w:ascii="Arial" w:cs="Arial" w:eastAsia="Arial" w:hAnsi="Arial"/>
                <w:sz w:val="14"/>
                <w:szCs w:val="14"/>
                <w:color w:val="auto"/>
              </w:rPr>
              <w:t>4,166</w:t>
            </w:r>
          </w:p>
        </w:tc>
      </w:tr>
      <w:tr>
        <w:trPr>
          <w:trHeight w:val="216"/>
        </w:trPr>
        <w:tc>
          <w:tcPr>
            <w:tcW w:w="8980" w:type="dxa"/>
            <w:vAlign w:val="bottom"/>
            <w:shd w:val="clear" w:color="auto" w:fill="CCEEFF"/>
          </w:tcPr>
          <w:p>
            <w:pPr>
              <w:ind w:left="20"/>
              <w:spacing w:after="0"/>
              <w:rPr>
                <w:sz w:val="20"/>
                <w:szCs w:val="20"/>
                <w:color w:val="auto"/>
              </w:rPr>
            </w:pPr>
            <w:r>
              <w:rPr>
                <w:rFonts w:ascii="Arial" w:cs="Arial" w:eastAsia="Arial" w:hAnsi="Arial"/>
                <w:sz w:val="14"/>
                <w:szCs w:val="14"/>
                <w:color w:val="auto"/>
              </w:rPr>
              <w:t>Thereafter</w:t>
            </w:r>
          </w:p>
        </w:tc>
        <w:tc>
          <w:tcPr>
            <w:tcW w:w="64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73,330</w:t>
            </w:r>
          </w:p>
        </w:tc>
      </w:tr>
      <w:tr>
        <w:trPr>
          <w:trHeight w:val="214"/>
        </w:trPr>
        <w:tc>
          <w:tcPr>
            <w:tcW w:w="8980" w:type="dxa"/>
            <w:vAlign w:val="bottom"/>
          </w:tcPr>
          <w:p>
            <w:pPr>
              <w:ind w:left="20"/>
              <w:spacing w:after="0"/>
              <w:rPr>
                <w:sz w:val="20"/>
                <w:szCs w:val="20"/>
                <w:color w:val="auto"/>
              </w:rPr>
            </w:pPr>
            <w:r>
              <w:rPr>
                <w:rFonts w:ascii="Arial" w:cs="Arial" w:eastAsia="Arial" w:hAnsi="Arial"/>
                <w:sz w:val="14"/>
                <w:szCs w:val="14"/>
                <w:b w:val="1"/>
                <w:bCs w:val="1"/>
                <w:color w:val="auto"/>
              </w:rPr>
              <w:t>Total</w:t>
            </w:r>
          </w:p>
        </w:tc>
        <w:tc>
          <w:tcPr>
            <w:tcW w:w="640" w:type="dxa"/>
            <w:vAlign w:val="bottom"/>
            <w:tcBorders>
              <w:bottom w:val="single" w:sz="8" w:color="auto"/>
            </w:tcBorders>
          </w:tcPr>
          <w:p>
            <w:pPr>
              <w:jc w:val="right"/>
              <w:ind w:right="448"/>
              <w:spacing w:after="0"/>
              <w:rPr>
                <w:sz w:val="20"/>
                <w:szCs w:val="20"/>
                <w:color w:val="auto"/>
              </w:rPr>
            </w:pPr>
            <w:r>
              <w:rPr>
                <w:rFonts w:ascii="Arial" w:cs="Arial" w:eastAsia="Arial" w:hAnsi="Arial"/>
                <w:sz w:val="14"/>
                <w:szCs w:val="14"/>
                <w:b w:val="1"/>
                <w:bCs w:val="1"/>
                <w:color w:val="auto"/>
              </w:rPr>
              <w:t>$</w:t>
            </w:r>
          </w:p>
        </w:tc>
        <w:tc>
          <w:tcPr>
            <w:tcW w:w="10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98,466</w:t>
            </w:r>
          </w:p>
        </w:tc>
      </w:tr>
      <w:tr>
        <w:trPr>
          <w:trHeight w:val="20"/>
        </w:trPr>
        <w:tc>
          <w:tcPr>
            <w:tcW w:w="898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139" w:lineRule="exact"/>
        <w:rPr>
          <w:sz w:val="20"/>
          <w:szCs w:val="20"/>
          <w:color w:val="auto"/>
        </w:rPr>
      </w:pPr>
    </w:p>
    <w:p>
      <w:pPr>
        <w:spacing w:after="0"/>
        <w:rPr>
          <w:sz w:val="20"/>
          <w:szCs w:val="20"/>
          <w:color w:val="auto"/>
        </w:rPr>
      </w:pPr>
      <w:r>
        <w:rPr>
          <w:rFonts w:ascii="Arial" w:cs="Arial" w:eastAsia="Arial" w:hAnsi="Arial"/>
          <w:sz w:val="22"/>
          <w:szCs w:val="22"/>
          <w:b w:val="1"/>
          <w:bCs w:val="1"/>
          <w:color w:val="00497F"/>
        </w:rPr>
        <w:t>17. SUBSEQUENT EVENTS</w:t>
      </w:r>
    </w:p>
    <w:p>
      <w:pPr>
        <w:spacing w:after="0" w:line="171" w:lineRule="exact"/>
        <w:rPr>
          <w:sz w:val="20"/>
          <w:szCs w:val="20"/>
          <w:color w:val="auto"/>
        </w:rPr>
      </w:pPr>
    </w:p>
    <w:p>
      <w:pPr>
        <w:ind w:left="340"/>
        <w:spacing w:after="0" w:line="291" w:lineRule="auto"/>
        <w:rPr>
          <w:sz w:val="20"/>
          <w:szCs w:val="20"/>
          <w:color w:val="auto"/>
        </w:rPr>
      </w:pPr>
      <w:r>
        <w:rPr>
          <w:rFonts w:ascii="Arial" w:cs="Arial" w:eastAsia="Arial" w:hAnsi="Arial"/>
          <w:sz w:val="16"/>
          <w:szCs w:val="16"/>
          <w:color w:val="auto"/>
        </w:rPr>
        <w:t>On October 3, 2017, the Company repaid the outstanding balance on the Revolving Credit Facility, including associated interest, for $60,489. The Company currently has no outstanding balance on the Revolving Credit Facility.</w:t>
      </w:r>
    </w:p>
    <w:p>
      <w:pPr>
        <w:spacing w:after="0" w:line="94" w:lineRule="exact"/>
        <w:rPr>
          <w:sz w:val="20"/>
          <w:szCs w:val="20"/>
          <w:color w:val="auto"/>
        </w:rPr>
      </w:pPr>
    </w:p>
    <w:p>
      <w:pPr>
        <w:ind w:left="340"/>
        <w:spacing w:after="0" w:line="291" w:lineRule="auto"/>
        <w:rPr>
          <w:sz w:val="20"/>
          <w:szCs w:val="20"/>
          <w:color w:val="auto"/>
        </w:rPr>
      </w:pPr>
      <w:r>
        <w:rPr>
          <w:rFonts w:ascii="Arial" w:cs="Arial" w:eastAsia="Arial" w:hAnsi="Arial"/>
          <w:sz w:val="16"/>
          <w:szCs w:val="16"/>
          <w:color w:val="auto"/>
        </w:rPr>
        <w:t>On November 2, 2017, the Company’s Board of Directors declared a cash dividend on its common shares of $0.33 per share for the quarter ended September 30, 2017, payable on November 27, 2017 to the holders of record on November 17, 2017.</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42</w:t>
      </w:r>
    </w:p>
    <w:p>
      <w:pPr>
        <w:sectPr>
          <w:pgSz w:w="11900" w:h="16838" w:orient="portrait"/>
          <w:cols w:equalWidth="0" w:num="1">
            <w:col w:w="11420"/>
          </w:cols>
          <w:pgMar w:left="240" w:top="117" w:right="239" w:bottom="1440" w:gutter="0" w:footer="0" w:header="0"/>
        </w:sectPr>
      </w:pPr>
    </w:p>
    <w:bookmarkStart w:id="42" w:name="page43"/>
    <w:bookmarkEnd w:id="42"/>
    <w:p>
      <w:pPr>
        <w:spacing w:after="0"/>
        <w:rPr>
          <w:sz w:val="20"/>
          <w:szCs w:val="20"/>
          <w:color w:val="auto"/>
        </w:rPr>
      </w:pPr>
      <w:r>
        <w:rPr>
          <w:rFonts w:ascii="Arial" w:cs="Arial" w:eastAsia="Arial" w:hAnsi="Arial"/>
          <w:sz w:val="18"/>
          <w:szCs w:val="18"/>
          <w:b w:val="1"/>
          <w:bCs w:val="1"/>
          <w:color w:val="006EBF"/>
        </w:rPr>
        <w:t>Item 2. Management’s Discussion and Analysis of Financial Condition and Results of Operations</w:t>
      </w:r>
    </w:p>
    <w:p>
      <w:pPr>
        <w:spacing w:after="0" w:line="178" w:lineRule="exact"/>
        <w:rPr>
          <w:sz w:val="20"/>
          <w:szCs w:val="20"/>
          <w:color w:val="auto"/>
        </w:rPr>
      </w:pPr>
    </w:p>
    <w:p>
      <w:pPr>
        <w:jc w:val="both"/>
        <w:spacing w:after="0" w:line="269" w:lineRule="auto"/>
        <w:rPr>
          <w:sz w:val="20"/>
          <w:szCs w:val="20"/>
          <w:color w:val="auto"/>
        </w:rPr>
      </w:pPr>
      <w:r>
        <w:rPr>
          <w:rFonts w:ascii="Arial" w:cs="Arial" w:eastAsia="Arial" w:hAnsi="Arial"/>
          <w:sz w:val="16"/>
          <w:szCs w:val="16"/>
          <w:color w:val="auto"/>
        </w:rPr>
        <w:t>The following Management’s Discussion and Analysis of Financial Condition and Results of Operations (“MD&amp;A”) is intended to help you understand Fortress Transportation and Infrastructure Investors LLC (the “Company”). The Company’s MD&amp;A should be read in conjunction with its unaudited consolidated financial statements and the accompanying notes, and with Part II, Item 1A, “Risk Factors” included elsewhere in this Quarterly Report on Form 10-Q.</w:t>
      </w:r>
    </w:p>
    <w:p>
      <w:pPr>
        <w:spacing w:after="0" w:line="109" w:lineRule="exact"/>
        <w:rPr>
          <w:sz w:val="20"/>
          <w:szCs w:val="20"/>
          <w:color w:val="auto"/>
        </w:rPr>
      </w:pPr>
    </w:p>
    <w:p>
      <w:pPr>
        <w:spacing w:after="0"/>
        <w:rPr>
          <w:sz w:val="20"/>
          <w:szCs w:val="20"/>
          <w:color w:val="auto"/>
        </w:rPr>
      </w:pPr>
      <w:r>
        <w:rPr>
          <w:rFonts w:ascii="Arial" w:cs="Arial" w:eastAsia="Arial" w:hAnsi="Arial"/>
          <w:sz w:val="16"/>
          <w:szCs w:val="16"/>
          <w:b w:val="1"/>
          <w:bCs w:val="1"/>
          <w:color w:val="00497F"/>
        </w:rPr>
        <w:t>Overview</w:t>
      </w:r>
    </w:p>
    <w:p>
      <w:pPr>
        <w:spacing w:after="0" w:line="169" w:lineRule="exact"/>
        <w:rPr>
          <w:sz w:val="20"/>
          <w:szCs w:val="20"/>
          <w:color w:val="auto"/>
        </w:rPr>
      </w:pPr>
    </w:p>
    <w:p>
      <w:pPr>
        <w:jc w:val="both"/>
        <w:spacing w:after="0" w:line="255" w:lineRule="auto"/>
        <w:rPr>
          <w:sz w:val="20"/>
          <w:szCs w:val="20"/>
          <w:color w:val="auto"/>
        </w:rPr>
      </w:pPr>
      <w:r>
        <w:rPr>
          <w:rFonts w:ascii="Arial" w:cs="Arial" w:eastAsia="Arial" w:hAnsi="Arial"/>
          <w:sz w:val="16"/>
          <w:szCs w:val="16"/>
          <w:color w:val="auto"/>
        </w:rPr>
        <w:t>We own and acquire high quality infrastructure and related equipment that is essential for the transportation of goods and people globally. We target assets that, on a combined basis, generate strong cash flows with potential for earnings growth and asset appreciation. We believe that there are a large number of acquisition opportunities in our markets, and that our Manager’s expertise and business and financing relationships, together with our access to capital, will allow us to take advantage of these opportunities. We are externally managed by FIG LLC (the “Manager”), an affiliate of Fortress Investment Group LLC (“Fortress”), which has a dedicated team of experienced professionals focused on the acquisition of transportation and infrastructure assets since 2002. As of September 30, 2017, we had total consolidated assets of $1.9 billion and total equity of $1.1 billion.</w:t>
      </w:r>
    </w:p>
    <w:p>
      <w:pPr>
        <w:spacing w:after="0" w:line="122" w:lineRule="exact"/>
        <w:rPr>
          <w:sz w:val="20"/>
          <w:szCs w:val="20"/>
          <w:color w:val="auto"/>
        </w:rPr>
      </w:pPr>
    </w:p>
    <w:p>
      <w:pPr>
        <w:spacing w:after="0"/>
        <w:rPr>
          <w:sz w:val="20"/>
          <w:szCs w:val="20"/>
          <w:color w:val="auto"/>
        </w:rPr>
      </w:pPr>
      <w:r>
        <w:rPr>
          <w:rFonts w:ascii="Arial" w:cs="Arial" w:eastAsia="Arial" w:hAnsi="Arial"/>
          <w:sz w:val="16"/>
          <w:szCs w:val="16"/>
          <w:b w:val="1"/>
          <w:bCs w:val="1"/>
          <w:color w:val="00497F"/>
        </w:rPr>
        <w:t>Operating Segments</w:t>
      </w:r>
    </w:p>
    <w:p>
      <w:pPr>
        <w:spacing w:after="0" w:line="169" w:lineRule="exact"/>
        <w:rPr>
          <w:sz w:val="20"/>
          <w:szCs w:val="20"/>
          <w:color w:val="auto"/>
        </w:rPr>
      </w:pPr>
    </w:p>
    <w:p>
      <w:pPr>
        <w:jc w:val="both"/>
        <w:spacing w:after="0" w:line="254" w:lineRule="auto"/>
        <w:rPr>
          <w:sz w:val="20"/>
          <w:szCs w:val="20"/>
          <w:color w:val="auto"/>
        </w:rPr>
      </w:pPr>
      <w:r>
        <w:rPr>
          <w:rFonts w:ascii="Arial" w:cs="Arial" w:eastAsia="Arial" w:hAnsi="Arial"/>
          <w:sz w:val="16"/>
          <w:szCs w:val="16"/>
          <w:color w:val="auto"/>
        </w:rPr>
        <w:t>Our operations consist of two primary strategic business units – Infrastructure and Equipment Leasing. Our Infrastructure Business acquires long-lived assets that provide mission-critical services or functions to transportation networks and typically have high barriers to entry. The Company targets or develops operating businesses with strong margins, stable cash flows and upside from earnings growth and asset appreciation driven by increased use and inflation. Our Equipment Leasing Business acquires assets that are designed to carry cargo or people or provide functionality to transportation infrastructure. Transportation equipment assets are typically long-lived, moveable and leased by us on either operating leases or finance leases to companies that provide transportation services. Our leases generally provide for long-term contractual cash flow with high cash-on-cash yields and include structural protections to mitigate credit risk.</w:t>
      </w:r>
    </w:p>
    <w:p>
      <w:pPr>
        <w:spacing w:after="0" w:line="317"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Our reportable segments are comprised of interests in different types of infrastructure and equipment leasing assets. We currently conduct our business through our corporate operating segment and the following six reportable segments: Aviation Leasing, Offshore Energy, Shipping Containers, all of which are within Equipment Leasing Business, and Jefferson Terminal, Railroad and Ports and Terminals, which together comprise our Infrastructure Business. The Aviation Leasing segment consists of aircraft and aircraft engines held for lease and are typically held long-term. The Offshore Energy segment consists of vessels and equipment that support offshore oil and gas activities and are typically subject to long-term operating leases. The Shipping Containers segment consists of an investment in an unconsolidated entity engaged in the acquisition and leasing of shipping containers on both an operating lease and finance lease basis. The Jefferson Terminal segment consists of a multi-modal crude and refined products terminal and other related assets which were acquired in 2014. The Railroad segment consists of our Central Maine and Quebec Railway (“CMQR”) short line railroad operations also acquired in 2014. Ports and Terminals consists of Repauno, acquired in 2016, which is a 1,630 acre deep-water port located along the Delaware river with an underground storage cavern and multiple industrial development opportunities, and Hannibal, acquired in June 2017, which is a 1,660 acre multi-modal port located along the Ohio River with rail, dock, and multiple industrial development opportunities.</w:t>
      </w:r>
    </w:p>
    <w:p>
      <w:pPr>
        <w:spacing w:after="0" w:line="125" w:lineRule="exact"/>
        <w:rPr>
          <w:sz w:val="20"/>
          <w:szCs w:val="20"/>
          <w:color w:val="auto"/>
        </w:rPr>
      </w:pPr>
    </w:p>
    <w:p>
      <w:pPr>
        <w:spacing w:after="0"/>
        <w:rPr>
          <w:sz w:val="20"/>
          <w:szCs w:val="20"/>
          <w:color w:val="auto"/>
        </w:rPr>
      </w:pPr>
      <w:r>
        <w:rPr>
          <w:rFonts w:ascii="Arial" w:cs="Arial" w:eastAsia="Arial" w:hAnsi="Arial"/>
          <w:sz w:val="16"/>
          <w:szCs w:val="16"/>
          <w:color w:val="auto"/>
        </w:rPr>
        <w:t>The Corporate operating segment primarily consists of unallocated corporate general and administrative expenses, and management fees.</w:t>
      </w:r>
    </w:p>
    <w:p>
      <w:pPr>
        <w:spacing w:after="0" w:line="167" w:lineRule="exact"/>
        <w:rPr>
          <w:sz w:val="20"/>
          <w:szCs w:val="20"/>
          <w:color w:val="auto"/>
        </w:rPr>
      </w:pPr>
    </w:p>
    <w:p>
      <w:pPr>
        <w:jc w:val="both"/>
        <w:spacing w:after="0" w:line="269" w:lineRule="auto"/>
        <w:rPr>
          <w:sz w:val="20"/>
          <w:szCs w:val="20"/>
          <w:color w:val="auto"/>
        </w:rPr>
      </w:pPr>
      <w:r>
        <w:rPr>
          <w:rFonts w:ascii="Arial" w:cs="Arial" w:eastAsia="Arial" w:hAnsi="Arial"/>
          <w:sz w:val="16"/>
          <w:szCs w:val="16"/>
          <w:color w:val="auto"/>
        </w:rPr>
        <w:t>The Company’s reportable segments are comprised of investments in different types of transportation infrastructure and equipment. Each segment requires different investment strategies. The accounting policies of the segments are the same as those described in the summary of significant accounting policies; however, financial information presented by segment includes the impact of intercompany eliminations.</w:t>
      </w:r>
    </w:p>
    <w:p>
      <w:pPr>
        <w:spacing w:after="0" w:line="109" w:lineRule="exact"/>
        <w:rPr>
          <w:sz w:val="20"/>
          <w:szCs w:val="20"/>
          <w:color w:val="auto"/>
        </w:rPr>
      </w:pPr>
    </w:p>
    <w:p>
      <w:pPr>
        <w:spacing w:after="0"/>
        <w:rPr>
          <w:sz w:val="20"/>
          <w:szCs w:val="20"/>
          <w:color w:val="auto"/>
        </w:rPr>
      </w:pPr>
      <w:r>
        <w:rPr>
          <w:rFonts w:ascii="Arial" w:cs="Arial" w:eastAsia="Arial" w:hAnsi="Arial"/>
          <w:sz w:val="16"/>
          <w:szCs w:val="16"/>
          <w:b w:val="1"/>
          <w:bCs w:val="1"/>
          <w:color w:val="00497F"/>
        </w:rPr>
        <w:t>Our Manager</w:t>
      </w:r>
    </w:p>
    <w:p>
      <w:pPr>
        <w:spacing w:after="0" w:line="169" w:lineRule="exact"/>
        <w:rPr>
          <w:sz w:val="20"/>
          <w:szCs w:val="20"/>
          <w:color w:val="auto"/>
        </w:rPr>
      </w:pPr>
    </w:p>
    <w:p>
      <w:pPr>
        <w:jc w:val="both"/>
        <w:spacing w:after="0" w:line="257" w:lineRule="auto"/>
        <w:rPr>
          <w:sz w:val="20"/>
          <w:szCs w:val="20"/>
          <w:color w:val="auto"/>
        </w:rPr>
      </w:pPr>
      <w:r>
        <w:rPr>
          <w:rFonts w:ascii="Arial" w:cs="Arial" w:eastAsia="Arial" w:hAnsi="Arial"/>
          <w:sz w:val="16"/>
          <w:szCs w:val="16"/>
          <w:color w:val="auto"/>
        </w:rPr>
        <w:t>On February 14, 2017, Fortress announced that it had entered into the Merger Agreement with SB Foundation Holdings LP, a Cayman Islands exempted limited partnership (“SoftBank Parent”) and an affiliate of SoftBank, and Foundation Acquisition LLC, a Delaware limited liability company and wholly owned subsidiary of Parent (“SoftBank Merger Sub”), pursuant to which SoftBank Merger Sub will merge with and into Fortress, with Fortress surviving as a wholly owned subsidiary of SoftBank Parent. While Fortress’s senior investment professionals are expected to remain in place, including those individuals who perform services for us, there can be no assurance that the SoftBank merger will not have an impact on us or our relationship with the Manager.</w:t>
      </w: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43</w:t>
      </w:r>
    </w:p>
    <w:p>
      <w:pPr>
        <w:sectPr>
          <w:pgSz w:w="11900" w:h="16838" w:orient="portrait"/>
          <w:cols w:equalWidth="0" w:num="1">
            <w:col w:w="11420"/>
          </w:cols>
          <w:pgMar w:left="240" w:top="1168" w:right="239" w:bottom="1440" w:gutter="0" w:footer="0" w:header="0"/>
        </w:sectPr>
      </w:pPr>
    </w:p>
    <w:bookmarkStart w:id="43" w:name="page44"/>
    <w:bookmarkEnd w:id="43"/>
    <w:p>
      <w:pPr>
        <w:jc w:val="both"/>
        <w:spacing w:after="0" w:line="261" w:lineRule="auto"/>
        <w:rPr>
          <w:sz w:val="20"/>
          <w:szCs w:val="20"/>
          <w:color w:val="auto"/>
        </w:rPr>
      </w:pPr>
      <w:r>
        <w:rPr>
          <w:rFonts w:ascii="Arial" w:cs="Arial" w:eastAsia="Arial" w:hAnsi="Arial"/>
          <w:sz w:val="16"/>
          <w:szCs w:val="16"/>
          <w:color w:val="auto"/>
        </w:rPr>
        <w:t>Fortress informed the Company that it believes that under the Investment Advisers Act of 1940, as amended, the change of ownership resulting from the completion of the SoftBank merger will result in a deemed assignment of the Management Agreement, and that as a result, the Manager is required to obtain the Company’s consent to the assignment. On May 22, 2017, the disinterested members of our board of directors unanimously approved the consent to the assignment. The disinterested members of our board of directors were advised by outside independent counsel.</w:t>
      </w:r>
    </w:p>
    <w:p>
      <w:pPr>
        <w:spacing w:after="0" w:line="116" w:lineRule="exact"/>
        <w:rPr>
          <w:sz w:val="20"/>
          <w:szCs w:val="20"/>
          <w:color w:val="auto"/>
        </w:rPr>
      </w:pPr>
    </w:p>
    <w:p>
      <w:pPr>
        <w:spacing w:after="0"/>
        <w:rPr>
          <w:sz w:val="20"/>
          <w:szCs w:val="20"/>
          <w:color w:val="auto"/>
        </w:rPr>
      </w:pPr>
      <w:r>
        <w:rPr>
          <w:rFonts w:ascii="Arial" w:cs="Arial" w:eastAsia="Arial" w:hAnsi="Arial"/>
          <w:sz w:val="16"/>
          <w:szCs w:val="16"/>
          <w:b w:val="1"/>
          <w:bCs w:val="1"/>
          <w:color w:val="00497F"/>
        </w:rPr>
        <w:t>Results of Operations</w:t>
      </w:r>
    </w:p>
    <w:p>
      <w:pPr>
        <w:spacing w:after="0" w:line="16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00497F"/>
        </w:rPr>
        <w:t>Adjusted Net Income (Loss)</w:t>
      </w:r>
    </w:p>
    <w:p>
      <w:pPr>
        <w:spacing w:after="0" w:line="167"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The Chief Operating Decision Maker (“CODM”) utilizes Adjusted Net Income as the key performance measure. This performance measure provides the CODM with the information necessary to assess operational performance, as well as make resource and allocation decisions.</w:t>
      </w:r>
    </w:p>
    <w:p>
      <w:pPr>
        <w:spacing w:after="0" w:line="94" w:lineRule="exact"/>
        <w:rPr>
          <w:sz w:val="20"/>
          <w:szCs w:val="20"/>
          <w:color w:val="auto"/>
        </w:rPr>
      </w:pPr>
    </w:p>
    <w:p>
      <w:pPr>
        <w:jc w:val="both"/>
        <w:spacing w:after="0" w:line="254" w:lineRule="auto"/>
        <w:rPr>
          <w:sz w:val="20"/>
          <w:szCs w:val="20"/>
          <w:color w:val="auto"/>
        </w:rPr>
      </w:pPr>
      <w:r>
        <w:rPr>
          <w:rFonts w:ascii="Arial" w:cs="Arial" w:eastAsia="Arial" w:hAnsi="Arial"/>
          <w:sz w:val="16"/>
          <w:szCs w:val="16"/>
          <w:color w:val="auto"/>
        </w:rPr>
        <w:t>Adjusted Net Income is defined as net loss attributable to shareholders, adjusted (a) to exclude the impact of provision for income taxes, equity-based compensation expense, acquisition and transaction expenses, losses on the modification or extinguishment of debt and capital lease obligations, changes in fair value of non-hedge derivative instruments, asset impairment charges, incentive allocations, and equity in earnings of unconsolidated entities, (b) to include the impact of cash income tax payments, and our pro-rata share of the Adjusted Net Income from unconsolidated entities, and (c) to exclude the impact of the non-controlling share of Adjusted Net Income. We evaluate investment performance for each reportable segment primarily based on Adjusted Net Income. We believe that net income attributable to shareholders, as defined by GAAP, is the most comparable earnings measurement with which to reconcile Adjusted Net Income.</w:t>
      </w:r>
    </w:p>
    <w:p>
      <w:pPr>
        <w:spacing w:after="0" w:line="12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00497F"/>
        </w:rPr>
        <w:t>Adjusted EBITDA (Non-GAAP)</w:t>
      </w:r>
    </w:p>
    <w:p>
      <w:pPr>
        <w:spacing w:after="0" w:line="167" w:lineRule="exact"/>
        <w:rPr>
          <w:sz w:val="20"/>
          <w:szCs w:val="20"/>
          <w:color w:val="auto"/>
        </w:rPr>
      </w:pPr>
    </w:p>
    <w:p>
      <w:pPr>
        <w:jc w:val="both"/>
        <w:spacing w:after="0" w:line="259" w:lineRule="auto"/>
        <w:rPr>
          <w:sz w:val="20"/>
          <w:szCs w:val="20"/>
          <w:color w:val="auto"/>
        </w:rPr>
      </w:pPr>
      <w:r>
        <w:rPr>
          <w:rFonts w:ascii="Arial" w:cs="Arial" w:eastAsia="Arial" w:hAnsi="Arial"/>
          <w:sz w:val="16"/>
          <w:szCs w:val="16"/>
          <w:color w:val="auto"/>
        </w:rPr>
        <w:t>We view Adjusted EBITDA as a secondary measurement to Adjusted Net Income, which we believe serves as a useful supplement to investors, analysts and management to measure economic performance of deployed revenue generating assets between periods on a consistent basis, and which we believe measures our financial performance and helps identify operational factors that management can impact in the short-term, namely our cost structure and expenses. Adjusted EBITDA may not be comparable to similarly titled measures of other companies because other entities may not calculate Adjusted EBITDA in the same manner.</w:t>
      </w:r>
    </w:p>
    <w:p>
      <w:pPr>
        <w:spacing w:after="0" w:line="313" w:lineRule="exact"/>
        <w:rPr>
          <w:sz w:val="20"/>
          <w:szCs w:val="20"/>
          <w:color w:val="auto"/>
        </w:rPr>
      </w:pPr>
    </w:p>
    <w:p>
      <w:pPr>
        <w:jc w:val="both"/>
        <w:spacing w:after="0" w:line="255" w:lineRule="auto"/>
        <w:rPr>
          <w:sz w:val="20"/>
          <w:szCs w:val="20"/>
          <w:color w:val="auto"/>
        </w:rPr>
      </w:pPr>
      <w:r>
        <w:rPr>
          <w:rFonts w:ascii="Arial" w:cs="Arial" w:eastAsia="Arial" w:hAnsi="Arial"/>
          <w:sz w:val="16"/>
          <w:szCs w:val="16"/>
          <w:color w:val="auto"/>
        </w:rPr>
        <w:t>Adjusted EBITDA is defined as net loss attributable to shareholders, adjusted (a) to exclude the impact of provision for income taxes, equity-based compensation expense, acquisition and transaction expenses, losses on the modification or extinguishment of debt and capital lease obligations, changes in fair value of non-hedge derivative instruments, asset impairment charges, incentive allocations, depreciation and amortization expense, and interest expense,</w:t>
      </w:r>
    </w:p>
    <w:p>
      <w:pPr>
        <w:spacing w:after="0" w:line="1" w:lineRule="exact"/>
        <w:rPr>
          <w:sz w:val="20"/>
          <w:szCs w:val="20"/>
          <w:color w:val="auto"/>
        </w:rPr>
      </w:pPr>
    </w:p>
    <w:p>
      <w:pPr>
        <w:ind w:firstLine="8"/>
        <w:spacing w:after="0" w:line="265" w:lineRule="auto"/>
        <w:tabs>
          <w:tab w:leader="none" w:pos="273" w:val="left"/>
        </w:tabs>
        <w:numPr>
          <w:ilvl w:val="0"/>
          <w:numId w:val="10"/>
        </w:numPr>
        <w:rPr>
          <w:rFonts w:ascii="Arial" w:cs="Arial" w:eastAsia="Arial" w:hAnsi="Arial"/>
          <w:sz w:val="16"/>
          <w:szCs w:val="16"/>
          <w:color w:val="auto"/>
        </w:rPr>
      </w:pPr>
      <w:r>
        <w:rPr>
          <w:rFonts w:ascii="Arial" w:cs="Arial" w:eastAsia="Arial" w:hAnsi="Arial"/>
          <w:sz w:val="16"/>
          <w:szCs w:val="16"/>
          <w:color w:val="auto"/>
        </w:rPr>
        <w:t>to include the impact of our pro-rata share of Adjusted EBITDA from unconsolidated entities, and (c) to exclude the impact of equity in earnings of unconsolidated entities and the non-controlling share of Adjusted EBITDA.</w:t>
      </w: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44</w:t>
      </w:r>
    </w:p>
    <w:p>
      <w:pPr>
        <w:sectPr>
          <w:pgSz w:w="11900" w:h="16838" w:orient="portrait"/>
          <w:cols w:equalWidth="0" w:num="1">
            <w:col w:w="11420"/>
          </w:cols>
          <w:pgMar w:left="240" w:top="797" w:right="239" w:bottom="1440" w:gutter="0" w:footer="0" w:header="0"/>
        </w:sectPr>
      </w:pPr>
    </w:p>
    <w:bookmarkStart w:id="44" w:name="page45"/>
    <w:bookmarkEnd w:id="44"/>
    <w:p>
      <w:pPr>
        <w:spacing w:after="0"/>
        <w:rPr>
          <w:sz w:val="20"/>
          <w:szCs w:val="20"/>
          <w:color w:val="auto"/>
        </w:rPr>
      </w:pPr>
      <w:r>
        <w:rPr>
          <w:rFonts w:ascii="Arial" w:cs="Arial" w:eastAsia="Arial" w:hAnsi="Arial"/>
          <w:sz w:val="16"/>
          <w:szCs w:val="16"/>
          <w:b w:val="1"/>
          <w:bCs w:val="1"/>
          <w:color w:val="00497F"/>
        </w:rPr>
        <w:t>Comparison of the three and nine months ended September 30, 2017 and September 30, 2016</w:t>
      </w:r>
    </w:p>
    <w:p>
      <w:pPr>
        <w:spacing w:after="0" w:line="169"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The following table presents our consolidated results of operations and reconciliation of net income (loss) attributable to shareholders to Adjusted Net Income (Loss) for the three and nine months ended September 30, 2017 and September 30, 2016:</w:t>
      </w: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1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100" w:type="dxa"/>
            <w:vAlign w:val="bottom"/>
            <w:gridSpan w:val="5"/>
          </w:tcPr>
          <w:p>
            <w:pPr>
              <w:jc w:val="center"/>
              <w:ind w:right="340"/>
              <w:spacing w:after="0"/>
              <w:rPr>
                <w:sz w:val="20"/>
                <w:szCs w:val="20"/>
                <w:color w:val="auto"/>
              </w:rPr>
            </w:pPr>
            <w:r>
              <w:rPr>
                <w:rFonts w:ascii="Arial" w:cs="Arial" w:eastAsia="Arial" w:hAnsi="Arial"/>
                <w:sz w:val="14"/>
                <w:szCs w:val="14"/>
                <w:b w:val="1"/>
                <w:bCs w:val="1"/>
                <w:color w:val="auto"/>
              </w:rPr>
              <w:t>Three Months Ended</w:t>
            </w:r>
          </w:p>
        </w:tc>
        <w:tc>
          <w:tcPr>
            <w:tcW w:w="1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00" w:type="dxa"/>
            <w:vAlign w:val="bottom"/>
            <w:gridSpan w:val="5"/>
          </w:tcPr>
          <w:p>
            <w:pPr>
              <w:ind w:left="100"/>
              <w:spacing w:after="0"/>
              <w:rPr>
                <w:sz w:val="20"/>
                <w:szCs w:val="20"/>
                <w:color w:val="auto"/>
              </w:rPr>
            </w:pPr>
            <w:r>
              <w:rPr>
                <w:rFonts w:ascii="Arial" w:cs="Arial" w:eastAsia="Arial" w:hAnsi="Arial"/>
                <w:sz w:val="14"/>
                <w:szCs w:val="14"/>
                <w:b w:val="1"/>
                <w:bCs w:val="1"/>
                <w:color w:val="auto"/>
              </w:rPr>
              <w:t>Nine Months Ended</w:t>
            </w:r>
          </w:p>
        </w:tc>
        <w:tc>
          <w:tcPr>
            <w:tcW w:w="1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2"/>
        </w:trPr>
        <w:tc>
          <w:tcPr>
            <w:tcW w:w="5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100" w:type="dxa"/>
            <w:vAlign w:val="bottom"/>
            <w:gridSpan w:val="5"/>
          </w:tcPr>
          <w:p>
            <w:pPr>
              <w:jc w:val="center"/>
              <w:ind w:right="340"/>
              <w:spacing w:after="0"/>
              <w:rPr>
                <w:sz w:val="20"/>
                <w:szCs w:val="20"/>
                <w:color w:val="auto"/>
              </w:rPr>
            </w:pPr>
            <w:r>
              <w:rPr>
                <w:rFonts w:ascii="Arial" w:cs="Arial" w:eastAsia="Arial" w:hAnsi="Arial"/>
                <w:sz w:val="14"/>
                <w:szCs w:val="14"/>
                <w:b w:val="1"/>
                <w:bCs w:val="1"/>
                <w:color w:val="auto"/>
              </w:rPr>
              <w:t>September 30,</w:t>
            </w:r>
          </w:p>
        </w:tc>
        <w:tc>
          <w:tcPr>
            <w:tcW w:w="1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0" w:type="dxa"/>
            <w:vAlign w:val="bottom"/>
            <w:gridSpan w:val="5"/>
          </w:tcPr>
          <w:p>
            <w:pPr>
              <w:ind w:left="280"/>
              <w:spacing w:after="0"/>
              <w:rPr>
                <w:sz w:val="20"/>
                <w:szCs w:val="20"/>
                <w:color w:val="auto"/>
              </w:rPr>
            </w:pPr>
            <w:r>
              <w:rPr>
                <w:rFonts w:ascii="Arial" w:cs="Arial" w:eastAsia="Arial" w:hAnsi="Arial"/>
                <w:sz w:val="14"/>
                <w:szCs w:val="14"/>
                <w:b w:val="1"/>
                <w:bCs w:val="1"/>
                <w:color w:val="auto"/>
              </w:rPr>
              <w:t>September 30,</w:t>
            </w: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64"/>
        </w:trPr>
        <w:tc>
          <w:tcPr>
            <w:tcW w:w="5160" w:type="dxa"/>
            <w:vAlign w:val="bottom"/>
          </w:tcPr>
          <w:p>
            <w:pPr>
              <w:ind w:left="40"/>
              <w:spacing w:after="0"/>
              <w:rPr>
                <w:sz w:val="20"/>
                <w:szCs w:val="20"/>
                <w:color w:val="auto"/>
              </w:rPr>
            </w:pPr>
            <w:r>
              <w:rPr>
                <w:rFonts w:ascii="Arial" w:cs="Arial" w:eastAsia="Arial" w:hAnsi="Arial"/>
                <w:sz w:val="14"/>
                <w:szCs w:val="14"/>
                <w:i w:val="1"/>
                <w:iCs w:val="1"/>
                <w:color w:val="auto"/>
              </w:rPr>
              <w:t>(Dollar amounts in thousands)</w:t>
            </w:r>
          </w:p>
        </w:tc>
        <w:tc>
          <w:tcPr>
            <w:tcW w:w="240" w:type="dxa"/>
            <w:vAlign w:val="bottom"/>
            <w:tcBorders>
              <w:top w:val="single" w:sz="8" w:color="auto"/>
              <w:bottom w:val="single" w:sz="8" w:color="auto"/>
            </w:tcBorders>
          </w:tcPr>
          <w:p>
            <w:pPr>
              <w:spacing w:after="0"/>
              <w:rPr>
                <w:sz w:val="22"/>
                <w:szCs w:val="22"/>
                <w:color w:val="auto"/>
              </w:rPr>
            </w:pPr>
          </w:p>
        </w:tc>
        <w:tc>
          <w:tcPr>
            <w:tcW w:w="800" w:type="dxa"/>
            <w:vAlign w:val="bottom"/>
            <w:tcBorders>
              <w:top w:val="single" w:sz="8" w:color="auto"/>
              <w:bottom w:val="single" w:sz="8" w:color="auto"/>
            </w:tcBorders>
          </w:tcPr>
          <w:p>
            <w:pPr>
              <w:jc w:val="right"/>
              <w:ind w:right="288"/>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top w:val="single" w:sz="8" w:color="auto"/>
              <w:bottom w:val="single" w:sz="8" w:color="auto"/>
            </w:tcBorders>
          </w:tcPr>
          <w:p>
            <w:pPr>
              <w:spacing w:after="0"/>
              <w:rPr>
                <w:sz w:val="22"/>
                <w:szCs w:val="22"/>
                <w:color w:val="auto"/>
              </w:rPr>
            </w:pPr>
          </w:p>
        </w:tc>
        <w:tc>
          <w:tcPr>
            <w:tcW w:w="240" w:type="dxa"/>
            <w:vAlign w:val="bottom"/>
            <w:tcBorders>
              <w:top w:val="single" w:sz="8" w:color="auto"/>
              <w:bottom w:val="single" w:sz="8" w:color="auto"/>
            </w:tcBorders>
          </w:tcPr>
          <w:p>
            <w:pPr>
              <w:spacing w:after="0"/>
              <w:rPr>
                <w:sz w:val="22"/>
                <w:szCs w:val="22"/>
                <w:color w:val="auto"/>
              </w:rPr>
            </w:pPr>
          </w:p>
        </w:tc>
        <w:tc>
          <w:tcPr>
            <w:tcW w:w="820" w:type="dxa"/>
            <w:vAlign w:val="bottom"/>
            <w:tcBorders>
              <w:top w:val="single" w:sz="8" w:color="auto"/>
              <w:bottom w:val="single" w:sz="8" w:color="auto"/>
            </w:tcBorders>
          </w:tcPr>
          <w:p>
            <w:pPr>
              <w:jc w:val="right"/>
              <w:ind w:right="288"/>
              <w:spacing w:after="0"/>
              <w:rPr>
                <w:sz w:val="20"/>
                <w:szCs w:val="20"/>
                <w:color w:val="auto"/>
              </w:rPr>
            </w:pPr>
            <w:r>
              <w:rPr>
                <w:rFonts w:ascii="Arial" w:cs="Arial" w:eastAsia="Arial" w:hAnsi="Arial"/>
                <w:sz w:val="14"/>
                <w:szCs w:val="14"/>
                <w:b w:val="1"/>
                <w:bCs w:val="1"/>
                <w:color w:val="auto"/>
              </w:rPr>
              <w:t>2016</w:t>
            </w:r>
          </w:p>
        </w:tc>
        <w:tc>
          <w:tcPr>
            <w:tcW w:w="120" w:type="dxa"/>
            <w:vAlign w:val="bottom"/>
            <w:tcBorders>
              <w:bottom w:val="single" w:sz="8" w:color="auto"/>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rPr>
              <w:t>Change</w:t>
            </w:r>
          </w:p>
        </w:tc>
        <w:tc>
          <w:tcPr>
            <w:tcW w:w="200" w:type="dxa"/>
            <w:vAlign w:val="bottom"/>
            <w:tcBorders>
              <w:top w:val="single" w:sz="8" w:color="auto"/>
              <w:bottom w:val="single" w:sz="8" w:color="auto"/>
            </w:tcBorders>
          </w:tcPr>
          <w:p>
            <w:pPr>
              <w:spacing w:after="0"/>
              <w:rPr>
                <w:sz w:val="22"/>
                <w:szCs w:val="22"/>
                <w:color w:val="auto"/>
              </w:rPr>
            </w:pPr>
          </w:p>
        </w:tc>
        <w:tc>
          <w:tcPr>
            <w:tcW w:w="700" w:type="dxa"/>
            <w:vAlign w:val="bottom"/>
            <w:tcBorders>
              <w:top w:val="single" w:sz="8" w:color="auto"/>
              <w:bottom w:val="single" w:sz="8" w:color="auto"/>
            </w:tcBorders>
          </w:tcPr>
          <w:p>
            <w:pPr>
              <w:ind w:left="100"/>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top w:val="single" w:sz="8" w:color="auto"/>
              <w:bottom w:val="single" w:sz="8" w:color="auto"/>
            </w:tcBorders>
          </w:tcPr>
          <w:p>
            <w:pPr>
              <w:spacing w:after="0"/>
              <w:rPr>
                <w:sz w:val="22"/>
                <w:szCs w:val="22"/>
                <w:color w:val="auto"/>
              </w:rPr>
            </w:pPr>
          </w:p>
        </w:tc>
        <w:tc>
          <w:tcPr>
            <w:tcW w:w="200" w:type="dxa"/>
            <w:vAlign w:val="bottom"/>
            <w:tcBorders>
              <w:top w:val="single" w:sz="8" w:color="auto"/>
              <w:bottom w:val="single" w:sz="8" w:color="auto"/>
            </w:tcBorders>
          </w:tcPr>
          <w:p>
            <w:pPr>
              <w:spacing w:after="0"/>
              <w:rPr>
                <w:sz w:val="22"/>
                <w:szCs w:val="22"/>
                <w:color w:val="auto"/>
              </w:rPr>
            </w:pPr>
          </w:p>
        </w:tc>
        <w:tc>
          <w:tcPr>
            <w:tcW w:w="700" w:type="dxa"/>
            <w:vAlign w:val="bottom"/>
            <w:tcBorders>
              <w:top w:val="single" w:sz="8" w:color="auto"/>
              <w:bottom w:val="single" w:sz="8" w:color="auto"/>
            </w:tcBorders>
          </w:tcPr>
          <w:p>
            <w:pPr>
              <w:jc w:val="right"/>
              <w:ind w:right="208"/>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auto"/>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265"/>
        </w:trPr>
        <w:tc>
          <w:tcPr>
            <w:tcW w:w="5160" w:type="dxa"/>
            <w:vAlign w:val="bottom"/>
          </w:tcPr>
          <w:p>
            <w:pPr>
              <w:ind w:left="40"/>
              <w:spacing w:after="0"/>
              <w:rPr>
                <w:sz w:val="20"/>
                <w:szCs w:val="20"/>
                <w:color w:val="auto"/>
              </w:rPr>
            </w:pPr>
            <w:r>
              <w:rPr>
                <w:rFonts w:ascii="Arial" w:cs="Arial" w:eastAsia="Arial" w:hAnsi="Arial"/>
                <w:sz w:val="14"/>
                <w:szCs w:val="14"/>
                <w:b w:val="1"/>
                <w:bCs w:val="1"/>
                <w:color w:val="auto"/>
              </w:rPr>
              <w:t>Revenues</w:t>
            </w:r>
          </w:p>
        </w:tc>
        <w:tc>
          <w:tcPr>
            <w:tcW w:w="24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1"/>
        </w:trPr>
        <w:tc>
          <w:tcPr>
            <w:tcW w:w="516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Equipment leasing revenues</w:t>
            </w:r>
          </w:p>
        </w:tc>
        <w:tc>
          <w:tcPr>
            <w:tcW w:w="240" w:type="dxa"/>
            <w:vAlign w:val="bottom"/>
            <w:shd w:val="clear" w:color="auto" w:fill="CCEEFF"/>
          </w:tcPr>
          <w:p>
            <w:pPr>
              <w:spacing w:after="0"/>
              <w:rPr>
                <w:sz w:val="23"/>
                <w:szCs w:val="23"/>
                <w:color w:val="auto"/>
              </w:rPr>
            </w:pPr>
          </w:p>
        </w:tc>
        <w:tc>
          <w:tcPr>
            <w:tcW w:w="8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8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7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7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7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74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9"/>
        </w:trPr>
        <w:tc>
          <w:tcPr>
            <w:tcW w:w="5160" w:type="dxa"/>
            <w:vAlign w:val="bottom"/>
          </w:tcPr>
          <w:p>
            <w:pPr>
              <w:ind w:left="40"/>
              <w:spacing w:after="0"/>
              <w:rPr>
                <w:sz w:val="20"/>
                <w:szCs w:val="20"/>
                <w:color w:val="auto"/>
              </w:rPr>
            </w:pPr>
            <w:r>
              <w:rPr>
                <w:rFonts w:ascii="Arial" w:cs="Arial" w:eastAsia="Arial" w:hAnsi="Arial"/>
                <w:sz w:val="14"/>
                <w:szCs w:val="14"/>
                <w:color w:val="auto"/>
              </w:rPr>
              <w:t>Lease income</w:t>
            </w:r>
          </w:p>
        </w:tc>
        <w:tc>
          <w:tcPr>
            <w:tcW w:w="240" w:type="dxa"/>
            <w:vAlign w:val="bottom"/>
          </w:tcPr>
          <w:p>
            <w:pPr>
              <w:jc w:val="right"/>
              <w:ind w:right="68"/>
              <w:spacing w:after="0"/>
              <w:rPr>
                <w:sz w:val="20"/>
                <w:szCs w:val="20"/>
                <w:color w:val="auto"/>
              </w:rPr>
            </w:pPr>
            <w:r>
              <w:rPr>
                <w:rFonts w:ascii="Arial" w:cs="Arial" w:eastAsia="Arial" w:hAnsi="Arial"/>
                <w:sz w:val="14"/>
                <w:szCs w:val="14"/>
                <w:b w:val="1"/>
                <w:bCs w:val="1"/>
                <w:color w:val="auto"/>
              </w:rPr>
              <w:t>$</w:t>
            </w:r>
          </w:p>
        </w:tc>
        <w:tc>
          <w:tcPr>
            <w:tcW w:w="800" w:type="dxa"/>
            <w:vAlign w:val="bottom"/>
          </w:tcPr>
          <w:p>
            <w:pPr>
              <w:jc w:val="right"/>
              <w:ind w:right="48"/>
              <w:spacing w:after="0"/>
              <w:rPr>
                <w:sz w:val="20"/>
                <w:szCs w:val="20"/>
                <w:color w:val="auto"/>
              </w:rPr>
            </w:pPr>
            <w:r>
              <w:rPr>
                <w:rFonts w:ascii="Arial" w:cs="Arial" w:eastAsia="Arial" w:hAnsi="Arial"/>
                <w:sz w:val="14"/>
                <w:szCs w:val="14"/>
                <w:b w:val="1"/>
                <w:bCs w:val="1"/>
                <w:color w:val="auto"/>
              </w:rPr>
              <w:t>29,741</w:t>
            </w:r>
          </w:p>
        </w:tc>
        <w:tc>
          <w:tcPr>
            <w:tcW w:w="120" w:type="dxa"/>
            <w:vAlign w:val="bottom"/>
          </w:tcPr>
          <w:p>
            <w:pPr>
              <w:spacing w:after="0"/>
              <w:rPr>
                <w:sz w:val="23"/>
                <w:szCs w:val="23"/>
                <w:color w:val="auto"/>
              </w:rPr>
            </w:pPr>
          </w:p>
        </w:tc>
        <w:tc>
          <w:tcPr>
            <w:tcW w:w="24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820" w:type="dxa"/>
            <w:vAlign w:val="bottom"/>
          </w:tcPr>
          <w:p>
            <w:pPr>
              <w:jc w:val="right"/>
              <w:ind w:right="48"/>
              <w:spacing w:after="0"/>
              <w:rPr>
                <w:sz w:val="20"/>
                <w:szCs w:val="20"/>
                <w:color w:val="auto"/>
              </w:rPr>
            </w:pPr>
            <w:r>
              <w:rPr>
                <w:rFonts w:ascii="Arial" w:cs="Arial" w:eastAsia="Arial" w:hAnsi="Arial"/>
                <w:sz w:val="14"/>
                <w:szCs w:val="14"/>
                <w:color w:val="auto"/>
              </w:rPr>
              <w:t>21,600</w:t>
            </w:r>
          </w:p>
        </w:tc>
        <w:tc>
          <w:tcPr>
            <w:tcW w:w="120" w:type="dxa"/>
            <w:vAlign w:val="bottom"/>
          </w:tcPr>
          <w:p>
            <w:pPr>
              <w:spacing w:after="0"/>
              <w:rPr>
                <w:sz w:val="23"/>
                <w:szCs w:val="23"/>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760" w:type="dxa"/>
            <w:vAlign w:val="bottom"/>
          </w:tcPr>
          <w:p>
            <w:pPr>
              <w:jc w:val="right"/>
              <w:ind w:right="28"/>
              <w:spacing w:after="0"/>
              <w:rPr>
                <w:sz w:val="20"/>
                <w:szCs w:val="20"/>
                <w:color w:val="auto"/>
              </w:rPr>
            </w:pPr>
            <w:r>
              <w:rPr>
                <w:rFonts w:ascii="Arial" w:cs="Arial" w:eastAsia="Arial" w:hAnsi="Arial"/>
                <w:sz w:val="14"/>
                <w:szCs w:val="14"/>
                <w:color w:val="auto"/>
              </w:rPr>
              <w:t>8,141</w:t>
            </w:r>
          </w:p>
        </w:tc>
        <w:tc>
          <w:tcPr>
            <w:tcW w:w="100" w:type="dxa"/>
            <w:vAlign w:val="bottom"/>
          </w:tcPr>
          <w:p>
            <w:pPr>
              <w:spacing w:after="0"/>
              <w:rPr>
                <w:sz w:val="23"/>
                <w:szCs w:val="23"/>
                <w:color w:val="auto"/>
              </w:rPr>
            </w:pPr>
          </w:p>
        </w:tc>
        <w:tc>
          <w:tcPr>
            <w:tcW w:w="200" w:type="dxa"/>
            <w:vAlign w:val="bottom"/>
          </w:tcPr>
          <w:p>
            <w:pPr>
              <w:jc w:val="right"/>
              <w:ind w:right="8"/>
              <w:spacing w:after="0"/>
              <w:rPr>
                <w:sz w:val="20"/>
                <w:szCs w:val="20"/>
                <w:color w:val="auto"/>
              </w:rPr>
            </w:pPr>
            <w:r>
              <w:rPr>
                <w:rFonts w:ascii="Arial" w:cs="Arial" w:eastAsia="Arial" w:hAnsi="Arial"/>
                <w:sz w:val="14"/>
                <w:szCs w:val="14"/>
                <w:b w:val="1"/>
                <w:bCs w:val="1"/>
                <w:color w:val="auto"/>
              </w:rPr>
              <w:t>$</w:t>
            </w:r>
          </w:p>
        </w:tc>
        <w:tc>
          <w:tcPr>
            <w:tcW w:w="700" w:type="dxa"/>
            <w:vAlign w:val="bottom"/>
          </w:tcPr>
          <w:p>
            <w:pPr>
              <w:jc w:val="right"/>
              <w:ind w:right="28"/>
              <w:spacing w:after="0"/>
              <w:rPr>
                <w:sz w:val="20"/>
                <w:szCs w:val="20"/>
                <w:color w:val="auto"/>
              </w:rPr>
            </w:pPr>
            <w:r>
              <w:rPr>
                <w:rFonts w:ascii="Arial" w:cs="Arial" w:eastAsia="Arial" w:hAnsi="Arial"/>
                <w:sz w:val="14"/>
                <w:szCs w:val="14"/>
                <w:b w:val="1"/>
                <w:bCs w:val="1"/>
                <w:color w:val="auto"/>
              </w:rPr>
              <w:t>70,872</w:t>
            </w:r>
          </w:p>
        </w:tc>
        <w:tc>
          <w:tcPr>
            <w:tcW w:w="100" w:type="dxa"/>
            <w:vAlign w:val="bottom"/>
          </w:tcPr>
          <w:p>
            <w:pPr>
              <w:spacing w:after="0"/>
              <w:rPr>
                <w:sz w:val="23"/>
                <w:szCs w:val="23"/>
                <w:color w:val="auto"/>
              </w:rPr>
            </w:pPr>
          </w:p>
        </w:tc>
        <w:tc>
          <w:tcPr>
            <w:tcW w:w="20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700" w:type="dxa"/>
            <w:vAlign w:val="bottom"/>
          </w:tcPr>
          <w:p>
            <w:pPr>
              <w:jc w:val="right"/>
              <w:ind w:right="28"/>
              <w:spacing w:after="0"/>
              <w:rPr>
                <w:sz w:val="20"/>
                <w:szCs w:val="20"/>
                <w:color w:val="auto"/>
              </w:rPr>
            </w:pPr>
            <w:r>
              <w:rPr>
                <w:rFonts w:ascii="Arial" w:cs="Arial" w:eastAsia="Arial" w:hAnsi="Arial"/>
                <w:sz w:val="14"/>
                <w:szCs w:val="14"/>
                <w:color w:val="auto"/>
              </w:rPr>
              <w:t>49,852</w:t>
            </w:r>
          </w:p>
        </w:tc>
        <w:tc>
          <w:tcPr>
            <w:tcW w:w="100" w:type="dxa"/>
            <w:vAlign w:val="bottom"/>
          </w:tcPr>
          <w:p>
            <w:pPr>
              <w:spacing w:after="0"/>
              <w:rPr>
                <w:sz w:val="23"/>
                <w:szCs w:val="23"/>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740" w:type="dxa"/>
            <w:vAlign w:val="bottom"/>
          </w:tcPr>
          <w:p>
            <w:pPr>
              <w:jc w:val="right"/>
              <w:ind w:right="28"/>
              <w:spacing w:after="0"/>
              <w:rPr>
                <w:sz w:val="20"/>
                <w:szCs w:val="20"/>
                <w:color w:val="auto"/>
              </w:rPr>
            </w:pPr>
            <w:r>
              <w:rPr>
                <w:rFonts w:ascii="Arial" w:cs="Arial" w:eastAsia="Arial" w:hAnsi="Arial"/>
                <w:sz w:val="14"/>
                <w:szCs w:val="14"/>
                <w:color w:val="auto"/>
              </w:rPr>
              <w:t>21,020</w:t>
            </w:r>
          </w:p>
        </w:tc>
        <w:tc>
          <w:tcPr>
            <w:tcW w:w="0" w:type="dxa"/>
            <w:vAlign w:val="bottom"/>
          </w:tcPr>
          <w:p>
            <w:pPr>
              <w:spacing w:after="0"/>
              <w:rPr>
                <w:sz w:val="1"/>
                <w:szCs w:val="1"/>
                <w:color w:val="auto"/>
              </w:rPr>
            </w:pPr>
          </w:p>
        </w:tc>
      </w:tr>
      <w:tr>
        <w:trPr>
          <w:trHeight w:val="271"/>
        </w:trPr>
        <w:tc>
          <w:tcPr>
            <w:tcW w:w="5160" w:type="dxa"/>
            <w:vAlign w:val="bottom"/>
            <w:shd w:val="clear" w:color="auto" w:fill="CCEEFF"/>
          </w:tcPr>
          <w:p>
            <w:pPr>
              <w:ind w:left="40"/>
              <w:spacing w:after="0"/>
              <w:rPr>
                <w:sz w:val="20"/>
                <w:szCs w:val="20"/>
                <w:color w:val="auto"/>
              </w:rPr>
            </w:pPr>
            <w:r>
              <w:rPr>
                <w:rFonts w:ascii="Arial" w:cs="Arial" w:eastAsia="Arial" w:hAnsi="Arial"/>
                <w:sz w:val="14"/>
                <w:szCs w:val="14"/>
                <w:color w:val="auto"/>
              </w:rPr>
              <w:t>Maintenance revenue</w:t>
            </w:r>
          </w:p>
        </w:tc>
        <w:tc>
          <w:tcPr>
            <w:tcW w:w="240" w:type="dxa"/>
            <w:vAlign w:val="bottom"/>
            <w:shd w:val="clear" w:color="auto" w:fill="CCEEFF"/>
          </w:tcPr>
          <w:p>
            <w:pPr>
              <w:spacing w:after="0"/>
              <w:rPr>
                <w:sz w:val="23"/>
                <w:szCs w:val="23"/>
                <w:color w:val="auto"/>
              </w:rPr>
            </w:pPr>
          </w:p>
        </w:tc>
        <w:tc>
          <w:tcPr>
            <w:tcW w:w="80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17,533</w:t>
            </w:r>
          </w:p>
        </w:tc>
        <w:tc>
          <w:tcPr>
            <w:tcW w:w="12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8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7,646</w:t>
            </w: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7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9,887</w:t>
            </w: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70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46,778</w:t>
            </w: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7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19,037</w:t>
            </w: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7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27,741</w:t>
            </w:r>
          </w:p>
        </w:tc>
        <w:tc>
          <w:tcPr>
            <w:tcW w:w="0" w:type="dxa"/>
            <w:vAlign w:val="bottom"/>
          </w:tcPr>
          <w:p>
            <w:pPr>
              <w:spacing w:after="0"/>
              <w:rPr>
                <w:sz w:val="1"/>
                <w:szCs w:val="1"/>
                <w:color w:val="auto"/>
              </w:rPr>
            </w:pPr>
          </w:p>
        </w:tc>
      </w:tr>
      <w:tr>
        <w:trPr>
          <w:trHeight w:val="269"/>
        </w:trPr>
        <w:tc>
          <w:tcPr>
            <w:tcW w:w="5160" w:type="dxa"/>
            <w:vAlign w:val="bottom"/>
          </w:tcPr>
          <w:p>
            <w:pPr>
              <w:ind w:left="40"/>
              <w:spacing w:after="0"/>
              <w:rPr>
                <w:sz w:val="20"/>
                <w:szCs w:val="20"/>
                <w:color w:val="auto"/>
              </w:rPr>
            </w:pPr>
            <w:r>
              <w:rPr>
                <w:rFonts w:ascii="Arial" w:cs="Arial" w:eastAsia="Arial" w:hAnsi="Arial"/>
                <w:sz w:val="14"/>
                <w:szCs w:val="14"/>
                <w:color w:val="auto"/>
              </w:rPr>
              <w:t>Finance lease income</w:t>
            </w:r>
          </w:p>
        </w:tc>
        <w:tc>
          <w:tcPr>
            <w:tcW w:w="240" w:type="dxa"/>
            <w:vAlign w:val="bottom"/>
          </w:tcPr>
          <w:p>
            <w:pPr>
              <w:spacing w:after="0"/>
              <w:rPr>
                <w:sz w:val="23"/>
                <w:szCs w:val="23"/>
                <w:color w:val="auto"/>
              </w:rPr>
            </w:pPr>
          </w:p>
        </w:tc>
        <w:tc>
          <w:tcPr>
            <w:tcW w:w="800" w:type="dxa"/>
            <w:vAlign w:val="bottom"/>
          </w:tcPr>
          <w:p>
            <w:pPr>
              <w:jc w:val="right"/>
              <w:ind w:right="48"/>
              <w:spacing w:after="0"/>
              <w:rPr>
                <w:sz w:val="20"/>
                <w:szCs w:val="20"/>
                <w:color w:val="auto"/>
              </w:rPr>
            </w:pPr>
            <w:r>
              <w:rPr>
                <w:rFonts w:ascii="Arial" w:cs="Arial" w:eastAsia="Arial" w:hAnsi="Arial"/>
                <w:sz w:val="14"/>
                <w:szCs w:val="14"/>
                <w:b w:val="1"/>
                <w:bCs w:val="1"/>
                <w:color w:val="auto"/>
              </w:rPr>
              <w:t>385</w:t>
            </w: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20" w:type="dxa"/>
            <w:vAlign w:val="bottom"/>
          </w:tcPr>
          <w:p>
            <w:pPr>
              <w:jc w:val="right"/>
              <w:ind w:right="48"/>
              <w:spacing w:after="0"/>
              <w:rPr>
                <w:sz w:val="20"/>
                <w:szCs w:val="20"/>
                <w:color w:val="auto"/>
              </w:rPr>
            </w:pPr>
            <w:r>
              <w:rPr>
                <w:rFonts w:ascii="Arial" w:cs="Arial" w:eastAsia="Arial" w:hAnsi="Arial"/>
                <w:sz w:val="14"/>
                <w:szCs w:val="14"/>
                <w:color w:val="auto"/>
              </w:rPr>
              <w:t>403</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(18)</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00" w:type="dxa"/>
            <w:vAlign w:val="bottom"/>
          </w:tcPr>
          <w:p>
            <w:pPr>
              <w:jc w:val="right"/>
              <w:ind w:right="28"/>
              <w:spacing w:after="0"/>
              <w:rPr>
                <w:sz w:val="20"/>
                <w:szCs w:val="20"/>
                <w:color w:val="auto"/>
              </w:rPr>
            </w:pPr>
            <w:r>
              <w:rPr>
                <w:rFonts w:ascii="Arial" w:cs="Arial" w:eastAsia="Arial" w:hAnsi="Arial"/>
                <w:sz w:val="14"/>
                <w:szCs w:val="14"/>
                <w:b w:val="1"/>
                <w:bCs w:val="1"/>
                <w:color w:val="auto"/>
              </w:rPr>
              <w:t>1,156</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00" w:type="dxa"/>
            <w:vAlign w:val="bottom"/>
          </w:tcPr>
          <w:p>
            <w:pPr>
              <w:jc w:val="right"/>
              <w:ind w:right="28"/>
              <w:spacing w:after="0"/>
              <w:rPr>
                <w:sz w:val="20"/>
                <w:szCs w:val="20"/>
                <w:color w:val="auto"/>
              </w:rPr>
            </w:pPr>
            <w:r>
              <w:rPr>
                <w:rFonts w:ascii="Arial" w:cs="Arial" w:eastAsia="Arial" w:hAnsi="Arial"/>
                <w:sz w:val="14"/>
                <w:szCs w:val="14"/>
                <w:color w:val="auto"/>
              </w:rPr>
              <w:t>2,324</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(1,168)</w:t>
            </w:r>
          </w:p>
        </w:tc>
        <w:tc>
          <w:tcPr>
            <w:tcW w:w="0" w:type="dxa"/>
            <w:vAlign w:val="bottom"/>
          </w:tcPr>
          <w:p>
            <w:pPr>
              <w:spacing w:after="0"/>
              <w:rPr>
                <w:sz w:val="1"/>
                <w:szCs w:val="1"/>
                <w:color w:val="auto"/>
              </w:rPr>
            </w:pPr>
          </w:p>
        </w:tc>
      </w:tr>
      <w:tr>
        <w:trPr>
          <w:trHeight w:val="270"/>
        </w:trPr>
        <w:tc>
          <w:tcPr>
            <w:tcW w:w="5160" w:type="dxa"/>
            <w:vAlign w:val="bottom"/>
            <w:shd w:val="clear" w:color="auto" w:fill="CCEEFF"/>
          </w:tcPr>
          <w:p>
            <w:pPr>
              <w:ind w:left="40"/>
              <w:spacing w:after="0"/>
              <w:rPr>
                <w:sz w:val="20"/>
                <w:szCs w:val="20"/>
                <w:color w:val="auto"/>
              </w:rPr>
            </w:pPr>
            <w:r>
              <w:rPr>
                <w:rFonts w:ascii="Arial" w:cs="Arial" w:eastAsia="Arial" w:hAnsi="Arial"/>
                <w:sz w:val="14"/>
                <w:szCs w:val="14"/>
                <w:color w:val="auto"/>
              </w:rPr>
              <w:t>Other revenue</w:t>
            </w:r>
          </w:p>
        </w:tc>
        <w:tc>
          <w:tcPr>
            <w:tcW w:w="240" w:type="dxa"/>
            <w:vAlign w:val="bottom"/>
            <w:tcBorders>
              <w:bottom w:val="single" w:sz="8" w:color="auto"/>
            </w:tcBorders>
            <w:shd w:val="clear" w:color="auto" w:fill="CCEEFF"/>
          </w:tcPr>
          <w:p>
            <w:pPr>
              <w:spacing w:after="0"/>
              <w:rPr>
                <w:sz w:val="23"/>
                <w:szCs w:val="23"/>
                <w:color w:val="auto"/>
              </w:rPr>
            </w:pPr>
          </w:p>
        </w:tc>
        <w:tc>
          <w:tcPr>
            <w:tcW w:w="8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1,957</w:t>
            </w:r>
          </w:p>
        </w:tc>
        <w:tc>
          <w:tcPr>
            <w:tcW w:w="120" w:type="dxa"/>
            <w:vAlign w:val="bottom"/>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spacing w:after="0"/>
              <w:rPr>
                <w:sz w:val="23"/>
                <w:szCs w:val="23"/>
                <w:color w:val="auto"/>
              </w:rPr>
            </w:pPr>
          </w:p>
        </w:tc>
        <w:tc>
          <w:tcPr>
            <w:tcW w:w="8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405</w:t>
            </w:r>
          </w:p>
        </w:tc>
        <w:tc>
          <w:tcPr>
            <w:tcW w:w="12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7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1,552</w:t>
            </w:r>
          </w:p>
        </w:tc>
        <w:tc>
          <w:tcPr>
            <w:tcW w:w="10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7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2,581</w:t>
            </w:r>
          </w:p>
        </w:tc>
        <w:tc>
          <w:tcPr>
            <w:tcW w:w="10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7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767</w:t>
            </w:r>
          </w:p>
        </w:tc>
        <w:tc>
          <w:tcPr>
            <w:tcW w:w="10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7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1,814</w:t>
            </w:r>
          </w:p>
        </w:tc>
        <w:tc>
          <w:tcPr>
            <w:tcW w:w="0" w:type="dxa"/>
            <w:vAlign w:val="bottom"/>
          </w:tcPr>
          <w:p>
            <w:pPr>
              <w:spacing w:after="0"/>
              <w:rPr>
                <w:sz w:val="1"/>
                <w:szCs w:val="1"/>
                <w:color w:val="auto"/>
              </w:rPr>
            </w:pPr>
          </w:p>
        </w:tc>
      </w:tr>
      <w:tr>
        <w:trPr>
          <w:trHeight w:val="250"/>
        </w:trPr>
        <w:tc>
          <w:tcPr>
            <w:tcW w:w="516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Total equipment leasing revenues</w:t>
            </w:r>
          </w:p>
        </w:tc>
        <w:tc>
          <w:tcPr>
            <w:tcW w:w="24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49,616</w:t>
            </w:r>
          </w:p>
        </w:tc>
        <w:tc>
          <w:tcPr>
            <w:tcW w:w="12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30,054</w:t>
            </w:r>
          </w:p>
        </w:tc>
        <w:tc>
          <w:tcPr>
            <w:tcW w:w="12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7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19,562</w:t>
            </w:r>
          </w:p>
        </w:tc>
        <w:tc>
          <w:tcPr>
            <w:tcW w:w="10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7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121,387</w:t>
            </w:r>
          </w:p>
        </w:tc>
        <w:tc>
          <w:tcPr>
            <w:tcW w:w="10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7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71,980</w:t>
            </w:r>
          </w:p>
        </w:tc>
        <w:tc>
          <w:tcPr>
            <w:tcW w:w="10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7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49,407</w:t>
            </w:r>
          </w:p>
        </w:tc>
        <w:tc>
          <w:tcPr>
            <w:tcW w:w="0" w:type="dxa"/>
            <w:vAlign w:val="bottom"/>
          </w:tcPr>
          <w:p>
            <w:pPr>
              <w:spacing w:after="0"/>
              <w:rPr>
                <w:sz w:val="1"/>
                <w:szCs w:val="1"/>
                <w:color w:val="auto"/>
              </w:rPr>
            </w:pPr>
          </w:p>
        </w:tc>
      </w:tr>
      <w:tr>
        <w:trPr>
          <w:trHeight w:val="265"/>
        </w:trPr>
        <w:tc>
          <w:tcPr>
            <w:tcW w:w="516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Infrastructure revenues</w:t>
            </w:r>
          </w:p>
        </w:tc>
        <w:tc>
          <w:tcPr>
            <w:tcW w:w="240" w:type="dxa"/>
            <w:vAlign w:val="bottom"/>
            <w:shd w:val="clear" w:color="auto" w:fill="CCEEFF"/>
          </w:tcPr>
          <w:p>
            <w:pPr>
              <w:spacing w:after="0"/>
              <w:rPr>
                <w:sz w:val="23"/>
                <w:szCs w:val="23"/>
                <w:color w:val="auto"/>
              </w:rPr>
            </w:pPr>
          </w:p>
        </w:tc>
        <w:tc>
          <w:tcPr>
            <w:tcW w:w="8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8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7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7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7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74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9"/>
        </w:trPr>
        <w:tc>
          <w:tcPr>
            <w:tcW w:w="5160" w:type="dxa"/>
            <w:vAlign w:val="bottom"/>
          </w:tcPr>
          <w:p>
            <w:pPr>
              <w:ind w:left="80"/>
              <w:spacing w:after="0"/>
              <w:rPr>
                <w:sz w:val="20"/>
                <w:szCs w:val="20"/>
                <w:color w:val="auto"/>
              </w:rPr>
            </w:pPr>
            <w:r>
              <w:rPr>
                <w:rFonts w:ascii="Arial" w:cs="Arial" w:eastAsia="Arial" w:hAnsi="Arial"/>
                <w:sz w:val="14"/>
                <w:szCs w:val="14"/>
                <w:color w:val="auto"/>
              </w:rPr>
              <w:t>Lease income</w:t>
            </w:r>
          </w:p>
        </w:tc>
        <w:tc>
          <w:tcPr>
            <w:tcW w:w="240" w:type="dxa"/>
            <w:vAlign w:val="bottom"/>
          </w:tcPr>
          <w:p>
            <w:pPr>
              <w:spacing w:after="0"/>
              <w:rPr>
                <w:sz w:val="23"/>
                <w:szCs w:val="23"/>
                <w:color w:val="auto"/>
              </w:rPr>
            </w:pPr>
          </w:p>
        </w:tc>
        <w:tc>
          <w:tcPr>
            <w:tcW w:w="800" w:type="dxa"/>
            <w:vAlign w:val="bottom"/>
          </w:tcPr>
          <w:p>
            <w:pPr>
              <w:jc w:val="right"/>
              <w:ind w:right="48"/>
              <w:spacing w:after="0"/>
              <w:rPr>
                <w:sz w:val="20"/>
                <w:szCs w:val="20"/>
                <w:color w:val="auto"/>
              </w:rPr>
            </w:pPr>
            <w:r>
              <w:rPr>
                <w:rFonts w:ascii="Arial" w:cs="Arial" w:eastAsia="Arial" w:hAnsi="Arial"/>
                <w:sz w:val="14"/>
                <w:szCs w:val="14"/>
                <w:b w:val="1"/>
                <w:bCs w:val="1"/>
                <w:color w:val="auto"/>
              </w:rPr>
              <w:t>455</w:t>
            </w: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20" w:type="dxa"/>
            <w:vAlign w:val="bottom"/>
          </w:tcPr>
          <w:p>
            <w:pPr>
              <w:jc w:val="right"/>
              <w:ind w:right="48"/>
              <w:spacing w:after="0"/>
              <w:rPr>
                <w:sz w:val="20"/>
                <w:szCs w:val="20"/>
                <w:color w:val="auto"/>
              </w:rPr>
            </w:pPr>
            <w:r>
              <w:rPr>
                <w:rFonts w:ascii="Arial" w:cs="Arial" w:eastAsia="Arial" w:hAnsi="Arial"/>
                <w:sz w:val="14"/>
                <w:szCs w:val="14"/>
                <w:color w:val="auto"/>
              </w:rPr>
              <w:t>16</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60" w:type="dxa"/>
            <w:vAlign w:val="bottom"/>
          </w:tcPr>
          <w:p>
            <w:pPr>
              <w:jc w:val="right"/>
              <w:ind w:right="28"/>
              <w:spacing w:after="0"/>
              <w:rPr>
                <w:sz w:val="20"/>
                <w:szCs w:val="20"/>
                <w:color w:val="auto"/>
              </w:rPr>
            </w:pPr>
            <w:r>
              <w:rPr>
                <w:rFonts w:ascii="Arial" w:cs="Arial" w:eastAsia="Arial" w:hAnsi="Arial"/>
                <w:sz w:val="14"/>
                <w:szCs w:val="14"/>
                <w:color w:val="auto"/>
              </w:rPr>
              <w:t>439</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00" w:type="dxa"/>
            <w:vAlign w:val="bottom"/>
          </w:tcPr>
          <w:p>
            <w:pPr>
              <w:jc w:val="right"/>
              <w:ind w:right="28"/>
              <w:spacing w:after="0"/>
              <w:rPr>
                <w:sz w:val="20"/>
                <w:szCs w:val="20"/>
                <w:color w:val="auto"/>
              </w:rPr>
            </w:pPr>
            <w:r>
              <w:rPr>
                <w:rFonts w:ascii="Arial" w:cs="Arial" w:eastAsia="Arial" w:hAnsi="Arial"/>
                <w:sz w:val="14"/>
                <w:szCs w:val="14"/>
                <w:b w:val="1"/>
                <w:bCs w:val="1"/>
                <w:color w:val="auto"/>
              </w:rPr>
              <w:t>594</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00" w:type="dxa"/>
            <w:vAlign w:val="bottom"/>
          </w:tcPr>
          <w:p>
            <w:pPr>
              <w:jc w:val="right"/>
              <w:ind w:right="28"/>
              <w:spacing w:after="0"/>
              <w:rPr>
                <w:sz w:val="20"/>
                <w:szCs w:val="20"/>
                <w:color w:val="auto"/>
              </w:rPr>
            </w:pPr>
            <w:r>
              <w:rPr>
                <w:rFonts w:ascii="Arial" w:cs="Arial" w:eastAsia="Arial" w:hAnsi="Arial"/>
                <w:sz w:val="14"/>
                <w:szCs w:val="14"/>
                <w:color w:val="auto"/>
              </w:rPr>
              <w:t>16</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40" w:type="dxa"/>
            <w:vAlign w:val="bottom"/>
          </w:tcPr>
          <w:p>
            <w:pPr>
              <w:jc w:val="right"/>
              <w:ind w:right="28"/>
              <w:spacing w:after="0"/>
              <w:rPr>
                <w:sz w:val="20"/>
                <w:szCs w:val="20"/>
                <w:color w:val="auto"/>
              </w:rPr>
            </w:pPr>
            <w:r>
              <w:rPr>
                <w:rFonts w:ascii="Arial" w:cs="Arial" w:eastAsia="Arial" w:hAnsi="Arial"/>
                <w:sz w:val="14"/>
                <w:szCs w:val="14"/>
                <w:color w:val="auto"/>
              </w:rPr>
              <w:t>578</w:t>
            </w:r>
          </w:p>
        </w:tc>
        <w:tc>
          <w:tcPr>
            <w:tcW w:w="0" w:type="dxa"/>
            <w:vAlign w:val="bottom"/>
          </w:tcPr>
          <w:p>
            <w:pPr>
              <w:spacing w:after="0"/>
              <w:rPr>
                <w:sz w:val="1"/>
                <w:szCs w:val="1"/>
                <w:color w:val="auto"/>
              </w:rPr>
            </w:pPr>
          </w:p>
        </w:tc>
      </w:tr>
      <w:tr>
        <w:trPr>
          <w:trHeight w:val="271"/>
        </w:trPr>
        <w:tc>
          <w:tcPr>
            <w:tcW w:w="5160" w:type="dxa"/>
            <w:vAlign w:val="bottom"/>
            <w:shd w:val="clear" w:color="auto" w:fill="CCEEFF"/>
          </w:tcPr>
          <w:p>
            <w:pPr>
              <w:ind w:left="80"/>
              <w:spacing w:after="0"/>
              <w:rPr>
                <w:sz w:val="20"/>
                <w:szCs w:val="20"/>
                <w:color w:val="auto"/>
              </w:rPr>
            </w:pPr>
            <w:r>
              <w:rPr>
                <w:rFonts w:ascii="Arial" w:cs="Arial" w:eastAsia="Arial" w:hAnsi="Arial"/>
                <w:sz w:val="14"/>
                <w:szCs w:val="14"/>
                <w:color w:val="auto"/>
              </w:rPr>
              <w:t>Rail revenues</w:t>
            </w:r>
          </w:p>
        </w:tc>
        <w:tc>
          <w:tcPr>
            <w:tcW w:w="240" w:type="dxa"/>
            <w:vAlign w:val="bottom"/>
            <w:shd w:val="clear" w:color="auto" w:fill="CCEEFF"/>
          </w:tcPr>
          <w:p>
            <w:pPr>
              <w:spacing w:after="0"/>
              <w:rPr>
                <w:sz w:val="23"/>
                <w:szCs w:val="23"/>
                <w:color w:val="auto"/>
              </w:rPr>
            </w:pPr>
          </w:p>
        </w:tc>
        <w:tc>
          <w:tcPr>
            <w:tcW w:w="80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8,258</w:t>
            </w:r>
          </w:p>
        </w:tc>
        <w:tc>
          <w:tcPr>
            <w:tcW w:w="12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8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7,401</w:t>
            </w: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7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857</w:t>
            </w: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70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24,323</w:t>
            </w: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7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23,107</w:t>
            </w: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7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1,216</w:t>
            </w:r>
          </w:p>
        </w:tc>
        <w:tc>
          <w:tcPr>
            <w:tcW w:w="0" w:type="dxa"/>
            <w:vAlign w:val="bottom"/>
          </w:tcPr>
          <w:p>
            <w:pPr>
              <w:spacing w:after="0"/>
              <w:rPr>
                <w:sz w:val="1"/>
                <w:szCs w:val="1"/>
                <w:color w:val="auto"/>
              </w:rPr>
            </w:pPr>
          </w:p>
        </w:tc>
      </w:tr>
      <w:tr>
        <w:trPr>
          <w:trHeight w:val="269"/>
        </w:trPr>
        <w:tc>
          <w:tcPr>
            <w:tcW w:w="5160" w:type="dxa"/>
            <w:vAlign w:val="bottom"/>
          </w:tcPr>
          <w:p>
            <w:pPr>
              <w:ind w:left="80"/>
              <w:spacing w:after="0"/>
              <w:rPr>
                <w:sz w:val="20"/>
                <w:szCs w:val="20"/>
                <w:color w:val="auto"/>
              </w:rPr>
            </w:pPr>
            <w:r>
              <w:rPr>
                <w:rFonts w:ascii="Arial" w:cs="Arial" w:eastAsia="Arial" w:hAnsi="Arial"/>
                <w:sz w:val="14"/>
                <w:szCs w:val="14"/>
                <w:color w:val="auto"/>
              </w:rPr>
              <w:t>Terminal services revenues</w:t>
            </w:r>
          </w:p>
        </w:tc>
        <w:tc>
          <w:tcPr>
            <w:tcW w:w="240" w:type="dxa"/>
            <w:vAlign w:val="bottom"/>
          </w:tcPr>
          <w:p>
            <w:pPr>
              <w:spacing w:after="0"/>
              <w:rPr>
                <w:sz w:val="23"/>
                <w:szCs w:val="23"/>
                <w:color w:val="auto"/>
              </w:rPr>
            </w:pPr>
          </w:p>
        </w:tc>
        <w:tc>
          <w:tcPr>
            <w:tcW w:w="800" w:type="dxa"/>
            <w:vAlign w:val="bottom"/>
          </w:tcPr>
          <w:p>
            <w:pPr>
              <w:jc w:val="right"/>
              <w:ind w:right="48"/>
              <w:spacing w:after="0"/>
              <w:rPr>
                <w:sz w:val="20"/>
                <w:szCs w:val="20"/>
                <w:color w:val="auto"/>
              </w:rPr>
            </w:pPr>
            <w:r>
              <w:rPr>
                <w:rFonts w:ascii="Arial" w:cs="Arial" w:eastAsia="Arial" w:hAnsi="Arial"/>
                <w:sz w:val="14"/>
                <w:szCs w:val="14"/>
                <w:b w:val="1"/>
                <w:bCs w:val="1"/>
                <w:color w:val="auto"/>
              </w:rPr>
              <w:t>1,730</w:t>
            </w: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20" w:type="dxa"/>
            <w:vAlign w:val="bottom"/>
          </w:tcPr>
          <w:p>
            <w:pPr>
              <w:jc w:val="right"/>
              <w:ind w:right="48"/>
              <w:spacing w:after="0"/>
              <w:rPr>
                <w:sz w:val="20"/>
                <w:szCs w:val="20"/>
                <w:color w:val="auto"/>
              </w:rPr>
            </w:pPr>
            <w:r>
              <w:rPr>
                <w:rFonts w:ascii="Arial" w:cs="Arial" w:eastAsia="Arial" w:hAnsi="Arial"/>
                <w:sz w:val="14"/>
                <w:szCs w:val="14"/>
                <w:color w:val="auto"/>
              </w:rPr>
              <w:t>4,255</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(2,525)</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00" w:type="dxa"/>
            <w:vAlign w:val="bottom"/>
          </w:tcPr>
          <w:p>
            <w:pPr>
              <w:jc w:val="right"/>
              <w:ind w:right="28"/>
              <w:spacing w:after="0"/>
              <w:rPr>
                <w:sz w:val="20"/>
                <w:szCs w:val="20"/>
                <w:color w:val="auto"/>
              </w:rPr>
            </w:pPr>
            <w:r>
              <w:rPr>
                <w:rFonts w:ascii="Arial" w:cs="Arial" w:eastAsia="Arial" w:hAnsi="Arial"/>
                <w:sz w:val="14"/>
                <w:szCs w:val="14"/>
                <w:b w:val="1"/>
                <w:bCs w:val="1"/>
                <w:color w:val="auto"/>
              </w:rPr>
              <w:t>9,622</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00" w:type="dxa"/>
            <w:vAlign w:val="bottom"/>
          </w:tcPr>
          <w:p>
            <w:pPr>
              <w:jc w:val="right"/>
              <w:ind w:right="28"/>
              <w:spacing w:after="0"/>
              <w:rPr>
                <w:sz w:val="20"/>
                <w:szCs w:val="20"/>
                <w:color w:val="auto"/>
              </w:rPr>
            </w:pPr>
            <w:r>
              <w:rPr>
                <w:rFonts w:ascii="Arial" w:cs="Arial" w:eastAsia="Arial" w:hAnsi="Arial"/>
                <w:sz w:val="14"/>
                <w:szCs w:val="14"/>
                <w:color w:val="auto"/>
              </w:rPr>
              <w:t>11,271</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(1,649)</w:t>
            </w:r>
          </w:p>
        </w:tc>
        <w:tc>
          <w:tcPr>
            <w:tcW w:w="0" w:type="dxa"/>
            <w:vAlign w:val="bottom"/>
          </w:tcPr>
          <w:p>
            <w:pPr>
              <w:spacing w:after="0"/>
              <w:rPr>
                <w:sz w:val="1"/>
                <w:szCs w:val="1"/>
                <w:color w:val="auto"/>
              </w:rPr>
            </w:pPr>
          </w:p>
        </w:tc>
      </w:tr>
      <w:tr>
        <w:trPr>
          <w:trHeight w:val="270"/>
        </w:trPr>
        <w:tc>
          <w:tcPr>
            <w:tcW w:w="5160" w:type="dxa"/>
            <w:vAlign w:val="bottom"/>
            <w:shd w:val="clear" w:color="auto" w:fill="CCEEFF"/>
          </w:tcPr>
          <w:p>
            <w:pPr>
              <w:ind w:left="80"/>
              <w:spacing w:after="0"/>
              <w:rPr>
                <w:sz w:val="20"/>
                <w:szCs w:val="20"/>
                <w:color w:val="auto"/>
              </w:rPr>
            </w:pPr>
            <w:r>
              <w:rPr>
                <w:rFonts w:ascii="Arial" w:cs="Arial" w:eastAsia="Arial" w:hAnsi="Arial"/>
                <w:sz w:val="14"/>
                <w:szCs w:val="14"/>
                <w:color w:val="auto"/>
              </w:rPr>
              <w:t>Other revenue</w:t>
            </w:r>
          </w:p>
        </w:tc>
        <w:tc>
          <w:tcPr>
            <w:tcW w:w="240" w:type="dxa"/>
            <w:vAlign w:val="bottom"/>
            <w:shd w:val="clear" w:color="auto" w:fill="CCEEFF"/>
          </w:tcPr>
          <w:p>
            <w:pPr>
              <w:spacing w:after="0"/>
              <w:rPr>
                <w:sz w:val="23"/>
                <w:szCs w:val="23"/>
                <w:color w:val="auto"/>
              </w:rPr>
            </w:pPr>
          </w:p>
        </w:tc>
        <w:tc>
          <w:tcPr>
            <w:tcW w:w="80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303</w:t>
            </w:r>
          </w:p>
        </w:tc>
        <w:tc>
          <w:tcPr>
            <w:tcW w:w="12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3"/>
                <w:szCs w:val="23"/>
                <w:color w:val="auto"/>
              </w:rPr>
            </w:pPr>
          </w:p>
        </w:tc>
        <w:tc>
          <w:tcPr>
            <w:tcW w:w="7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303</w:t>
            </w: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70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303</w:t>
            </w: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3"/>
                <w:szCs w:val="23"/>
                <w:color w:val="auto"/>
              </w:rPr>
            </w:pPr>
          </w:p>
        </w:tc>
        <w:tc>
          <w:tcPr>
            <w:tcW w:w="7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303</w:t>
            </w:r>
          </w:p>
        </w:tc>
        <w:tc>
          <w:tcPr>
            <w:tcW w:w="0" w:type="dxa"/>
            <w:vAlign w:val="bottom"/>
          </w:tcPr>
          <w:p>
            <w:pPr>
              <w:spacing w:after="0"/>
              <w:rPr>
                <w:sz w:val="1"/>
                <w:szCs w:val="1"/>
                <w:color w:val="auto"/>
              </w:rPr>
            </w:pPr>
          </w:p>
        </w:tc>
      </w:tr>
      <w:tr>
        <w:trPr>
          <w:trHeight w:val="250"/>
        </w:trPr>
        <w:tc>
          <w:tcPr>
            <w:tcW w:w="516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Total infrastructure revenues</w:t>
            </w:r>
          </w:p>
        </w:tc>
        <w:tc>
          <w:tcPr>
            <w:tcW w:w="240" w:type="dxa"/>
            <w:vAlign w:val="bottom"/>
            <w:tcBorders>
              <w:top w:val="single" w:sz="8" w:color="auto"/>
              <w:bottom w:val="single" w:sz="8" w:color="auto"/>
            </w:tcBorders>
          </w:tcPr>
          <w:p>
            <w:pPr>
              <w:spacing w:after="0"/>
              <w:rPr>
                <w:sz w:val="21"/>
                <w:szCs w:val="21"/>
                <w:color w:val="auto"/>
              </w:rPr>
            </w:pPr>
          </w:p>
        </w:tc>
        <w:tc>
          <w:tcPr>
            <w:tcW w:w="80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10,746</w:t>
            </w:r>
          </w:p>
        </w:tc>
        <w:tc>
          <w:tcPr>
            <w:tcW w:w="120" w:type="dxa"/>
            <w:vAlign w:val="bottom"/>
            <w:tcBorders>
              <w:bottom w:val="single" w:sz="8" w:color="CCEEFF"/>
            </w:tcBorders>
          </w:tcPr>
          <w:p>
            <w:pPr>
              <w:spacing w:after="0"/>
              <w:rPr>
                <w:sz w:val="21"/>
                <w:szCs w:val="21"/>
                <w:color w:val="auto"/>
              </w:rPr>
            </w:pPr>
          </w:p>
        </w:tc>
        <w:tc>
          <w:tcPr>
            <w:tcW w:w="240" w:type="dxa"/>
            <w:vAlign w:val="bottom"/>
            <w:tcBorders>
              <w:top w:val="single" w:sz="8" w:color="auto"/>
              <w:bottom w:val="single" w:sz="8" w:color="auto"/>
            </w:tcBorders>
          </w:tcPr>
          <w:p>
            <w:pPr>
              <w:spacing w:after="0"/>
              <w:rPr>
                <w:sz w:val="21"/>
                <w:szCs w:val="21"/>
                <w:color w:val="auto"/>
              </w:rPr>
            </w:pPr>
          </w:p>
        </w:tc>
        <w:tc>
          <w:tcPr>
            <w:tcW w:w="82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11,672</w:t>
            </w:r>
          </w:p>
        </w:tc>
        <w:tc>
          <w:tcPr>
            <w:tcW w:w="120" w:type="dxa"/>
            <w:vAlign w:val="bottom"/>
            <w:tcBorders>
              <w:bottom w:val="single" w:sz="8" w:color="CCEEFF"/>
            </w:tcBorders>
          </w:tcPr>
          <w:p>
            <w:pPr>
              <w:spacing w:after="0"/>
              <w:rPr>
                <w:sz w:val="21"/>
                <w:szCs w:val="21"/>
                <w:color w:val="auto"/>
              </w:rPr>
            </w:pPr>
          </w:p>
        </w:tc>
        <w:tc>
          <w:tcPr>
            <w:tcW w:w="160" w:type="dxa"/>
            <w:vAlign w:val="bottom"/>
            <w:tcBorders>
              <w:top w:val="single" w:sz="8" w:color="auto"/>
              <w:bottom w:val="single" w:sz="8" w:color="auto"/>
            </w:tcBorders>
          </w:tcPr>
          <w:p>
            <w:pPr>
              <w:spacing w:after="0"/>
              <w:rPr>
                <w:sz w:val="21"/>
                <w:szCs w:val="21"/>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(926)</w:t>
            </w:r>
          </w:p>
        </w:tc>
        <w:tc>
          <w:tcPr>
            <w:tcW w:w="100" w:type="dxa"/>
            <w:vAlign w:val="bottom"/>
            <w:tcBorders>
              <w:bottom w:val="single" w:sz="8" w:color="CCEEFF"/>
            </w:tcBorders>
          </w:tcPr>
          <w:p>
            <w:pPr>
              <w:spacing w:after="0"/>
              <w:rPr>
                <w:sz w:val="21"/>
                <w:szCs w:val="21"/>
                <w:color w:val="auto"/>
              </w:rPr>
            </w:pPr>
          </w:p>
        </w:tc>
        <w:tc>
          <w:tcPr>
            <w:tcW w:w="200" w:type="dxa"/>
            <w:vAlign w:val="bottom"/>
            <w:tcBorders>
              <w:top w:val="single" w:sz="8" w:color="auto"/>
              <w:bottom w:val="single" w:sz="8" w:color="auto"/>
            </w:tcBorders>
          </w:tcPr>
          <w:p>
            <w:pPr>
              <w:spacing w:after="0"/>
              <w:rPr>
                <w:sz w:val="21"/>
                <w:szCs w:val="21"/>
                <w:color w:val="auto"/>
              </w:rPr>
            </w:pPr>
          </w:p>
        </w:tc>
        <w:tc>
          <w:tcPr>
            <w:tcW w:w="70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34,842</w:t>
            </w:r>
          </w:p>
        </w:tc>
        <w:tc>
          <w:tcPr>
            <w:tcW w:w="100" w:type="dxa"/>
            <w:vAlign w:val="bottom"/>
            <w:tcBorders>
              <w:bottom w:val="single" w:sz="8" w:color="CCEEFF"/>
            </w:tcBorders>
          </w:tcPr>
          <w:p>
            <w:pPr>
              <w:spacing w:after="0"/>
              <w:rPr>
                <w:sz w:val="21"/>
                <w:szCs w:val="21"/>
                <w:color w:val="auto"/>
              </w:rPr>
            </w:pPr>
          </w:p>
        </w:tc>
        <w:tc>
          <w:tcPr>
            <w:tcW w:w="200" w:type="dxa"/>
            <w:vAlign w:val="bottom"/>
            <w:tcBorders>
              <w:top w:val="single" w:sz="8" w:color="auto"/>
              <w:bottom w:val="single" w:sz="8" w:color="auto"/>
            </w:tcBorders>
          </w:tcPr>
          <w:p>
            <w:pPr>
              <w:spacing w:after="0"/>
              <w:rPr>
                <w:sz w:val="21"/>
                <w:szCs w:val="21"/>
                <w:color w:val="auto"/>
              </w:rPr>
            </w:pPr>
          </w:p>
        </w:tc>
        <w:tc>
          <w:tcPr>
            <w:tcW w:w="70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34,394</w:t>
            </w:r>
          </w:p>
        </w:tc>
        <w:tc>
          <w:tcPr>
            <w:tcW w:w="100" w:type="dxa"/>
            <w:vAlign w:val="bottom"/>
            <w:tcBorders>
              <w:bottom w:val="single" w:sz="8" w:color="CCEEFF"/>
            </w:tcBorders>
          </w:tcPr>
          <w:p>
            <w:pPr>
              <w:spacing w:after="0"/>
              <w:rPr>
                <w:sz w:val="21"/>
                <w:szCs w:val="21"/>
                <w:color w:val="auto"/>
              </w:rPr>
            </w:pPr>
          </w:p>
        </w:tc>
        <w:tc>
          <w:tcPr>
            <w:tcW w:w="160" w:type="dxa"/>
            <w:vAlign w:val="bottom"/>
            <w:tcBorders>
              <w:top w:val="single" w:sz="8" w:color="auto"/>
              <w:bottom w:val="single" w:sz="8" w:color="auto"/>
            </w:tcBorders>
          </w:tcPr>
          <w:p>
            <w:pPr>
              <w:spacing w:after="0"/>
              <w:rPr>
                <w:sz w:val="21"/>
                <w:szCs w:val="21"/>
                <w:color w:val="auto"/>
              </w:rPr>
            </w:pPr>
          </w:p>
        </w:tc>
        <w:tc>
          <w:tcPr>
            <w:tcW w:w="74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448</w:t>
            </w:r>
          </w:p>
        </w:tc>
        <w:tc>
          <w:tcPr>
            <w:tcW w:w="0" w:type="dxa"/>
            <w:vAlign w:val="bottom"/>
          </w:tcPr>
          <w:p>
            <w:pPr>
              <w:spacing w:after="0"/>
              <w:rPr>
                <w:sz w:val="1"/>
                <w:szCs w:val="1"/>
                <w:color w:val="auto"/>
              </w:rPr>
            </w:pPr>
          </w:p>
        </w:tc>
      </w:tr>
      <w:tr>
        <w:trPr>
          <w:trHeight w:val="250"/>
        </w:trPr>
        <w:tc>
          <w:tcPr>
            <w:tcW w:w="516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Total revenues</w:t>
            </w:r>
          </w:p>
        </w:tc>
        <w:tc>
          <w:tcPr>
            <w:tcW w:w="240" w:type="dxa"/>
            <w:vAlign w:val="bottom"/>
            <w:tcBorders>
              <w:bottom w:val="single" w:sz="8" w:color="auto"/>
            </w:tcBorders>
            <w:shd w:val="clear" w:color="auto" w:fill="CCEEFF"/>
          </w:tcPr>
          <w:p>
            <w:pPr>
              <w:spacing w:after="0"/>
              <w:rPr>
                <w:sz w:val="21"/>
                <w:szCs w:val="21"/>
                <w:color w:val="auto"/>
              </w:rPr>
            </w:pPr>
          </w:p>
        </w:tc>
        <w:tc>
          <w:tcPr>
            <w:tcW w:w="8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60,362</w:t>
            </w:r>
          </w:p>
        </w:tc>
        <w:tc>
          <w:tcPr>
            <w:tcW w:w="120" w:type="dxa"/>
            <w:vAlign w:val="bottom"/>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spacing w:after="0"/>
              <w:rPr>
                <w:sz w:val="21"/>
                <w:szCs w:val="21"/>
                <w:color w:val="auto"/>
              </w:rPr>
            </w:pPr>
          </w:p>
        </w:tc>
        <w:tc>
          <w:tcPr>
            <w:tcW w:w="8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41,726</w:t>
            </w:r>
          </w:p>
        </w:tc>
        <w:tc>
          <w:tcPr>
            <w:tcW w:w="120" w:type="dxa"/>
            <w:vAlign w:val="bottom"/>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7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18,636</w:t>
            </w:r>
          </w:p>
        </w:tc>
        <w:tc>
          <w:tcPr>
            <w:tcW w:w="100" w:type="dxa"/>
            <w:vAlign w:val="bottom"/>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7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156,229</w:t>
            </w:r>
          </w:p>
        </w:tc>
        <w:tc>
          <w:tcPr>
            <w:tcW w:w="100" w:type="dxa"/>
            <w:vAlign w:val="bottom"/>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7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106,374</w:t>
            </w:r>
          </w:p>
        </w:tc>
        <w:tc>
          <w:tcPr>
            <w:tcW w:w="100" w:type="dxa"/>
            <w:vAlign w:val="bottom"/>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7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49,855</w:t>
            </w:r>
          </w:p>
        </w:tc>
        <w:tc>
          <w:tcPr>
            <w:tcW w:w="0" w:type="dxa"/>
            <w:vAlign w:val="bottom"/>
          </w:tcPr>
          <w:p>
            <w:pPr>
              <w:spacing w:after="0"/>
              <w:rPr>
                <w:sz w:val="1"/>
                <w:szCs w:val="1"/>
                <w:color w:val="auto"/>
              </w:rPr>
            </w:pPr>
          </w:p>
        </w:tc>
      </w:tr>
      <w:tr>
        <w:trPr>
          <w:trHeight w:val="292"/>
        </w:trPr>
        <w:tc>
          <w:tcPr>
            <w:tcW w:w="5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516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Expenses</w:t>
            </w:r>
          </w:p>
        </w:tc>
        <w:tc>
          <w:tcPr>
            <w:tcW w:w="240" w:type="dxa"/>
            <w:vAlign w:val="bottom"/>
            <w:shd w:val="clear" w:color="auto" w:fill="CCEEFF"/>
          </w:tcPr>
          <w:p>
            <w:pPr>
              <w:spacing w:after="0"/>
              <w:rPr>
                <w:sz w:val="23"/>
                <w:szCs w:val="23"/>
                <w:color w:val="auto"/>
              </w:rPr>
            </w:pPr>
          </w:p>
        </w:tc>
        <w:tc>
          <w:tcPr>
            <w:tcW w:w="8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8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7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7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7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74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9"/>
        </w:trPr>
        <w:tc>
          <w:tcPr>
            <w:tcW w:w="5160" w:type="dxa"/>
            <w:vAlign w:val="bottom"/>
          </w:tcPr>
          <w:p>
            <w:pPr>
              <w:ind w:left="40"/>
              <w:spacing w:after="0"/>
              <w:rPr>
                <w:sz w:val="20"/>
                <w:szCs w:val="20"/>
                <w:color w:val="auto"/>
              </w:rPr>
            </w:pPr>
            <w:r>
              <w:rPr>
                <w:rFonts w:ascii="Arial" w:cs="Arial" w:eastAsia="Arial" w:hAnsi="Arial"/>
                <w:sz w:val="14"/>
                <w:szCs w:val="14"/>
                <w:color w:val="auto"/>
              </w:rPr>
              <w:t>Operating expenses</w:t>
            </w:r>
          </w:p>
        </w:tc>
        <w:tc>
          <w:tcPr>
            <w:tcW w:w="240" w:type="dxa"/>
            <w:vAlign w:val="bottom"/>
          </w:tcPr>
          <w:p>
            <w:pPr>
              <w:spacing w:after="0"/>
              <w:rPr>
                <w:sz w:val="23"/>
                <w:szCs w:val="23"/>
                <w:color w:val="auto"/>
              </w:rPr>
            </w:pPr>
          </w:p>
        </w:tc>
        <w:tc>
          <w:tcPr>
            <w:tcW w:w="800" w:type="dxa"/>
            <w:vAlign w:val="bottom"/>
          </w:tcPr>
          <w:p>
            <w:pPr>
              <w:jc w:val="right"/>
              <w:ind w:right="48"/>
              <w:spacing w:after="0"/>
              <w:rPr>
                <w:sz w:val="20"/>
                <w:szCs w:val="20"/>
                <w:color w:val="auto"/>
              </w:rPr>
            </w:pPr>
            <w:r>
              <w:rPr>
                <w:rFonts w:ascii="Arial" w:cs="Arial" w:eastAsia="Arial" w:hAnsi="Arial"/>
                <w:sz w:val="14"/>
                <w:szCs w:val="14"/>
                <w:b w:val="1"/>
                <w:bCs w:val="1"/>
                <w:color w:val="auto"/>
              </w:rPr>
              <w:t>23,688</w:t>
            </w: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20" w:type="dxa"/>
            <w:vAlign w:val="bottom"/>
          </w:tcPr>
          <w:p>
            <w:pPr>
              <w:jc w:val="right"/>
              <w:ind w:right="48"/>
              <w:spacing w:after="0"/>
              <w:rPr>
                <w:sz w:val="20"/>
                <w:szCs w:val="20"/>
                <w:color w:val="auto"/>
              </w:rPr>
            </w:pPr>
            <w:r>
              <w:rPr>
                <w:rFonts w:ascii="Arial" w:cs="Arial" w:eastAsia="Arial" w:hAnsi="Arial"/>
                <w:sz w:val="14"/>
                <w:szCs w:val="14"/>
                <w:color w:val="auto"/>
              </w:rPr>
              <w:t>17,028</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60" w:type="dxa"/>
            <w:vAlign w:val="bottom"/>
          </w:tcPr>
          <w:p>
            <w:pPr>
              <w:jc w:val="right"/>
              <w:ind w:right="28"/>
              <w:spacing w:after="0"/>
              <w:rPr>
                <w:sz w:val="20"/>
                <w:szCs w:val="20"/>
                <w:color w:val="auto"/>
              </w:rPr>
            </w:pPr>
            <w:r>
              <w:rPr>
                <w:rFonts w:ascii="Arial" w:cs="Arial" w:eastAsia="Arial" w:hAnsi="Arial"/>
                <w:sz w:val="14"/>
                <w:szCs w:val="14"/>
                <w:color w:val="auto"/>
              </w:rPr>
              <w:t>6,660</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00" w:type="dxa"/>
            <w:vAlign w:val="bottom"/>
          </w:tcPr>
          <w:p>
            <w:pPr>
              <w:jc w:val="right"/>
              <w:ind w:right="28"/>
              <w:spacing w:after="0"/>
              <w:rPr>
                <w:sz w:val="20"/>
                <w:szCs w:val="20"/>
                <w:color w:val="auto"/>
              </w:rPr>
            </w:pPr>
            <w:r>
              <w:rPr>
                <w:rFonts w:ascii="Arial" w:cs="Arial" w:eastAsia="Arial" w:hAnsi="Arial"/>
                <w:sz w:val="14"/>
                <w:szCs w:val="14"/>
                <w:b w:val="1"/>
                <w:bCs w:val="1"/>
                <w:color w:val="auto"/>
              </w:rPr>
              <w:t>66,025</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00" w:type="dxa"/>
            <w:vAlign w:val="bottom"/>
          </w:tcPr>
          <w:p>
            <w:pPr>
              <w:jc w:val="right"/>
              <w:ind w:right="28"/>
              <w:spacing w:after="0"/>
              <w:rPr>
                <w:sz w:val="20"/>
                <w:szCs w:val="20"/>
                <w:color w:val="auto"/>
              </w:rPr>
            </w:pPr>
            <w:r>
              <w:rPr>
                <w:rFonts w:ascii="Arial" w:cs="Arial" w:eastAsia="Arial" w:hAnsi="Arial"/>
                <w:sz w:val="14"/>
                <w:szCs w:val="14"/>
                <w:color w:val="auto"/>
              </w:rPr>
              <w:t>48,937</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40" w:type="dxa"/>
            <w:vAlign w:val="bottom"/>
          </w:tcPr>
          <w:p>
            <w:pPr>
              <w:jc w:val="right"/>
              <w:ind w:right="28"/>
              <w:spacing w:after="0"/>
              <w:rPr>
                <w:sz w:val="20"/>
                <w:szCs w:val="20"/>
                <w:color w:val="auto"/>
              </w:rPr>
            </w:pPr>
            <w:r>
              <w:rPr>
                <w:rFonts w:ascii="Arial" w:cs="Arial" w:eastAsia="Arial" w:hAnsi="Arial"/>
                <w:sz w:val="14"/>
                <w:szCs w:val="14"/>
                <w:color w:val="auto"/>
              </w:rPr>
              <w:t>17,088</w:t>
            </w:r>
          </w:p>
        </w:tc>
        <w:tc>
          <w:tcPr>
            <w:tcW w:w="0" w:type="dxa"/>
            <w:vAlign w:val="bottom"/>
          </w:tcPr>
          <w:p>
            <w:pPr>
              <w:spacing w:after="0"/>
              <w:rPr>
                <w:sz w:val="1"/>
                <w:szCs w:val="1"/>
                <w:color w:val="auto"/>
              </w:rPr>
            </w:pPr>
          </w:p>
        </w:tc>
      </w:tr>
      <w:tr>
        <w:trPr>
          <w:trHeight w:val="271"/>
        </w:trPr>
        <w:tc>
          <w:tcPr>
            <w:tcW w:w="5160" w:type="dxa"/>
            <w:vAlign w:val="bottom"/>
            <w:shd w:val="clear" w:color="auto" w:fill="CCEEFF"/>
          </w:tcPr>
          <w:p>
            <w:pPr>
              <w:ind w:left="40"/>
              <w:spacing w:after="0"/>
              <w:rPr>
                <w:sz w:val="20"/>
                <w:szCs w:val="20"/>
                <w:color w:val="auto"/>
              </w:rPr>
            </w:pPr>
            <w:r>
              <w:rPr>
                <w:rFonts w:ascii="Arial" w:cs="Arial" w:eastAsia="Arial" w:hAnsi="Arial"/>
                <w:sz w:val="14"/>
                <w:szCs w:val="14"/>
                <w:color w:val="auto"/>
              </w:rPr>
              <w:t>General and administrative</w:t>
            </w:r>
          </w:p>
        </w:tc>
        <w:tc>
          <w:tcPr>
            <w:tcW w:w="240" w:type="dxa"/>
            <w:vAlign w:val="bottom"/>
            <w:shd w:val="clear" w:color="auto" w:fill="CCEEFF"/>
          </w:tcPr>
          <w:p>
            <w:pPr>
              <w:spacing w:after="0"/>
              <w:rPr>
                <w:sz w:val="23"/>
                <w:szCs w:val="23"/>
                <w:color w:val="auto"/>
              </w:rPr>
            </w:pPr>
          </w:p>
        </w:tc>
        <w:tc>
          <w:tcPr>
            <w:tcW w:w="80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3,439</w:t>
            </w:r>
          </w:p>
        </w:tc>
        <w:tc>
          <w:tcPr>
            <w:tcW w:w="12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8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3,205</w:t>
            </w: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7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234</w:t>
            </w: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70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10,615</w:t>
            </w: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7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9,154</w:t>
            </w: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7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1,461</w:t>
            </w:r>
          </w:p>
        </w:tc>
        <w:tc>
          <w:tcPr>
            <w:tcW w:w="0" w:type="dxa"/>
            <w:vAlign w:val="bottom"/>
          </w:tcPr>
          <w:p>
            <w:pPr>
              <w:spacing w:after="0"/>
              <w:rPr>
                <w:sz w:val="1"/>
                <w:szCs w:val="1"/>
                <w:color w:val="auto"/>
              </w:rPr>
            </w:pPr>
          </w:p>
        </w:tc>
      </w:tr>
      <w:tr>
        <w:trPr>
          <w:trHeight w:val="269"/>
        </w:trPr>
        <w:tc>
          <w:tcPr>
            <w:tcW w:w="5160" w:type="dxa"/>
            <w:vAlign w:val="bottom"/>
          </w:tcPr>
          <w:p>
            <w:pPr>
              <w:ind w:left="40"/>
              <w:spacing w:after="0"/>
              <w:rPr>
                <w:sz w:val="20"/>
                <w:szCs w:val="20"/>
                <w:color w:val="auto"/>
              </w:rPr>
            </w:pPr>
            <w:r>
              <w:rPr>
                <w:rFonts w:ascii="Arial" w:cs="Arial" w:eastAsia="Arial" w:hAnsi="Arial"/>
                <w:sz w:val="14"/>
                <w:szCs w:val="14"/>
                <w:color w:val="auto"/>
              </w:rPr>
              <w:t>Acquisition and transaction expenses</w:t>
            </w:r>
          </w:p>
        </w:tc>
        <w:tc>
          <w:tcPr>
            <w:tcW w:w="240" w:type="dxa"/>
            <w:vAlign w:val="bottom"/>
          </w:tcPr>
          <w:p>
            <w:pPr>
              <w:spacing w:after="0"/>
              <w:rPr>
                <w:sz w:val="23"/>
                <w:szCs w:val="23"/>
                <w:color w:val="auto"/>
              </w:rPr>
            </w:pPr>
          </w:p>
        </w:tc>
        <w:tc>
          <w:tcPr>
            <w:tcW w:w="800" w:type="dxa"/>
            <w:vAlign w:val="bottom"/>
          </w:tcPr>
          <w:p>
            <w:pPr>
              <w:jc w:val="right"/>
              <w:ind w:right="48"/>
              <w:spacing w:after="0"/>
              <w:rPr>
                <w:sz w:val="20"/>
                <w:szCs w:val="20"/>
                <w:color w:val="auto"/>
              </w:rPr>
            </w:pPr>
            <w:r>
              <w:rPr>
                <w:rFonts w:ascii="Arial" w:cs="Arial" w:eastAsia="Arial" w:hAnsi="Arial"/>
                <w:sz w:val="14"/>
                <w:szCs w:val="14"/>
                <w:b w:val="1"/>
                <w:bCs w:val="1"/>
                <w:color w:val="auto"/>
              </w:rPr>
              <w:t>1,732</w:t>
            </w: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20" w:type="dxa"/>
            <w:vAlign w:val="bottom"/>
          </w:tcPr>
          <w:p>
            <w:pPr>
              <w:jc w:val="right"/>
              <w:ind w:right="48"/>
              <w:spacing w:after="0"/>
              <w:rPr>
                <w:sz w:val="20"/>
                <w:szCs w:val="20"/>
                <w:color w:val="auto"/>
              </w:rPr>
            </w:pPr>
            <w:r>
              <w:rPr>
                <w:rFonts w:ascii="Arial" w:cs="Arial" w:eastAsia="Arial" w:hAnsi="Arial"/>
                <w:sz w:val="14"/>
                <w:szCs w:val="14"/>
                <w:color w:val="auto"/>
              </w:rPr>
              <w:t>1,688</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60" w:type="dxa"/>
            <w:vAlign w:val="bottom"/>
          </w:tcPr>
          <w:p>
            <w:pPr>
              <w:jc w:val="right"/>
              <w:ind w:right="28"/>
              <w:spacing w:after="0"/>
              <w:rPr>
                <w:sz w:val="20"/>
                <w:szCs w:val="20"/>
                <w:color w:val="auto"/>
              </w:rPr>
            </w:pPr>
            <w:r>
              <w:rPr>
                <w:rFonts w:ascii="Arial" w:cs="Arial" w:eastAsia="Arial" w:hAnsi="Arial"/>
                <w:sz w:val="14"/>
                <w:szCs w:val="14"/>
                <w:color w:val="auto"/>
              </w:rPr>
              <w:t>44</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00" w:type="dxa"/>
            <w:vAlign w:val="bottom"/>
          </w:tcPr>
          <w:p>
            <w:pPr>
              <w:jc w:val="right"/>
              <w:ind w:right="28"/>
              <w:spacing w:after="0"/>
              <w:rPr>
                <w:sz w:val="20"/>
                <w:szCs w:val="20"/>
                <w:color w:val="auto"/>
              </w:rPr>
            </w:pPr>
            <w:r>
              <w:rPr>
                <w:rFonts w:ascii="Arial" w:cs="Arial" w:eastAsia="Arial" w:hAnsi="Arial"/>
                <w:sz w:val="14"/>
                <w:szCs w:val="14"/>
                <w:b w:val="1"/>
                <w:bCs w:val="1"/>
                <w:color w:val="auto"/>
              </w:rPr>
              <w:t>5,064</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00" w:type="dxa"/>
            <w:vAlign w:val="bottom"/>
          </w:tcPr>
          <w:p>
            <w:pPr>
              <w:jc w:val="right"/>
              <w:ind w:right="28"/>
              <w:spacing w:after="0"/>
              <w:rPr>
                <w:sz w:val="20"/>
                <w:szCs w:val="20"/>
                <w:color w:val="auto"/>
              </w:rPr>
            </w:pPr>
            <w:r>
              <w:rPr>
                <w:rFonts w:ascii="Arial" w:cs="Arial" w:eastAsia="Arial" w:hAnsi="Arial"/>
                <w:sz w:val="14"/>
                <w:szCs w:val="14"/>
                <w:color w:val="auto"/>
              </w:rPr>
              <w:t>4,622</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40" w:type="dxa"/>
            <w:vAlign w:val="bottom"/>
          </w:tcPr>
          <w:p>
            <w:pPr>
              <w:jc w:val="right"/>
              <w:ind w:right="28"/>
              <w:spacing w:after="0"/>
              <w:rPr>
                <w:sz w:val="20"/>
                <w:szCs w:val="20"/>
                <w:color w:val="auto"/>
              </w:rPr>
            </w:pPr>
            <w:r>
              <w:rPr>
                <w:rFonts w:ascii="Arial" w:cs="Arial" w:eastAsia="Arial" w:hAnsi="Arial"/>
                <w:sz w:val="14"/>
                <w:szCs w:val="14"/>
                <w:color w:val="auto"/>
              </w:rPr>
              <w:t>442</w:t>
            </w:r>
          </w:p>
        </w:tc>
        <w:tc>
          <w:tcPr>
            <w:tcW w:w="0" w:type="dxa"/>
            <w:vAlign w:val="bottom"/>
          </w:tcPr>
          <w:p>
            <w:pPr>
              <w:spacing w:after="0"/>
              <w:rPr>
                <w:sz w:val="1"/>
                <w:szCs w:val="1"/>
                <w:color w:val="auto"/>
              </w:rPr>
            </w:pPr>
          </w:p>
        </w:tc>
      </w:tr>
      <w:tr>
        <w:trPr>
          <w:trHeight w:val="271"/>
        </w:trPr>
        <w:tc>
          <w:tcPr>
            <w:tcW w:w="5160" w:type="dxa"/>
            <w:vAlign w:val="bottom"/>
            <w:shd w:val="clear" w:color="auto" w:fill="CCEEFF"/>
          </w:tcPr>
          <w:p>
            <w:pPr>
              <w:ind w:left="40"/>
              <w:spacing w:after="0"/>
              <w:rPr>
                <w:sz w:val="20"/>
                <w:szCs w:val="20"/>
                <w:color w:val="auto"/>
              </w:rPr>
            </w:pPr>
            <w:r>
              <w:rPr>
                <w:rFonts w:ascii="Arial" w:cs="Arial" w:eastAsia="Arial" w:hAnsi="Arial"/>
                <w:sz w:val="14"/>
                <w:szCs w:val="14"/>
                <w:color w:val="auto"/>
              </w:rPr>
              <w:t>Management fees and incentive allocation to affiliate</w:t>
            </w:r>
          </w:p>
        </w:tc>
        <w:tc>
          <w:tcPr>
            <w:tcW w:w="240" w:type="dxa"/>
            <w:vAlign w:val="bottom"/>
            <w:shd w:val="clear" w:color="auto" w:fill="CCEEFF"/>
          </w:tcPr>
          <w:p>
            <w:pPr>
              <w:spacing w:after="0"/>
              <w:rPr>
                <w:sz w:val="23"/>
                <w:szCs w:val="23"/>
                <w:color w:val="auto"/>
              </w:rPr>
            </w:pPr>
          </w:p>
        </w:tc>
        <w:tc>
          <w:tcPr>
            <w:tcW w:w="80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3,771</w:t>
            </w:r>
          </w:p>
        </w:tc>
        <w:tc>
          <w:tcPr>
            <w:tcW w:w="12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8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4,146</w:t>
            </w: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(375)</w:t>
            </w: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70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11,529</w:t>
            </w: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7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12,725</w:t>
            </w: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(1,196)</w:t>
            </w:r>
          </w:p>
        </w:tc>
        <w:tc>
          <w:tcPr>
            <w:tcW w:w="0" w:type="dxa"/>
            <w:vAlign w:val="bottom"/>
          </w:tcPr>
          <w:p>
            <w:pPr>
              <w:spacing w:after="0"/>
              <w:rPr>
                <w:sz w:val="1"/>
                <w:szCs w:val="1"/>
                <w:color w:val="auto"/>
              </w:rPr>
            </w:pPr>
          </w:p>
        </w:tc>
      </w:tr>
      <w:tr>
        <w:trPr>
          <w:trHeight w:val="269"/>
        </w:trPr>
        <w:tc>
          <w:tcPr>
            <w:tcW w:w="5160" w:type="dxa"/>
            <w:vAlign w:val="bottom"/>
          </w:tcPr>
          <w:p>
            <w:pPr>
              <w:ind w:left="40"/>
              <w:spacing w:after="0"/>
              <w:rPr>
                <w:sz w:val="20"/>
                <w:szCs w:val="20"/>
                <w:color w:val="auto"/>
              </w:rPr>
            </w:pPr>
            <w:r>
              <w:rPr>
                <w:rFonts w:ascii="Arial" w:cs="Arial" w:eastAsia="Arial" w:hAnsi="Arial"/>
                <w:sz w:val="14"/>
                <w:szCs w:val="14"/>
                <w:color w:val="auto"/>
              </w:rPr>
              <w:t>Depreciation and amortization</w:t>
            </w:r>
          </w:p>
        </w:tc>
        <w:tc>
          <w:tcPr>
            <w:tcW w:w="240" w:type="dxa"/>
            <w:vAlign w:val="bottom"/>
          </w:tcPr>
          <w:p>
            <w:pPr>
              <w:spacing w:after="0"/>
              <w:rPr>
                <w:sz w:val="23"/>
                <w:szCs w:val="23"/>
                <w:color w:val="auto"/>
              </w:rPr>
            </w:pPr>
          </w:p>
        </w:tc>
        <w:tc>
          <w:tcPr>
            <w:tcW w:w="800" w:type="dxa"/>
            <w:vAlign w:val="bottom"/>
          </w:tcPr>
          <w:p>
            <w:pPr>
              <w:jc w:val="right"/>
              <w:ind w:right="48"/>
              <w:spacing w:after="0"/>
              <w:rPr>
                <w:sz w:val="20"/>
                <w:szCs w:val="20"/>
                <w:color w:val="auto"/>
              </w:rPr>
            </w:pPr>
            <w:r>
              <w:rPr>
                <w:rFonts w:ascii="Arial" w:cs="Arial" w:eastAsia="Arial" w:hAnsi="Arial"/>
                <w:sz w:val="14"/>
                <w:szCs w:val="14"/>
                <w:b w:val="1"/>
                <w:bCs w:val="1"/>
                <w:color w:val="auto"/>
              </w:rPr>
              <w:t>24,784</w:t>
            </w: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20" w:type="dxa"/>
            <w:vAlign w:val="bottom"/>
          </w:tcPr>
          <w:p>
            <w:pPr>
              <w:jc w:val="right"/>
              <w:ind w:right="48"/>
              <w:spacing w:after="0"/>
              <w:rPr>
                <w:sz w:val="20"/>
                <w:szCs w:val="20"/>
                <w:color w:val="auto"/>
              </w:rPr>
            </w:pPr>
            <w:r>
              <w:rPr>
                <w:rFonts w:ascii="Arial" w:cs="Arial" w:eastAsia="Arial" w:hAnsi="Arial"/>
                <w:sz w:val="14"/>
                <w:szCs w:val="14"/>
                <w:color w:val="auto"/>
              </w:rPr>
              <w:t>15,376</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60" w:type="dxa"/>
            <w:vAlign w:val="bottom"/>
          </w:tcPr>
          <w:p>
            <w:pPr>
              <w:jc w:val="right"/>
              <w:ind w:right="28"/>
              <w:spacing w:after="0"/>
              <w:rPr>
                <w:sz w:val="20"/>
                <w:szCs w:val="20"/>
                <w:color w:val="auto"/>
              </w:rPr>
            </w:pPr>
            <w:r>
              <w:rPr>
                <w:rFonts w:ascii="Arial" w:cs="Arial" w:eastAsia="Arial" w:hAnsi="Arial"/>
                <w:sz w:val="14"/>
                <w:szCs w:val="14"/>
                <w:color w:val="auto"/>
              </w:rPr>
              <w:t>9,408</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00" w:type="dxa"/>
            <w:vAlign w:val="bottom"/>
          </w:tcPr>
          <w:p>
            <w:pPr>
              <w:jc w:val="right"/>
              <w:ind w:right="28"/>
              <w:spacing w:after="0"/>
              <w:rPr>
                <w:sz w:val="20"/>
                <w:szCs w:val="20"/>
                <w:color w:val="auto"/>
              </w:rPr>
            </w:pPr>
            <w:r>
              <w:rPr>
                <w:rFonts w:ascii="Arial" w:cs="Arial" w:eastAsia="Arial" w:hAnsi="Arial"/>
                <w:sz w:val="14"/>
                <w:szCs w:val="14"/>
                <w:b w:val="1"/>
                <w:bCs w:val="1"/>
                <w:color w:val="auto"/>
              </w:rPr>
              <w:t>62,382</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00" w:type="dxa"/>
            <w:vAlign w:val="bottom"/>
          </w:tcPr>
          <w:p>
            <w:pPr>
              <w:jc w:val="right"/>
              <w:ind w:right="28"/>
              <w:spacing w:after="0"/>
              <w:rPr>
                <w:sz w:val="20"/>
                <w:szCs w:val="20"/>
                <w:color w:val="auto"/>
              </w:rPr>
            </w:pPr>
            <w:r>
              <w:rPr>
                <w:rFonts w:ascii="Arial" w:cs="Arial" w:eastAsia="Arial" w:hAnsi="Arial"/>
                <w:sz w:val="14"/>
                <w:szCs w:val="14"/>
                <w:color w:val="auto"/>
              </w:rPr>
              <w:t>43,294</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40" w:type="dxa"/>
            <w:vAlign w:val="bottom"/>
          </w:tcPr>
          <w:p>
            <w:pPr>
              <w:jc w:val="right"/>
              <w:ind w:right="28"/>
              <w:spacing w:after="0"/>
              <w:rPr>
                <w:sz w:val="20"/>
                <w:szCs w:val="20"/>
                <w:color w:val="auto"/>
              </w:rPr>
            </w:pPr>
            <w:r>
              <w:rPr>
                <w:rFonts w:ascii="Arial" w:cs="Arial" w:eastAsia="Arial" w:hAnsi="Arial"/>
                <w:sz w:val="14"/>
                <w:szCs w:val="14"/>
                <w:color w:val="auto"/>
              </w:rPr>
              <w:t>19,088</w:t>
            </w:r>
          </w:p>
        </w:tc>
        <w:tc>
          <w:tcPr>
            <w:tcW w:w="0" w:type="dxa"/>
            <w:vAlign w:val="bottom"/>
          </w:tcPr>
          <w:p>
            <w:pPr>
              <w:spacing w:after="0"/>
              <w:rPr>
                <w:sz w:val="1"/>
                <w:szCs w:val="1"/>
                <w:color w:val="auto"/>
              </w:rPr>
            </w:pPr>
          </w:p>
        </w:tc>
      </w:tr>
      <w:tr>
        <w:trPr>
          <w:trHeight w:val="270"/>
        </w:trPr>
        <w:tc>
          <w:tcPr>
            <w:tcW w:w="5160" w:type="dxa"/>
            <w:vAlign w:val="bottom"/>
            <w:shd w:val="clear" w:color="auto" w:fill="CCEEFF"/>
          </w:tcPr>
          <w:p>
            <w:pPr>
              <w:ind w:left="40"/>
              <w:spacing w:after="0"/>
              <w:rPr>
                <w:sz w:val="20"/>
                <w:szCs w:val="20"/>
                <w:color w:val="auto"/>
              </w:rPr>
            </w:pPr>
            <w:r>
              <w:rPr>
                <w:rFonts w:ascii="Arial" w:cs="Arial" w:eastAsia="Arial" w:hAnsi="Arial"/>
                <w:sz w:val="14"/>
                <w:szCs w:val="14"/>
                <w:color w:val="auto"/>
              </w:rPr>
              <w:t>Interest expense</w:t>
            </w:r>
          </w:p>
        </w:tc>
        <w:tc>
          <w:tcPr>
            <w:tcW w:w="240" w:type="dxa"/>
            <w:vAlign w:val="bottom"/>
            <w:tcBorders>
              <w:bottom w:val="single" w:sz="8" w:color="auto"/>
            </w:tcBorders>
            <w:shd w:val="clear" w:color="auto" w:fill="CCEEFF"/>
          </w:tcPr>
          <w:p>
            <w:pPr>
              <w:spacing w:after="0"/>
              <w:rPr>
                <w:sz w:val="23"/>
                <w:szCs w:val="23"/>
                <w:color w:val="auto"/>
              </w:rPr>
            </w:pPr>
          </w:p>
        </w:tc>
        <w:tc>
          <w:tcPr>
            <w:tcW w:w="8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8,914</w:t>
            </w:r>
          </w:p>
        </w:tc>
        <w:tc>
          <w:tcPr>
            <w:tcW w:w="120" w:type="dxa"/>
            <w:vAlign w:val="bottom"/>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spacing w:after="0"/>
              <w:rPr>
                <w:sz w:val="23"/>
                <w:szCs w:val="23"/>
                <w:color w:val="auto"/>
              </w:rPr>
            </w:pPr>
          </w:p>
        </w:tc>
        <w:tc>
          <w:tcPr>
            <w:tcW w:w="8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5,416</w:t>
            </w:r>
          </w:p>
        </w:tc>
        <w:tc>
          <w:tcPr>
            <w:tcW w:w="12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7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3,498</w:t>
            </w:r>
          </w:p>
        </w:tc>
        <w:tc>
          <w:tcPr>
            <w:tcW w:w="10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7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21,292</w:t>
            </w:r>
          </w:p>
        </w:tc>
        <w:tc>
          <w:tcPr>
            <w:tcW w:w="10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7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15,839</w:t>
            </w:r>
          </w:p>
        </w:tc>
        <w:tc>
          <w:tcPr>
            <w:tcW w:w="10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7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5,453</w:t>
            </w:r>
          </w:p>
        </w:tc>
        <w:tc>
          <w:tcPr>
            <w:tcW w:w="0" w:type="dxa"/>
            <w:vAlign w:val="bottom"/>
          </w:tcPr>
          <w:p>
            <w:pPr>
              <w:spacing w:after="0"/>
              <w:rPr>
                <w:sz w:val="1"/>
                <w:szCs w:val="1"/>
                <w:color w:val="auto"/>
              </w:rPr>
            </w:pPr>
          </w:p>
        </w:tc>
      </w:tr>
      <w:tr>
        <w:trPr>
          <w:trHeight w:val="250"/>
        </w:trPr>
        <w:tc>
          <w:tcPr>
            <w:tcW w:w="516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Total expenses</w:t>
            </w:r>
          </w:p>
        </w:tc>
        <w:tc>
          <w:tcPr>
            <w:tcW w:w="24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66,328</w:t>
            </w:r>
          </w:p>
        </w:tc>
        <w:tc>
          <w:tcPr>
            <w:tcW w:w="12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46,859</w:t>
            </w:r>
          </w:p>
        </w:tc>
        <w:tc>
          <w:tcPr>
            <w:tcW w:w="12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7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19,469</w:t>
            </w:r>
          </w:p>
        </w:tc>
        <w:tc>
          <w:tcPr>
            <w:tcW w:w="10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7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176,907</w:t>
            </w:r>
          </w:p>
        </w:tc>
        <w:tc>
          <w:tcPr>
            <w:tcW w:w="10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7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134,571</w:t>
            </w:r>
          </w:p>
        </w:tc>
        <w:tc>
          <w:tcPr>
            <w:tcW w:w="10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7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42,336</w:t>
            </w:r>
          </w:p>
        </w:tc>
        <w:tc>
          <w:tcPr>
            <w:tcW w:w="0" w:type="dxa"/>
            <w:vAlign w:val="bottom"/>
          </w:tcPr>
          <w:p>
            <w:pPr>
              <w:spacing w:after="0"/>
              <w:rPr>
                <w:sz w:val="1"/>
                <w:szCs w:val="1"/>
                <w:color w:val="auto"/>
              </w:rPr>
            </w:pPr>
          </w:p>
        </w:tc>
      </w:tr>
      <w:tr>
        <w:trPr>
          <w:trHeight w:val="265"/>
        </w:trPr>
        <w:tc>
          <w:tcPr>
            <w:tcW w:w="516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8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8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7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7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7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74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9"/>
        </w:trPr>
        <w:tc>
          <w:tcPr>
            <w:tcW w:w="5160" w:type="dxa"/>
            <w:vAlign w:val="bottom"/>
          </w:tcPr>
          <w:p>
            <w:pPr>
              <w:ind w:left="40"/>
              <w:spacing w:after="0"/>
              <w:rPr>
                <w:sz w:val="20"/>
                <w:szCs w:val="20"/>
                <w:color w:val="auto"/>
              </w:rPr>
            </w:pPr>
            <w:r>
              <w:rPr>
                <w:rFonts w:ascii="Arial" w:cs="Arial" w:eastAsia="Arial" w:hAnsi="Arial"/>
                <w:sz w:val="14"/>
                <w:szCs w:val="14"/>
                <w:b w:val="1"/>
                <w:bCs w:val="1"/>
                <w:color w:val="auto"/>
              </w:rPr>
              <w:t>Other (expense) income</w:t>
            </w:r>
          </w:p>
        </w:tc>
        <w:tc>
          <w:tcPr>
            <w:tcW w:w="24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1"/>
        </w:trPr>
        <w:tc>
          <w:tcPr>
            <w:tcW w:w="5160" w:type="dxa"/>
            <w:vAlign w:val="bottom"/>
            <w:shd w:val="clear" w:color="auto" w:fill="CCEEFF"/>
          </w:tcPr>
          <w:p>
            <w:pPr>
              <w:ind w:left="40"/>
              <w:spacing w:after="0"/>
              <w:rPr>
                <w:sz w:val="20"/>
                <w:szCs w:val="20"/>
                <w:color w:val="auto"/>
              </w:rPr>
            </w:pPr>
            <w:r>
              <w:rPr>
                <w:rFonts w:ascii="Arial" w:cs="Arial" w:eastAsia="Arial" w:hAnsi="Arial"/>
                <w:sz w:val="14"/>
                <w:szCs w:val="14"/>
                <w:color w:val="auto"/>
              </w:rPr>
              <w:t>Equity in (losses) earnings of unconsolidated entities</w:t>
            </w:r>
          </w:p>
        </w:tc>
        <w:tc>
          <w:tcPr>
            <w:tcW w:w="240" w:type="dxa"/>
            <w:vAlign w:val="bottom"/>
            <w:shd w:val="clear" w:color="auto" w:fill="CCEEFF"/>
          </w:tcPr>
          <w:p>
            <w:pPr>
              <w:spacing w:after="0"/>
              <w:rPr>
                <w:sz w:val="23"/>
                <w:szCs w:val="23"/>
                <w:color w:val="auto"/>
              </w:rPr>
            </w:pPr>
          </w:p>
        </w:tc>
        <w:tc>
          <w:tcPr>
            <w:tcW w:w="80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132</w:t>
            </w:r>
          </w:p>
        </w:tc>
        <w:tc>
          <w:tcPr>
            <w:tcW w:w="12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8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(1,161)</w:t>
            </w: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7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1,293</w:t>
            </w: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(1,461)</w:t>
            </w: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(1,335)</w:t>
            </w: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(126)</w:t>
            </w:r>
          </w:p>
        </w:tc>
        <w:tc>
          <w:tcPr>
            <w:tcW w:w="0" w:type="dxa"/>
            <w:vAlign w:val="bottom"/>
          </w:tcPr>
          <w:p>
            <w:pPr>
              <w:spacing w:after="0"/>
              <w:rPr>
                <w:sz w:val="1"/>
                <w:szCs w:val="1"/>
                <w:color w:val="auto"/>
              </w:rPr>
            </w:pPr>
          </w:p>
        </w:tc>
      </w:tr>
      <w:tr>
        <w:trPr>
          <w:trHeight w:val="269"/>
        </w:trPr>
        <w:tc>
          <w:tcPr>
            <w:tcW w:w="5160" w:type="dxa"/>
            <w:vAlign w:val="bottom"/>
          </w:tcPr>
          <w:p>
            <w:pPr>
              <w:ind w:left="40"/>
              <w:spacing w:after="0"/>
              <w:rPr>
                <w:sz w:val="20"/>
                <w:szCs w:val="20"/>
                <w:color w:val="auto"/>
              </w:rPr>
            </w:pPr>
            <w:r>
              <w:rPr>
                <w:rFonts w:ascii="Arial" w:cs="Arial" w:eastAsia="Arial" w:hAnsi="Arial"/>
                <w:sz w:val="14"/>
                <w:szCs w:val="14"/>
                <w:color w:val="auto"/>
              </w:rPr>
              <w:t>Gain on sale of equipment and finance leases, net</w:t>
            </w:r>
          </w:p>
        </w:tc>
        <w:tc>
          <w:tcPr>
            <w:tcW w:w="240" w:type="dxa"/>
            <w:vAlign w:val="bottom"/>
          </w:tcPr>
          <w:p>
            <w:pPr>
              <w:spacing w:after="0"/>
              <w:rPr>
                <w:sz w:val="23"/>
                <w:szCs w:val="23"/>
                <w:color w:val="auto"/>
              </w:rPr>
            </w:pPr>
          </w:p>
        </w:tc>
        <w:tc>
          <w:tcPr>
            <w:tcW w:w="800" w:type="dxa"/>
            <w:vAlign w:val="bottom"/>
          </w:tcPr>
          <w:p>
            <w:pPr>
              <w:jc w:val="right"/>
              <w:ind w:right="48"/>
              <w:spacing w:after="0"/>
              <w:rPr>
                <w:sz w:val="20"/>
                <w:szCs w:val="20"/>
                <w:color w:val="auto"/>
              </w:rPr>
            </w:pPr>
            <w:r>
              <w:rPr>
                <w:rFonts w:ascii="Arial" w:cs="Arial" w:eastAsia="Arial" w:hAnsi="Arial"/>
                <w:sz w:val="14"/>
                <w:szCs w:val="14"/>
                <w:b w:val="1"/>
                <w:bCs w:val="1"/>
                <w:color w:val="auto"/>
              </w:rPr>
              <w:t>2,709</w:t>
            </w: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20" w:type="dxa"/>
            <w:vAlign w:val="bottom"/>
          </w:tcPr>
          <w:p>
            <w:pPr>
              <w:jc w:val="right"/>
              <w:ind w:right="48"/>
              <w:spacing w:after="0"/>
              <w:rPr>
                <w:sz w:val="20"/>
                <w:szCs w:val="20"/>
                <w:color w:val="auto"/>
              </w:rPr>
            </w:pPr>
            <w:r>
              <w:rPr>
                <w:rFonts w:ascii="Arial" w:cs="Arial" w:eastAsia="Arial" w:hAnsi="Arial"/>
                <w:sz w:val="14"/>
                <w:szCs w:val="14"/>
                <w:color w:val="auto"/>
              </w:rPr>
              <w:t>40</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60" w:type="dxa"/>
            <w:vAlign w:val="bottom"/>
          </w:tcPr>
          <w:p>
            <w:pPr>
              <w:jc w:val="right"/>
              <w:ind w:right="28"/>
              <w:spacing w:after="0"/>
              <w:rPr>
                <w:sz w:val="20"/>
                <w:szCs w:val="20"/>
                <w:color w:val="auto"/>
              </w:rPr>
            </w:pPr>
            <w:r>
              <w:rPr>
                <w:rFonts w:ascii="Arial" w:cs="Arial" w:eastAsia="Arial" w:hAnsi="Arial"/>
                <w:sz w:val="14"/>
                <w:szCs w:val="14"/>
                <w:color w:val="auto"/>
              </w:rPr>
              <w:t>2,669</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00" w:type="dxa"/>
            <w:vAlign w:val="bottom"/>
          </w:tcPr>
          <w:p>
            <w:pPr>
              <w:jc w:val="right"/>
              <w:ind w:right="28"/>
              <w:spacing w:after="0"/>
              <w:rPr>
                <w:sz w:val="20"/>
                <w:szCs w:val="20"/>
                <w:color w:val="auto"/>
              </w:rPr>
            </w:pPr>
            <w:r>
              <w:rPr>
                <w:rFonts w:ascii="Arial" w:cs="Arial" w:eastAsia="Arial" w:hAnsi="Arial"/>
                <w:sz w:val="14"/>
                <w:szCs w:val="14"/>
                <w:b w:val="1"/>
                <w:bCs w:val="1"/>
                <w:color w:val="auto"/>
              </w:rPr>
              <w:t>6,726</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00" w:type="dxa"/>
            <w:vAlign w:val="bottom"/>
          </w:tcPr>
          <w:p>
            <w:pPr>
              <w:jc w:val="right"/>
              <w:ind w:right="28"/>
              <w:spacing w:after="0"/>
              <w:rPr>
                <w:sz w:val="20"/>
                <w:szCs w:val="20"/>
                <w:color w:val="auto"/>
              </w:rPr>
            </w:pPr>
            <w:r>
              <w:rPr>
                <w:rFonts w:ascii="Arial" w:cs="Arial" w:eastAsia="Arial" w:hAnsi="Arial"/>
                <w:sz w:val="14"/>
                <w:szCs w:val="14"/>
                <w:color w:val="auto"/>
              </w:rPr>
              <w:t>3,307</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40" w:type="dxa"/>
            <w:vAlign w:val="bottom"/>
          </w:tcPr>
          <w:p>
            <w:pPr>
              <w:jc w:val="right"/>
              <w:ind w:right="28"/>
              <w:spacing w:after="0"/>
              <w:rPr>
                <w:sz w:val="20"/>
                <w:szCs w:val="20"/>
                <w:color w:val="auto"/>
              </w:rPr>
            </w:pPr>
            <w:r>
              <w:rPr>
                <w:rFonts w:ascii="Arial" w:cs="Arial" w:eastAsia="Arial" w:hAnsi="Arial"/>
                <w:sz w:val="14"/>
                <w:szCs w:val="14"/>
                <w:color w:val="auto"/>
              </w:rPr>
              <w:t>3,419</w:t>
            </w:r>
          </w:p>
        </w:tc>
        <w:tc>
          <w:tcPr>
            <w:tcW w:w="0" w:type="dxa"/>
            <w:vAlign w:val="bottom"/>
          </w:tcPr>
          <w:p>
            <w:pPr>
              <w:spacing w:after="0"/>
              <w:rPr>
                <w:sz w:val="1"/>
                <w:szCs w:val="1"/>
                <w:color w:val="auto"/>
              </w:rPr>
            </w:pPr>
          </w:p>
        </w:tc>
      </w:tr>
      <w:tr>
        <w:trPr>
          <w:trHeight w:val="271"/>
        </w:trPr>
        <w:tc>
          <w:tcPr>
            <w:tcW w:w="5160" w:type="dxa"/>
            <w:vAlign w:val="bottom"/>
            <w:shd w:val="clear" w:color="auto" w:fill="CCEEFF"/>
          </w:tcPr>
          <w:p>
            <w:pPr>
              <w:ind w:left="40"/>
              <w:spacing w:after="0"/>
              <w:rPr>
                <w:sz w:val="20"/>
                <w:szCs w:val="20"/>
                <w:color w:val="auto"/>
              </w:rPr>
            </w:pPr>
            <w:r>
              <w:rPr>
                <w:rFonts w:ascii="Arial" w:cs="Arial" w:eastAsia="Arial" w:hAnsi="Arial"/>
                <w:sz w:val="14"/>
                <w:szCs w:val="14"/>
                <w:color w:val="auto"/>
              </w:rPr>
              <w:t>Gain/(loss) on extinguishment of debt</w:t>
            </w:r>
          </w:p>
        </w:tc>
        <w:tc>
          <w:tcPr>
            <w:tcW w:w="240" w:type="dxa"/>
            <w:vAlign w:val="bottom"/>
            <w:shd w:val="clear" w:color="auto" w:fill="CCEEFF"/>
          </w:tcPr>
          <w:p>
            <w:pPr>
              <w:spacing w:after="0"/>
              <w:rPr>
                <w:sz w:val="23"/>
                <w:szCs w:val="23"/>
                <w:color w:val="auto"/>
              </w:rPr>
            </w:pPr>
          </w:p>
        </w:tc>
        <w:tc>
          <w:tcPr>
            <w:tcW w:w="9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b w:val="1"/>
                <w:bCs w:val="1"/>
                <w:color w:val="auto"/>
              </w:rPr>
              <w:t>—</w:t>
            </w:r>
          </w:p>
        </w:tc>
        <w:tc>
          <w:tcPr>
            <w:tcW w:w="240" w:type="dxa"/>
            <w:vAlign w:val="bottom"/>
            <w:shd w:val="clear" w:color="auto" w:fill="CCEEFF"/>
          </w:tcPr>
          <w:p>
            <w:pPr>
              <w:spacing w:after="0"/>
              <w:rPr>
                <w:sz w:val="23"/>
                <w:szCs w:val="23"/>
                <w:color w:val="auto"/>
              </w:rPr>
            </w:pP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3"/>
                <w:szCs w:val="23"/>
                <w:color w:val="auto"/>
              </w:rPr>
            </w:pP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23"/>
                <w:szCs w:val="23"/>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(2,456)</w:t>
            </w: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(1,579)</w:t>
            </w: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(877)</w:t>
            </w:r>
          </w:p>
        </w:tc>
        <w:tc>
          <w:tcPr>
            <w:tcW w:w="0" w:type="dxa"/>
            <w:vAlign w:val="bottom"/>
          </w:tcPr>
          <w:p>
            <w:pPr>
              <w:spacing w:after="0"/>
              <w:rPr>
                <w:sz w:val="1"/>
                <w:szCs w:val="1"/>
                <w:color w:val="auto"/>
              </w:rPr>
            </w:pPr>
          </w:p>
        </w:tc>
      </w:tr>
      <w:tr>
        <w:trPr>
          <w:trHeight w:val="269"/>
        </w:trPr>
        <w:tc>
          <w:tcPr>
            <w:tcW w:w="5160" w:type="dxa"/>
            <w:vAlign w:val="bottom"/>
          </w:tcPr>
          <w:p>
            <w:pPr>
              <w:ind w:left="40"/>
              <w:spacing w:after="0"/>
              <w:rPr>
                <w:sz w:val="20"/>
                <w:szCs w:val="20"/>
                <w:color w:val="auto"/>
              </w:rPr>
            </w:pPr>
            <w:r>
              <w:rPr>
                <w:rFonts w:ascii="Arial" w:cs="Arial" w:eastAsia="Arial" w:hAnsi="Arial"/>
                <w:sz w:val="14"/>
                <w:szCs w:val="14"/>
                <w:color w:val="auto"/>
              </w:rPr>
              <w:t>Asset impairment</w:t>
            </w:r>
          </w:p>
        </w:tc>
        <w:tc>
          <w:tcPr>
            <w:tcW w:w="240" w:type="dxa"/>
            <w:vAlign w:val="bottom"/>
          </w:tcPr>
          <w:p>
            <w:pPr>
              <w:spacing w:after="0"/>
              <w:rPr>
                <w:sz w:val="23"/>
                <w:szCs w:val="23"/>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rPr>
              <w:t>—</w:t>
            </w:r>
          </w:p>
        </w:tc>
        <w:tc>
          <w:tcPr>
            <w:tcW w:w="240" w:type="dxa"/>
            <w:vAlign w:val="bottom"/>
          </w:tcPr>
          <w:p>
            <w:pPr>
              <w:spacing w:after="0"/>
              <w:rPr>
                <w:sz w:val="23"/>
                <w:szCs w:val="23"/>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3"/>
                <w:szCs w:val="23"/>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3"/>
                <w:szCs w:val="23"/>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rPr>
              <w:t>—</w:t>
            </w:r>
          </w:p>
        </w:tc>
        <w:tc>
          <w:tcPr>
            <w:tcW w:w="200" w:type="dxa"/>
            <w:vAlign w:val="bottom"/>
          </w:tcPr>
          <w:p>
            <w:pPr>
              <w:spacing w:after="0"/>
              <w:rPr>
                <w:sz w:val="23"/>
                <w:szCs w:val="23"/>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(7,450)</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40" w:type="dxa"/>
            <w:vAlign w:val="bottom"/>
          </w:tcPr>
          <w:p>
            <w:pPr>
              <w:jc w:val="right"/>
              <w:ind w:right="28"/>
              <w:spacing w:after="0"/>
              <w:rPr>
                <w:sz w:val="20"/>
                <w:szCs w:val="20"/>
                <w:color w:val="auto"/>
              </w:rPr>
            </w:pPr>
            <w:r>
              <w:rPr>
                <w:rFonts w:ascii="Arial" w:cs="Arial" w:eastAsia="Arial" w:hAnsi="Arial"/>
                <w:sz w:val="14"/>
                <w:szCs w:val="14"/>
                <w:color w:val="auto"/>
              </w:rPr>
              <w:t>7,450</w:t>
            </w:r>
          </w:p>
        </w:tc>
        <w:tc>
          <w:tcPr>
            <w:tcW w:w="0" w:type="dxa"/>
            <w:vAlign w:val="bottom"/>
          </w:tcPr>
          <w:p>
            <w:pPr>
              <w:spacing w:after="0"/>
              <w:rPr>
                <w:sz w:val="1"/>
                <w:szCs w:val="1"/>
                <w:color w:val="auto"/>
              </w:rPr>
            </w:pPr>
          </w:p>
        </w:tc>
      </w:tr>
      <w:tr>
        <w:trPr>
          <w:trHeight w:val="271"/>
        </w:trPr>
        <w:tc>
          <w:tcPr>
            <w:tcW w:w="5160" w:type="dxa"/>
            <w:vAlign w:val="bottom"/>
            <w:shd w:val="clear" w:color="auto" w:fill="CCEEFF"/>
          </w:tcPr>
          <w:p>
            <w:pPr>
              <w:ind w:left="40"/>
              <w:spacing w:after="0"/>
              <w:rPr>
                <w:sz w:val="20"/>
                <w:szCs w:val="20"/>
                <w:color w:val="auto"/>
              </w:rPr>
            </w:pPr>
            <w:r>
              <w:rPr>
                <w:rFonts w:ascii="Arial" w:cs="Arial" w:eastAsia="Arial" w:hAnsi="Arial"/>
                <w:sz w:val="14"/>
                <w:szCs w:val="14"/>
                <w:color w:val="auto"/>
              </w:rPr>
              <w:t>Interest income</w:t>
            </w:r>
          </w:p>
        </w:tc>
        <w:tc>
          <w:tcPr>
            <w:tcW w:w="240" w:type="dxa"/>
            <w:vAlign w:val="bottom"/>
            <w:shd w:val="clear" w:color="auto" w:fill="CCEEFF"/>
          </w:tcPr>
          <w:p>
            <w:pPr>
              <w:spacing w:after="0"/>
              <w:rPr>
                <w:sz w:val="23"/>
                <w:szCs w:val="23"/>
                <w:color w:val="auto"/>
              </w:rPr>
            </w:pPr>
          </w:p>
        </w:tc>
        <w:tc>
          <w:tcPr>
            <w:tcW w:w="80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215</w:t>
            </w:r>
          </w:p>
        </w:tc>
        <w:tc>
          <w:tcPr>
            <w:tcW w:w="12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8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206</w:t>
            </w: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7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9</w:t>
            </w: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70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582</w:t>
            </w: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7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87</w:t>
            </w: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7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495</w:t>
            </w:r>
          </w:p>
        </w:tc>
        <w:tc>
          <w:tcPr>
            <w:tcW w:w="0" w:type="dxa"/>
            <w:vAlign w:val="bottom"/>
          </w:tcPr>
          <w:p>
            <w:pPr>
              <w:spacing w:after="0"/>
              <w:rPr>
                <w:sz w:val="1"/>
                <w:szCs w:val="1"/>
                <w:color w:val="auto"/>
              </w:rPr>
            </w:pPr>
          </w:p>
        </w:tc>
      </w:tr>
      <w:tr>
        <w:trPr>
          <w:trHeight w:val="269"/>
        </w:trPr>
        <w:tc>
          <w:tcPr>
            <w:tcW w:w="516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Other income</w:t>
            </w:r>
          </w:p>
        </w:tc>
        <w:tc>
          <w:tcPr>
            <w:tcW w:w="240" w:type="dxa"/>
            <w:vAlign w:val="bottom"/>
            <w:tcBorders>
              <w:bottom w:val="single" w:sz="8" w:color="auto"/>
            </w:tcBorders>
          </w:tcPr>
          <w:p>
            <w:pPr>
              <w:spacing w:after="0"/>
              <w:rPr>
                <w:sz w:val="23"/>
                <w:szCs w:val="23"/>
                <w:color w:val="auto"/>
              </w:rPr>
            </w:pPr>
          </w:p>
        </w:tc>
        <w:tc>
          <w:tcPr>
            <w:tcW w:w="8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2,148</w:t>
            </w:r>
          </w:p>
        </w:tc>
        <w:tc>
          <w:tcPr>
            <w:tcW w:w="120" w:type="dxa"/>
            <w:vAlign w:val="bottom"/>
            <w:tcBorders>
              <w:bottom w:val="single" w:sz="8" w:color="CCEEFF"/>
            </w:tcBorders>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8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485</w:t>
            </w:r>
          </w:p>
        </w:tc>
        <w:tc>
          <w:tcPr>
            <w:tcW w:w="120" w:type="dxa"/>
            <w:vAlign w:val="bottom"/>
            <w:tcBorders>
              <w:bottom w:val="single" w:sz="8" w:color="CCEEFF"/>
            </w:tcBorders>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7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1,663</w:t>
            </w:r>
          </w:p>
        </w:tc>
        <w:tc>
          <w:tcPr>
            <w:tcW w:w="100" w:type="dxa"/>
            <w:vAlign w:val="bottom"/>
            <w:tcBorders>
              <w:bottom w:val="single" w:sz="8" w:color="CCEEFF"/>
            </w:tcBorders>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7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2,180</w:t>
            </w:r>
          </w:p>
        </w:tc>
        <w:tc>
          <w:tcPr>
            <w:tcW w:w="100" w:type="dxa"/>
            <w:vAlign w:val="bottom"/>
            <w:tcBorders>
              <w:bottom w:val="single" w:sz="8" w:color="CCEEFF"/>
            </w:tcBorders>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7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583</w:t>
            </w:r>
          </w:p>
        </w:tc>
        <w:tc>
          <w:tcPr>
            <w:tcW w:w="100" w:type="dxa"/>
            <w:vAlign w:val="bottom"/>
            <w:tcBorders>
              <w:bottom w:val="single" w:sz="8" w:color="CCEEFF"/>
            </w:tcBorders>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7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1,597</w:t>
            </w:r>
          </w:p>
        </w:tc>
        <w:tc>
          <w:tcPr>
            <w:tcW w:w="0" w:type="dxa"/>
            <w:vAlign w:val="bottom"/>
          </w:tcPr>
          <w:p>
            <w:pPr>
              <w:spacing w:after="0"/>
              <w:rPr>
                <w:sz w:val="1"/>
                <w:szCs w:val="1"/>
                <w:color w:val="auto"/>
              </w:rPr>
            </w:pPr>
          </w:p>
        </w:tc>
      </w:tr>
      <w:tr>
        <w:trPr>
          <w:trHeight w:val="250"/>
        </w:trPr>
        <w:tc>
          <w:tcPr>
            <w:tcW w:w="516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Total other income (expense)</w:t>
            </w:r>
          </w:p>
        </w:tc>
        <w:tc>
          <w:tcPr>
            <w:tcW w:w="240" w:type="dxa"/>
            <w:vAlign w:val="bottom"/>
            <w:tcBorders>
              <w:bottom w:val="single" w:sz="8" w:color="auto"/>
            </w:tcBorders>
            <w:shd w:val="clear" w:color="auto" w:fill="CCEEFF"/>
          </w:tcPr>
          <w:p>
            <w:pPr>
              <w:spacing w:after="0"/>
              <w:rPr>
                <w:sz w:val="21"/>
                <w:szCs w:val="21"/>
                <w:color w:val="auto"/>
              </w:rPr>
            </w:pPr>
          </w:p>
        </w:tc>
        <w:tc>
          <w:tcPr>
            <w:tcW w:w="8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5,204</w:t>
            </w:r>
          </w:p>
        </w:tc>
        <w:tc>
          <w:tcPr>
            <w:tcW w:w="120" w:type="dxa"/>
            <w:vAlign w:val="bottom"/>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spacing w:after="0"/>
              <w:rPr>
                <w:sz w:val="21"/>
                <w:szCs w:val="21"/>
                <w:color w:val="auto"/>
              </w:rPr>
            </w:pPr>
          </w:p>
        </w:tc>
        <w:tc>
          <w:tcPr>
            <w:tcW w:w="82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(430)</w:t>
            </w:r>
          </w:p>
        </w:tc>
        <w:tc>
          <w:tcPr>
            <w:tcW w:w="120" w:type="dxa"/>
            <w:vAlign w:val="bottom"/>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7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5,634</w:t>
            </w:r>
          </w:p>
        </w:tc>
        <w:tc>
          <w:tcPr>
            <w:tcW w:w="100" w:type="dxa"/>
            <w:vAlign w:val="bottom"/>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7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5,571</w:t>
            </w:r>
          </w:p>
        </w:tc>
        <w:tc>
          <w:tcPr>
            <w:tcW w:w="100" w:type="dxa"/>
            <w:vAlign w:val="bottom"/>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(6,387)</w:t>
            </w:r>
          </w:p>
        </w:tc>
        <w:tc>
          <w:tcPr>
            <w:tcW w:w="100" w:type="dxa"/>
            <w:vAlign w:val="bottom"/>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7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11,958</w:t>
            </w:r>
          </w:p>
        </w:tc>
        <w:tc>
          <w:tcPr>
            <w:tcW w:w="0" w:type="dxa"/>
            <w:vAlign w:val="bottom"/>
          </w:tcPr>
          <w:p>
            <w:pPr>
              <w:spacing w:after="0"/>
              <w:rPr>
                <w:sz w:val="1"/>
                <w:szCs w:val="1"/>
                <w:color w:val="auto"/>
              </w:rPr>
            </w:pPr>
          </w:p>
        </w:tc>
      </w:tr>
      <w:tr>
        <w:trPr>
          <w:trHeight w:val="250"/>
        </w:trPr>
        <w:tc>
          <w:tcPr>
            <w:tcW w:w="5160" w:type="dxa"/>
            <w:vAlign w:val="bottom"/>
          </w:tcPr>
          <w:p>
            <w:pPr>
              <w:ind w:left="40"/>
              <w:spacing w:after="0"/>
              <w:rPr>
                <w:sz w:val="20"/>
                <w:szCs w:val="20"/>
                <w:color w:val="auto"/>
              </w:rPr>
            </w:pPr>
            <w:r>
              <w:rPr>
                <w:rFonts w:ascii="Arial" w:cs="Arial" w:eastAsia="Arial" w:hAnsi="Arial"/>
                <w:sz w:val="14"/>
                <w:szCs w:val="14"/>
                <w:b w:val="1"/>
                <w:bCs w:val="1"/>
                <w:color w:val="auto"/>
              </w:rPr>
              <w:t>Loss before income taxes</w:t>
            </w:r>
          </w:p>
        </w:tc>
        <w:tc>
          <w:tcPr>
            <w:tcW w:w="24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4"/>
                <w:szCs w:val="14"/>
                <w:b w:val="1"/>
                <w:bCs w:val="1"/>
                <w:color w:val="auto"/>
              </w:rPr>
              <w:t>(762)</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20" w:type="dxa"/>
            <w:vAlign w:val="bottom"/>
          </w:tcPr>
          <w:p>
            <w:pPr>
              <w:jc w:val="right"/>
              <w:ind w:right="8"/>
              <w:spacing w:after="0"/>
              <w:rPr>
                <w:sz w:val="20"/>
                <w:szCs w:val="20"/>
                <w:color w:val="auto"/>
              </w:rPr>
            </w:pPr>
            <w:r>
              <w:rPr>
                <w:rFonts w:ascii="Arial" w:cs="Arial" w:eastAsia="Arial" w:hAnsi="Arial"/>
                <w:sz w:val="14"/>
                <w:szCs w:val="14"/>
                <w:color w:val="auto"/>
              </w:rPr>
              <w:t>(5,563)</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60" w:type="dxa"/>
            <w:vAlign w:val="bottom"/>
          </w:tcPr>
          <w:p>
            <w:pPr>
              <w:jc w:val="right"/>
              <w:ind w:right="28"/>
              <w:spacing w:after="0"/>
              <w:rPr>
                <w:sz w:val="20"/>
                <w:szCs w:val="20"/>
                <w:color w:val="auto"/>
              </w:rPr>
            </w:pPr>
            <w:r>
              <w:rPr>
                <w:rFonts w:ascii="Arial" w:cs="Arial" w:eastAsia="Arial" w:hAnsi="Arial"/>
                <w:sz w:val="14"/>
                <w:szCs w:val="14"/>
                <w:color w:val="auto"/>
              </w:rPr>
              <w:t>4,801</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4"/>
                <w:szCs w:val="14"/>
                <w:b w:val="1"/>
                <w:bCs w:val="1"/>
                <w:color w:val="auto"/>
              </w:rPr>
              <w:t>(15,107)</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(34,584)</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40" w:type="dxa"/>
            <w:vAlign w:val="bottom"/>
          </w:tcPr>
          <w:p>
            <w:pPr>
              <w:jc w:val="right"/>
              <w:ind w:right="28"/>
              <w:spacing w:after="0"/>
              <w:rPr>
                <w:sz w:val="20"/>
                <w:szCs w:val="20"/>
                <w:color w:val="auto"/>
              </w:rPr>
            </w:pPr>
            <w:r>
              <w:rPr>
                <w:rFonts w:ascii="Arial" w:cs="Arial" w:eastAsia="Arial" w:hAnsi="Arial"/>
                <w:sz w:val="14"/>
                <w:szCs w:val="14"/>
                <w:color w:val="auto"/>
              </w:rPr>
              <w:t>19,477</w:t>
            </w:r>
          </w:p>
        </w:tc>
        <w:tc>
          <w:tcPr>
            <w:tcW w:w="0" w:type="dxa"/>
            <w:vAlign w:val="bottom"/>
          </w:tcPr>
          <w:p>
            <w:pPr>
              <w:spacing w:after="0"/>
              <w:rPr>
                <w:sz w:val="1"/>
                <w:szCs w:val="1"/>
                <w:color w:val="auto"/>
              </w:rPr>
            </w:pPr>
          </w:p>
        </w:tc>
      </w:tr>
      <w:tr>
        <w:trPr>
          <w:trHeight w:val="270"/>
        </w:trPr>
        <w:tc>
          <w:tcPr>
            <w:tcW w:w="5160" w:type="dxa"/>
            <w:vAlign w:val="bottom"/>
            <w:shd w:val="clear" w:color="auto" w:fill="CCEEFF"/>
          </w:tcPr>
          <w:p>
            <w:pPr>
              <w:ind w:left="40"/>
              <w:spacing w:after="0"/>
              <w:rPr>
                <w:sz w:val="20"/>
                <w:szCs w:val="20"/>
                <w:color w:val="auto"/>
              </w:rPr>
            </w:pPr>
            <w:r>
              <w:rPr>
                <w:rFonts w:ascii="Arial" w:cs="Arial" w:eastAsia="Arial" w:hAnsi="Arial"/>
                <w:sz w:val="14"/>
                <w:szCs w:val="14"/>
                <w:color w:val="auto"/>
              </w:rPr>
              <w:t>Provision for income taxes</w:t>
            </w:r>
          </w:p>
        </w:tc>
        <w:tc>
          <w:tcPr>
            <w:tcW w:w="240" w:type="dxa"/>
            <w:vAlign w:val="bottom"/>
            <w:tcBorders>
              <w:bottom w:val="single" w:sz="8" w:color="auto"/>
            </w:tcBorders>
            <w:shd w:val="clear" w:color="auto" w:fill="CCEEFF"/>
          </w:tcPr>
          <w:p>
            <w:pPr>
              <w:spacing w:after="0"/>
              <w:rPr>
                <w:sz w:val="23"/>
                <w:szCs w:val="23"/>
                <w:color w:val="auto"/>
              </w:rPr>
            </w:pPr>
          </w:p>
        </w:tc>
        <w:tc>
          <w:tcPr>
            <w:tcW w:w="8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909</w:t>
            </w:r>
          </w:p>
        </w:tc>
        <w:tc>
          <w:tcPr>
            <w:tcW w:w="120" w:type="dxa"/>
            <w:vAlign w:val="bottom"/>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spacing w:after="0"/>
              <w:rPr>
                <w:sz w:val="23"/>
                <w:szCs w:val="23"/>
                <w:color w:val="auto"/>
              </w:rPr>
            </w:pPr>
          </w:p>
        </w:tc>
        <w:tc>
          <w:tcPr>
            <w:tcW w:w="8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83</w:t>
            </w:r>
          </w:p>
        </w:tc>
        <w:tc>
          <w:tcPr>
            <w:tcW w:w="12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7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826</w:t>
            </w:r>
          </w:p>
        </w:tc>
        <w:tc>
          <w:tcPr>
            <w:tcW w:w="10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7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1,585</w:t>
            </w:r>
          </w:p>
        </w:tc>
        <w:tc>
          <w:tcPr>
            <w:tcW w:w="10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7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195</w:t>
            </w:r>
          </w:p>
        </w:tc>
        <w:tc>
          <w:tcPr>
            <w:tcW w:w="10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7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1,390</w:t>
            </w:r>
          </w:p>
        </w:tc>
        <w:tc>
          <w:tcPr>
            <w:tcW w:w="0" w:type="dxa"/>
            <w:vAlign w:val="bottom"/>
          </w:tcPr>
          <w:p>
            <w:pPr>
              <w:spacing w:after="0"/>
              <w:rPr>
                <w:sz w:val="1"/>
                <w:szCs w:val="1"/>
                <w:color w:val="auto"/>
              </w:rPr>
            </w:pPr>
          </w:p>
        </w:tc>
      </w:tr>
      <w:tr>
        <w:trPr>
          <w:trHeight w:val="250"/>
        </w:trPr>
        <w:tc>
          <w:tcPr>
            <w:tcW w:w="516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Net loss</w:t>
            </w:r>
          </w:p>
        </w:tc>
        <w:tc>
          <w:tcPr>
            <w:tcW w:w="24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(1,671)</w:t>
            </w:r>
          </w:p>
        </w:tc>
        <w:tc>
          <w:tcPr>
            <w:tcW w:w="12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(5,646)</w:t>
            </w:r>
          </w:p>
        </w:tc>
        <w:tc>
          <w:tcPr>
            <w:tcW w:w="12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7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3,975</w:t>
            </w:r>
          </w:p>
        </w:tc>
        <w:tc>
          <w:tcPr>
            <w:tcW w:w="10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(16,692)</w:t>
            </w:r>
          </w:p>
        </w:tc>
        <w:tc>
          <w:tcPr>
            <w:tcW w:w="10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(34,779)</w:t>
            </w:r>
          </w:p>
        </w:tc>
        <w:tc>
          <w:tcPr>
            <w:tcW w:w="10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7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18,087</w:t>
            </w:r>
          </w:p>
        </w:tc>
        <w:tc>
          <w:tcPr>
            <w:tcW w:w="0" w:type="dxa"/>
            <w:vAlign w:val="bottom"/>
          </w:tcPr>
          <w:p>
            <w:pPr>
              <w:spacing w:after="0"/>
              <w:rPr>
                <w:sz w:val="1"/>
                <w:szCs w:val="1"/>
                <w:color w:val="auto"/>
              </w:rPr>
            </w:pPr>
          </w:p>
        </w:tc>
      </w:tr>
      <w:tr>
        <w:trPr>
          <w:trHeight w:val="157"/>
        </w:trPr>
        <w:tc>
          <w:tcPr>
            <w:tcW w:w="5160" w:type="dxa"/>
            <w:vAlign w:val="bottom"/>
            <w:shd w:val="clear" w:color="auto" w:fill="CCEEFF"/>
          </w:tcPr>
          <w:p>
            <w:pPr>
              <w:ind w:left="40"/>
              <w:spacing w:after="0" w:line="157" w:lineRule="exact"/>
              <w:rPr>
                <w:sz w:val="20"/>
                <w:szCs w:val="20"/>
                <w:color w:val="auto"/>
              </w:rPr>
            </w:pPr>
            <w:r>
              <w:rPr>
                <w:rFonts w:ascii="Arial" w:cs="Arial" w:eastAsia="Arial" w:hAnsi="Arial"/>
                <w:sz w:val="14"/>
                <w:szCs w:val="14"/>
                <w:color w:val="auto"/>
              </w:rPr>
              <w:t>Less: Net loss attributable to non-controlling interest in consolidated</w:t>
            </w:r>
          </w:p>
        </w:tc>
        <w:tc>
          <w:tcPr>
            <w:tcW w:w="240" w:type="dxa"/>
            <w:vAlign w:val="bottom"/>
            <w:shd w:val="clear" w:color="auto" w:fill="CCEEFF"/>
          </w:tcPr>
          <w:p>
            <w:pPr>
              <w:spacing w:after="0"/>
              <w:rPr>
                <w:sz w:val="13"/>
                <w:szCs w:val="13"/>
                <w:color w:val="auto"/>
              </w:rPr>
            </w:pP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4"/>
                <w:szCs w:val="14"/>
                <w:b w:val="1"/>
                <w:bCs w:val="1"/>
                <w:color w:val="auto"/>
              </w:rPr>
              <w:t>(4,669)</w:t>
            </w:r>
          </w:p>
        </w:tc>
        <w:tc>
          <w:tcPr>
            <w:tcW w:w="12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4"/>
                <w:szCs w:val="14"/>
                <w:b w:val="1"/>
                <w:bCs w:val="1"/>
                <w:color w:val="auto"/>
              </w:rPr>
              <w:t>(13,816)</w:t>
            </w:r>
          </w:p>
        </w:tc>
        <w:tc>
          <w:tcPr>
            <w:tcW w:w="1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01"/>
        </w:trPr>
        <w:tc>
          <w:tcPr>
            <w:tcW w:w="5160" w:type="dxa"/>
            <w:vAlign w:val="bottom"/>
            <w:shd w:val="clear" w:color="auto" w:fill="CCEEFF"/>
          </w:tcPr>
          <w:p>
            <w:pPr>
              <w:ind w:left="40"/>
              <w:spacing w:after="0"/>
              <w:rPr>
                <w:sz w:val="20"/>
                <w:szCs w:val="20"/>
                <w:color w:val="auto"/>
              </w:rPr>
            </w:pPr>
            <w:r>
              <w:rPr>
                <w:rFonts w:ascii="Arial" w:cs="Arial" w:eastAsia="Arial" w:hAnsi="Arial"/>
                <w:sz w:val="14"/>
                <w:szCs w:val="14"/>
                <w:color w:val="auto"/>
              </w:rPr>
              <w:t>subsidiaries</w:t>
            </w:r>
          </w:p>
        </w:tc>
        <w:tc>
          <w:tcPr>
            <w:tcW w:w="240" w:type="dxa"/>
            <w:vAlign w:val="bottom"/>
            <w:tcBorders>
              <w:bottom w:val="single" w:sz="8" w:color="auto"/>
            </w:tcBorders>
            <w:shd w:val="clear" w:color="auto" w:fill="CCEEFF"/>
          </w:tcPr>
          <w:p>
            <w:pPr>
              <w:spacing w:after="0"/>
              <w:rPr>
                <w:sz w:val="17"/>
                <w:szCs w:val="17"/>
                <w:color w:val="auto"/>
              </w:rPr>
            </w:pPr>
          </w:p>
        </w:tc>
        <w:tc>
          <w:tcPr>
            <w:tcW w:w="800" w:type="dxa"/>
            <w:vAlign w:val="bottom"/>
            <w:tcBorders>
              <w:bottom w:val="single" w:sz="8" w:color="auto"/>
            </w:tcBorders>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(4,370)</w:t>
            </w:r>
          </w:p>
        </w:tc>
        <w:tc>
          <w:tcPr>
            <w:tcW w:w="12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(299)</w:t>
            </w:r>
          </w:p>
        </w:tc>
        <w:tc>
          <w:tcPr>
            <w:tcW w:w="10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700" w:type="dxa"/>
            <w:vAlign w:val="bottom"/>
            <w:tcBorders>
              <w:bottom w:val="single" w:sz="8" w:color="auto"/>
            </w:tcBorders>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(16,528)</w:t>
            </w:r>
          </w:p>
        </w:tc>
        <w:tc>
          <w:tcPr>
            <w:tcW w:w="10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7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2,712</w:t>
            </w:r>
          </w:p>
        </w:tc>
        <w:tc>
          <w:tcPr>
            <w:tcW w:w="0" w:type="dxa"/>
            <w:vAlign w:val="bottom"/>
          </w:tcPr>
          <w:p>
            <w:pPr>
              <w:spacing w:after="0"/>
              <w:rPr>
                <w:sz w:val="1"/>
                <w:szCs w:val="1"/>
                <w:color w:val="auto"/>
              </w:rPr>
            </w:pPr>
          </w:p>
        </w:tc>
      </w:tr>
      <w:tr>
        <w:trPr>
          <w:trHeight w:val="250"/>
        </w:trPr>
        <w:tc>
          <w:tcPr>
            <w:tcW w:w="516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Net income (loss) attributable to shareholders</w:t>
            </w:r>
          </w:p>
        </w:tc>
        <w:tc>
          <w:tcPr>
            <w:tcW w:w="2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b w:val="1"/>
                <w:bCs w:val="1"/>
                <w:color w:val="auto"/>
              </w:rPr>
              <w:t>$</w:t>
            </w:r>
          </w:p>
        </w:tc>
        <w:tc>
          <w:tcPr>
            <w:tcW w:w="8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2,998</w:t>
            </w:r>
          </w:p>
        </w:tc>
        <w:tc>
          <w:tcPr>
            <w:tcW w:w="12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(1,276)</w:t>
            </w:r>
          </w:p>
        </w:tc>
        <w:tc>
          <w:tcPr>
            <w:tcW w:w="12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4,274</w:t>
            </w:r>
          </w:p>
        </w:tc>
        <w:tc>
          <w:tcPr>
            <w:tcW w:w="10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(2,876)</w:t>
            </w:r>
          </w:p>
        </w:tc>
        <w:tc>
          <w:tcPr>
            <w:tcW w:w="10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(18,251)</w:t>
            </w:r>
          </w:p>
        </w:tc>
        <w:tc>
          <w:tcPr>
            <w:tcW w:w="10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15,375</w:t>
            </w:r>
          </w:p>
        </w:tc>
        <w:tc>
          <w:tcPr>
            <w:tcW w:w="0" w:type="dxa"/>
            <w:vAlign w:val="bottom"/>
          </w:tcPr>
          <w:p>
            <w:pPr>
              <w:spacing w:after="0"/>
              <w:rPr>
                <w:sz w:val="1"/>
                <w:szCs w:val="1"/>
                <w:color w:val="auto"/>
              </w:rPr>
            </w:pPr>
          </w:p>
        </w:tc>
      </w:tr>
      <w:tr>
        <w:trPr>
          <w:trHeight w:val="251"/>
        </w:trPr>
        <w:tc>
          <w:tcPr>
            <w:tcW w:w="5160" w:type="dxa"/>
            <w:vAlign w:val="bottom"/>
            <w:shd w:val="clear" w:color="auto" w:fill="CCEEFF"/>
          </w:tcPr>
          <w:p>
            <w:pPr>
              <w:ind w:left="40"/>
              <w:spacing w:after="0"/>
              <w:rPr>
                <w:sz w:val="20"/>
                <w:szCs w:val="20"/>
                <w:color w:val="auto"/>
              </w:rPr>
            </w:pPr>
            <w:r>
              <w:rPr>
                <w:rFonts w:ascii="Arial" w:cs="Arial" w:eastAsia="Arial" w:hAnsi="Arial"/>
                <w:sz w:val="14"/>
                <w:szCs w:val="14"/>
                <w:color w:val="auto"/>
              </w:rPr>
              <w:t>Add: Provision for income taxes</w:t>
            </w:r>
          </w:p>
        </w:tc>
        <w:tc>
          <w:tcPr>
            <w:tcW w:w="240" w:type="dxa"/>
            <w:vAlign w:val="bottom"/>
            <w:shd w:val="clear" w:color="auto" w:fill="CCEEFF"/>
          </w:tcPr>
          <w:p>
            <w:pPr>
              <w:spacing w:after="0"/>
              <w:rPr>
                <w:sz w:val="21"/>
                <w:szCs w:val="21"/>
                <w:color w:val="auto"/>
              </w:rPr>
            </w:pPr>
          </w:p>
        </w:tc>
        <w:tc>
          <w:tcPr>
            <w:tcW w:w="80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909</w:t>
            </w:r>
          </w:p>
        </w:tc>
        <w:tc>
          <w:tcPr>
            <w:tcW w:w="12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8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83</w:t>
            </w: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7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826</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70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1,585</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7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195</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7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1,390</w:t>
            </w:r>
          </w:p>
        </w:tc>
        <w:tc>
          <w:tcPr>
            <w:tcW w:w="0" w:type="dxa"/>
            <w:vAlign w:val="bottom"/>
          </w:tcPr>
          <w:p>
            <w:pPr>
              <w:spacing w:after="0"/>
              <w:rPr>
                <w:sz w:val="1"/>
                <w:szCs w:val="1"/>
                <w:color w:val="auto"/>
              </w:rPr>
            </w:pPr>
          </w:p>
        </w:tc>
      </w:tr>
      <w:tr>
        <w:trPr>
          <w:trHeight w:val="269"/>
        </w:trPr>
        <w:tc>
          <w:tcPr>
            <w:tcW w:w="5160" w:type="dxa"/>
            <w:vAlign w:val="bottom"/>
          </w:tcPr>
          <w:p>
            <w:pPr>
              <w:ind w:left="40"/>
              <w:spacing w:after="0"/>
              <w:rPr>
                <w:sz w:val="20"/>
                <w:szCs w:val="20"/>
                <w:color w:val="auto"/>
              </w:rPr>
            </w:pPr>
            <w:r>
              <w:rPr>
                <w:rFonts w:ascii="Arial" w:cs="Arial" w:eastAsia="Arial" w:hAnsi="Arial"/>
                <w:sz w:val="14"/>
                <w:szCs w:val="14"/>
                <w:color w:val="auto"/>
              </w:rPr>
              <w:t>Add: Equity-based compensation expense (income)</w:t>
            </w:r>
          </w:p>
        </w:tc>
        <w:tc>
          <w:tcPr>
            <w:tcW w:w="240" w:type="dxa"/>
            <w:vAlign w:val="bottom"/>
          </w:tcPr>
          <w:p>
            <w:pPr>
              <w:spacing w:after="0"/>
              <w:rPr>
                <w:sz w:val="23"/>
                <w:szCs w:val="23"/>
                <w:color w:val="auto"/>
              </w:rPr>
            </w:pPr>
          </w:p>
        </w:tc>
        <w:tc>
          <w:tcPr>
            <w:tcW w:w="800" w:type="dxa"/>
            <w:vAlign w:val="bottom"/>
          </w:tcPr>
          <w:p>
            <w:pPr>
              <w:jc w:val="right"/>
              <w:ind w:right="48"/>
              <w:spacing w:after="0"/>
              <w:rPr>
                <w:sz w:val="20"/>
                <w:szCs w:val="20"/>
                <w:color w:val="auto"/>
              </w:rPr>
            </w:pPr>
            <w:r>
              <w:rPr>
                <w:rFonts w:ascii="Arial" w:cs="Arial" w:eastAsia="Arial" w:hAnsi="Arial"/>
                <w:sz w:val="14"/>
                <w:szCs w:val="14"/>
                <w:b w:val="1"/>
                <w:bCs w:val="1"/>
                <w:color w:val="auto"/>
              </w:rPr>
              <w:t>165</w:t>
            </w: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20" w:type="dxa"/>
            <w:vAlign w:val="bottom"/>
          </w:tcPr>
          <w:p>
            <w:pPr>
              <w:jc w:val="right"/>
              <w:ind w:right="48"/>
              <w:spacing w:after="0"/>
              <w:rPr>
                <w:sz w:val="20"/>
                <w:szCs w:val="20"/>
                <w:color w:val="auto"/>
              </w:rPr>
            </w:pPr>
            <w:r>
              <w:rPr>
                <w:rFonts w:ascii="Arial" w:cs="Arial" w:eastAsia="Arial" w:hAnsi="Arial"/>
                <w:sz w:val="14"/>
                <w:szCs w:val="14"/>
                <w:color w:val="auto"/>
              </w:rPr>
              <w:t>28</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60" w:type="dxa"/>
            <w:vAlign w:val="bottom"/>
          </w:tcPr>
          <w:p>
            <w:pPr>
              <w:jc w:val="right"/>
              <w:ind w:right="28"/>
              <w:spacing w:after="0"/>
              <w:rPr>
                <w:sz w:val="20"/>
                <w:szCs w:val="20"/>
                <w:color w:val="auto"/>
              </w:rPr>
            </w:pPr>
            <w:r>
              <w:rPr>
                <w:rFonts w:ascii="Arial" w:cs="Arial" w:eastAsia="Arial" w:hAnsi="Arial"/>
                <w:sz w:val="14"/>
                <w:szCs w:val="14"/>
                <w:color w:val="auto"/>
              </w:rPr>
              <w:t>137</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00" w:type="dxa"/>
            <w:vAlign w:val="bottom"/>
          </w:tcPr>
          <w:p>
            <w:pPr>
              <w:jc w:val="right"/>
              <w:ind w:right="28"/>
              <w:spacing w:after="0"/>
              <w:rPr>
                <w:sz w:val="20"/>
                <w:szCs w:val="20"/>
                <w:color w:val="auto"/>
              </w:rPr>
            </w:pPr>
            <w:r>
              <w:rPr>
                <w:rFonts w:ascii="Arial" w:cs="Arial" w:eastAsia="Arial" w:hAnsi="Arial"/>
                <w:sz w:val="14"/>
                <w:szCs w:val="14"/>
                <w:b w:val="1"/>
                <w:bCs w:val="1"/>
                <w:color w:val="auto"/>
              </w:rPr>
              <w:t>695</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(3,818)</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40" w:type="dxa"/>
            <w:vAlign w:val="bottom"/>
          </w:tcPr>
          <w:p>
            <w:pPr>
              <w:jc w:val="right"/>
              <w:ind w:right="28"/>
              <w:spacing w:after="0"/>
              <w:rPr>
                <w:sz w:val="20"/>
                <w:szCs w:val="20"/>
                <w:color w:val="auto"/>
              </w:rPr>
            </w:pPr>
            <w:r>
              <w:rPr>
                <w:rFonts w:ascii="Arial" w:cs="Arial" w:eastAsia="Arial" w:hAnsi="Arial"/>
                <w:sz w:val="14"/>
                <w:szCs w:val="14"/>
                <w:color w:val="auto"/>
              </w:rPr>
              <w:t>4,513</w:t>
            </w:r>
          </w:p>
        </w:tc>
        <w:tc>
          <w:tcPr>
            <w:tcW w:w="0" w:type="dxa"/>
            <w:vAlign w:val="bottom"/>
          </w:tcPr>
          <w:p>
            <w:pPr>
              <w:spacing w:after="0"/>
              <w:rPr>
                <w:sz w:val="1"/>
                <w:szCs w:val="1"/>
                <w:color w:val="auto"/>
              </w:rPr>
            </w:pPr>
          </w:p>
        </w:tc>
      </w:tr>
      <w:tr>
        <w:trPr>
          <w:trHeight w:val="271"/>
        </w:trPr>
        <w:tc>
          <w:tcPr>
            <w:tcW w:w="5160" w:type="dxa"/>
            <w:vAlign w:val="bottom"/>
            <w:shd w:val="clear" w:color="auto" w:fill="CCEEFF"/>
          </w:tcPr>
          <w:p>
            <w:pPr>
              <w:ind w:left="40"/>
              <w:spacing w:after="0"/>
              <w:rPr>
                <w:sz w:val="20"/>
                <w:szCs w:val="20"/>
                <w:color w:val="auto"/>
              </w:rPr>
            </w:pPr>
            <w:r>
              <w:rPr>
                <w:rFonts w:ascii="Arial" w:cs="Arial" w:eastAsia="Arial" w:hAnsi="Arial"/>
                <w:sz w:val="14"/>
                <w:szCs w:val="14"/>
                <w:color w:val="auto"/>
              </w:rPr>
              <w:t>Add: Acquisition and transaction expenses</w:t>
            </w:r>
          </w:p>
        </w:tc>
        <w:tc>
          <w:tcPr>
            <w:tcW w:w="240" w:type="dxa"/>
            <w:vAlign w:val="bottom"/>
            <w:shd w:val="clear" w:color="auto" w:fill="CCEEFF"/>
          </w:tcPr>
          <w:p>
            <w:pPr>
              <w:spacing w:after="0"/>
              <w:rPr>
                <w:sz w:val="23"/>
                <w:szCs w:val="23"/>
                <w:color w:val="auto"/>
              </w:rPr>
            </w:pPr>
          </w:p>
        </w:tc>
        <w:tc>
          <w:tcPr>
            <w:tcW w:w="80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1,732</w:t>
            </w:r>
          </w:p>
        </w:tc>
        <w:tc>
          <w:tcPr>
            <w:tcW w:w="12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8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1,688</w:t>
            </w: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7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44</w:t>
            </w: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70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5,064</w:t>
            </w: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7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4,622</w:t>
            </w: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7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442</w:t>
            </w:r>
          </w:p>
        </w:tc>
        <w:tc>
          <w:tcPr>
            <w:tcW w:w="0" w:type="dxa"/>
            <w:vAlign w:val="bottom"/>
          </w:tcPr>
          <w:p>
            <w:pPr>
              <w:spacing w:after="0"/>
              <w:rPr>
                <w:sz w:val="1"/>
                <w:szCs w:val="1"/>
                <w:color w:val="auto"/>
              </w:rPr>
            </w:pPr>
          </w:p>
        </w:tc>
      </w:tr>
      <w:tr>
        <w:trPr>
          <w:trHeight w:val="176"/>
        </w:trPr>
        <w:tc>
          <w:tcPr>
            <w:tcW w:w="5160" w:type="dxa"/>
            <w:vAlign w:val="bottom"/>
          </w:tcPr>
          <w:p>
            <w:pPr>
              <w:ind w:left="40"/>
              <w:spacing w:after="0"/>
              <w:rPr>
                <w:sz w:val="20"/>
                <w:szCs w:val="20"/>
                <w:color w:val="auto"/>
              </w:rPr>
            </w:pPr>
            <w:r>
              <w:rPr>
                <w:rFonts w:ascii="Arial" w:cs="Arial" w:eastAsia="Arial" w:hAnsi="Arial"/>
                <w:sz w:val="14"/>
                <w:szCs w:val="14"/>
                <w:color w:val="auto"/>
              </w:rPr>
              <w:t>Add: Losses on the modification or extinguishment of debt and capital lease</w:t>
            </w:r>
          </w:p>
        </w:tc>
        <w:tc>
          <w:tcPr>
            <w:tcW w:w="240" w:type="dxa"/>
            <w:vAlign w:val="bottom"/>
          </w:tcPr>
          <w:p>
            <w:pPr>
              <w:spacing w:after="0"/>
              <w:rPr>
                <w:sz w:val="15"/>
                <w:szCs w:val="15"/>
                <w:color w:val="auto"/>
              </w:rPr>
            </w:pPr>
          </w:p>
        </w:tc>
        <w:tc>
          <w:tcPr>
            <w:tcW w:w="920" w:type="dxa"/>
            <w:vAlign w:val="bottom"/>
            <w:gridSpan w:val="2"/>
            <w:vMerge w:val="restart"/>
          </w:tcPr>
          <w:p>
            <w:pPr>
              <w:jc w:val="right"/>
              <w:ind w:right="240"/>
              <w:spacing w:after="0"/>
              <w:rPr>
                <w:sz w:val="20"/>
                <w:szCs w:val="20"/>
                <w:color w:val="auto"/>
              </w:rPr>
            </w:pPr>
            <w:r>
              <w:rPr>
                <w:rFonts w:ascii="Arial" w:cs="Arial" w:eastAsia="Arial" w:hAnsi="Arial"/>
                <w:sz w:val="14"/>
                <w:szCs w:val="14"/>
                <w:b w:val="1"/>
                <w:bCs w:val="1"/>
                <w:color w:val="auto"/>
              </w:rPr>
              <w:t>—</w:t>
            </w:r>
          </w:p>
        </w:tc>
        <w:tc>
          <w:tcPr>
            <w:tcW w:w="2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vMerge w:val="restart"/>
          </w:tcPr>
          <w:p>
            <w:pPr>
              <w:jc w:val="right"/>
              <w:ind w:right="28"/>
              <w:spacing w:after="0"/>
              <w:rPr>
                <w:sz w:val="20"/>
                <w:szCs w:val="20"/>
                <w:color w:val="auto"/>
              </w:rPr>
            </w:pPr>
            <w:r>
              <w:rPr>
                <w:rFonts w:ascii="Arial" w:cs="Arial" w:eastAsia="Arial" w:hAnsi="Arial"/>
                <w:sz w:val="14"/>
                <w:szCs w:val="14"/>
                <w:b w:val="1"/>
                <w:bCs w:val="1"/>
                <w:color w:val="auto"/>
              </w:rPr>
              <w:t>2,456</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0"/>
        </w:trPr>
        <w:tc>
          <w:tcPr>
            <w:tcW w:w="5160" w:type="dxa"/>
            <w:vAlign w:val="bottom"/>
          </w:tcPr>
          <w:p>
            <w:pPr>
              <w:ind w:left="40"/>
              <w:spacing w:after="0"/>
              <w:rPr>
                <w:sz w:val="20"/>
                <w:szCs w:val="20"/>
                <w:color w:val="auto"/>
              </w:rPr>
            </w:pPr>
            <w:r>
              <w:rPr>
                <w:rFonts w:ascii="Arial" w:cs="Arial" w:eastAsia="Arial" w:hAnsi="Arial"/>
                <w:sz w:val="14"/>
                <w:szCs w:val="14"/>
                <w:color w:val="auto"/>
              </w:rPr>
              <w:t>obligations</w:t>
            </w:r>
          </w:p>
        </w:tc>
        <w:tc>
          <w:tcPr>
            <w:tcW w:w="240" w:type="dxa"/>
            <w:vAlign w:val="bottom"/>
          </w:tcPr>
          <w:p>
            <w:pPr>
              <w:spacing w:after="0"/>
              <w:rPr>
                <w:sz w:val="17"/>
                <w:szCs w:val="17"/>
                <w:color w:val="auto"/>
              </w:rPr>
            </w:pPr>
          </w:p>
        </w:tc>
        <w:tc>
          <w:tcPr>
            <w:tcW w:w="920" w:type="dxa"/>
            <w:vAlign w:val="bottom"/>
            <w:gridSpan w:val="2"/>
            <w:vMerge w:val="continue"/>
          </w:tcPr>
          <w:p>
            <w:pPr>
              <w:spacing w:after="0"/>
              <w:rPr>
                <w:sz w:val="17"/>
                <w:szCs w:val="17"/>
                <w:color w:val="auto"/>
              </w:rPr>
            </w:pPr>
          </w:p>
        </w:tc>
        <w:tc>
          <w:tcPr>
            <w:tcW w:w="240" w:type="dxa"/>
            <w:vAlign w:val="bottom"/>
          </w:tcPr>
          <w:p>
            <w:pPr>
              <w:spacing w:after="0"/>
              <w:rPr>
                <w:sz w:val="17"/>
                <w:szCs w:val="17"/>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7"/>
                <w:szCs w:val="17"/>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7"/>
                <w:szCs w:val="17"/>
                <w:color w:val="auto"/>
              </w:rPr>
            </w:pPr>
          </w:p>
        </w:tc>
        <w:tc>
          <w:tcPr>
            <w:tcW w:w="70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Pr>
          <w:p>
            <w:pPr>
              <w:jc w:val="right"/>
              <w:ind w:right="28"/>
              <w:spacing w:after="0"/>
              <w:rPr>
                <w:sz w:val="20"/>
                <w:szCs w:val="20"/>
                <w:color w:val="auto"/>
              </w:rPr>
            </w:pPr>
            <w:r>
              <w:rPr>
                <w:rFonts w:ascii="Arial" w:cs="Arial" w:eastAsia="Arial" w:hAnsi="Arial"/>
                <w:sz w:val="14"/>
                <w:szCs w:val="14"/>
                <w:color w:val="auto"/>
              </w:rPr>
              <w:t>1,579</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jc w:val="right"/>
              <w:ind w:right="28"/>
              <w:spacing w:after="0"/>
              <w:rPr>
                <w:sz w:val="20"/>
                <w:szCs w:val="20"/>
                <w:color w:val="auto"/>
              </w:rPr>
            </w:pPr>
            <w:r>
              <w:rPr>
                <w:rFonts w:ascii="Arial" w:cs="Arial" w:eastAsia="Arial" w:hAnsi="Arial"/>
                <w:sz w:val="14"/>
                <w:szCs w:val="14"/>
                <w:color w:val="auto"/>
              </w:rPr>
              <w:t>877</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525" w:right="239" w:bottom="1440" w:gutter="0" w:footer="0" w:header="0"/>
        </w:sectPr>
      </w:pPr>
    </w:p>
    <w:p>
      <w:pPr>
        <w:spacing w:after="0" w:line="2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45</w:t>
      </w:r>
    </w:p>
    <w:p>
      <w:pPr>
        <w:sectPr>
          <w:pgSz w:w="11900" w:h="16838" w:orient="portrait"/>
          <w:cols w:equalWidth="0" w:num="1">
            <w:col w:w="11420"/>
          </w:cols>
          <w:pgMar w:left="240" w:top="525" w:right="239" w:bottom="1440" w:gutter="0" w:footer="0" w:header="0"/>
          <w:type w:val="continuous"/>
        </w:sectPr>
      </w:pPr>
    </w:p>
    <w:bookmarkStart w:id="45" w:name="page46"/>
    <w:bookmarkEnd w:id="45"/>
    <w:tbl>
      <w:tblPr>
        <w:tblLayout w:type="fixed"/>
        <w:tblInd w:w="0" w:type="dxa"/>
        <w:tblCellMar>
          <w:top w:w="0" w:type="dxa"/>
          <w:left w:w="0" w:type="dxa"/>
          <w:bottom w:w="0" w:type="dxa"/>
          <w:right w:w="0" w:type="dxa"/>
        </w:tblCellMar>
      </w:tblPr>
      <w:tr>
        <w:trPr>
          <w:trHeight w:val="162"/>
        </w:trPr>
        <w:tc>
          <w:tcPr>
            <w:tcW w:w="51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100" w:type="dxa"/>
            <w:vAlign w:val="bottom"/>
            <w:gridSpan w:val="5"/>
          </w:tcPr>
          <w:p>
            <w:pPr>
              <w:jc w:val="center"/>
              <w:ind w:right="340"/>
              <w:spacing w:after="0"/>
              <w:rPr>
                <w:sz w:val="20"/>
                <w:szCs w:val="20"/>
                <w:color w:val="auto"/>
              </w:rPr>
            </w:pPr>
            <w:r>
              <w:rPr>
                <w:rFonts w:ascii="Arial" w:cs="Arial" w:eastAsia="Arial" w:hAnsi="Arial"/>
                <w:sz w:val="14"/>
                <w:szCs w:val="14"/>
                <w:b w:val="1"/>
                <w:bCs w:val="1"/>
                <w:color w:val="auto"/>
              </w:rPr>
              <w:t>Three Months Ended</w:t>
            </w:r>
          </w:p>
        </w:tc>
        <w:tc>
          <w:tcPr>
            <w:tcW w:w="1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00" w:type="dxa"/>
            <w:vAlign w:val="bottom"/>
            <w:gridSpan w:val="4"/>
          </w:tcPr>
          <w:p>
            <w:pPr>
              <w:ind w:left="100"/>
              <w:spacing w:after="0"/>
              <w:rPr>
                <w:sz w:val="20"/>
                <w:szCs w:val="20"/>
                <w:color w:val="auto"/>
              </w:rPr>
            </w:pPr>
            <w:r>
              <w:rPr>
                <w:rFonts w:ascii="Arial" w:cs="Arial" w:eastAsia="Arial" w:hAnsi="Arial"/>
                <w:sz w:val="14"/>
                <w:szCs w:val="14"/>
                <w:b w:val="1"/>
                <w:bCs w:val="1"/>
                <w:color w:val="auto"/>
              </w:rPr>
              <w:t>Nine Months Ended</w:t>
            </w:r>
          </w:p>
        </w:tc>
        <w:tc>
          <w:tcPr>
            <w:tcW w:w="900" w:type="dxa"/>
            <w:vAlign w:val="bottom"/>
          </w:tcPr>
          <w:p>
            <w:pPr>
              <w:spacing w:after="0"/>
              <w:rPr>
                <w:sz w:val="14"/>
                <w:szCs w:val="14"/>
                <w:color w:val="auto"/>
              </w:rPr>
            </w:pPr>
          </w:p>
        </w:tc>
      </w:tr>
      <w:tr>
        <w:trPr>
          <w:trHeight w:val="202"/>
        </w:trPr>
        <w:tc>
          <w:tcPr>
            <w:tcW w:w="5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100" w:type="dxa"/>
            <w:vAlign w:val="bottom"/>
            <w:gridSpan w:val="5"/>
          </w:tcPr>
          <w:p>
            <w:pPr>
              <w:jc w:val="center"/>
              <w:ind w:right="340"/>
              <w:spacing w:after="0"/>
              <w:rPr>
                <w:sz w:val="20"/>
                <w:szCs w:val="20"/>
                <w:color w:val="auto"/>
              </w:rPr>
            </w:pPr>
            <w:r>
              <w:rPr>
                <w:rFonts w:ascii="Arial" w:cs="Arial" w:eastAsia="Arial" w:hAnsi="Arial"/>
                <w:sz w:val="14"/>
                <w:szCs w:val="14"/>
                <w:b w:val="1"/>
                <w:bCs w:val="1"/>
                <w:color w:val="auto"/>
              </w:rPr>
              <w:t>September 30,</w:t>
            </w:r>
          </w:p>
        </w:tc>
        <w:tc>
          <w:tcPr>
            <w:tcW w:w="1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0" w:type="dxa"/>
            <w:vAlign w:val="bottom"/>
            <w:gridSpan w:val="4"/>
          </w:tcPr>
          <w:p>
            <w:pPr>
              <w:ind w:left="280"/>
              <w:spacing w:after="0"/>
              <w:rPr>
                <w:sz w:val="20"/>
                <w:szCs w:val="20"/>
                <w:color w:val="auto"/>
              </w:rPr>
            </w:pPr>
            <w:r>
              <w:rPr>
                <w:rFonts w:ascii="Arial" w:cs="Arial" w:eastAsia="Arial" w:hAnsi="Arial"/>
                <w:sz w:val="14"/>
                <w:szCs w:val="14"/>
                <w:b w:val="1"/>
                <w:bCs w:val="1"/>
                <w:color w:val="auto"/>
              </w:rPr>
              <w:t>September 30,</w:t>
            </w:r>
          </w:p>
        </w:tc>
        <w:tc>
          <w:tcPr>
            <w:tcW w:w="900" w:type="dxa"/>
            <w:vAlign w:val="bottom"/>
          </w:tcPr>
          <w:p>
            <w:pPr>
              <w:spacing w:after="0"/>
              <w:rPr>
                <w:sz w:val="17"/>
                <w:szCs w:val="17"/>
                <w:color w:val="auto"/>
              </w:rPr>
            </w:pPr>
          </w:p>
        </w:tc>
      </w:tr>
      <w:tr>
        <w:trPr>
          <w:trHeight w:val="265"/>
        </w:trPr>
        <w:tc>
          <w:tcPr>
            <w:tcW w:w="5160" w:type="dxa"/>
            <w:vAlign w:val="bottom"/>
            <w:tcBorders>
              <w:bottom w:val="single" w:sz="8" w:color="CCEEFF"/>
            </w:tcBorders>
          </w:tcPr>
          <w:p>
            <w:pPr>
              <w:ind w:left="40"/>
              <w:spacing w:after="0"/>
              <w:rPr>
                <w:sz w:val="20"/>
                <w:szCs w:val="20"/>
                <w:color w:val="auto"/>
              </w:rPr>
            </w:pPr>
            <w:r>
              <w:rPr>
                <w:rFonts w:ascii="Arial" w:cs="Arial" w:eastAsia="Arial" w:hAnsi="Arial"/>
                <w:sz w:val="14"/>
                <w:szCs w:val="14"/>
                <w:i w:val="1"/>
                <w:iCs w:val="1"/>
                <w:color w:val="auto"/>
              </w:rPr>
              <w:t>(Dollar amounts in thousands)</w:t>
            </w:r>
          </w:p>
        </w:tc>
        <w:tc>
          <w:tcPr>
            <w:tcW w:w="240" w:type="dxa"/>
            <w:vAlign w:val="bottom"/>
            <w:tcBorders>
              <w:top w:val="single" w:sz="8" w:color="auto"/>
              <w:bottom w:val="single" w:sz="8" w:color="auto"/>
            </w:tcBorders>
          </w:tcPr>
          <w:p>
            <w:pPr>
              <w:spacing w:after="0"/>
              <w:rPr>
                <w:sz w:val="23"/>
                <w:szCs w:val="23"/>
                <w:color w:val="auto"/>
              </w:rPr>
            </w:pPr>
          </w:p>
        </w:tc>
        <w:tc>
          <w:tcPr>
            <w:tcW w:w="800" w:type="dxa"/>
            <w:vAlign w:val="bottom"/>
            <w:tcBorders>
              <w:top w:val="single" w:sz="8" w:color="auto"/>
              <w:bottom w:val="single" w:sz="8" w:color="auto"/>
            </w:tcBorders>
          </w:tcPr>
          <w:p>
            <w:pPr>
              <w:jc w:val="right"/>
              <w:ind w:right="288"/>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top w:val="single" w:sz="8" w:color="auto"/>
              <w:bottom w:val="single" w:sz="8" w:color="CCEEFF"/>
            </w:tcBorders>
          </w:tcPr>
          <w:p>
            <w:pPr>
              <w:spacing w:after="0"/>
              <w:rPr>
                <w:sz w:val="23"/>
                <w:szCs w:val="23"/>
                <w:color w:val="auto"/>
              </w:rPr>
            </w:pPr>
          </w:p>
        </w:tc>
        <w:tc>
          <w:tcPr>
            <w:tcW w:w="240" w:type="dxa"/>
            <w:vAlign w:val="bottom"/>
            <w:tcBorders>
              <w:top w:val="single" w:sz="8" w:color="auto"/>
              <w:bottom w:val="single" w:sz="8" w:color="auto"/>
            </w:tcBorders>
          </w:tcPr>
          <w:p>
            <w:pPr>
              <w:spacing w:after="0"/>
              <w:rPr>
                <w:sz w:val="23"/>
                <w:szCs w:val="23"/>
                <w:color w:val="auto"/>
              </w:rPr>
            </w:pPr>
          </w:p>
        </w:tc>
        <w:tc>
          <w:tcPr>
            <w:tcW w:w="820" w:type="dxa"/>
            <w:vAlign w:val="bottom"/>
            <w:tcBorders>
              <w:top w:val="single" w:sz="8" w:color="auto"/>
              <w:bottom w:val="single" w:sz="8" w:color="auto"/>
            </w:tcBorders>
          </w:tcPr>
          <w:p>
            <w:pPr>
              <w:jc w:val="right"/>
              <w:ind w:right="288"/>
              <w:spacing w:after="0"/>
              <w:rPr>
                <w:sz w:val="20"/>
                <w:szCs w:val="20"/>
                <w:color w:val="auto"/>
              </w:rPr>
            </w:pPr>
            <w:r>
              <w:rPr>
                <w:rFonts w:ascii="Arial" w:cs="Arial" w:eastAsia="Arial" w:hAnsi="Arial"/>
                <w:sz w:val="14"/>
                <w:szCs w:val="14"/>
                <w:b w:val="1"/>
                <w:bCs w:val="1"/>
                <w:color w:val="auto"/>
              </w:rPr>
              <w:t>2016</w:t>
            </w:r>
          </w:p>
        </w:tc>
        <w:tc>
          <w:tcPr>
            <w:tcW w:w="120" w:type="dxa"/>
            <w:vAlign w:val="bottom"/>
            <w:tcBorders>
              <w:bottom w:val="single" w:sz="8" w:color="CCEEFF"/>
            </w:tcBorders>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76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b w:val="1"/>
                <w:bCs w:val="1"/>
                <w:color w:val="auto"/>
              </w:rPr>
              <w:t>Change</w:t>
            </w:r>
          </w:p>
        </w:tc>
        <w:tc>
          <w:tcPr>
            <w:tcW w:w="100" w:type="dxa"/>
            <w:vAlign w:val="bottom"/>
            <w:tcBorders>
              <w:bottom w:val="single" w:sz="8" w:color="CCEEFF"/>
            </w:tcBorders>
          </w:tcPr>
          <w:p>
            <w:pPr>
              <w:spacing w:after="0"/>
              <w:rPr>
                <w:sz w:val="23"/>
                <w:szCs w:val="23"/>
                <w:color w:val="auto"/>
              </w:rPr>
            </w:pPr>
          </w:p>
        </w:tc>
        <w:tc>
          <w:tcPr>
            <w:tcW w:w="200" w:type="dxa"/>
            <w:vAlign w:val="bottom"/>
            <w:tcBorders>
              <w:top w:val="single" w:sz="8" w:color="auto"/>
              <w:bottom w:val="single" w:sz="8" w:color="auto"/>
            </w:tcBorders>
          </w:tcPr>
          <w:p>
            <w:pPr>
              <w:spacing w:after="0"/>
              <w:rPr>
                <w:sz w:val="23"/>
                <w:szCs w:val="23"/>
                <w:color w:val="auto"/>
              </w:rPr>
            </w:pPr>
          </w:p>
        </w:tc>
        <w:tc>
          <w:tcPr>
            <w:tcW w:w="700" w:type="dxa"/>
            <w:vAlign w:val="bottom"/>
            <w:tcBorders>
              <w:top w:val="single" w:sz="8" w:color="auto"/>
              <w:bottom w:val="single" w:sz="8" w:color="auto"/>
            </w:tcBorders>
          </w:tcPr>
          <w:p>
            <w:pPr>
              <w:ind w:left="100"/>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top w:val="single" w:sz="8" w:color="auto"/>
              <w:bottom w:val="single" w:sz="8" w:color="CCEEFF"/>
            </w:tcBorders>
          </w:tcPr>
          <w:p>
            <w:pPr>
              <w:spacing w:after="0"/>
              <w:rPr>
                <w:sz w:val="23"/>
                <w:szCs w:val="23"/>
                <w:color w:val="auto"/>
              </w:rPr>
            </w:pPr>
          </w:p>
        </w:tc>
        <w:tc>
          <w:tcPr>
            <w:tcW w:w="900" w:type="dxa"/>
            <w:vAlign w:val="bottom"/>
            <w:tcBorders>
              <w:top w:val="single" w:sz="8" w:color="auto"/>
              <w:bottom w:val="single" w:sz="8" w:color="auto"/>
            </w:tcBorders>
          </w:tcPr>
          <w:p>
            <w:pPr>
              <w:jc w:val="right"/>
              <w:ind w:right="208"/>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CCEEFF"/>
            </w:tcBorders>
          </w:tcPr>
          <w:p>
            <w:pPr>
              <w:spacing w:after="0"/>
              <w:rPr>
                <w:sz w:val="23"/>
                <w:szCs w:val="23"/>
                <w:color w:val="auto"/>
              </w:rPr>
            </w:pPr>
          </w:p>
        </w:tc>
        <w:tc>
          <w:tcPr>
            <w:tcW w:w="90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b w:val="1"/>
                <w:bCs w:val="1"/>
                <w:color w:val="auto"/>
              </w:rPr>
              <w:t>Change</w:t>
            </w:r>
          </w:p>
        </w:tc>
      </w:tr>
      <w:tr>
        <w:trPr>
          <w:trHeight w:val="251"/>
        </w:trPr>
        <w:tc>
          <w:tcPr>
            <w:tcW w:w="5160" w:type="dxa"/>
            <w:vAlign w:val="bottom"/>
            <w:shd w:val="clear" w:color="auto" w:fill="CCEEFF"/>
          </w:tcPr>
          <w:p>
            <w:pPr>
              <w:ind w:left="40"/>
              <w:spacing w:after="0"/>
              <w:rPr>
                <w:sz w:val="20"/>
                <w:szCs w:val="20"/>
                <w:color w:val="auto"/>
              </w:rPr>
            </w:pPr>
            <w:r>
              <w:rPr>
                <w:rFonts w:ascii="Arial" w:cs="Arial" w:eastAsia="Arial" w:hAnsi="Arial"/>
                <w:sz w:val="14"/>
                <w:szCs w:val="14"/>
                <w:color w:val="auto"/>
              </w:rPr>
              <w:t>Add: Changes in fair value of non-hedge derivative instruments</w:t>
            </w:r>
          </w:p>
        </w:tc>
        <w:tc>
          <w:tcPr>
            <w:tcW w:w="240" w:type="dxa"/>
            <w:vAlign w:val="bottom"/>
            <w:shd w:val="clear" w:color="auto" w:fill="CCEEFF"/>
          </w:tcPr>
          <w:p>
            <w:pPr>
              <w:spacing w:after="0"/>
              <w:rPr>
                <w:sz w:val="21"/>
                <w:szCs w:val="21"/>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(1,036)</w:t>
            </w:r>
          </w:p>
        </w:tc>
        <w:tc>
          <w:tcPr>
            <w:tcW w:w="12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1"/>
                <w:szCs w:val="21"/>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(1,036)</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(1,036)</w:t>
            </w:r>
          </w:p>
        </w:tc>
        <w:tc>
          <w:tcPr>
            <w:tcW w:w="100" w:type="dxa"/>
            <w:vAlign w:val="bottom"/>
            <w:shd w:val="clear" w:color="auto" w:fill="CCEEFF"/>
          </w:tcPr>
          <w:p>
            <w:pPr>
              <w:spacing w:after="0"/>
              <w:rPr>
                <w:sz w:val="21"/>
                <w:szCs w:val="21"/>
                <w:color w:val="auto"/>
              </w:rPr>
            </w:pPr>
          </w:p>
        </w:tc>
        <w:tc>
          <w:tcPr>
            <w:tcW w:w="9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w:t>
            </w:r>
          </w:p>
        </w:tc>
        <w:tc>
          <w:tcPr>
            <w:tcW w:w="100" w:type="dxa"/>
            <w:vAlign w:val="bottom"/>
            <w:shd w:val="clear" w:color="auto" w:fill="CCEEFF"/>
          </w:tcPr>
          <w:p>
            <w:pPr>
              <w:spacing w:after="0"/>
              <w:rPr>
                <w:sz w:val="21"/>
                <w:szCs w:val="21"/>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(1,039)</w:t>
            </w:r>
          </w:p>
        </w:tc>
      </w:tr>
      <w:tr>
        <w:trPr>
          <w:trHeight w:val="269"/>
        </w:trPr>
        <w:tc>
          <w:tcPr>
            <w:tcW w:w="5160" w:type="dxa"/>
            <w:vAlign w:val="bottom"/>
          </w:tcPr>
          <w:p>
            <w:pPr>
              <w:ind w:left="40"/>
              <w:spacing w:after="0"/>
              <w:rPr>
                <w:sz w:val="20"/>
                <w:szCs w:val="20"/>
                <w:color w:val="auto"/>
              </w:rPr>
            </w:pPr>
            <w:r>
              <w:rPr>
                <w:rFonts w:ascii="Arial" w:cs="Arial" w:eastAsia="Arial" w:hAnsi="Arial"/>
                <w:sz w:val="14"/>
                <w:szCs w:val="14"/>
                <w:color w:val="auto"/>
              </w:rPr>
              <w:t>Add: Asset impairment charges</w:t>
            </w:r>
          </w:p>
        </w:tc>
        <w:tc>
          <w:tcPr>
            <w:tcW w:w="240" w:type="dxa"/>
            <w:vAlign w:val="bottom"/>
          </w:tcPr>
          <w:p>
            <w:pPr>
              <w:spacing w:after="0"/>
              <w:rPr>
                <w:sz w:val="23"/>
                <w:szCs w:val="23"/>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rPr>
              <w:t>—</w:t>
            </w:r>
          </w:p>
        </w:tc>
        <w:tc>
          <w:tcPr>
            <w:tcW w:w="240" w:type="dxa"/>
            <w:vAlign w:val="bottom"/>
          </w:tcPr>
          <w:p>
            <w:pPr>
              <w:spacing w:after="0"/>
              <w:rPr>
                <w:sz w:val="23"/>
                <w:szCs w:val="23"/>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3"/>
                <w:szCs w:val="23"/>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3"/>
                <w:szCs w:val="23"/>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rPr>
              <w:t>—</w:t>
            </w:r>
          </w:p>
        </w:tc>
        <w:tc>
          <w:tcPr>
            <w:tcW w:w="900" w:type="dxa"/>
            <w:vAlign w:val="bottom"/>
          </w:tcPr>
          <w:p>
            <w:pPr>
              <w:jc w:val="right"/>
              <w:ind w:right="28"/>
              <w:spacing w:after="0"/>
              <w:rPr>
                <w:sz w:val="20"/>
                <w:szCs w:val="20"/>
                <w:color w:val="auto"/>
              </w:rPr>
            </w:pPr>
            <w:r>
              <w:rPr>
                <w:rFonts w:ascii="Arial" w:cs="Arial" w:eastAsia="Arial" w:hAnsi="Arial"/>
                <w:sz w:val="14"/>
                <w:szCs w:val="14"/>
                <w:color w:val="auto"/>
              </w:rPr>
              <w:t>7,450</w:t>
            </w:r>
          </w:p>
        </w:tc>
        <w:tc>
          <w:tcPr>
            <w:tcW w:w="10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(7,450)</w:t>
            </w:r>
          </w:p>
        </w:tc>
      </w:tr>
      <w:tr>
        <w:trPr>
          <w:trHeight w:val="231"/>
        </w:trPr>
        <w:tc>
          <w:tcPr>
            <w:tcW w:w="5160" w:type="dxa"/>
            <w:vAlign w:val="bottom"/>
            <w:shd w:val="clear" w:color="auto" w:fill="CCEEFF"/>
          </w:tcPr>
          <w:p>
            <w:pPr>
              <w:ind w:left="40"/>
              <w:spacing w:after="0"/>
              <w:rPr>
                <w:sz w:val="20"/>
                <w:szCs w:val="20"/>
                <w:color w:val="auto"/>
              </w:rPr>
            </w:pPr>
            <w:r>
              <w:rPr>
                <w:rFonts w:ascii="Arial" w:cs="Arial" w:eastAsia="Arial" w:hAnsi="Arial"/>
                <w:sz w:val="14"/>
                <w:szCs w:val="14"/>
                <w:color w:val="auto"/>
              </w:rPr>
              <w:t>Add: Pro-rata share of Adjusted Net (Loss) Income from unconsolidated</w:t>
            </w:r>
          </w:p>
        </w:tc>
        <w:tc>
          <w:tcPr>
            <w:tcW w:w="24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r>
      <w:tr>
        <w:trPr>
          <w:trHeight w:val="236"/>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entities</w:t>
            </w:r>
            <w:r>
              <w:rPr>
                <w:rFonts w:ascii="Arial" w:cs="Arial" w:eastAsia="Arial" w:hAnsi="Arial"/>
                <w:sz w:val="17"/>
                <w:szCs w:val="17"/>
                <w:color w:val="auto"/>
                <w:vertAlign w:val="superscript"/>
              </w:rPr>
              <w:t>(1)</w:t>
            </w:r>
          </w:p>
        </w:tc>
        <w:tc>
          <w:tcPr>
            <w:tcW w:w="24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86</w:t>
            </w: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(1,207)</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CCEEFF"/>
            </w:tcBorders>
            <w:shd w:val="clear" w:color="auto" w:fill="CCEEFF"/>
          </w:tcPr>
          <w:p>
            <w:pPr>
              <w:jc w:val="right"/>
              <w:ind w:right="28"/>
              <w:spacing w:after="0"/>
              <w:rPr>
                <w:sz w:val="20"/>
                <w:szCs w:val="20"/>
                <w:color w:val="auto"/>
              </w:rPr>
            </w:pPr>
            <w:r>
              <w:rPr>
                <w:rFonts w:ascii="Arial" w:cs="Arial" w:eastAsia="Arial" w:hAnsi="Arial"/>
                <w:sz w:val="14"/>
                <w:szCs w:val="14"/>
                <w:color w:val="auto"/>
              </w:rPr>
              <w:t>1,293</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(1,599)</w:t>
            </w:r>
          </w:p>
        </w:tc>
        <w:tc>
          <w:tcPr>
            <w:tcW w:w="10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(1,444)</w:t>
            </w:r>
          </w:p>
        </w:tc>
        <w:tc>
          <w:tcPr>
            <w:tcW w:w="10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(155)</w:t>
            </w:r>
          </w:p>
        </w:tc>
      </w:tr>
      <w:tr>
        <w:trPr>
          <w:trHeight w:val="269"/>
        </w:trPr>
        <w:tc>
          <w:tcPr>
            <w:tcW w:w="5160" w:type="dxa"/>
            <w:vAlign w:val="bottom"/>
          </w:tcPr>
          <w:p>
            <w:pPr>
              <w:ind w:left="40"/>
              <w:spacing w:after="0"/>
              <w:rPr>
                <w:sz w:val="20"/>
                <w:szCs w:val="20"/>
                <w:color w:val="auto"/>
              </w:rPr>
            </w:pPr>
            <w:r>
              <w:rPr>
                <w:rFonts w:ascii="Arial" w:cs="Arial" w:eastAsia="Arial" w:hAnsi="Arial"/>
                <w:sz w:val="14"/>
                <w:szCs w:val="14"/>
                <w:color w:val="auto"/>
              </w:rPr>
              <w:t>Add: Incentive allocations</w:t>
            </w:r>
          </w:p>
        </w:tc>
        <w:tc>
          <w:tcPr>
            <w:tcW w:w="240" w:type="dxa"/>
            <w:vAlign w:val="bottom"/>
          </w:tcPr>
          <w:p>
            <w:pPr>
              <w:spacing w:after="0"/>
              <w:rPr>
                <w:sz w:val="23"/>
                <w:szCs w:val="23"/>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rPr>
              <w:t>—</w:t>
            </w:r>
          </w:p>
        </w:tc>
        <w:tc>
          <w:tcPr>
            <w:tcW w:w="240" w:type="dxa"/>
            <w:vAlign w:val="bottom"/>
          </w:tcPr>
          <w:p>
            <w:pPr>
              <w:spacing w:after="0"/>
              <w:rPr>
                <w:sz w:val="23"/>
                <w:szCs w:val="23"/>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3"/>
                <w:szCs w:val="23"/>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3"/>
                <w:szCs w:val="23"/>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rPr>
              <w:t>—</w:t>
            </w:r>
          </w:p>
        </w:tc>
        <w:tc>
          <w:tcPr>
            <w:tcW w:w="10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28"/>
              <w:spacing w:after="0"/>
              <w:rPr>
                <w:sz w:val="20"/>
                <w:szCs w:val="20"/>
                <w:color w:val="auto"/>
              </w:rPr>
            </w:pPr>
            <w:r>
              <w:rPr>
                <w:rFonts w:ascii="Arial" w:cs="Arial" w:eastAsia="Arial" w:hAnsi="Arial"/>
                <w:sz w:val="14"/>
                <w:szCs w:val="14"/>
                <w:color w:val="auto"/>
              </w:rPr>
              <w:t>—</w:t>
            </w:r>
          </w:p>
        </w:tc>
      </w:tr>
      <w:tr>
        <w:trPr>
          <w:trHeight w:val="271"/>
        </w:trPr>
        <w:tc>
          <w:tcPr>
            <w:tcW w:w="5160" w:type="dxa"/>
            <w:vAlign w:val="bottom"/>
            <w:shd w:val="clear" w:color="auto" w:fill="CCEEFF"/>
          </w:tcPr>
          <w:p>
            <w:pPr>
              <w:ind w:left="40"/>
              <w:spacing w:after="0"/>
              <w:rPr>
                <w:sz w:val="20"/>
                <w:szCs w:val="20"/>
                <w:color w:val="auto"/>
              </w:rPr>
            </w:pPr>
            <w:r>
              <w:rPr>
                <w:rFonts w:ascii="Arial" w:cs="Arial" w:eastAsia="Arial" w:hAnsi="Arial"/>
                <w:sz w:val="14"/>
                <w:szCs w:val="14"/>
                <w:color w:val="auto"/>
              </w:rPr>
              <w:t>Less: Cash payments for income taxes</w:t>
            </w:r>
          </w:p>
        </w:tc>
        <w:tc>
          <w:tcPr>
            <w:tcW w:w="240" w:type="dxa"/>
            <w:vAlign w:val="bottom"/>
            <w:shd w:val="clear" w:color="auto" w:fill="CCEEFF"/>
          </w:tcPr>
          <w:p>
            <w:pPr>
              <w:spacing w:after="0"/>
              <w:rPr>
                <w:sz w:val="23"/>
                <w:szCs w:val="23"/>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(438)</w:t>
            </w:r>
          </w:p>
        </w:tc>
        <w:tc>
          <w:tcPr>
            <w:tcW w:w="12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8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(174)</w:t>
            </w: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(264)</w:t>
            </w: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(1,033)</w:t>
            </w:r>
          </w:p>
        </w:tc>
        <w:tc>
          <w:tcPr>
            <w:tcW w:w="100" w:type="dxa"/>
            <w:vAlign w:val="bottom"/>
            <w:shd w:val="clear" w:color="auto" w:fill="CCEEFF"/>
          </w:tcPr>
          <w:p>
            <w:pPr>
              <w:spacing w:after="0"/>
              <w:rPr>
                <w:sz w:val="23"/>
                <w:szCs w:val="23"/>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(594)</w:t>
            </w:r>
          </w:p>
        </w:tc>
        <w:tc>
          <w:tcPr>
            <w:tcW w:w="100" w:type="dxa"/>
            <w:vAlign w:val="bottom"/>
            <w:shd w:val="clear" w:color="auto" w:fill="CCEEFF"/>
          </w:tcPr>
          <w:p>
            <w:pPr>
              <w:spacing w:after="0"/>
              <w:rPr>
                <w:sz w:val="23"/>
                <w:szCs w:val="23"/>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(439)</w:t>
            </w:r>
          </w:p>
        </w:tc>
      </w:tr>
      <w:tr>
        <w:trPr>
          <w:trHeight w:val="269"/>
        </w:trPr>
        <w:tc>
          <w:tcPr>
            <w:tcW w:w="5160" w:type="dxa"/>
            <w:vAlign w:val="bottom"/>
          </w:tcPr>
          <w:p>
            <w:pPr>
              <w:ind w:left="40"/>
              <w:spacing w:after="0"/>
              <w:rPr>
                <w:sz w:val="20"/>
                <w:szCs w:val="20"/>
                <w:color w:val="auto"/>
              </w:rPr>
            </w:pPr>
            <w:r>
              <w:rPr>
                <w:rFonts w:ascii="Arial" w:cs="Arial" w:eastAsia="Arial" w:hAnsi="Arial"/>
                <w:sz w:val="14"/>
                <w:szCs w:val="14"/>
                <w:color w:val="auto"/>
              </w:rPr>
              <w:t>Less: Equity in losses (earnings) of unconsolidated entities</w:t>
            </w:r>
          </w:p>
        </w:tc>
        <w:tc>
          <w:tcPr>
            <w:tcW w:w="24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Arial" w:cs="Arial" w:eastAsia="Arial" w:hAnsi="Arial"/>
                <w:sz w:val="14"/>
                <w:szCs w:val="14"/>
                <w:b w:val="1"/>
                <w:bCs w:val="1"/>
                <w:color w:val="auto"/>
              </w:rPr>
              <w:t>(132)</w:t>
            </w: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20" w:type="dxa"/>
            <w:vAlign w:val="bottom"/>
          </w:tcPr>
          <w:p>
            <w:pPr>
              <w:jc w:val="right"/>
              <w:ind w:right="48"/>
              <w:spacing w:after="0"/>
              <w:rPr>
                <w:sz w:val="20"/>
                <w:szCs w:val="20"/>
                <w:color w:val="auto"/>
              </w:rPr>
            </w:pPr>
            <w:r>
              <w:rPr>
                <w:rFonts w:ascii="Arial" w:cs="Arial" w:eastAsia="Arial" w:hAnsi="Arial"/>
                <w:sz w:val="14"/>
                <w:szCs w:val="14"/>
                <w:color w:val="auto"/>
              </w:rPr>
              <w:t>1,161</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(1,293)</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00" w:type="dxa"/>
            <w:vAlign w:val="bottom"/>
          </w:tcPr>
          <w:p>
            <w:pPr>
              <w:jc w:val="right"/>
              <w:ind w:right="28"/>
              <w:spacing w:after="0"/>
              <w:rPr>
                <w:sz w:val="20"/>
                <w:szCs w:val="20"/>
                <w:color w:val="auto"/>
              </w:rPr>
            </w:pPr>
            <w:r>
              <w:rPr>
                <w:rFonts w:ascii="Arial" w:cs="Arial" w:eastAsia="Arial" w:hAnsi="Arial"/>
                <w:sz w:val="14"/>
                <w:szCs w:val="14"/>
                <w:b w:val="1"/>
                <w:bCs w:val="1"/>
                <w:color w:val="auto"/>
              </w:rPr>
              <w:t>1,461</w:t>
            </w:r>
          </w:p>
        </w:tc>
        <w:tc>
          <w:tcPr>
            <w:tcW w:w="100" w:type="dxa"/>
            <w:vAlign w:val="bottom"/>
          </w:tcPr>
          <w:p>
            <w:pPr>
              <w:spacing w:after="0"/>
              <w:rPr>
                <w:sz w:val="23"/>
                <w:szCs w:val="23"/>
                <w:color w:val="auto"/>
              </w:rPr>
            </w:pPr>
          </w:p>
        </w:tc>
        <w:tc>
          <w:tcPr>
            <w:tcW w:w="900" w:type="dxa"/>
            <w:vAlign w:val="bottom"/>
          </w:tcPr>
          <w:p>
            <w:pPr>
              <w:jc w:val="right"/>
              <w:ind w:right="28"/>
              <w:spacing w:after="0"/>
              <w:rPr>
                <w:sz w:val="20"/>
                <w:szCs w:val="20"/>
                <w:color w:val="auto"/>
              </w:rPr>
            </w:pPr>
            <w:r>
              <w:rPr>
                <w:rFonts w:ascii="Arial" w:cs="Arial" w:eastAsia="Arial" w:hAnsi="Arial"/>
                <w:sz w:val="14"/>
                <w:szCs w:val="14"/>
                <w:color w:val="auto"/>
              </w:rPr>
              <w:t>1,335</w:t>
            </w:r>
          </w:p>
        </w:tc>
        <w:tc>
          <w:tcPr>
            <w:tcW w:w="100" w:type="dxa"/>
            <w:vAlign w:val="bottom"/>
          </w:tcPr>
          <w:p>
            <w:pPr>
              <w:spacing w:after="0"/>
              <w:rPr>
                <w:sz w:val="23"/>
                <w:szCs w:val="23"/>
                <w:color w:val="auto"/>
              </w:rPr>
            </w:pPr>
          </w:p>
        </w:tc>
        <w:tc>
          <w:tcPr>
            <w:tcW w:w="900" w:type="dxa"/>
            <w:vAlign w:val="bottom"/>
          </w:tcPr>
          <w:p>
            <w:pPr>
              <w:jc w:val="right"/>
              <w:ind w:right="28"/>
              <w:spacing w:after="0"/>
              <w:rPr>
                <w:sz w:val="20"/>
                <w:szCs w:val="20"/>
                <w:color w:val="auto"/>
              </w:rPr>
            </w:pPr>
            <w:r>
              <w:rPr>
                <w:rFonts w:ascii="Arial" w:cs="Arial" w:eastAsia="Arial" w:hAnsi="Arial"/>
                <w:sz w:val="14"/>
                <w:szCs w:val="14"/>
                <w:color w:val="auto"/>
              </w:rPr>
              <w:t>126</w:t>
            </w:r>
          </w:p>
        </w:tc>
      </w:tr>
      <w:tr>
        <w:trPr>
          <w:trHeight w:val="271"/>
        </w:trPr>
        <w:tc>
          <w:tcPr>
            <w:tcW w:w="5160" w:type="dxa"/>
            <w:vAlign w:val="bottom"/>
            <w:shd w:val="clear" w:color="auto" w:fill="CCEEFF"/>
          </w:tcPr>
          <w:p>
            <w:pPr>
              <w:ind w:left="40"/>
              <w:spacing w:after="0"/>
              <w:rPr>
                <w:sz w:val="20"/>
                <w:szCs w:val="20"/>
                <w:color w:val="auto"/>
              </w:rPr>
            </w:pPr>
            <w:r>
              <w:rPr>
                <w:rFonts w:ascii="Arial" w:cs="Arial" w:eastAsia="Arial" w:hAnsi="Arial"/>
                <w:sz w:val="14"/>
                <w:szCs w:val="14"/>
                <w:color w:val="auto"/>
              </w:rPr>
              <w:t xml:space="preserve">Less: Non-controlling share of Adjusted Net (Loss) Income </w:t>
            </w:r>
            <w:r>
              <w:rPr>
                <w:rFonts w:ascii="Arial" w:cs="Arial" w:eastAsia="Arial" w:hAnsi="Arial"/>
                <w:sz w:val="17"/>
                <w:szCs w:val="17"/>
                <w:color w:val="auto"/>
                <w:vertAlign w:val="superscript"/>
              </w:rPr>
              <w:t>(2)</w:t>
            </w:r>
          </w:p>
        </w:tc>
        <w:tc>
          <w:tcPr>
            <w:tcW w:w="240" w:type="dxa"/>
            <w:vAlign w:val="bottom"/>
            <w:tcBorders>
              <w:bottom w:val="single" w:sz="8" w:color="auto"/>
            </w:tcBorders>
            <w:shd w:val="clear" w:color="auto" w:fill="CCEEFF"/>
          </w:tcPr>
          <w:p>
            <w:pPr>
              <w:spacing w:after="0"/>
              <w:rPr>
                <w:sz w:val="23"/>
                <w:szCs w:val="23"/>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(447)</w:t>
            </w:r>
          </w:p>
        </w:tc>
        <w:tc>
          <w:tcPr>
            <w:tcW w:w="120" w:type="dxa"/>
            <w:vAlign w:val="bottom"/>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spacing w:after="0"/>
              <w:rPr>
                <w:sz w:val="23"/>
                <w:szCs w:val="23"/>
                <w:color w:val="auto"/>
              </w:rPr>
            </w:pPr>
          </w:p>
        </w:tc>
        <w:tc>
          <w:tcPr>
            <w:tcW w:w="82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(170)</w:t>
            </w:r>
          </w:p>
        </w:tc>
        <w:tc>
          <w:tcPr>
            <w:tcW w:w="12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(277)</w:t>
            </w:r>
          </w:p>
        </w:tc>
        <w:tc>
          <w:tcPr>
            <w:tcW w:w="10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(503)</w:t>
            </w:r>
          </w:p>
        </w:tc>
        <w:tc>
          <w:tcPr>
            <w:tcW w:w="100" w:type="dxa"/>
            <w:vAlign w:val="bottom"/>
            <w:shd w:val="clear" w:color="auto" w:fill="CCEEFF"/>
          </w:tcPr>
          <w:p>
            <w:pPr>
              <w:spacing w:after="0"/>
              <w:rPr>
                <w:sz w:val="23"/>
                <w:szCs w:val="23"/>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(2,891)</w:t>
            </w:r>
          </w:p>
        </w:tc>
        <w:tc>
          <w:tcPr>
            <w:tcW w:w="100" w:type="dxa"/>
            <w:vAlign w:val="bottom"/>
            <w:shd w:val="clear" w:color="auto" w:fill="CCEEFF"/>
          </w:tcPr>
          <w:p>
            <w:pPr>
              <w:spacing w:after="0"/>
              <w:rPr>
                <w:sz w:val="23"/>
                <w:szCs w:val="23"/>
                <w:color w:val="auto"/>
              </w:rPr>
            </w:pPr>
          </w:p>
        </w:tc>
        <w:tc>
          <w:tcPr>
            <w:tcW w:w="9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2,388</w:t>
            </w:r>
          </w:p>
        </w:tc>
      </w:tr>
      <w:tr>
        <w:trPr>
          <w:trHeight w:val="237"/>
        </w:trPr>
        <w:tc>
          <w:tcPr>
            <w:tcW w:w="5160" w:type="dxa"/>
            <w:vAlign w:val="bottom"/>
          </w:tcPr>
          <w:p>
            <w:pPr>
              <w:ind w:left="40"/>
              <w:spacing w:after="0"/>
              <w:rPr>
                <w:sz w:val="20"/>
                <w:szCs w:val="20"/>
                <w:color w:val="auto"/>
              </w:rPr>
            </w:pPr>
            <w:r>
              <w:rPr>
                <w:rFonts w:ascii="Arial" w:cs="Arial" w:eastAsia="Arial" w:hAnsi="Arial"/>
                <w:sz w:val="14"/>
                <w:szCs w:val="14"/>
                <w:b w:val="1"/>
                <w:bCs w:val="1"/>
                <w:color w:val="auto"/>
              </w:rPr>
              <w:t>Adjusted Net Income (Loss)</w:t>
            </w:r>
          </w:p>
        </w:tc>
        <w:tc>
          <w:tcPr>
            <w:tcW w:w="2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b w:val="1"/>
                <w:bCs w:val="1"/>
                <w:color w:val="auto"/>
              </w:rPr>
              <w:t>$</w:t>
            </w:r>
          </w:p>
        </w:tc>
        <w:tc>
          <w:tcPr>
            <w:tcW w:w="8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3,837</w:t>
            </w:r>
          </w:p>
        </w:tc>
        <w:tc>
          <w:tcPr>
            <w:tcW w:w="120" w:type="dxa"/>
            <w:vAlign w:val="bottom"/>
          </w:tcPr>
          <w:p>
            <w:pPr>
              <w:spacing w:after="0"/>
              <w:rPr>
                <w:sz w:val="20"/>
                <w:szCs w:val="20"/>
                <w:color w:val="auto"/>
              </w:rPr>
            </w:pPr>
          </w:p>
        </w:tc>
        <w:tc>
          <w:tcPr>
            <w:tcW w:w="2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133</w:t>
            </w:r>
          </w:p>
        </w:tc>
        <w:tc>
          <w:tcPr>
            <w:tcW w:w="120" w:type="dxa"/>
            <w:vAlign w:val="bottom"/>
          </w:tcPr>
          <w:p>
            <w:pPr>
              <w:spacing w:after="0"/>
              <w:rPr>
                <w:sz w:val="20"/>
                <w:szCs w:val="20"/>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3,704</w:t>
            </w:r>
          </w:p>
        </w:tc>
        <w:tc>
          <w:tcPr>
            <w:tcW w:w="100" w:type="dxa"/>
            <w:vAlign w:val="bottom"/>
          </w:tcPr>
          <w:p>
            <w:pPr>
              <w:spacing w:after="0"/>
              <w:rPr>
                <w:sz w:val="20"/>
                <w:szCs w:val="20"/>
                <w:color w:val="auto"/>
              </w:rPr>
            </w:pPr>
          </w:p>
        </w:tc>
        <w:tc>
          <w:tcPr>
            <w:tcW w:w="2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w:t>
            </w:r>
          </w:p>
        </w:tc>
        <w:tc>
          <w:tcPr>
            <w:tcW w:w="7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4,214</w:t>
            </w:r>
          </w:p>
        </w:tc>
        <w:tc>
          <w:tcPr>
            <w:tcW w:w="100" w:type="dxa"/>
            <w:vAlign w:val="bottom"/>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   (11,814)</w:t>
            </w:r>
          </w:p>
        </w:tc>
        <w:tc>
          <w:tcPr>
            <w:tcW w:w="100" w:type="dxa"/>
            <w:vAlign w:val="bottom"/>
          </w:tcPr>
          <w:p>
            <w:pPr>
              <w:spacing w:after="0"/>
              <w:rPr>
                <w:sz w:val="20"/>
                <w:szCs w:val="20"/>
                <w:color w:val="auto"/>
              </w:rPr>
            </w:pPr>
          </w:p>
        </w:tc>
        <w:tc>
          <w:tcPr>
            <w:tcW w:w="9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   16,028</w:t>
            </w:r>
          </w:p>
        </w:tc>
      </w:tr>
      <w:tr>
        <w:trPr>
          <w:trHeight w:val="20"/>
        </w:trPr>
        <w:tc>
          <w:tcPr>
            <w:tcW w:w="51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pacing w:after="0" w:line="145" w:lineRule="exact"/>
        <w:rPr>
          <w:sz w:val="20"/>
          <w:szCs w:val="20"/>
          <w:color w:val="auto"/>
        </w:rPr>
      </w:pPr>
    </w:p>
    <w:p>
      <w:pPr>
        <w:spacing w:after="0"/>
        <w:rPr>
          <w:sz w:val="20"/>
          <w:szCs w:val="20"/>
          <w:color w:val="auto"/>
        </w:rPr>
      </w:pPr>
      <w:r>
        <w:rPr>
          <w:rFonts w:ascii="Arial" w:cs="Arial" w:eastAsia="Arial" w:hAnsi="Arial"/>
          <w:sz w:val="11"/>
          <w:szCs w:val="11"/>
          <w:color w:val="auto"/>
        </w:rPr>
        <w:t>______________________________________________________________________________________</w:t>
      </w:r>
    </w:p>
    <w:p>
      <w:pPr>
        <w:spacing w:after="0" w:line="256" w:lineRule="exact"/>
        <w:rPr>
          <w:sz w:val="20"/>
          <w:szCs w:val="20"/>
          <w:color w:val="auto"/>
        </w:rPr>
      </w:pPr>
    </w:p>
    <w:p>
      <w:pPr>
        <w:ind w:left="500" w:hanging="492"/>
        <w:spacing w:after="0" w:line="232" w:lineRule="auto"/>
        <w:tabs>
          <w:tab w:leader="none" w:pos="162" w:val="left"/>
        </w:tabs>
        <w:numPr>
          <w:ilvl w:val="0"/>
          <w:numId w:val="11"/>
        </w:numPr>
        <w:rPr>
          <w:rFonts w:ascii="Arial" w:cs="Arial" w:eastAsia="Arial" w:hAnsi="Arial"/>
          <w:sz w:val="18"/>
          <w:szCs w:val="18"/>
          <w:color w:val="auto"/>
          <w:vertAlign w:val="superscript"/>
        </w:rPr>
      </w:pPr>
      <w:r>
        <w:rPr>
          <w:rFonts w:ascii="Arial" w:cs="Arial" w:eastAsia="Arial" w:hAnsi="Arial"/>
          <w:sz w:val="14"/>
          <w:szCs w:val="14"/>
          <w:color w:val="auto"/>
        </w:rPr>
        <w:t>Pro-rata share of Adjusted Net Income from unconsolidated entities includes the Company’s proportionate share of the unconsolidated entities’ net income adjusted for the excluded and included items detailed in the table above.</w:t>
      </w:r>
    </w:p>
    <w:p>
      <w:pPr>
        <w:spacing w:after="0" w:line="157" w:lineRule="exact"/>
        <w:rPr>
          <w:rFonts w:ascii="Arial" w:cs="Arial" w:eastAsia="Arial" w:hAnsi="Arial"/>
          <w:sz w:val="18"/>
          <w:szCs w:val="18"/>
          <w:color w:val="auto"/>
          <w:vertAlign w:val="superscript"/>
        </w:rPr>
      </w:pPr>
    </w:p>
    <w:p>
      <w:pPr>
        <w:ind w:left="500" w:hanging="492"/>
        <w:spacing w:after="0" w:line="314" w:lineRule="auto"/>
        <w:tabs>
          <w:tab w:leader="none" w:pos="168" w:val="left"/>
        </w:tabs>
        <w:numPr>
          <w:ilvl w:val="0"/>
          <w:numId w:val="11"/>
        </w:numPr>
        <w:rPr>
          <w:rFonts w:ascii="Arial" w:cs="Arial" w:eastAsia="Arial" w:hAnsi="Arial"/>
          <w:sz w:val="18"/>
          <w:szCs w:val="18"/>
          <w:color w:val="auto"/>
          <w:vertAlign w:val="superscript"/>
        </w:rPr>
      </w:pPr>
      <w:r>
        <w:rPr>
          <w:rFonts w:ascii="Arial" w:cs="Arial" w:eastAsia="Arial" w:hAnsi="Arial"/>
          <w:sz w:val="14"/>
          <w:szCs w:val="14"/>
          <w:color w:val="auto"/>
        </w:rPr>
        <w:t>Non-controlling share of Adjusted Net (Loss) Income is comprised of the following for the three months ended September 30, 2017 and 2016: (i) equity-based compensation of $43 and $6, (ii) provision for income tax of $(1) and $8, (iii) changes in fair value of non-hedge derivative instruments of $404 and $0, and (iv) acquisition and transaction expenses of $0 and $156, less (v) cash tax payments of $(1) and $0, respectively. Non-controlling share of Adjusted Net (Loss) Income is comprised of the following for the nine months ended September 30, 2017 and 2016: (i) equity-based compensation of $118 and $(1,608), (ii) provision for income tax of $12 and $22, (iii) loss on extinguishment of debt of $0 and $616, (iv) acquisition and transaction expenses of $0 and $156, (v) changes in fair value of non-hedge derivative instruments of $404 and $0, and (vi) asset impairment of $0 and $3,725, less (vii) cash tax payments of $31 and $20, respectively.</w:t>
      </w:r>
    </w:p>
    <w:p>
      <w:pPr>
        <w:spacing w:after="0" w:line="103"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following table sets forth a reconciliation of net loss attributable to shareholders to Adjusted EBITDA for the three and nine months ended</w:t>
      </w:r>
    </w:p>
    <w:p>
      <w:pPr>
        <w:spacing w:after="0" w:line="25" w:lineRule="exact"/>
        <w:rPr>
          <w:sz w:val="20"/>
          <w:szCs w:val="20"/>
          <w:color w:val="auto"/>
        </w:rPr>
      </w:pPr>
    </w:p>
    <w:p>
      <w:pPr>
        <w:spacing w:after="0"/>
        <w:rPr>
          <w:sz w:val="20"/>
          <w:szCs w:val="20"/>
          <w:color w:val="auto"/>
        </w:rPr>
      </w:pPr>
      <w:r>
        <w:rPr>
          <w:rFonts w:ascii="Arial" w:cs="Arial" w:eastAsia="Arial" w:hAnsi="Arial"/>
          <w:sz w:val="16"/>
          <w:szCs w:val="16"/>
          <w:color w:val="auto"/>
        </w:rPr>
        <w:t>September 30, 2017 and September 30, 2016:</w:t>
      </w:r>
    </w:p>
    <w:p>
      <w:pPr>
        <w:spacing w:after="0" w:line="312"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3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900" w:type="dxa"/>
            <w:vAlign w:val="bottom"/>
            <w:gridSpan w:val="5"/>
          </w:tcPr>
          <w:p>
            <w:pPr>
              <w:jc w:val="center"/>
              <w:ind w:right="280"/>
              <w:spacing w:after="0"/>
              <w:rPr>
                <w:sz w:val="20"/>
                <w:szCs w:val="20"/>
                <w:color w:val="auto"/>
              </w:rPr>
            </w:pPr>
            <w:r>
              <w:rPr>
                <w:rFonts w:ascii="Arial" w:cs="Arial" w:eastAsia="Arial" w:hAnsi="Arial"/>
                <w:sz w:val="14"/>
                <w:szCs w:val="14"/>
                <w:b w:val="1"/>
                <w:bCs w:val="1"/>
                <w:color w:val="auto"/>
              </w:rPr>
              <w:t>Three Months Ended</w:t>
            </w:r>
          </w:p>
        </w:tc>
        <w:tc>
          <w:tcPr>
            <w:tcW w:w="1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00" w:type="dxa"/>
            <w:vAlign w:val="bottom"/>
            <w:gridSpan w:val="5"/>
          </w:tcPr>
          <w:p>
            <w:pPr>
              <w:ind w:left="100"/>
              <w:spacing w:after="0"/>
              <w:rPr>
                <w:sz w:val="20"/>
                <w:szCs w:val="20"/>
                <w:color w:val="auto"/>
              </w:rPr>
            </w:pPr>
            <w:r>
              <w:rPr>
                <w:rFonts w:ascii="Arial" w:cs="Arial" w:eastAsia="Arial" w:hAnsi="Arial"/>
                <w:sz w:val="14"/>
                <w:szCs w:val="14"/>
                <w:b w:val="1"/>
                <w:bCs w:val="1"/>
                <w:color w:val="auto"/>
              </w:rPr>
              <w:t>Nine Months Ended</w:t>
            </w:r>
          </w:p>
        </w:tc>
        <w:tc>
          <w:tcPr>
            <w:tcW w:w="1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53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900" w:type="dxa"/>
            <w:vAlign w:val="bottom"/>
            <w:gridSpan w:val="5"/>
          </w:tcPr>
          <w:p>
            <w:pPr>
              <w:jc w:val="center"/>
              <w:ind w:right="280"/>
              <w:spacing w:after="0"/>
              <w:rPr>
                <w:sz w:val="20"/>
                <w:szCs w:val="20"/>
                <w:color w:val="auto"/>
              </w:rPr>
            </w:pPr>
            <w:r>
              <w:rPr>
                <w:rFonts w:ascii="Arial" w:cs="Arial" w:eastAsia="Arial" w:hAnsi="Arial"/>
                <w:sz w:val="14"/>
                <w:szCs w:val="14"/>
                <w:b w:val="1"/>
                <w:bCs w:val="1"/>
                <w:color w:val="auto"/>
              </w:rPr>
              <w:t>September 30,</w:t>
            </w: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0" w:type="dxa"/>
            <w:vAlign w:val="bottom"/>
            <w:gridSpan w:val="5"/>
          </w:tcPr>
          <w:p>
            <w:pPr>
              <w:ind w:left="280"/>
              <w:spacing w:after="0"/>
              <w:rPr>
                <w:sz w:val="20"/>
                <w:szCs w:val="20"/>
                <w:color w:val="auto"/>
              </w:rPr>
            </w:pPr>
            <w:r>
              <w:rPr>
                <w:rFonts w:ascii="Arial" w:cs="Arial" w:eastAsia="Arial" w:hAnsi="Arial"/>
                <w:sz w:val="14"/>
                <w:szCs w:val="14"/>
                <w:b w:val="1"/>
                <w:bCs w:val="1"/>
                <w:color w:val="auto"/>
              </w:rPr>
              <w:t>September 30,</w:t>
            </w: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64"/>
        </w:trPr>
        <w:tc>
          <w:tcPr>
            <w:tcW w:w="5380" w:type="dxa"/>
            <w:vAlign w:val="bottom"/>
          </w:tcPr>
          <w:p>
            <w:pPr>
              <w:spacing w:after="0"/>
              <w:rPr>
                <w:sz w:val="22"/>
                <w:szCs w:val="22"/>
                <w:color w:val="auto"/>
              </w:rPr>
            </w:pPr>
          </w:p>
        </w:tc>
        <w:tc>
          <w:tcPr>
            <w:tcW w:w="200" w:type="dxa"/>
            <w:vAlign w:val="bottom"/>
            <w:tcBorders>
              <w:top w:val="single" w:sz="8" w:color="auto"/>
              <w:bottom w:val="single" w:sz="8" w:color="auto"/>
            </w:tcBorders>
          </w:tcPr>
          <w:p>
            <w:pPr>
              <w:spacing w:after="0"/>
              <w:rPr>
                <w:sz w:val="22"/>
                <w:szCs w:val="22"/>
                <w:color w:val="auto"/>
              </w:rPr>
            </w:pPr>
          </w:p>
        </w:tc>
        <w:tc>
          <w:tcPr>
            <w:tcW w:w="740" w:type="dxa"/>
            <w:vAlign w:val="bottom"/>
            <w:tcBorders>
              <w:top w:val="single" w:sz="8" w:color="auto"/>
              <w:bottom w:val="single" w:sz="8" w:color="auto"/>
            </w:tcBorders>
          </w:tcPr>
          <w:p>
            <w:pPr>
              <w:jc w:val="right"/>
              <w:ind w:right="248"/>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top w:val="single" w:sz="8" w:color="auto"/>
              <w:bottom w:val="single" w:sz="8" w:color="auto"/>
            </w:tcBorders>
          </w:tcPr>
          <w:p>
            <w:pPr>
              <w:spacing w:after="0"/>
              <w:rPr>
                <w:sz w:val="22"/>
                <w:szCs w:val="22"/>
                <w:color w:val="auto"/>
              </w:rPr>
            </w:pPr>
          </w:p>
        </w:tc>
        <w:tc>
          <w:tcPr>
            <w:tcW w:w="200" w:type="dxa"/>
            <w:vAlign w:val="bottom"/>
            <w:tcBorders>
              <w:top w:val="single" w:sz="8" w:color="auto"/>
              <w:bottom w:val="single" w:sz="8" w:color="auto"/>
            </w:tcBorders>
          </w:tcPr>
          <w:p>
            <w:pPr>
              <w:spacing w:after="0"/>
              <w:rPr>
                <w:sz w:val="22"/>
                <w:szCs w:val="22"/>
                <w:color w:val="auto"/>
              </w:rPr>
            </w:pPr>
          </w:p>
        </w:tc>
        <w:tc>
          <w:tcPr>
            <w:tcW w:w="720" w:type="dxa"/>
            <w:vAlign w:val="bottom"/>
            <w:tcBorders>
              <w:top w:val="single" w:sz="8" w:color="auto"/>
              <w:bottom w:val="single" w:sz="8" w:color="auto"/>
            </w:tcBorders>
          </w:tcPr>
          <w:p>
            <w:pPr>
              <w:jc w:val="right"/>
              <w:ind w:right="228"/>
              <w:spacing w:after="0"/>
              <w:rPr>
                <w:sz w:val="20"/>
                <w:szCs w:val="20"/>
                <w:color w:val="auto"/>
              </w:rPr>
            </w:pPr>
            <w:r>
              <w:rPr>
                <w:rFonts w:ascii="Arial" w:cs="Arial" w:eastAsia="Arial" w:hAnsi="Arial"/>
                <w:sz w:val="14"/>
                <w:szCs w:val="14"/>
                <w:b w:val="1"/>
                <w:bCs w:val="1"/>
                <w:color w:val="auto"/>
              </w:rPr>
              <w:t>2016</w:t>
            </w:r>
          </w:p>
        </w:tc>
        <w:tc>
          <w:tcPr>
            <w:tcW w:w="120" w:type="dxa"/>
            <w:vAlign w:val="bottom"/>
            <w:tcBorders>
              <w:bottom w:val="single" w:sz="8" w:color="auto"/>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gridSpan w:val="2"/>
          </w:tcPr>
          <w:p>
            <w:pPr>
              <w:ind w:left="60"/>
              <w:spacing w:after="0"/>
              <w:rPr>
                <w:sz w:val="20"/>
                <w:szCs w:val="20"/>
                <w:color w:val="auto"/>
              </w:rPr>
            </w:pPr>
            <w:r>
              <w:rPr>
                <w:rFonts w:ascii="Arial" w:cs="Arial" w:eastAsia="Arial" w:hAnsi="Arial"/>
                <w:sz w:val="14"/>
                <w:szCs w:val="14"/>
                <w:b w:val="1"/>
                <w:bCs w:val="1"/>
                <w:color w:val="auto"/>
              </w:rPr>
              <w:t>Change</w:t>
            </w:r>
          </w:p>
        </w:tc>
        <w:tc>
          <w:tcPr>
            <w:tcW w:w="200" w:type="dxa"/>
            <w:vAlign w:val="bottom"/>
            <w:tcBorders>
              <w:top w:val="single" w:sz="8" w:color="auto"/>
              <w:bottom w:val="single" w:sz="8" w:color="auto"/>
            </w:tcBorders>
          </w:tcPr>
          <w:p>
            <w:pPr>
              <w:spacing w:after="0"/>
              <w:rPr>
                <w:sz w:val="22"/>
                <w:szCs w:val="22"/>
                <w:color w:val="auto"/>
              </w:rPr>
            </w:pPr>
          </w:p>
        </w:tc>
        <w:tc>
          <w:tcPr>
            <w:tcW w:w="700" w:type="dxa"/>
            <w:vAlign w:val="bottom"/>
            <w:tcBorders>
              <w:top w:val="single" w:sz="8" w:color="auto"/>
              <w:bottom w:val="single" w:sz="8" w:color="auto"/>
            </w:tcBorders>
          </w:tcPr>
          <w:p>
            <w:pPr>
              <w:ind w:left="100"/>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top w:val="single" w:sz="8" w:color="auto"/>
              <w:bottom w:val="single" w:sz="8" w:color="auto"/>
            </w:tcBorders>
          </w:tcPr>
          <w:p>
            <w:pPr>
              <w:spacing w:after="0"/>
              <w:rPr>
                <w:sz w:val="22"/>
                <w:szCs w:val="22"/>
                <w:color w:val="auto"/>
              </w:rPr>
            </w:pPr>
          </w:p>
        </w:tc>
        <w:tc>
          <w:tcPr>
            <w:tcW w:w="200" w:type="dxa"/>
            <w:vAlign w:val="bottom"/>
            <w:tcBorders>
              <w:top w:val="single" w:sz="8" w:color="auto"/>
              <w:bottom w:val="single" w:sz="8" w:color="auto"/>
            </w:tcBorders>
          </w:tcPr>
          <w:p>
            <w:pPr>
              <w:spacing w:after="0"/>
              <w:rPr>
                <w:sz w:val="22"/>
                <w:szCs w:val="22"/>
                <w:color w:val="auto"/>
              </w:rPr>
            </w:pPr>
          </w:p>
        </w:tc>
        <w:tc>
          <w:tcPr>
            <w:tcW w:w="700" w:type="dxa"/>
            <w:vAlign w:val="bottom"/>
            <w:tcBorders>
              <w:top w:val="single" w:sz="8" w:color="auto"/>
              <w:bottom w:val="single" w:sz="8" w:color="auto"/>
            </w:tcBorders>
          </w:tcPr>
          <w:p>
            <w:pPr>
              <w:jc w:val="right"/>
              <w:ind w:right="208"/>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auto"/>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216"/>
        </w:trPr>
        <w:tc>
          <w:tcPr>
            <w:tcW w:w="5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80" w:type="dxa"/>
            <w:vAlign w:val="bottom"/>
            <w:gridSpan w:val="5"/>
          </w:tcPr>
          <w:p>
            <w:pPr>
              <w:ind w:left="320"/>
              <w:spacing w:after="0"/>
              <w:rPr>
                <w:sz w:val="20"/>
                <w:szCs w:val="20"/>
                <w:color w:val="auto"/>
              </w:rPr>
            </w:pPr>
            <w:r>
              <w:rPr>
                <w:rFonts w:ascii="Arial" w:cs="Arial" w:eastAsia="Arial" w:hAnsi="Arial"/>
                <w:sz w:val="14"/>
                <w:szCs w:val="14"/>
                <w:i w:val="1"/>
                <w:iCs w:val="1"/>
                <w:color w:val="auto"/>
              </w:rPr>
              <w:t>(in thousands)</w:t>
            </w: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5"/>
        </w:trPr>
        <w:tc>
          <w:tcPr>
            <w:tcW w:w="5380" w:type="dxa"/>
            <w:vAlign w:val="bottom"/>
          </w:tcPr>
          <w:p>
            <w:pPr>
              <w:spacing w:after="0"/>
              <w:rPr>
                <w:sz w:val="3"/>
                <w:szCs w:val="3"/>
                <w:color w:val="auto"/>
              </w:rPr>
            </w:pPr>
          </w:p>
        </w:tc>
        <w:tc>
          <w:tcPr>
            <w:tcW w:w="200" w:type="dxa"/>
            <w:vAlign w:val="bottom"/>
          </w:tcPr>
          <w:p>
            <w:pPr>
              <w:spacing w:after="0"/>
              <w:rPr>
                <w:sz w:val="3"/>
                <w:szCs w:val="3"/>
                <w:color w:val="auto"/>
              </w:rPr>
            </w:pPr>
          </w:p>
        </w:tc>
        <w:tc>
          <w:tcPr>
            <w:tcW w:w="740" w:type="dxa"/>
            <w:vAlign w:val="bottom"/>
          </w:tcPr>
          <w:p>
            <w:pPr>
              <w:spacing w:after="0"/>
              <w:rPr>
                <w:sz w:val="3"/>
                <w:szCs w:val="3"/>
                <w:color w:val="auto"/>
              </w:rPr>
            </w:pPr>
          </w:p>
        </w:tc>
        <w:tc>
          <w:tcPr>
            <w:tcW w:w="120" w:type="dxa"/>
            <w:vAlign w:val="bottom"/>
          </w:tcPr>
          <w:p>
            <w:pPr>
              <w:spacing w:after="0"/>
              <w:rPr>
                <w:sz w:val="3"/>
                <w:szCs w:val="3"/>
                <w:color w:val="auto"/>
              </w:rPr>
            </w:pPr>
          </w:p>
        </w:tc>
        <w:tc>
          <w:tcPr>
            <w:tcW w:w="200" w:type="dxa"/>
            <w:vAlign w:val="bottom"/>
          </w:tcPr>
          <w:p>
            <w:pPr>
              <w:spacing w:after="0"/>
              <w:rPr>
                <w:sz w:val="3"/>
                <w:szCs w:val="3"/>
                <w:color w:val="auto"/>
              </w:rPr>
            </w:pPr>
          </w:p>
        </w:tc>
        <w:tc>
          <w:tcPr>
            <w:tcW w:w="720" w:type="dxa"/>
            <w:vAlign w:val="bottom"/>
          </w:tcPr>
          <w:p>
            <w:pPr>
              <w:spacing w:after="0"/>
              <w:rPr>
                <w:sz w:val="3"/>
                <w:szCs w:val="3"/>
                <w:color w:val="auto"/>
              </w:rPr>
            </w:pPr>
          </w:p>
        </w:tc>
        <w:tc>
          <w:tcPr>
            <w:tcW w:w="120" w:type="dxa"/>
            <w:vAlign w:val="bottom"/>
          </w:tcPr>
          <w:p>
            <w:pPr>
              <w:spacing w:after="0"/>
              <w:rPr>
                <w:sz w:val="3"/>
                <w:szCs w:val="3"/>
                <w:color w:val="auto"/>
              </w:rPr>
            </w:pPr>
          </w:p>
        </w:tc>
        <w:tc>
          <w:tcPr>
            <w:tcW w:w="16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70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7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7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70"/>
        </w:trPr>
        <w:tc>
          <w:tcPr>
            <w:tcW w:w="538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Net income (loss) attributable to shareholders</w:t>
            </w:r>
          </w:p>
        </w:tc>
        <w:tc>
          <w:tcPr>
            <w:tcW w:w="200" w:type="dxa"/>
            <w:vAlign w:val="bottom"/>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w:t>
            </w:r>
          </w:p>
        </w:tc>
        <w:tc>
          <w:tcPr>
            <w:tcW w:w="74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2,998</w:t>
            </w: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(1,276)</w:t>
            </w: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4,274</w:t>
            </w: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(2,876)</w:t>
            </w: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(18,251)</w:t>
            </w: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15,375</w:t>
            </w:r>
          </w:p>
        </w:tc>
        <w:tc>
          <w:tcPr>
            <w:tcW w:w="0" w:type="dxa"/>
            <w:vAlign w:val="bottom"/>
          </w:tcPr>
          <w:p>
            <w:pPr>
              <w:spacing w:after="0"/>
              <w:rPr>
                <w:sz w:val="1"/>
                <w:szCs w:val="1"/>
                <w:color w:val="auto"/>
              </w:rPr>
            </w:pPr>
          </w:p>
        </w:tc>
      </w:tr>
      <w:tr>
        <w:trPr>
          <w:trHeight w:val="269"/>
        </w:trPr>
        <w:tc>
          <w:tcPr>
            <w:tcW w:w="5380" w:type="dxa"/>
            <w:vAlign w:val="bottom"/>
          </w:tcPr>
          <w:p>
            <w:pPr>
              <w:ind w:left="40"/>
              <w:spacing w:after="0"/>
              <w:rPr>
                <w:sz w:val="20"/>
                <w:szCs w:val="20"/>
                <w:color w:val="auto"/>
              </w:rPr>
            </w:pPr>
            <w:r>
              <w:rPr>
                <w:rFonts w:ascii="Arial" w:cs="Arial" w:eastAsia="Arial" w:hAnsi="Arial"/>
                <w:sz w:val="14"/>
                <w:szCs w:val="14"/>
                <w:color w:val="auto"/>
              </w:rPr>
              <w:t>Add: Provision for income taxes</w:t>
            </w:r>
          </w:p>
        </w:tc>
        <w:tc>
          <w:tcPr>
            <w:tcW w:w="200" w:type="dxa"/>
            <w:vAlign w:val="bottom"/>
          </w:tcPr>
          <w:p>
            <w:pPr>
              <w:spacing w:after="0"/>
              <w:rPr>
                <w:sz w:val="23"/>
                <w:szCs w:val="23"/>
                <w:color w:val="auto"/>
              </w:rPr>
            </w:pPr>
          </w:p>
        </w:tc>
        <w:tc>
          <w:tcPr>
            <w:tcW w:w="740" w:type="dxa"/>
            <w:vAlign w:val="bottom"/>
          </w:tcPr>
          <w:p>
            <w:pPr>
              <w:jc w:val="right"/>
              <w:ind w:right="48"/>
              <w:spacing w:after="0"/>
              <w:rPr>
                <w:sz w:val="20"/>
                <w:szCs w:val="20"/>
                <w:color w:val="auto"/>
              </w:rPr>
            </w:pPr>
            <w:r>
              <w:rPr>
                <w:rFonts w:ascii="Arial" w:cs="Arial" w:eastAsia="Arial" w:hAnsi="Arial"/>
                <w:sz w:val="14"/>
                <w:szCs w:val="14"/>
                <w:b w:val="1"/>
                <w:bCs w:val="1"/>
                <w:color w:val="auto"/>
              </w:rPr>
              <w:t>909</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20" w:type="dxa"/>
            <w:vAlign w:val="bottom"/>
          </w:tcPr>
          <w:p>
            <w:pPr>
              <w:jc w:val="right"/>
              <w:ind w:right="48"/>
              <w:spacing w:after="0"/>
              <w:rPr>
                <w:sz w:val="20"/>
                <w:szCs w:val="20"/>
                <w:color w:val="auto"/>
              </w:rPr>
            </w:pPr>
            <w:r>
              <w:rPr>
                <w:rFonts w:ascii="Arial" w:cs="Arial" w:eastAsia="Arial" w:hAnsi="Arial"/>
                <w:sz w:val="14"/>
                <w:szCs w:val="14"/>
                <w:color w:val="auto"/>
              </w:rPr>
              <w:t>83</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80" w:type="dxa"/>
            <w:vAlign w:val="bottom"/>
          </w:tcPr>
          <w:p>
            <w:pPr>
              <w:jc w:val="right"/>
              <w:ind w:right="48"/>
              <w:spacing w:after="0"/>
              <w:rPr>
                <w:sz w:val="20"/>
                <w:szCs w:val="20"/>
                <w:color w:val="auto"/>
              </w:rPr>
            </w:pPr>
            <w:r>
              <w:rPr>
                <w:rFonts w:ascii="Arial" w:cs="Arial" w:eastAsia="Arial" w:hAnsi="Arial"/>
                <w:sz w:val="14"/>
                <w:szCs w:val="14"/>
                <w:color w:val="auto"/>
              </w:rPr>
              <w:t>826</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00" w:type="dxa"/>
            <w:vAlign w:val="bottom"/>
          </w:tcPr>
          <w:p>
            <w:pPr>
              <w:jc w:val="right"/>
              <w:ind w:right="28"/>
              <w:spacing w:after="0"/>
              <w:rPr>
                <w:sz w:val="20"/>
                <w:szCs w:val="20"/>
                <w:color w:val="auto"/>
              </w:rPr>
            </w:pPr>
            <w:r>
              <w:rPr>
                <w:rFonts w:ascii="Arial" w:cs="Arial" w:eastAsia="Arial" w:hAnsi="Arial"/>
                <w:sz w:val="14"/>
                <w:szCs w:val="14"/>
                <w:b w:val="1"/>
                <w:bCs w:val="1"/>
                <w:color w:val="auto"/>
              </w:rPr>
              <w:t>1,585</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00" w:type="dxa"/>
            <w:vAlign w:val="bottom"/>
          </w:tcPr>
          <w:p>
            <w:pPr>
              <w:jc w:val="right"/>
              <w:ind w:right="28"/>
              <w:spacing w:after="0"/>
              <w:rPr>
                <w:sz w:val="20"/>
                <w:szCs w:val="20"/>
                <w:color w:val="auto"/>
              </w:rPr>
            </w:pPr>
            <w:r>
              <w:rPr>
                <w:rFonts w:ascii="Arial" w:cs="Arial" w:eastAsia="Arial" w:hAnsi="Arial"/>
                <w:sz w:val="14"/>
                <w:szCs w:val="14"/>
                <w:color w:val="auto"/>
              </w:rPr>
              <w:t>195</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40" w:type="dxa"/>
            <w:vAlign w:val="bottom"/>
          </w:tcPr>
          <w:p>
            <w:pPr>
              <w:jc w:val="right"/>
              <w:ind w:right="28"/>
              <w:spacing w:after="0"/>
              <w:rPr>
                <w:sz w:val="20"/>
                <w:szCs w:val="20"/>
                <w:color w:val="auto"/>
              </w:rPr>
            </w:pPr>
            <w:r>
              <w:rPr>
                <w:rFonts w:ascii="Arial" w:cs="Arial" w:eastAsia="Arial" w:hAnsi="Arial"/>
                <w:sz w:val="14"/>
                <w:szCs w:val="14"/>
                <w:color w:val="auto"/>
              </w:rPr>
              <w:t>1,390</w:t>
            </w:r>
          </w:p>
        </w:tc>
        <w:tc>
          <w:tcPr>
            <w:tcW w:w="0" w:type="dxa"/>
            <w:vAlign w:val="bottom"/>
          </w:tcPr>
          <w:p>
            <w:pPr>
              <w:spacing w:after="0"/>
              <w:rPr>
                <w:sz w:val="1"/>
                <w:szCs w:val="1"/>
                <w:color w:val="auto"/>
              </w:rPr>
            </w:pPr>
          </w:p>
        </w:tc>
      </w:tr>
      <w:tr>
        <w:trPr>
          <w:trHeight w:val="271"/>
        </w:trPr>
        <w:tc>
          <w:tcPr>
            <w:tcW w:w="5380" w:type="dxa"/>
            <w:vAlign w:val="bottom"/>
            <w:shd w:val="clear" w:color="auto" w:fill="CCEEFF"/>
          </w:tcPr>
          <w:p>
            <w:pPr>
              <w:ind w:left="40"/>
              <w:spacing w:after="0"/>
              <w:rPr>
                <w:sz w:val="20"/>
                <w:szCs w:val="20"/>
                <w:color w:val="auto"/>
              </w:rPr>
            </w:pPr>
            <w:r>
              <w:rPr>
                <w:rFonts w:ascii="Arial" w:cs="Arial" w:eastAsia="Arial" w:hAnsi="Arial"/>
                <w:sz w:val="14"/>
                <w:szCs w:val="14"/>
                <w:color w:val="auto"/>
              </w:rPr>
              <w:t>Add: Equity-based compensation expense (income)</w:t>
            </w:r>
          </w:p>
        </w:tc>
        <w:tc>
          <w:tcPr>
            <w:tcW w:w="200" w:type="dxa"/>
            <w:vAlign w:val="bottom"/>
            <w:shd w:val="clear" w:color="auto" w:fill="CCEEFF"/>
          </w:tcPr>
          <w:p>
            <w:pPr>
              <w:spacing w:after="0"/>
              <w:rPr>
                <w:sz w:val="23"/>
                <w:szCs w:val="23"/>
                <w:color w:val="auto"/>
              </w:rPr>
            </w:pPr>
          </w:p>
        </w:tc>
        <w:tc>
          <w:tcPr>
            <w:tcW w:w="74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165</w:t>
            </w: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7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28</w:t>
            </w: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7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137</w:t>
            </w: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70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695</w:t>
            </w: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(3,818)</w:t>
            </w: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7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4,513</w:t>
            </w:r>
          </w:p>
        </w:tc>
        <w:tc>
          <w:tcPr>
            <w:tcW w:w="0" w:type="dxa"/>
            <w:vAlign w:val="bottom"/>
          </w:tcPr>
          <w:p>
            <w:pPr>
              <w:spacing w:after="0"/>
              <w:rPr>
                <w:sz w:val="1"/>
                <w:szCs w:val="1"/>
                <w:color w:val="auto"/>
              </w:rPr>
            </w:pPr>
          </w:p>
        </w:tc>
      </w:tr>
      <w:tr>
        <w:trPr>
          <w:trHeight w:val="269"/>
        </w:trPr>
        <w:tc>
          <w:tcPr>
            <w:tcW w:w="5380" w:type="dxa"/>
            <w:vAlign w:val="bottom"/>
          </w:tcPr>
          <w:p>
            <w:pPr>
              <w:ind w:left="40"/>
              <w:spacing w:after="0"/>
              <w:rPr>
                <w:sz w:val="20"/>
                <w:szCs w:val="20"/>
                <w:color w:val="auto"/>
              </w:rPr>
            </w:pPr>
            <w:r>
              <w:rPr>
                <w:rFonts w:ascii="Arial" w:cs="Arial" w:eastAsia="Arial" w:hAnsi="Arial"/>
                <w:sz w:val="14"/>
                <w:szCs w:val="14"/>
                <w:color w:val="auto"/>
              </w:rPr>
              <w:t>Add: Acquisition and transaction expenses</w:t>
            </w:r>
          </w:p>
        </w:tc>
        <w:tc>
          <w:tcPr>
            <w:tcW w:w="200" w:type="dxa"/>
            <w:vAlign w:val="bottom"/>
          </w:tcPr>
          <w:p>
            <w:pPr>
              <w:spacing w:after="0"/>
              <w:rPr>
                <w:sz w:val="23"/>
                <w:szCs w:val="23"/>
                <w:color w:val="auto"/>
              </w:rPr>
            </w:pPr>
          </w:p>
        </w:tc>
        <w:tc>
          <w:tcPr>
            <w:tcW w:w="740" w:type="dxa"/>
            <w:vAlign w:val="bottom"/>
          </w:tcPr>
          <w:p>
            <w:pPr>
              <w:jc w:val="right"/>
              <w:ind w:right="48"/>
              <w:spacing w:after="0"/>
              <w:rPr>
                <w:sz w:val="20"/>
                <w:szCs w:val="20"/>
                <w:color w:val="auto"/>
              </w:rPr>
            </w:pPr>
            <w:r>
              <w:rPr>
                <w:rFonts w:ascii="Arial" w:cs="Arial" w:eastAsia="Arial" w:hAnsi="Arial"/>
                <w:sz w:val="14"/>
                <w:szCs w:val="14"/>
                <w:b w:val="1"/>
                <w:bCs w:val="1"/>
                <w:color w:val="auto"/>
              </w:rPr>
              <w:t>1,732</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20" w:type="dxa"/>
            <w:vAlign w:val="bottom"/>
          </w:tcPr>
          <w:p>
            <w:pPr>
              <w:jc w:val="right"/>
              <w:ind w:right="48"/>
              <w:spacing w:after="0"/>
              <w:rPr>
                <w:sz w:val="20"/>
                <w:szCs w:val="20"/>
                <w:color w:val="auto"/>
              </w:rPr>
            </w:pPr>
            <w:r>
              <w:rPr>
                <w:rFonts w:ascii="Arial" w:cs="Arial" w:eastAsia="Arial" w:hAnsi="Arial"/>
                <w:sz w:val="14"/>
                <w:szCs w:val="14"/>
                <w:color w:val="auto"/>
              </w:rPr>
              <w:t>1,688</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80" w:type="dxa"/>
            <w:vAlign w:val="bottom"/>
          </w:tcPr>
          <w:p>
            <w:pPr>
              <w:jc w:val="right"/>
              <w:ind w:right="48"/>
              <w:spacing w:after="0"/>
              <w:rPr>
                <w:sz w:val="20"/>
                <w:szCs w:val="20"/>
                <w:color w:val="auto"/>
              </w:rPr>
            </w:pPr>
            <w:r>
              <w:rPr>
                <w:rFonts w:ascii="Arial" w:cs="Arial" w:eastAsia="Arial" w:hAnsi="Arial"/>
                <w:sz w:val="14"/>
                <w:szCs w:val="14"/>
                <w:color w:val="auto"/>
              </w:rPr>
              <w:t>44</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00" w:type="dxa"/>
            <w:vAlign w:val="bottom"/>
          </w:tcPr>
          <w:p>
            <w:pPr>
              <w:jc w:val="right"/>
              <w:ind w:right="28"/>
              <w:spacing w:after="0"/>
              <w:rPr>
                <w:sz w:val="20"/>
                <w:szCs w:val="20"/>
                <w:color w:val="auto"/>
              </w:rPr>
            </w:pPr>
            <w:r>
              <w:rPr>
                <w:rFonts w:ascii="Arial" w:cs="Arial" w:eastAsia="Arial" w:hAnsi="Arial"/>
                <w:sz w:val="14"/>
                <w:szCs w:val="14"/>
                <w:b w:val="1"/>
                <w:bCs w:val="1"/>
                <w:color w:val="auto"/>
              </w:rPr>
              <w:t>5,064</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00" w:type="dxa"/>
            <w:vAlign w:val="bottom"/>
          </w:tcPr>
          <w:p>
            <w:pPr>
              <w:jc w:val="right"/>
              <w:ind w:right="28"/>
              <w:spacing w:after="0"/>
              <w:rPr>
                <w:sz w:val="20"/>
                <w:szCs w:val="20"/>
                <w:color w:val="auto"/>
              </w:rPr>
            </w:pPr>
            <w:r>
              <w:rPr>
                <w:rFonts w:ascii="Arial" w:cs="Arial" w:eastAsia="Arial" w:hAnsi="Arial"/>
                <w:sz w:val="14"/>
                <w:szCs w:val="14"/>
                <w:color w:val="auto"/>
              </w:rPr>
              <w:t>4,622</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40" w:type="dxa"/>
            <w:vAlign w:val="bottom"/>
          </w:tcPr>
          <w:p>
            <w:pPr>
              <w:jc w:val="right"/>
              <w:ind w:right="28"/>
              <w:spacing w:after="0"/>
              <w:rPr>
                <w:sz w:val="20"/>
                <w:szCs w:val="20"/>
                <w:color w:val="auto"/>
              </w:rPr>
            </w:pPr>
            <w:r>
              <w:rPr>
                <w:rFonts w:ascii="Arial" w:cs="Arial" w:eastAsia="Arial" w:hAnsi="Arial"/>
                <w:sz w:val="14"/>
                <w:szCs w:val="14"/>
                <w:color w:val="auto"/>
              </w:rPr>
              <w:t>442</w:t>
            </w:r>
          </w:p>
        </w:tc>
        <w:tc>
          <w:tcPr>
            <w:tcW w:w="0" w:type="dxa"/>
            <w:vAlign w:val="bottom"/>
          </w:tcPr>
          <w:p>
            <w:pPr>
              <w:spacing w:after="0"/>
              <w:rPr>
                <w:sz w:val="1"/>
                <w:szCs w:val="1"/>
                <w:color w:val="auto"/>
              </w:rPr>
            </w:pPr>
          </w:p>
        </w:tc>
      </w:tr>
      <w:tr>
        <w:trPr>
          <w:trHeight w:val="177"/>
        </w:trPr>
        <w:tc>
          <w:tcPr>
            <w:tcW w:w="5380" w:type="dxa"/>
            <w:vAlign w:val="bottom"/>
            <w:shd w:val="clear" w:color="auto" w:fill="CCEEFF"/>
          </w:tcPr>
          <w:p>
            <w:pPr>
              <w:ind w:left="40"/>
              <w:spacing w:after="0"/>
              <w:rPr>
                <w:sz w:val="20"/>
                <w:szCs w:val="20"/>
                <w:color w:val="auto"/>
              </w:rPr>
            </w:pPr>
            <w:r>
              <w:rPr>
                <w:rFonts w:ascii="Arial" w:cs="Arial" w:eastAsia="Arial" w:hAnsi="Arial"/>
                <w:sz w:val="14"/>
                <w:szCs w:val="14"/>
                <w:color w:val="auto"/>
              </w:rPr>
              <w:t>Add: Losses on the modification or extinguishment of debt and capital lease</w:t>
            </w:r>
          </w:p>
        </w:tc>
        <w:tc>
          <w:tcPr>
            <w:tcW w:w="200" w:type="dxa"/>
            <w:vAlign w:val="bottom"/>
            <w:shd w:val="clear" w:color="auto" w:fill="CCEEFF"/>
          </w:tcPr>
          <w:p>
            <w:pPr>
              <w:spacing w:after="0"/>
              <w:rPr>
                <w:sz w:val="15"/>
                <w:szCs w:val="15"/>
                <w:color w:val="auto"/>
              </w:rPr>
            </w:pPr>
          </w:p>
        </w:tc>
        <w:tc>
          <w:tcPr>
            <w:tcW w:w="86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4"/>
                <w:szCs w:val="14"/>
                <w:b w:val="1"/>
                <w:bCs w:val="1"/>
                <w:color w:val="auto"/>
              </w:rPr>
              <w:t>—</w:t>
            </w:r>
          </w:p>
        </w:tc>
        <w:tc>
          <w:tcPr>
            <w:tcW w:w="20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0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2,456</w:t>
            </w: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2"/>
        </w:trPr>
        <w:tc>
          <w:tcPr>
            <w:tcW w:w="5380" w:type="dxa"/>
            <w:vAlign w:val="bottom"/>
            <w:shd w:val="clear" w:color="auto" w:fill="CCEEFF"/>
          </w:tcPr>
          <w:p>
            <w:pPr>
              <w:ind w:left="40"/>
              <w:spacing w:after="0"/>
              <w:rPr>
                <w:sz w:val="20"/>
                <w:szCs w:val="20"/>
                <w:color w:val="auto"/>
              </w:rPr>
            </w:pPr>
            <w:r>
              <w:rPr>
                <w:rFonts w:ascii="Arial" w:cs="Arial" w:eastAsia="Arial" w:hAnsi="Arial"/>
                <w:sz w:val="14"/>
                <w:szCs w:val="14"/>
                <w:color w:val="auto"/>
              </w:rPr>
              <w:t>obligations</w:t>
            </w:r>
          </w:p>
        </w:tc>
        <w:tc>
          <w:tcPr>
            <w:tcW w:w="200" w:type="dxa"/>
            <w:vAlign w:val="bottom"/>
            <w:shd w:val="clear" w:color="auto" w:fill="CCEEFF"/>
          </w:tcPr>
          <w:p>
            <w:pPr>
              <w:spacing w:after="0"/>
              <w:rPr>
                <w:sz w:val="17"/>
                <w:szCs w:val="17"/>
                <w:color w:val="auto"/>
              </w:rPr>
            </w:pPr>
          </w:p>
        </w:tc>
        <w:tc>
          <w:tcPr>
            <w:tcW w:w="860" w:type="dxa"/>
            <w:vAlign w:val="bottom"/>
            <w:gridSpan w:val="2"/>
            <w:vMerge w:val="continue"/>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7"/>
                <w:szCs w:val="17"/>
                <w:color w:val="auto"/>
              </w:rPr>
            </w:pPr>
          </w:p>
        </w:tc>
        <w:tc>
          <w:tcPr>
            <w:tcW w:w="70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1,579</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877</w:t>
            </w:r>
          </w:p>
        </w:tc>
        <w:tc>
          <w:tcPr>
            <w:tcW w:w="0" w:type="dxa"/>
            <w:vAlign w:val="bottom"/>
          </w:tcPr>
          <w:p>
            <w:pPr>
              <w:spacing w:after="0"/>
              <w:rPr>
                <w:sz w:val="1"/>
                <w:szCs w:val="1"/>
                <w:color w:val="auto"/>
              </w:rPr>
            </w:pPr>
          </w:p>
        </w:tc>
      </w:tr>
      <w:tr>
        <w:trPr>
          <w:trHeight w:val="269"/>
        </w:trPr>
        <w:tc>
          <w:tcPr>
            <w:tcW w:w="5380" w:type="dxa"/>
            <w:vAlign w:val="bottom"/>
          </w:tcPr>
          <w:p>
            <w:pPr>
              <w:ind w:left="40"/>
              <w:spacing w:after="0"/>
              <w:rPr>
                <w:sz w:val="20"/>
                <w:szCs w:val="20"/>
                <w:color w:val="auto"/>
              </w:rPr>
            </w:pPr>
            <w:r>
              <w:rPr>
                <w:rFonts w:ascii="Arial" w:cs="Arial" w:eastAsia="Arial" w:hAnsi="Arial"/>
                <w:sz w:val="14"/>
                <w:szCs w:val="14"/>
                <w:color w:val="auto"/>
              </w:rPr>
              <w:t>Add: Changes in fair value of non-hedge derivative instruments</w:t>
            </w:r>
          </w:p>
        </w:tc>
        <w:tc>
          <w:tcPr>
            <w:tcW w:w="200" w:type="dxa"/>
            <w:vAlign w:val="bottom"/>
          </w:tcPr>
          <w:p>
            <w:pPr>
              <w:spacing w:after="0"/>
              <w:rPr>
                <w:sz w:val="23"/>
                <w:szCs w:val="23"/>
                <w:color w:val="auto"/>
              </w:rPr>
            </w:pPr>
          </w:p>
        </w:tc>
        <w:tc>
          <w:tcPr>
            <w:tcW w:w="740" w:type="dxa"/>
            <w:vAlign w:val="bottom"/>
          </w:tcPr>
          <w:p>
            <w:pPr>
              <w:jc w:val="right"/>
              <w:ind w:right="8"/>
              <w:spacing w:after="0"/>
              <w:rPr>
                <w:sz w:val="20"/>
                <w:szCs w:val="20"/>
                <w:color w:val="auto"/>
              </w:rPr>
            </w:pPr>
            <w:r>
              <w:rPr>
                <w:rFonts w:ascii="Arial" w:cs="Arial" w:eastAsia="Arial" w:hAnsi="Arial"/>
                <w:sz w:val="14"/>
                <w:szCs w:val="14"/>
                <w:b w:val="1"/>
                <w:bCs w:val="1"/>
                <w:color w:val="auto"/>
              </w:rPr>
              <w:t>(1,036)</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3"/>
                <w:szCs w:val="23"/>
                <w:color w:val="auto"/>
              </w:rPr>
            </w:pPr>
          </w:p>
        </w:tc>
        <w:tc>
          <w:tcPr>
            <w:tcW w:w="780" w:type="dxa"/>
            <w:vAlign w:val="bottom"/>
          </w:tcPr>
          <w:p>
            <w:pPr>
              <w:jc w:val="right"/>
              <w:ind w:right="8"/>
              <w:spacing w:after="0"/>
              <w:rPr>
                <w:sz w:val="20"/>
                <w:szCs w:val="20"/>
                <w:color w:val="auto"/>
              </w:rPr>
            </w:pPr>
            <w:r>
              <w:rPr>
                <w:rFonts w:ascii="Arial" w:cs="Arial" w:eastAsia="Arial" w:hAnsi="Arial"/>
                <w:sz w:val="14"/>
                <w:szCs w:val="14"/>
                <w:color w:val="auto"/>
              </w:rPr>
              <w:t>(1,036)</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00" w:type="dxa"/>
            <w:vAlign w:val="bottom"/>
          </w:tcPr>
          <w:p>
            <w:pPr>
              <w:jc w:val="right"/>
              <w:spacing w:after="0"/>
              <w:rPr>
                <w:sz w:val="20"/>
                <w:szCs w:val="20"/>
                <w:color w:val="auto"/>
              </w:rPr>
            </w:pPr>
            <w:r>
              <w:rPr>
                <w:rFonts w:ascii="Arial" w:cs="Arial" w:eastAsia="Arial" w:hAnsi="Arial"/>
                <w:sz w:val="14"/>
                <w:szCs w:val="14"/>
                <w:b w:val="1"/>
                <w:bCs w:val="1"/>
                <w:color w:val="auto"/>
              </w:rPr>
              <w:t>(1,036)</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00" w:type="dxa"/>
            <w:vAlign w:val="bottom"/>
          </w:tcPr>
          <w:p>
            <w:pPr>
              <w:jc w:val="right"/>
              <w:ind w:right="28"/>
              <w:spacing w:after="0"/>
              <w:rPr>
                <w:sz w:val="20"/>
                <w:szCs w:val="20"/>
                <w:color w:val="auto"/>
              </w:rPr>
            </w:pPr>
            <w:r>
              <w:rPr>
                <w:rFonts w:ascii="Arial" w:cs="Arial" w:eastAsia="Arial" w:hAnsi="Arial"/>
                <w:sz w:val="14"/>
                <w:szCs w:val="14"/>
                <w:color w:val="auto"/>
              </w:rPr>
              <w:t>3</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(1,039)</w:t>
            </w:r>
          </w:p>
        </w:tc>
        <w:tc>
          <w:tcPr>
            <w:tcW w:w="0" w:type="dxa"/>
            <w:vAlign w:val="bottom"/>
          </w:tcPr>
          <w:p>
            <w:pPr>
              <w:spacing w:after="0"/>
              <w:rPr>
                <w:sz w:val="1"/>
                <w:szCs w:val="1"/>
                <w:color w:val="auto"/>
              </w:rPr>
            </w:pPr>
          </w:p>
        </w:tc>
      </w:tr>
      <w:tr>
        <w:trPr>
          <w:trHeight w:val="271"/>
        </w:trPr>
        <w:tc>
          <w:tcPr>
            <w:tcW w:w="5380" w:type="dxa"/>
            <w:vAlign w:val="bottom"/>
            <w:shd w:val="clear" w:color="auto" w:fill="CCEEFF"/>
          </w:tcPr>
          <w:p>
            <w:pPr>
              <w:ind w:left="40"/>
              <w:spacing w:after="0"/>
              <w:rPr>
                <w:sz w:val="20"/>
                <w:szCs w:val="20"/>
                <w:color w:val="auto"/>
              </w:rPr>
            </w:pPr>
            <w:r>
              <w:rPr>
                <w:rFonts w:ascii="Arial" w:cs="Arial" w:eastAsia="Arial" w:hAnsi="Arial"/>
                <w:sz w:val="14"/>
                <w:szCs w:val="14"/>
                <w:color w:val="auto"/>
              </w:rPr>
              <w:t>Add: Asset impairment charges</w:t>
            </w:r>
          </w:p>
        </w:tc>
        <w:tc>
          <w:tcPr>
            <w:tcW w:w="200" w:type="dxa"/>
            <w:vAlign w:val="bottom"/>
            <w:shd w:val="clear" w:color="auto" w:fill="CCEEFF"/>
          </w:tcPr>
          <w:p>
            <w:pPr>
              <w:spacing w:after="0"/>
              <w:rPr>
                <w:sz w:val="23"/>
                <w:szCs w:val="23"/>
                <w:color w:val="auto"/>
              </w:rPr>
            </w:pPr>
          </w:p>
        </w:tc>
        <w:tc>
          <w:tcPr>
            <w:tcW w:w="86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b w:val="1"/>
                <w:bCs w:val="1"/>
                <w:color w:val="auto"/>
              </w:rPr>
              <w:t>—</w:t>
            </w:r>
          </w:p>
        </w:tc>
        <w:tc>
          <w:tcPr>
            <w:tcW w:w="200" w:type="dxa"/>
            <w:vAlign w:val="bottom"/>
            <w:shd w:val="clear" w:color="auto" w:fill="CCEEFF"/>
          </w:tcPr>
          <w:p>
            <w:pPr>
              <w:spacing w:after="0"/>
              <w:rPr>
                <w:sz w:val="23"/>
                <w:szCs w:val="23"/>
                <w:color w:val="auto"/>
              </w:rPr>
            </w:pP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3"/>
                <w:szCs w:val="23"/>
                <w:color w:val="auto"/>
              </w:rPr>
            </w:pP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23"/>
                <w:szCs w:val="23"/>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b w:val="1"/>
                <w:bCs w:val="1"/>
                <w:color w:val="auto"/>
              </w:rPr>
              <w:t>—</w:t>
            </w:r>
          </w:p>
        </w:tc>
        <w:tc>
          <w:tcPr>
            <w:tcW w:w="200" w:type="dxa"/>
            <w:vAlign w:val="bottom"/>
            <w:shd w:val="clear" w:color="auto" w:fill="CCEEFF"/>
          </w:tcPr>
          <w:p>
            <w:pPr>
              <w:spacing w:after="0"/>
              <w:rPr>
                <w:sz w:val="23"/>
                <w:szCs w:val="23"/>
                <w:color w:val="auto"/>
              </w:rPr>
            </w:pPr>
          </w:p>
        </w:tc>
        <w:tc>
          <w:tcPr>
            <w:tcW w:w="7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7,450</w:t>
            </w: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(7,450)</w:t>
            </w:r>
          </w:p>
        </w:tc>
        <w:tc>
          <w:tcPr>
            <w:tcW w:w="0" w:type="dxa"/>
            <w:vAlign w:val="bottom"/>
          </w:tcPr>
          <w:p>
            <w:pPr>
              <w:spacing w:after="0"/>
              <w:rPr>
                <w:sz w:val="1"/>
                <w:szCs w:val="1"/>
                <w:color w:val="auto"/>
              </w:rPr>
            </w:pPr>
          </w:p>
        </w:tc>
      </w:tr>
      <w:tr>
        <w:trPr>
          <w:trHeight w:val="269"/>
        </w:trPr>
        <w:tc>
          <w:tcPr>
            <w:tcW w:w="5380" w:type="dxa"/>
            <w:vAlign w:val="bottom"/>
          </w:tcPr>
          <w:p>
            <w:pPr>
              <w:ind w:left="40"/>
              <w:spacing w:after="0"/>
              <w:rPr>
                <w:sz w:val="20"/>
                <w:szCs w:val="20"/>
                <w:color w:val="auto"/>
              </w:rPr>
            </w:pPr>
            <w:r>
              <w:rPr>
                <w:rFonts w:ascii="Arial" w:cs="Arial" w:eastAsia="Arial" w:hAnsi="Arial"/>
                <w:sz w:val="14"/>
                <w:szCs w:val="14"/>
                <w:color w:val="auto"/>
              </w:rPr>
              <w:t>Add: Incentive allocations</w:t>
            </w:r>
          </w:p>
        </w:tc>
        <w:tc>
          <w:tcPr>
            <w:tcW w:w="200" w:type="dxa"/>
            <w:vAlign w:val="bottom"/>
          </w:tcPr>
          <w:p>
            <w:pPr>
              <w:spacing w:after="0"/>
              <w:rPr>
                <w:sz w:val="23"/>
                <w:szCs w:val="23"/>
                <w:color w:val="auto"/>
              </w:rPr>
            </w:pPr>
          </w:p>
        </w:tc>
        <w:tc>
          <w:tcPr>
            <w:tcW w:w="86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rPr>
              <w:t>—</w:t>
            </w:r>
          </w:p>
        </w:tc>
        <w:tc>
          <w:tcPr>
            <w:tcW w:w="200" w:type="dxa"/>
            <w:vAlign w:val="bottom"/>
          </w:tcPr>
          <w:p>
            <w:pPr>
              <w:spacing w:after="0"/>
              <w:rPr>
                <w:sz w:val="23"/>
                <w:szCs w:val="23"/>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3"/>
                <w:szCs w:val="23"/>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3"/>
                <w:szCs w:val="23"/>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rPr>
              <w:t>—</w:t>
            </w:r>
          </w:p>
        </w:tc>
        <w:tc>
          <w:tcPr>
            <w:tcW w:w="200" w:type="dxa"/>
            <w:vAlign w:val="bottom"/>
          </w:tcPr>
          <w:p>
            <w:pPr>
              <w:spacing w:after="0"/>
              <w:rPr>
                <w:sz w:val="23"/>
                <w:szCs w:val="23"/>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3"/>
                <w:szCs w:val="23"/>
                <w:color w:val="auto"/>
              </w:rPr>
            </w:pPr>
          </w:p>
        </w:tc>
        <w:tc>
          <w:tcPr>
            <w:tcW w:w="74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1"/>
        </w:trPr>
        <w:tc>
          <w:tcPr>
            <w:tcW w:w="5380" w:type="dxa"/>
            <w:vAlign w:val="bottom"/>
            <w:shd w:val="clear" w:color="auto" w:fill="CCEEFF"/>
          </w:tcPr>
          <w:p>
            <w:pPr>
              <w:ind w:left="40"/>
              <w:spacing w:after="0"/>
              <w:rPr>
                <w:sz w:val="20"/>
                <w:szCs w:val="20"/>
                <w:color w:val="auto"/>
              </w:rPr>
            </w:pPr>
            <w:r>
              <w:rPr>
                <w:rFonts w:ascii="Arial" w:cs="Arial" w:eastAsia="Arial" w:hAnsi="Arial"/>
                <w:sz w:val="14"/>
                <w:szCs w:val="14"/>
                <w:color w:val="auto"/>
              </w:rPr>
              <w:t xml:space="preserve">Add: Depreciation and amortization expense </w:t>
            </w:r>
            <w:r>
              <w:rPr>
                <w:rFonts w:ascii="Arial" w:cs="Arial" w:eastAsia="Arial" w:hAnsi="Arial"/>
                <w:sz w:val="17"/>
                <w:szCs w:val="17"/>
                <w:color w:val="auto"/>
                <w:vertAlign w:val="superscript"/>
              </w:rPr>
              <w:t>(3)</w:t>
            </w:r>
          </w:p>
        </w:tc>
        <w:tc>
          <w:tcPr>
            <w:tcW w:w="200" w:type="dxa"/>
            <w:vAlign w:val="bottom"/>
            <w:shd w:val="clear" w:color="auto" w:fill="CCEEFF"/>
          </w:tcPr>
          <w:p>
            <w:pPr>
              <w:spacing w:after="0"/>
              <w:rPr>
                <w:sz w:val="23"/>
                <w:szCs w:val="23"/>
                <w:color w:val="auto"/>
              </w:rPr>
            </w:pPr>
          </w:p>
        </w:tc>
        <w:tc>
          <w:tcPr>
            <w:tcW w:w="74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26,686</w:t>
            </w: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7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16,885</w:t>
            </w: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7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9,801</w:t>
            </w: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70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67,575</w:t>
            </w: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7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48,076</w:t>
            </w: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7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19,499</w:t>
            </w:r>
          </w:p>
        </w:tc>
        <w:tc>
          <w:tcPr>
            <w:tcW w:w="0" w:type="dxa"/>
            <w:vAlign w:val="bottom"/>
          </w:tcPr>
          <w:p>
            <w:pPr>
              <w:spacing w:after="0"/>
              <w:rPr>
                <w:sz w:val="1"/>
                <w:szCs w:val="1"/>
                <w:color w:val="auto"/>
              </w:rPr>
            </w:pPr>
          </w:p>
        </w:tc>
      </w:tr>
      <w:tr>
        <w:trPr>
          <w:trHeight w:val="269"/>
        </w:trPr>
        <w:tc>
          <w:tcPr>
            <w:tcW w:w="5380" w:type="dxa"/>
            <w:vAlign w:val="bottom"/>
          </w:tcPr>
          <w:p>
            <w:pPr>
              <w:ind w:left="40"/>
              <w:spacing w:after="0"/>
              <w:rPr>
                <w:sz w:val="20"/>
                <w:szCs w:val="20"/>
                <w:color w:val="auto"/>
              </w:rPr>
            </w:pPr>
            <w:r>
              <w:rPr>
                <w:rFonts w:ascii="Arial" w:cs="Arial" w:eastAsia="Arial" w:hAnsi="Arial"/>
                <w:sz w:val="14"/>
                <w:szCs w:val="14"/>
                <w:color w:val="auto"/>
              </w:rPr>
              <w:t>Add: Interest expense</w:t>
            </w:r>
          </w:p>
        </w:tc>
        <w:tc>
          <w:tcPr>
            <w:tcW w:w="200" w:type="dxa"/>
            <w:vAlign w:val="bottom"/>
          </w:tcPr>
          <w:p>
            <w:pPr>
              <w:spacing w:after="0"/>
              <w:rPr>
                <w:sz w:val="23"/>
                <w:szCs w:val="23"/>
                <w:color w:val="auto"/>
              </w:rPr>
            </w:pPr>
          </w:p>
        </w:tc>
        <w:tc>
          <w:tcPr>
            <w:tcW w:w="740" w:type="dxa"/>
            <w:vAlign w:val="bottom"/>
          </w:tcPr>
          <w:p>
            <w:pPr>
              <w:jc w:val="right"/>
              <w:ind w:right="48"/>
              <w:spacing w:after="0"/>
              <w:rPr>
                <w:sz w:val="20"/>
                <w:szCs w:val="20"/>
                <w:color w:val="auto"/>
              </w:rPr>
            </w:pPr>
            <w:r>
              <w:rPr>
                <w:rFonts w:ascii="Arial" w:cs="Arial" w:eastAsia="Arial" w:hAnsi="Arial"/>
                <w:sz w:val="14"/>
                <w:szCs w:val="14"/>
                <w:b w:val="1"/>
                <w:bCs w:val="1"/>
                <w:color w:val="auto"/>
              </w:rPr>
              <w:t>8,914</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20" w:type="dxa"/>
            <w:vAlign w:val="bottom"/>
          </w:tcPr>
          <w:p>
            <w:pPr>
              <w:jc w:val="right"/>
              <w:ind w:right="48"/>
              <w:spacing w:after="0"/>
              <w:rPr>
                <w:sz w:val="20"/>
                <w:szCs w:val="20"/>
                <w:color w:val="auto"/>
              </w:rPr>
            </w:pPr>
            <w:r>
              <w:rPr>
                <w:rFonts w:ascii="Arial" w:cs="Arial" w:eastAsia="Arial" w:hAnsi="Arial"/>
                <w:sz w:val="14"/>
                <w:szCs w:val="14"/>
                <w:color w:val="auto"/>
              </w:rPr>
              <w:t>5,416</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80" w:type="dxa"/>
            <w:vAlign w:val="bottom"/>
          </w:tcPr>
          <w:p>
            <w:pPr>
              <w:jc w:val="right"/>
              <w:ind w:right="48"/>
              <w:spacing w:after="0"/>
              <w:rPr>
                <w:sz w:val="20"/>
                <w:szCs w:val="20"/>
                <w:color w:val="auto"/>
              </w:rPr>
            </w:pPr>
            <w:r>
              <w:rPr>
                <w:rFonts w:ascii="Arial" w:cs="Arial" w:eastAsia="Arial" w:hAnsi="Arial"/>
                <w:sz w:val="14"/>
                <w:szCs w:val="14"/>
                <w:color w:val="auto"/>
              </w:rPr>
              <w:t>3,498</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00" w:type="dxa"/>
            <w:vAlign w:val="bottom"/>
          </w:tcPr>
          <w:p>
            <w:pPr>
              <w:jc w:val="right"/>
              <w:ind w:right="28"/>
              <w:spacing w:after="0"/>
              <w:rPr>
                <w:sz w:val="20"/>
                <w:szCs w:val="20"/>
                <w:color w:val="auto"/>
              </w:rPr>
            </w:pPr>
            <w:r>
              <w:rPr>
                <w:rFonts w:ascii="Arial" w:cs="Arial" w:eastAsia="Arial" w:hAnsi="Arial"/>
                <w:sz w:val="14"/>
                <w:szCs w:val="14"/>
                <w:b w:val="1"/>
                <w:bCs w:val="1"/>
                <w:color w:val="auto"/>
              </w:rPr>
              <w:t>21,292</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00" w:type="dxa"/>
            <w:vAlign w:val="bottom"/>
          </w:tcPr>
          <w:p>
            <w:pPr>
              <w:jc w:val="right"/>
              <w:ind w:right="28"/>
              <w:spacing w:after="0"/>
              <w:rPr>
                <w:sz w:val="20"/>
                <w:szCs w:val="20"/>
                <w:color w:val="auto"/>
              </w:rPr>
            </w:pPr>
            <w:r>
              <w:rPr>
                <w:rFonts w:ascii="Arial" w:cs="Arial" w:eastAsia="Arial" w:hAnsi="Arial"/>
                <w:sz w:val="14"/>
                <w:szCs w:val="14"/>
                <w:color w:val="auto"/>
              </w:rPr>
              <w:t>15,839</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40" w:type="dxa"/>
            <w:vAlign w:val="bottom"/>
          </w:tcPr>
          <w:p>
            <w:pPr>
              <w:jc w:val="right"/>
              <w:ind w:right="28"/>
              <w:spacing w:after="0"/>
              <w:rPr>
                <w:sz w:val="20"/>
                <w:szCs w:val="20"/>
                <w:color w:val="auto"/>
              </w:rPr>
            </w:pPr>
            <w:r>
              <w:rPr>
                <w:rFonts w:ascii="Arial" w:cs="Arial" w:eastAsia="Arial" w:hAnsi="Arial"/>
                <w:sz w:val="14"/>
                <w:szCs w:val="14"/>
                <w:color w:val="auto"/>
              </w:rPr>
              <w:t>5,453</w:t>
            </w:r>
          </w:p>
        </w:tc>
        <w:tc>
          <w:tcPr>
            <w:tcW w:w="0" w:type="dxa"/>
            <w:vAlign w:val="bottom"/>
          </w:tcPr>
          <w:p>
            <w:pPr>
              <w:spacing w:after="0"/>
              <w:rPr>
                <w:sz w:val="1"/>
                <w:szCs w:val="1"/>
                <w:color w:val="auto"/>
              </w:rPr>
            </w:pPr>
          </w:p>
        </w:tc>
      </w:tr>
      <w:tr>
        <w:trPr>
          <w:trHeight w:val="271"/>
        </w:trPr>
        <w:tc>
          <w:tcPr>
            <w:tcW w:w="5380" w:type="dxa"/>
            <w:vAlign w:val="bottom"/>
            <w:shd w:val="clear" w:color="auto" w:fill="CCEEFF"/>
          </w:tcPr>
          <w:p>
            <w:pPr>
              <w:ind w:left="40"/>
              <w:spacing w:after="0"/>
              <w:rPr>
                <w:sz w:val="20"/>
                <w:szCs w:val="20"/>
                <w:color w:val="auto"/>
              </w:rPr>
            </w:pPr>
            <w:r>
              <w:rPr>
                <w:rFonts w:ascii="Arial" w:cs="Arial" w:eastAsia="Arial" w:hAnsi="Arial"/>
                <w:sz w:val="14"/>
                <w:szCs w:val="14"/>
                <w:color w:val="auto"/>
              </w:rPr>
              <w:t xml:space="preserve">Add: Pro-rata share of Adjusted EBITDA from unconsolidated entities </w:t>
            </w:r>
            <w:r>
              <w:rPr>
                <w:rFonts w:ascii="Arial" w:cs="Arial" w:eastAsia="Arial" w:hAnsi="Arial"/>
                <w:sz w:val="17"/>
                <w:szCs w:val="17"/>
                <w:color w:val="auto"/>
                <w:vertAlign w:val="superscript"/>
              </w:rPr>
              <w:t>(4)</w:t>
            </w:r>
          </w:p>
        </w:tc>
        <w:tc>
          <w:tcPr>
            <w:tcW w:w="200" w:type="dxa"/>
            <w:vAlign w:val="bottom"/>
            <w:shd w:val="clear" w:color="auto" w:fill="CCEEFF"/>
          </w:tcPr>
          <w:p>
            <w:pPr>
              <w:spacing w:after="0"/>
              <w:rPr>
                <w:sz w:val="23"/>
                <w:szCs w:val="23"/>
                <w:color w:val="auto"/>
              </w:rPr>
            </w:pPr>
          </w:p>
        </w:tc>
        <w:tc>
          <w:tcPr>
            <w:tcW w:w="74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282</w:t>
            </w: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(287)</w:t>
            </w: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7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569</w:t>
            </w: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(209)</w:t>
            </w: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7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1,873</w:t>
            </w: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(2,082)</w:t>
            </w:r>
          </w:p>
        </w:tc>
        <w:tc>
          <w:tcPr>
            <w:tcW w:w="0" w:type="dxa"/>
            <w:vAlign w:val="bottom"/>
          </w:tcPr>
          <w:p>
            <w:pPr>
              <w:spacing w:after="0"/>
              <w:rPr>
                <w:sz w:val="1"/>
                <w:szCs w:val="1"/>
                <w:color w:val="auto"/>
              </w:rPr>
            </w:pPr>
          </w:p>
        </w:tc>
      </w:tr>
      <w:tr>
        <w:trPr>
          <w:trHeight w:val="269"/>
        </w:trPr>
        <w:tc>
          <w:tcPr>
            <w:tcW w:w="5380" w:type="dxa"/>
            <w:vAlign w:val="bottom"/>
          </w:tcPr>
          <w:p>
            <w:pPr>
              <w:ind w:left="40"/>
              <w:spacing w:after="0"/>
              <w:rPr>
                <w:sz w:val="20"/>
                <w:szCs w:val="20"/>
                <w:color w:val="auto"/>
              </w:rPr>
            </w:pPr>
            <w:r>
              <w:rPr>
                <w:rFonts w:ascii="Arial" w:cs="Arial" w:eastAsia="Arial" w:hAnsi="Arial"/>
                <w:sz w:val="14"/>
                <w:szCs w:val="14"/>
                <w:color w:val="auto"/>
              </w:rPr>
              <w:t>Less: Equity in losses of unconsolidated entities</w:t>
            </w:r>
          </w:p>
        </w:tc>
        <w:tc>
          <w:tcPr>
            <w:tcW w:w="200" w:type="dxa"/>
            <w:vAlign w:val="bottom"/>
          </w:tcPr>
          <w:p>
            <w:pPr>
              <w:spacing w:after="0"/>
              <w:rPr>
                <w:sz w:val="23"/>
                <w:szCs w:val="23"/>
                <w:color w:val="auto"/>
              </w:rPr>
            </w:pPr>
          </w:p>
        </w:tc>
        <w:tc>
          <w:tcPr>
            <w:tcW w:w="740" w:type="dxa"/>
            <w:vAlign w:val="bottom"/>
          </w:tcPr>
          <w:p>
            <w:pPr>
              <w:jc w:val="right"/>
              <w:ind w:right="8"/>
              <w:spacing w:after="0"/>
              <w:rPr>
                <w:sz w:val="20"/>
                <w:szCs w:val="20"/>
                <w:color w:val="auto"/>
              </w:rPr>
            </w:pPr>
            <w:r>
              <w:rPr>
                <w:rFonts w:ascii="Arial" w:cs="Arial" w:eastAsia="Arial" w:hAnsi="Arial"/>
                <w:sz w:val="14"/>
                <w:szCs w:val="14"/>
                <w:b w:val="1"/>
                <w:bCs w:val="1"/>
                <w:color w:val="auto"/>
              </w:rPr>
              <w:t>(132)</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20" w:type="dxa"/>
            <w:vAlign w:val="bottom"/>
          </w:tcPr>
          <w:p>
            <w:pPr>
              <w:jc w:val="right"/>
              <w:ind w:right="48"/>
              <w:spacing w:after="0"/>
              <w:rPr>
                <w:sz w:val="20"/>
                <w:szCs w:val="20"/>
                <w:color w:val="auto"/>
              </w:rPr>
            </w:pPr>
            <w:r>
              <w:rPr>
                <w:rFonts w:ascii="Arial" w:cs="Arial" w:eastAsia="Arial" w:hAnsi="Arial"/>
                <w:sz w:val="14"/>
                <w:szCs w:val="14"/>
                <w:color w:val="auto"/>
              </w:rPr>
              <w:t>1,161</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80" w:type="dxa"/>
            <w:vAlign w:val="bottom"/>
          </w:tcPr>
          <w:p>
            <w:pPr>
              <w:jc w:val="right"/>
              <w:ind w:right="8"/>
              <w:spacing w:after="0"/>
              <w:rPr>
                <w:sz w:val="20"/>
                <w:szCs w:val="20"/>
                <w:color w:val="auto"/>
              </w:rPr>
            </w:pPr>
            <w:r>
              <w:rPr>
                <w:rFonts w:ascii="Arial" w:cs="Arial" w:eastAsia="Arial" w:hAnsi="Arial"/>
                <w:sz w:val="14"/>
                <w:szCs w:val="14"/>
                <w:color w:val="auto"/>
              </w:rPr>
              <w:t>(1,293)</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00" w:type="dxa"/>
            <w:vAlign w:val="bottom"/>
          </w:tcPr>
          <w:p>
            <w:pPr>
              <w:jc w:val="right"/>
              <w:ind w:right="28"/>
              <w:spacing w:after="0"/>
              <w:rPr>
                <w:sz w:val="20"/>
                <w:szCs w:val="20"/>
                <w:color w:val="auto"/>
              </w:rPr>
            </w:pPr>
            <w:r>
              <w:rPr>
                <w:rFonts w:ascii="Arial" w:cs="Arial" w:eastAsia="Arial" w:hAnsi="Arial"/>
                <w:sz w:val="14"/>
                <w:szCs w:val="14"/>
                <w:b w:val="1"/>
                <w:bCs w:val="1"/>
                <w:color w:val="auto"/>
              </w:rPr>
              <w:t>1,461</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00" w:type="dxa"/>
            <w:vAlign w:val="bottom"/>
          </w:tcPr>
          <w:p>
            <w:pPr>
              <w:jc w:val="right"/>
              <w:ind w:right="28"/>
              <w:spacing w:after="0"/>
              <w:rPr>
                <w:sz w:val="20"/>
                <w:szCs w:val="20"/>
                <w:color w:val="auto"/>
              </w:rPr>
            </w:pPr>
            <w:r>
              <w:rPr>
                <w:rFonts w:ascii="Arial" w:cs="Arial" w:eastAsia="Arial" w:hAnsi="Arial"/>
                <w:sz w:val="14"/>
                <w:szCs w:val="14"/>
                <w:color w:val="auto"/>
              </w:rPr>
              <w:t>1,335</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40" w:type="dxa"/>
            <w:vAlign w:val="bottom"/>
          </w:tcPr>
          <w:p>
            <w:pPr>
              <w:jc w:val="right"/>
              <w:ind w:right="28"/>
              <w:spacing w:after="0"/>
              <w:rPr>
                <w:sz w:val="20"/>
                <w:szCs w:val="20"/>
                <w:color w:val="auto"/>
              </w:rPr>
            </w:pPr>
            <w:r>
              <w:rPr>
                <w:rFonts w:ascii="Arial" w:cs="Arial" w:eastAsia="Arial" w:hAnsi="Arial"/>
                <w:sz w:val="14"/>
                <w:szCs w:val="14"/>
                <w:color w:val="auto"/>
              </w:rPr>
              <w:t>126</w:t>
            </w:r>
          </w:p>
        </w:tc>
        <w:tc>
          <w:tcPr>
            <w:tcW w:w="0" w:type="dxa"/>
            <w:vAlign w:val="bottom"/>
          </w:tcPr>
          <w:p>
            <w:pPr>
              <w:spacing w:after="0"/>
              <w:rPr>
                <w:sz w:val="1"/>
                <w:szCs w:val="1"/>
                <w:color w:val="auto"/>
              </w:rPr>
            </w:pPr>
          </w:p>
        </w:tc>
      </w:tr>
      <w:tr>
        <w:trPr>
          <w:trHeight w:val="271"/>
        </w:trPr>
        <w:tc>
          <w:tcPr>
            <w:tcW w:w="5380" w:type="dxa"/>
            <w:vAlign w:val="bottom"/>
            <w:shd w:val="clear" w:color="auto" w:fill="CCEEFF"/>
          </w:tcPr>
          <w:p>
            <w:pPr>
              <w:ind w:left="40"/>
              <w:spacing w:after="0"/>
              <w:rPr>
                <w:sz w:val="20"/>
                <w:szCs w:val="20"/>
                <w:color w:val="auto"/>
              </w:rPr>
            </w:pPr>
            <w:r>
              <w:rPr>
                <w:rFonts w:ascii="Arial" w:cs="Arial" w:eastAsia="Arial" w:hAnsi="Arial"/>
                <w:sz w:val="14"/>
                <w:szCs w:val="14"/>
                <w:color w:val="auto"/>
              </w:rPr>
              <w:t xml:space="preserve">Less: Non-controlling share of Adjusted EBITDA </w:t>
            </w:r>
            <w:r>
              <w:rPr>
                <w:rFonts w:ascii="Arial" w:cs="Arial" w:eastAsia="Arial" w:hAnsi="Arial"/>
                <w:sz w:val="17"/>
                <w:szCs w:val="17"/>
                <w:color w:val="auto"/>
                <w:vertAlign w:val="superscript"/>
              </w:rPr>
              <w:t>(5)</w:t>
            </w:r>
          </w:p>
        </w:tc>
        <w:tc>
          <w:tcPr>
            <w:tcW w:w="200" w:type="dxa"/>
            <w:vAlign w:val="bottom"/>
            <w:tcBorders>
              <w:bottom w:val="single" w:sz="8" w:color="auto"/>
            </w:tcBorders>
            <w:shd w:val="clear" w:color="auto" w:fill="CCEEFF"/>
          </w:tcPr>
          <w:p>
            <w:pPr>
              <w:spacing w:after="0"/>
              <w:rPr>
                <w:sz w:val="23"/>
                <w:szCs w:val="23"/>
                <w:color w:val="auto"/>
              </w:rPr>
            </w:pPr>
          </w:p>
        </w:tc>
        <w:tc>
          <w:tcPr>
            <w:tcW w:w="74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(2,753)</w:t>
            </w:r>
          </w:p>
        </w:tc>
        <w:tc>
          <w:tcPr>
            <w:tcW w:w="12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(3,379)</w:t>
            </w:r>
          </w:p>
        </w:tc>
        <w:tc>
          <w:tcPr>
            <w:tcW w:w="12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78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626</w:t>
            </w:r>
          </w:p>
        </w:tc>
        <w:tc>
          <w:tcPr>
            <w:tcW w:w="10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(7,272)</w:t>
            </w:r>
          </w:p>
        </w:tc>
        <w:tc>
          <w:tcPr>
            <w:tcW w:w="10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(12,314)</w:t>
            </w:r>
          </w:p>
        </w:tc>
        <w:tc>
          <w:tcPr>
            <w:tcW w:w="10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7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5,042</w:t>
            </w:r>
          </w:p>
        </w:tc>
        <w:tc>
          <w:tcPr>
            <w:tcW w:w="0" w:type="dxa"/>
            <w:vAlign w:val="bottom"/>
          </w:tcPr>
          <w:p>
            <w:pPr>
              <w:spacing w:after="0"/>
              <w:rPr>
                <w:sz w:val="1"/>
                <w:szCs w:val="1"/>
                <w:color w:val="auto"/>
              </w:rPr>
            </w:pPr>
          </w:p>
        </w:tc>
      </w:tr>
      <w:tr>
        <w:trPr>
          <w:trHeight w:val="248"/>
        </w:trPr>
        <w:tc>
          <w:tcPr>
            <w:tcW w:w="5380" w:type="dxa"/>
            <w:vAlign w:val="bottom"/>
          </w:tcPr>
          <w:p>
            <w:pPr>
              <w:ind w:left="40"/>
              <w:spacing w:after="0"/>
              <w:rPr>
                <w:sz w:val="20"/>
                <w:szCs w:val="20"/>
                <w:color w:val="auto"/>
              </w:rPr>
            </w:pPr>
            <w:r>
              <w:rPr>
                <w:rFonts w:ascii="Arial" w:cs="Arial" w:eastAsia="Arial" w:hAnsi="Arial"/>
                <w:sz w:val="14"/>
                <w:szCs w:val="14"/>
                <w:b w:val="1"/>
                <w:bCs w:val="1"/>
                <w:color w:val="auto"/>
              </w:rPr>
              <w:t>Adjusted EBITDA (non-GAAP)</w:t>
            </w:r>
          </w:p>
        </w:tc>
        <w:tc>
          <w:tcPr>
            <w:tcW w:w="200" w:type="dxa"/>
            <w:vAlign w:val="bottom"/>
          </w:tcPr>
          <w:p>
            <w:pPr>
              <w:jc w:val="right"/>
              <w:ind w:right="8"/>
              <w:spacing w:after="0"/>
              <w:rPr>
                <w:sz w:val="20"/>
                <w:szCs w:val="20"/>
                <w:color w:val="auto"/>
              </w:rPr>
            </w:pPr>
            <w:r>
              <w:rPr>
                <w:rFonts w:ascii="Arial" w:cs="Arial" w:eastAsia="Arial" w:hAnsi="Arial"/>
                <w:sz w:val="14"/>
                <w:szCs w:val="14"/>
                <w:b w:val="1"/>
                <w:bCs w:val="1"/>
                <w:color w:val="auto"/>
              </w:rPr>
              <w:t>$</w:t>
            </w:r>
          </w:p>
        </w:tc>
        <w:tc>
          <w:tcPr>
            <w:tcW w:w="740" w:type="dxa"/>
            <w:vAlign w:val="bottom"/>
          </w:tcPr>
          <w:p>
            <w:pPr>
              <w:jc w:val="right"/>
              <w:ind w:right="48"/>
              <w:spacing w:after="0"/>
              <w:rPr>
                <w:sz w:val="20"/>
                <w:szCs w:val="20"/>
                <w:color w:val="auto"/>
              </w:rPr>
            </w:pPr>
            <w:r>
              <w:rPr>
                <w:rFonts w:ascii="Arial" w:cs="Arial" w:eastAsia="Arial" w:hAnsi="Arial"/>
                <w:sz w:val="14"/>
                <w:szCs w:val="14"/>
                <w:b w:val="1"/>
                <w:bCs w:val="1"/>
                <w:color w:val="auto"/>
              </w:rPr>
              <w:t>37,765</w:t>
            </w:r>
          </w:p>
        </w:tc>
        <w:tc>
          <w:tcPr>
            <w:tcW w:w="120" w:type="dxa"/>
            <w:vAlign w:val="bottom"/>
          </w:tcPr>
          <w:p>
            <w:pPr>
              <w:spacing w:after="0"/>
              <w:rPr>
                <w:sz w:val="21"/>
                <w:szCs w:val="21"/>
                <w:color w:val="auto"/>
              </w:rPr>
            </w:pP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720" w:type="dxa"/>
            <w:vAlign w:val="bottom"/>
          </w:tcPr>
          <w:p>
            <w:pPr>
              <w:jc w:val="right"/>
              <w:ind w:right="48"/>
              <w:spacing w:after="0"/>
              <w:rPr>
                <w:sz w:val="20"/>
                <w:szCs w:val="20"/>
                <w:color w:val="auto"/>
              </w:rPr>
            </w:pPr>
            <w:r>
              <w:rPr>
                <w:rFonts w:ascii="Arial" w:cs="Arial" w:eastAsia="Arial" w:hAnsi="Arial"/>
                <w:sz w:val="14"/>
                <w:szCs w:val="14"/>
                <w:color w:val="auto"/>
              </w:rPr>
              <w:t>20,319</w:t>
            </w:r>
          </w:p>
        </w:tc>
        <w:tc>
          <w:tcPr>
            <w:tcW w:w="1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780" w:type="dxa"/>
            <w:vAlign w:val="bottom"/>
          </w:tcPr>
          <w:p>
            <w:pPr>
              <w:jc w:val="right"/>
              <w:ind w:right="48"/>
              <w:spacing w:after="0"/>
              <w:rPr>
                <w:sz w:val="20"/>
                <w:szCs w:val="20"/>
                <w:color w:val="auto"/>
              </w:rPr>
            </w:pPr>
            <w:r>
              <w:rPr>
                <w:rFonts w:ascii="Arial" w:cs="Arial" w:eastAsia="Arial" w:hAnsi="Arial"/>
                <w:sz w:val="14"/>
                <w:szCs w:val="14"/>
                <w:color w:val="auto"/>
              </w:rPr>
              <w:t>17,446</w:t>
            </w:r>
          </w:p>
        </w:tc>
        <w:tc>
          <w:tcPr>
            <w:tcW w:w="100" w:type="dxa"/>
            <w:vAlign w:val="bottom"/>
          </w:tcPr>
          <w:p>
            <w:pPr>
              <w:spacing w:after="0"/>
              <w:rPr>
                <w:sz w:val="21"/>
                <w:szCs w:val="21"/>
                <w:color w:val="auto"/>
              </w:rPr>
            </w:pPr>
          </w:p>
        </w:tc>
        <w:tc>
          <w:tcPr>
            <w:tcW w:w="200" w:type="dxa"/>
            <w:vAlign w:val="bottom"/>
          </w:tcPr>
          <w:p>
            <w:pPr>
              <w:jc w:val="right"/>
              <w:ind w:right="8"/>
              <w:spacing w:after="0"/>
              <w:rPr>
                <w:sz w:val="20"/>
                <w:szCs w:val="20"/>
                <w:color w:val="auto"/>
              </w:rPr>
            </w:pPr>
            <w:r>
              <w:rPr>
                <w:rFonts w:ascii="Arial" w:cs="Arial" w:eastAsia="Arial" w:hAnsi="Arial"/>
                <w:sz w:val="14"/>
                <w:szCs w:val="14"/>
                <w:b w:val="1"/>
                <w:bCs w:val="1"/>
                <w:color w:val="auto"/>
              </w:rPr>
              <w:t>$</w:t>
            </w:r>
          </w:p>
        </w:tc>
        <w:tc>
          <w:tcPr>
            <w:tcW w:w="700" w:type="dxa"/>
            <w:vAlign w:val="bottom"/>
          </w:tcPr>
          <w:p>
            <w:pPr>
              <w:jc w:val="right"/>
              <w:ind w:right="28"/>
              <w:spacing w:after="0"/>
              <w:rPr>
                <w:sz w:val="20"/>
                <w:szCs w:val="20"/>
                <w:color w:val="auto"/>
              </w:rPr>
            </w:pPr>
            <w:r>
              <w:rPr>
                <w:rFonts w:ascii="Arial" w:cs="Arial" w:eastAsia="Arial" w:hAnsi="Arial"/>
                <w:sz w:val="14"/>
                <w:szCs w:val="14"/>
                <w:b w:val="1"/>
                <w:bCs w:val="1"/>
                <w:color w:val="auto"/>
              </w:rPr>
              <w:t>88,735</w:t>
            </w:r>
          </w:p>
        </w:tc>
        <w:tc>
          <w:tcPr>
            <w:tcW w:w="100" w:type="dxa"/>
            <w:vAlign w:val="bottom"/>
          </w:tcPr>
          <w:p>
            <w:pPr>
              <w:spacing w:after="0"/>
              <w:rPr>
                <w:sz w:val="21"/>
                <w:szCs w:val="21"/>
                <w:color w:val="auto"/>
              </w:rPr>
            </w:pPr>
          </w:p>
        </w:tc>
        <w:tc>
          <w:tcPr>
            <w:tcW w:w="20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700" w:type="dxa"/>
            <w:vAlign w:val="bottom"/>
          </w:tcPr>
          <w:p>
            <w:pPr>
              <w:jc w:val="right"/>
              <w:ind w:right="28"/>
              <w:spacing w:after="0"/>
              <w:rPr>
                <w:sz w:val="20"/>
                <w:szCs w:val="20"/>
                <w:color w:val="auto"/>
              </w:rPr>
            </w:pPr>
            <w:r>
              <w:rPr>
                <w:rFonts w:ascii="Arial" w:cs="Arial" w:eastAsia="Arial" w:hAnsi="Arial"/>
                <w:sz w:val="14"/>
                <w:szCs w:val="14"/>
                <w:color w:val="auto"/>
              </w:rPr>
              <w:t>46,589</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740" w:type="dxa"/>
            <w:vAlign w:val="bottom"/>
          </w:tcPr>
          <w:p>
            <w:pPr>
              <w:jc w:val="right"/>
              <w:ind w:right="28"/>
              <w:spacing w:after="0"/>
              <w:rPr>
                <w:sz w:val="20"/>
                <w:szCs w:val="20"/>
                <w:color w:val="auto"/>
              </w:rPr>
            </w:pPr>
            <w:r>
              <w:rPr>
                <w:rFonts w:ascii="Arial" w:cs="Arial" w:eastAsia="Arial" w:hAnsi="Arial"/>
                <w:sz w:val="14"/>
                <w:szCs w:val="14"/>
                <w:color w:val="auto"/>
              </w:rPr>
              <w:t>42,146</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3418205</wp:posOffset>
            </wp:positionH>
            <wp:positionV relativeFrom="paragraph">
              <wp:posOffset>-6350</wp:posOffset>
            </wp:positionV>
            <wp:extent cx="383349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833495" cy="889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_______________________________________________________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3418205</wp:posOffset>
            </wp:positionH>
            <wp:positionV relativeFrom="paragraph">
              <wp:posOffset>-125095</wp:posOffset>
            </wp:positionV>
            <wp:extent cx="3833495"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833495" cy="8890"/>
                    </a:xfrm>
                    <a:prstGeom prst="rect">
                      <a:avLst/>
                    </a:prstGeom>
                    <a:noFill/>
                  </pic:spPr>
                </pic:pic>
              </a:graphicData>
            </a:graphic>
          </wp:anchor>
        </w:drawing>
      </w:r>
    </w:p>
    <w:p>
      <w:pPr>
        <w:spacing w:after="0" w:line="161" w:lineRule="exact"/>
        <w:rPr>
          <w:sz w:val="20"/>
          <w:szCs w:val="20"/>
          <w:color w:val="auto"/>
        </w:rPr>
      </w:pPr>
    </w:p>
    <w:p>
      <w:pPr>
        <w:ind w:left="500" w:hanging="492"/>
        <w:spacing w:after="0"/>
        <w:tabs>
          <w:tab w:leader="none" w:pos="149" w:val="left"/>
        </w:tabs>
        <w:numPr>
          <w:ilvl w:val="0"/>
          <w:numId w:val="12"/>
        </w:numPr>
        <w:rPr>
          <w:rFonts w:ascii="Arial" w:cs="Arial" w:eastAsia="Arial" w:hAnsi="Arial"/>
          <w:sz w:val="17"/>
          <w:szCs w:val="17"/>
          <w:color w:val="auto"/>
          <w:vertAlign w:val="superscript"/>
        </w:rPr>
      </w:pPr>
      <w:r>
        <w:rPr>
          <w:rFonts w:ascii="Arial" w:cs="Arial" w:eastAsia="Arial" w:hAnsi="Arial"/>
          <w:sz w:val="14"/>
          <w:szCs w:val="14"/>
          <w:color w:val="auto"/>
        </w:rPr>
        <w:t>Depreciation and amortization expense includes $24,784 and $15,376 of depreciation and amortization expense, $1,147 and $1,403 of lease intangible amortization, and $755 and $106 of amortization for lease incentives in the three months ended September 30, 2017 and 2016, respectively. Depreciation and amortization expense includes $62,382 and $43,294 of depreciation and amortization expense, $3,494 and $4,557 of lease intangible amortization, and $1,699 and $225 of amortization for lease incentives in the nine months ended September 30, 2017 and 2016, respectively.</w:t>
      </w:r>
    </w:p>
    <w:p>
      <w:pPr>
        <w:spacing w:after="0" w:line="131" w:lineRule="exact"/>
        <w:rPr>
          <w:rFonts w:ascii="Arial" w:cs="Arial" w:eastAsia="Arial" w:hAnsi="Arial"/>
          <w:sz w:val="17"/>
          <w:szCs w:val="17"/>
          <w:color w:val="auto"/>
          <w:vertAlign w:val="superscript"/>
        </w:rPr>
      </w:pPr>
    </w:p>
    <w:p>
      <w:pPr>
        <w:ind w:left="500" w:hanging="492"/>
        <w:spacing w:after="0" w:line="232" w:lineRule="auto"/>
        <w:tabs>
          <w:tab w:leader="none" w:pos="169" w:val="left"/>
        </w:tabs>
        <w:numPr>
          <w:ilvl w:val="0"/>
          <w:numId w:val="12"/>
        </w:numPr>
        <w:rPr>
          <w:rFonts w:ascii="Arial" w:cs="Arial" w:eastAsia="Arial" w:hAnsi="Arial"/>
          <w:sz w:val="18"/>
          <w:szCs w:val="18"/>
          <w:color w:val="auto"/>
          <w:vertAlign w:val="superscript"/>
        </w:rPr>
      </w:pPr>
      <w:r>
        <w:rPr>
          <w:rFonts w:ascii="Arial" w:cs="Arial" w:eastAsia="Arial" w:hAnsi="Arial"/>
          <w:sz w:val="14"/>
          <w:szCs w:val="14"/>
          <w:color w:val="auto"/>
        </w:rPr>
        <w:t>Pro-rata share of Adjusted EBITDA from unconsolidated entities includes the following items for the three months ended September 30, 2017 and 2016: (i) net income (loss) of $86 and $(1,208), (ii) interest expense of $176 and $270, and (iii) depreciation and amortization expense</w:t>
      </w:r>
    </w:p>
    <w:p>
      <w:pPr>
        <w:sectPr>
          <w:pgSz w:w="11900" w:h="16838" w:orient="portrait"/>
          <w:cols w:equalWidth="0" w:num="1">
            <w:col w:w="11420"/>
          </w:cols>
          <w:pgMar w:left="240" w:top="691" w:right="239" w:bottom="1440" w:gutter="0" w:footer="0" w:header="0"/>
        </w:sect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46</w:t>
      </w:r>
    </w:p>
    <w:p>
      <w:pPr>
        <w:sectPr>
          <w:pgSz w:w="11900" w:h="16838" w:orient="portrait"/>
          <w:cols w:equalWidth="0" w:num="1">
            <w:col w:w="11420"/>
          </w:cols>
          <w:pgMar w:left="240" w:top="691" w:right="239" w:bottom="1440" w:gutter="0" w:footer="0" w:header="0"/>
          <w:type w:val="continuous"/>
        </w:sectPr>
      </w:pPr>
    </w:p>
    <w:bookmarkStart w:id="46" w:name="page47"/>
    <w:bookmarkEnd w:id="46"/>
    <w:p>
      <w:pPr>
        <w:ind w:left="500"/>
        <w:spacing w:after="0" w:line="291" w:lineRule="auto"/>
        <w:rPr>
          <w:sz w:val="20"/>
          <w:szCs w:val="20"/>
          <w:color w:val="auto"/>
        </w:rPr>
      </w:pPr>
      <w:r>
        <w:rPr>
          <w:rFonts w:ascii="Arial" w:cs="Arial" w:eastAsia="Arial" w:hAnsi="Arial"/>
          <w:sz w:val="14"/>
          <w:szCs w:val="14"/>
          <w:color w:val="auto"/>
        </w:rPr>
        <w:t>of $20 and $651, respectively. Pro-rata share of Adjusted EBITDA from unconsolidated entities includes the following items for the nine months ended September 30, 2017 and 2016: (i) net loss of $1,599 and $1,475, (ii) interest expense of $650 and $931, and (iii) depreciation and amortization expense of $740 and $2,417, respectively.</w:t>
      </w:r>
    </w:p>
    <w:p>
      <w:pPr>
        <w:spacing w:after="0" w:line="96" w:lineRule="exact"/>
        <w:rPr>
          <w:sz w:val="20"/>
          <w:szCs w:val="20"/>
          <w:color w:val="auto"/>
        </w:rPr>
      </w:pPr>
    </w:p>
    <w:p>
      <w:pPr>
        <w:ind w:left="500" w:hanging="492"/>
        <w:spacing w:after="0" w:line="238" w:lineRule="auto"/>
        <w:tabs>
          <w:tab w:leader="none" w:pos="169" w:val="left"/>
        </w:tabs>
        <w:numPr>
          <w:ilvl w:val="0"/>
          <w:numId w:val="13"/>
        </w:numPr>
        <w:rPr>
          <w:rFonts w:ascii="Arial" w:cs="Arial" w:eastAsia="Arial" w:hAnsi="Arial"/>
          <w:sz w:val="18"/>
          <w:szCs w:val="18"/>
          <w:color w:val="auto"/>
          <w:vertAlign w:val="superscript"/>
        </w:rPr>
      </w:pPr>
      <w:r>
        <w:rPr>
          <w:rFonts w:ascii="Arial" w:cs="Arial" w:eastAsia="Arial" w:hAnsi="Arial"/>
          <w:sz w:val="14"/>
          <w:szCs w:val="14"/>
          <w:color w:val="auto"/>
        </w:rPr>
        <w:t>Non-controlling share of Adjusted EBITDA is comprised of the following items for the three months ended September 30, 2017 and 2016: (i) equity based compensation of $43 and $6, (ii) provision for income taxes of $(1) and $8, (iii) interest expense of $485 and $1,538, (iv) depreciation and amortization expense of $1,822 and $1,671, (v) acquisition and transaction expenses of $0 and $156, and (vi) changes in fair value of non-hedge derivative instruments of $404 and $0, respectively. Non-controlling share of Adjusted EBITDA is comprised of the following items for the nine months ended September 30, 2017 and 2016: (i) equity based compensation of $118 and $(1,608), (ii) provision for income taxes of $12 and $22, (iii) interest expense of $1,489 and $4,494, (iv) depreciation and amortization expense of $5,249 and $4,909, (v) loss on extinguishment of debt of $0 and $616, (vi) changes in fair value of non-hedge derivative instruments of $404 and $0, (vii) acquisition and transaction expenses of $0 and $156, and (viii) asset impairment of $0 and $3,725, respectively.</w:t>
      </w:r>
    </w:p>
    <w:p>
      <w:pPr>
        <w:spacing w:after="0" w:line="12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00497F"/>
        </w:rPr>
        <w:t>Revenues</w:t>
      </w:r>
    </w:p>
    <w:p>
      <w:pPr>
        <w:spacing w:after="0" w:line="167" w:lineRule="exact"/>
        <w:rPr>
          <w:sz w:val="20"/>
          <w:szCs w:val="20"/>
          <w:color w:val="auto"/>
        </w:rPr>
      </w:pPr>
    </w:p>
    <w:p>
      <w:pPr>
        <w:jc w:val="both"/>
        <w:spacing w:after="0" w:line="269" w:lineRule="auto"/>
        <w:rPr>
          <w:sz w:val="20"/>
          <w:szCs w:val="20"/>
          <w:color w:val="auto"/>
        </w:rPr>
      </w:pPr>
      <w:r>
        <w:rPr>
          <w:rFonts w:ascii="Arial" w:cs="Arial" w:eastAsia="Arial" w:hAnsi="Arial"/>
          <w:sz w:val="16"/>
          <w:szCs w:val="16"/>
          <w:color w:val="auto"/>
        </w:rPr>
        <w:t>For the three months ended September 30, 2017, total revenues increased $18,636 as compared to the three months ended September 30, 2016 due to higher revenues across a majority of our segments, including Aviation Leasing, Offshore Energy, Railroad and Ports and Terminals. These increases were partially offset by lower revenues in our Jefferson Terminal segment.</w:t>
      </w:r>
    </w:p>
    <w:p>
      <w:pPr>
        <w:spacing w:after="0" w:line="111" w:lineRule="exact"/>
        <w:rPr>
          <w:sz w:val="20"/>
          <w:szCs w:val="20"/>
          <w:color w:val="auto"/>
        </w:rPr>
      </w:pPr>
    </w:p>
    <w:p>
      <w:pPr>
        <w:jc w:val="both"/>
        <w:spacing w:after="0" w:line="261" w:lineRule="auto"/>
        <w:rPr>
          <w:sz w:val="20"/>
          <w:szCs w:val="20"/>
          <w:color w:val="auto"/>
        </w:rPr>
      </w:pPr>
      <w:r>
        <w:rPr>
          <w:rFonts w:ascii="Arial" w:cs="Arial" w:eastAsia="Arial" w:hAnsi="Arial"/>
          <w:sz w:val="16"/>
          <w:szCs w:val="16"/>
          <w:color w:val="auto"/>
        </w:rPr>
        <w:t>In Equipment Leasing, revenue increased $19,562 during the three months ended September 30, 2017 as compared to the three months ended September 30, 2016 primarily due a greater number of assets on lease in the Aviation Leasing segment. Additionally, we continued to increase the number of aircraft and engines subject to leases with maintenance arrangements resulting in higher maintenance revenue of $9,887 and higher lease income of $8,141 compared to the three months ended September 30, 2016.</w:t>
      </w:r>
    </w:p>
    <w:p>
      <w:pPr>
        <w:spacing w:after="0" w:line="118" w:lineRule="exact"/>
        <w:rPr>
          <w:sz w:val="20"/>
          <w:szCs w:val="20"/>
          <w:color w:val="auto"/>
        </w:rPr>
      </w:pPr>
    </w:p>
    <w:p>
      <w:pPr>
        <w:jc w:val="both"/>
        <w:spacing w:after="0" w:line="261" w:lineRule="auto"/>
        <w:rPr>
          <w:sz w:val="20"/>
          <w:szCs w:val="20"/>
          <w:color w:val="auto"/>
        </w:rPr>
      </w:pPr>
      <w:r>
        <w:rPr>
          <w:rFonts w:ascii="Arial" w:cs="Arial" w:eastAsia="Arial" w:hAnsi="Arial"/>
          <w:sz w:val="16"/>
          <w:szCs w:val="16"/>
          <w:color w:val="auto"/>
        </w:rPr>
        <w:t>In Infrastructure, for the three months ended September 30, 2017, revenue was $926 lower than the three months ended September 30, 2016 primarily reflecting lower revenue from Jefferson Terminal of $2,525 resulting from a decrease in volume. This decrease was partially offset by increased revenue in our Ports and Terminal segment of $439 due to a lease contract at Hannibal, which was acquired in July of 2016, coupled with increased Railroad revenue of $857 reflecting an increase in traffic.</w:t>
      </w:r>
    </w:p>
    <w:p>
      <w:pPr>
        <w:spacing w:after="0" w:line="118" w:lineRule="exact"/>
        <w:rPr>
          <w:sz w:val="20"/>
          <w:szCs w:val="20"/>
          <w:color w:val="auto"/>
        </w:rPr>
      </w:pPr>
    </w:p>
    <w:p>
      <w:pPr>
        <w:jc w:val="both"/>
        <w:spacing w:after="0" w:line="269" w:lineRule="auto"/>
        <w:rPr>
          <w:sz w:val="20"/>
          <w:szCs w:val="20"/>
          <w:color w:val="auto"/>
        </w:rPr>
      </w:pPr>
      <w:r>
        <w:rPr>
          <w:rFonts w:ascii="Arial" w:cs="Arial" w:eastAsia="Arial" w:hAnsi="Arial"/>
          <w:sz w:val="16"/>
          <w:szCs w:val="16"/>
          <w:color w:val="auto"/>
        </w:rPr>
        <w:t>For the nine months ended September 30, 2017, total revenues increased $49,855 compared to the nine months ended September 30, 2016 due to higher revenues in our Aviation Leasing, Offshore Energy, Railroad and Ports and Terminals segments. Increases across the aforementioned segments were partially offset by decreases in the Jefferson Terminal and Shipping Containers segments.</w:t>
      </w:r>
    </w:p>
    <w:p>
      <w:pPr>
        <w:spacing w:after="0" w:line="124" w:lineRule="exact"/>
        <w:rPr>
          <w:sz w:val="20"/>
          <w:szCs w:val="20"/>
          <w:color w:val="auto"/>
        </w:rPr>
      </w:pPr>
    </w:p>
    <w:p>
      <w:pPr>
        <w:jc w:val="both"/>
        <w:ind w:right="20"/>
        <w:spacing w:after="0" w:line="296" w:lineRule="auto"/>
        <w:rPr>
          <w:sz w:val="20"/>
          <w:szCs w:val="20"/>
          <w:color w:val="auto"/>
        </w:rPr>
      </w:pPr>
      <w:r>
        <w:rPr>
          <w:rFonts w:ascii="Arial" w:cs="Arial" w:eastAsia="Arial" w:hAnsi="Arial"/>
          <w:sz w:val="16"/>
          <w:szCs w:val="16"/>
          <w:color w:val="auto"/>
        </w:rPr>
        <w:t>In Equipment Leasing, lease income increased $21,020 during the nine months ended September 30, 2017 compared to the nine months ended September 30, 2016 primarily due to an increase in the number of assets on lease in the Aviation Leasing segment. Additionally, we continued to increase the number of aircraft and engines subject to leases with maintenance arrangements resulting in an increase to our maintenance revenue of $27,741. These increases were partially offset by a $1,168 decrease in finance lease income primarily driven by the sale of 42,000 shipping containers during the first quarter of 2016.</w:t>
      </w:r>
    </w:p>
    <w:p>
      <w:pPr>
        <w:spacing w:after="0" w:line="335"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In Infrastructure, rail revenues increased $1,216 during the nine months ended September 30, 2017 as compared to the nine months ended September 30, 2016 due to an increase in traffic and expanded service offerings in the first quarter of 2017 by our Railroad segment. Lease income increased by $578 in the nine months ended September 30, 2017 from a lease contract at Hannibal, which was acquired in June 2017. The increases were partially offset by lower Jefferson Terminal revenue of $1,649 primarily due to lower volumes in the first nine months of 2017 compared to the same period of 2016.</w:t>
      </w:r>
    </w:p>
    <w:p>
      <w:pPr>
        <w:spacing w:after="0" w:line="10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00497F"/>
        </w:rPr>
        <w:t>Expenses</w:t>
      </w:r>
    </w:p>
    <w:p>
      <w:pPr>
        <w:spacing w:after="0" w:line="167"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For the three months ended September 30, 2017 total expenses increased $19,469 compared to the three months ended September 30, 2016 primarily due to higher: (i) depreciation expense, (ii) operating expenses and (iii) interest expense.</w:t>
      </w:r>
    </w:p>
    <w:p>
      <w:pPr>
        <w:spacing w:after="0" w:line="94" w:lineRule="exact"/>
        <w:rPr>
          <w:sz w:val="20"/>
          <w:szCs w:val="20"/>
          <w:color w:val="auto"/>
        </w:rPr>
      </w:pPr>
    </w:p>
    <w:p>
      <w:pPr>
        <w:jc w:val="both"/>
        <w:spacing w:after="0" w:line="261" w:lineRule="auto"/>
        <w:rPr>
          <w:sz w:val="20"/>
          <w:szCs w:val="20"/>
          <w:color w:val="auto"/>
        </w:rPr>
      </w:pPr>
      <w:r>
        <w:rPr>
          <w:rFonts w:ascii="Arial" w:cs="Arial" w:eastAsia="Arial" w:hAnsi="Arial"/>
          <w:sz w:val="16"/>
          <w:szCs w:val="16"/>
          <w:color w:val="auto"/>
        </w:rPr>
        <w:t>Operating expenses increased $6,660 during the three months ended September 30, 2017 as compared to the three months ended September 30, 2016 primarily due to higher (i) professional fees of $2,175, (ii) facility operations costs of $1,455 reflecting increased costs in our Ports &amp; Terminal and Railroad segments, (iii) compensation of $947, including stock-based compensation and benefits at our Jefferson Terminal and Railroad segments, coupled with non-stock-based compensation expenses at our Ports and Terminals segment and (iv) operating expenditures related to Offshore Energy equipment.</w:t>
      </w:r>
    </w:p>
    <w:p>
      <w:pPr>
        <w:spacing w:after="0" w:line="118"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Depreciation and amortization expenses increased $9,408 during the three months ended September 30, 2017 as compared to the three months ended September 30, 2016 primarily due to additional assets acquired and placed on lease in the Aviation Leasing segment.</w:t>
      </w:r>
    </w:p>
    <w:p>
      <w:pPr>
        <w:spacing w:after="0" w:line="94" w:lineRule="exact"/>
        <w:rPr>
          <w:sz w:val="20"/>
          <w:szCs w:val="20"/>
          <w:color w:val="auto"/>
        </w:rPr>
      </w:pPr>
    </w:p>
    <w:p>
      <w:pPr>
        <w:jc w:val="both"/>
        <w:spacing w:after="0" w:line="269" w:lineRule="auto"/>
        <w:rPr>
          <w:sz w:val="20"/>
          <w:szCs w:val="20"/>
          <w:color w:val="auto"/>
        </w:rPr>
      </w:pPr>
      <w:r>
        <w:rPr>
          <w:rFonts w:ascii="Arial" w:cs="Arial" w:eastAsia="Arial" w:hAnsi="Arial"/>
          <w:sz w:val="16"/>
          <w:szCs w:val="16"/>
          <w:color w:val="auto"/>
        </w:rPr>
        <w:t>Interest expense increased $3,498 during the three months ended September 30, 2017 as compared to the three months ended September 30, 2016 primarily due to the issuance of the Senior Notes in the first quarter of 2017 coupled with the drawdown of the Revolving Credit Facility in the third quarter of 2017. Refer to Note 8 of the Consolidated Financial Statements for further detail.</w:t>
      </w:r>
    </w:p>
    <w:p>
      <w:pPr>
        <w:spacing w:after="0" w:line="111"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For the nine months ended September 30, 2017 total expenses increased $42,336 compared to the nine months ended September 30, 2016 mainly due to higher (i) operating expenses, (ii) depreciation and amortization and (iii) interest expense.</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47</w:t>
      </w:r>
    </w:p>
    <w:p>
      <w:pPr>
        <w:sectPr>
          <w:pgSz w:w="11900" w:h="16838" w:orient="portrait"/>
          <w:cols w:equalWidth="0" w:num="1">
            <w:col w:w="11420"/>
          </w:cols>
          <w:pgMar w:left="240" w:top="531" w:right="239" w:bottom="1440" w:gutter="0" w:footer="0" w:header="0"/>
        </w:sectPr>
      </w:pPr>
    </w:p>
    <w:bookmarkStart w:id="47" w:name="page48"/>
    <w:bookmarkEnd w:id="47"/>
    <w:p>
      <w:pPr>
        <w:jc w:val="both"/>
        <w:spacing w:after="0" w:line="255" w:lineRule="auto"/>
        <w:rPr>
          <w:sz w:val="20"/>
          <w:szCs w:val="20"/>
          <w:color w:val="auto"/>
        </w:rPr>
      </w:pPr>
      <w:r>
        <w:rPr>
          <w:rFonts w:ascii="Arial" w:cs="Arial" w:eastAsia="Arial" w:hAnsi="Arial"/>
          <w:sz w:val="16"/>
          <w:szCs w:val="16"/>
          <w:color w:val="auto"/>
        </w:rPr>
        <w:t>Operating expenses increased $17,088 during the nine months ended September 30, 2017 as compared to the nine months ended September 30, 2016 primarily due to an increase in (i) compensation, including stock compensation and benefits, of $7,188 primarily due to a reversal of stock compensation in the first quarter of 2016 coupled with higher compensation costs in our Ports and Terminals and Jefferson segments, (ii) facility operations of $3,968 primarily in the Railroad segment due to higher volumes in the first quarter of 2017, and (iii) professional fees of $4,472 primarily due to legal costs related to our vessels in the Offshore Energy segment and our aircraft and engines on lease in the Aviation Leasing segment. Offsetting the increase were lower environmental and legal fees of $1,917, primarily in our Jefferson Terminal segment, coupled with lower general and administrative expenses of $1,050.</w:t>
      </w:r>
    </w:p>
    <w:p>
      <w:pPr>
        <w:spacing w:after="0" w:line="124" w:lineRule="exact"/>
        <w:rPr>
          <w:sz w:val="20"/>
          <w:szCs w:val="20"/>
          <w:color w:val="auto"/>
        </w:rPr>
      </w:pPr>
    </w:p>
    <w:p>
      <w:pPr>
        <w:jc w:val="both"/>
        <w:spacing w:after="0" w:line="269" w:lineRule="auto"/>
        <w:rPr>
          <w:sz w:val="20"/>
          <w:szCs w:val="20"/>
          <w:color w:val="auto"/>
        </w:rPr>
      </w:pPr>
      <w:r>
        <w:rPr>
          <w:rFonts w:ascii="Arial" w:cs="Arial" w:eastAsia="Arial" w:hAnsi="Arial"/>
          <w:sz w:val="16"/>
          <w:szCs w:val="16"/>
          <w:color w:val="auto"/>
        </w:rPr>
        <w:t>General and administrative expenses at the Corporate segment increased $1,461 during the nine months ended September 30, 2017 as compared to the nine months ended September 30, 2016 attributable to higher professional fees including legal, tax consulting and audit fees as we continue to grow our business, coupled with higher reimbursements to our Manager.</w:t>
      </w:r>
    </w:p>
    <w:p>
      <w:pPr>
        <w:spacing w:after="0" w:line="111"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Acquisitions and transaction expenses, including advisory, legal, accounting, valuation and other professional or consulting fees, increased $442 during the nine months ended September 30, 2017 as compared to the nine months ended September 30, 2016 as we continue to pursue new business opportunities.</w:t>
      </w:r>
    </w:p>
    <w:p>
      <w:pPr>
        <w:spacing w:after="0" w:line="94" w:lineRule="exact"/>
        <w:rPr>
          <w:sz w:val="20"/>
          <w:szCs w:val="20"/>
          <w:color w:val="auto"/>
        </w:rPr>
      </w:pPr>
    </w:p>
    <w:p>
      <w:pPr>
        <w:jc w:val="both"/>
        <w:ind w:right="20"/>
        <w:spacing w:after="0" w:line="291" w:lineRule="auto"/>
        <w:rPr>
          <w:sz w:val="20"/>
          <w:szCs w:val="20"/>
          <w:color w:val="auto"/>
        </w:rPr>
      </w:pPr>
      <w:r>
        <w:rPr>
          <w:rFonts w:ascii="Arial" w:cs="Arial" w:eastAsia="Arial" w:hAnsi="Arial"/>
          <w:sz w:val="16"/>
          <w:szCs w:val="16"/>
          <w:color w:val="auto"/>
        </w:rPr>
        <w:t>Depreciation and amortization increased $19,088 during the nine months ended September 30, 2017 as compared to the nine months ended September 30, 2016 primarily due to additional assets acquired and placed on lease in the Aviation Leasing segment.</w:t>
      </w:r>
    </w:p>
    <w:p>
      <w:pPr>
        <w:spacing w:after="0" w:line="94"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Management fees decreased $1,196 during the nine months ended September 30, 2017 as compared to the nine months ended September 30, 2016 due to a decrease in the average value of our total equity as compared to the first nine months of 2016.</w:t>
      </w:r>
    </w:p>
    <w:p>
      <w:pPr>
        <w:spacing w:after="0" w:line="94" w:lineRule="exact"/>
        <w:rPr>
          <w:sz w:val="20"/>
          <w:szCs w:val="20"/>
          <w:color w:val="auto"/>
        </w:rPr>
      </w:pPr>
    </w:p>
    <w:p>
      <w:pPr>
        <w:jc w:val="both"/>
        <w:spacing w:after="0" w:line="261" w:lineRule="auto"/>
        <w:rPr>
          <w:sz w:val="20"/>
          <w:szCs w:val="20"/>
          <w:color w:val="auto"/>
        </w:rPr>
      </w:pPr>
      <w:r>
        <w:rPr>
          <w:rFonts w:ascii="Arial" w:cs="Arial" w:eastAsia="Arial" w:hAnsi="Arial"/>
          <w:sz w:val="16"/>
          <w:szCs w:val="16"/>
          <w:color w:val="auto"/>
        </w:rPr>
        <w:t>Interest expense increased $5,453 during the nine months ended September 30, 2017 as compared to the nine months ended September 30, 2016 primarily due to the issuance of the Senior Notes in the first quarter of 2017 and the draw down on the revolver in the third quarter of 2017. Partially offsetting this increase was lower interest expense in the Jefferson Terminal segment reflecting the capitalization of interest related to new projects in 2017. Refer to the Note 8 of the Consolidated Financial Statements for further detail.</w:t>
      </w:r>
    </w:p>
    <w:p>
      <w:pPr>
        <w:spacing w:after="0" w:line="11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00497F"/>
        </w:rPr>
        <w:t>Other (Expense) Income</w:t>
      </w:r>
    </w:p>
    <w:p>
      <w:pPr>
        <w:spacing w:after="0" w:line="167" w:lineRule="exact"/>
        <w:rPr>
          <w:sz w:val="20"/>
          <w:szCs w:val="20"/>
          <w:color w:val="auto"/>
        </w:rPr>
      </w:pPr>
    </w:p>
    <w:p>
      <w:pPr>
        <w:jc w:val="both"/>
        <w:spacing w:after="0" w:line="269" w:lineRule="auto"/>
        <w:rPr>
          <w:sz w:val="20"/>
          <w:szCs w:val="20"/>
          <w:color w:val="auto"/>
        </w:rPr>
      </w:pPr>
      <w:r>
        <w:rPr>
          <w:rFonts w:ascii="Arial" w:cs="Arial" w:eastAsia="Arial" w:hAnsi="Arial"/>
          <w:sz w:val="16"/>
          <w:szCs w:val="16"/>
          <w:color w:val="auto"/>
        </w:rPr>
        <w:t>For the three months ended September 30, 2017 compared to the three months ended September 30, 2016, total other income increased $5,634 primarily reflecting higher gains on sales of equipment of $2,669 reflecting opportunistic sales of Aviation assets coupled with equity in earnings of unconsolidated entities compared to losses in the same period of 2016.</w:t>
      </w:r>
    </w:p>
    <w:p>
      <w:pPr>
        <w:spacing w:after="0" w:line="111" w:lineRule="exact"/>
        <w:rPr>
          <w:sz w:val="20"/>
          <w:szCs w:val="20"/>
          <w:color w:val="auto"/>
        </w:rPr>
      </w:pPr>
    </w:p>
    <w:p>
      <w:pPr>
        <w:jc w:val="both"/>
        <w:spacing w:after="0" w:line="269" w:lineRule="auto"/>
        <w:rPr>
          <w:sz w:val="20"/>
          <w:szCs w:val="20"/>
          <w:color w:val="auto"/>
        </w:rPr>
      </w:pPr>
      <w:r>
        <w:rPr>
          <w:rFonts w:ascii="Arial" w:cs="Arial" w:eastAsia="Arial" w:hAnsi="Arial"/>
          <w:sz w:val="16"/>
          <w:szCs w:val="16"/>
          <w:color w:val="auto"/>
        </w:rPr>
        <w:t>For the nine months ended September 30, 2017, total other income increased $11,958 as compared to the nine months ended September 30, 2016. In 2016, an asset impairment charge of $7,450 was recorded for the MT 6015 vessel. In addition, during 2017, the Aviation Leasing segment had an increase of $3,419 in gain on sale of equipment due to opportunistic sales of assets.</w:t>
      </w:r>
    </w:p>
    <w:p>
      <w:pPr>
        <w:spacing w:after="0" w:line="11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00497F"/>
        </w:rPr>
        <w:t>Net Loss</w:t>
      </w:r>
    </w:p>
    <w:p>
      <w:pPr>
        <w:spacing w:after="0" w:line="167"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Net loss attributable to shareholders for the three and nine months ended September 30, 2017 decreased $4,274 and $15,375, respectively, compared to the same periods in 2016, primarily due to the changes discussed above.</w:t>
      </w:r>
    </w:p>
    <w:p>
      <w:pPr>
        <w:spacing w:after="0" w:line="9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00497F"/>
        </w:rPr>
        <w:t>Adjusted Net Income/(Loss)</w:t>
      </w:r>
    </w:p>
    <w:p>
      <w:pPr>
        <w:spacing w:after="0" w:line="167" w:lineRule="exact"/>
        <w:rPr>
          <w:sz w:val="20"/>
          <w:szCs w:val="20"/>
          <w:color w:val="auto"/>
        </w:rPr>
      </w:pPr>
    </w:p>
    <w:p>
      <w:pPr>
        <w:jc w:val="both"/>
        <w:spacing w:after="0" w:line="254" w:lineRule="auto"/>
        <w:rPr>
          <w:sz w:val="20"/>
          <w:szCs w:val="20"/>
          <w:color w:val="auto"/>
        </w:rPr>
      </w:pPr>
      <w:r>
        <w:rPr>
          <w:rFonts w:ascii="Arial" w:cs="Arial" w:eastAsia="Arial" w:hAnsi="Arial"/>
          <w:sz w:val="16"/>
          <w:szCs w:val="16"/>
          <w:color w:val="auto"/>
        </w:rPr>
        <w:t>Adjusted net income increased $3,704 and $16,028 for the three and nine months ended September 30, 2017, respectively, compared to the same periods in 2016, primarily due to the changes in revenue, expenses and other income/(loss) noted above, and the increase in equity based compensation of $137 and $4,513 for the three and nine months ended September 30, 2017, respectively. Also contributing to the increase for the nine months ended September 30, 2017 was an increase in the equity in losses of unconsolidated entities of $126 and an increase in losses from the extinguishment of debt of $877 coupled with changes in the non-controlling share of Adjusted Net Income of $277 and $2,388 for the three and nine months ended September 30, 2017, respectively. Additionally, the change in the fair value of the non-hedge derivative instrument impacted Adjusted Net Income/(Loss) of $1,036 in both the three and nine months ended September 30, 2017.</w:t>
      </w:r>
    </w:p>
    <w:p>
      <w:pPr>
        <w:spacing w:after="0" w:line="12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00497F"/>
        </w:rPr>
        <w:t>Adjusted EBITDA (Non-GAAP)</w:t>
      </w:r>
    </w:p>
    <w:p>
      <w:pPr>
        <w:spacing w:after="0" w:line="167" w:lineRule="exact"/>
        <w:rPr>
          <w:sz w:val="20"/>
          <w:szCs w:val="20"/>
          <w:color w:val="auto"/>
        </w:rPr>
      </w:pPr>
    </w:p>
    <w:p>
      <w:pPr>
        <w:jc w:val="both"/>
        <w:spacing w:after="0" w:line="261" w:lineRule="auto"/>
        <w:rPr>
          <w:sz w:val="20"/>
          <w:szCs w:val="20"/>
          <w:color w:val="auto"/>
        </w:rPr>
      </w:pPr>
      <w:r>
        <w:rPr>
          <w:rFonts w:ascii="Arial" w:cs="Arial" w:eastAsia="Arial" w:hAnsi="Arial"/>
          <w:sz w:val="16"/>
          <w:szCs w:val="16"/>
          <w:color w:val="auto"/>
        </w:rPr>
        <w:t>Adjusted EBITDA was $37,765 for the three months ended September 30, 2017, an increase of $17,446 compared to the same period of 2016. In addition to the changes in revenue, expenses and income/(loss) noted above, which resulted in an increase in net income, the change was primarily due to increased depreciation and amortization expense from additional assets acquired and placed into service and increased interest expense. These changes were partially offset by the change in the fair value of the non-hedge derivative instrument.</w:t>
      </w:r>
    </w:p>
    <w:p>
      <w:pPr>
        <w:spacing w:after="0" w:line="19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48</w:t>
      </w:r>
    </w:p>
    <w:p>
      <w:pPr>
        <w:sectPr>
          <w:pgSz w:w="11900" w:h="16838" w:orient="portrait"/>
          <w:cols w:equalWidth="0" w:num="1">
            <w:col w:w="11420"/>
          </w:cols>
          <w:pgMar w:left="240" w:top="527" w:right="239" w:bottom="1440" w:gutter="0" w:footer="0" w:header="0"/>
        </w:sectPr>
      </w:pPr>
    </w:p>
    <w:bookmarkStart w:id="48" w:name="page49"/>
    <w:bookmarkEnd w:id="48"/>
    <w:p>
      <w:pPr>
        <w:jc w:val="both"/>
        <w:spacing w:after="0" w:line="255" w:lineRule="auto"/>
        <w:rPr>
          <w:sz w:val="20"/>
          <w:szCs w:val="20"/>
          <w:color w:val="auto"/>
        </w:rPr>
      </w:pPr>
      <w:r>
        <w:rPr>
          <w:rFonts w:ascii="Arial" w:cs="Arial" w:eastAsia="Arial" w:hAnsi="Arial"/>
          <w:sz w:val="16"/>
          <w:szCs w:val="16"/>
          <w:color w:val="auto"/>
        </w:rPr>
        <w:t>Adjusted EBITDA was $88,735 for the nine months ended September 30, 2017, an increase of $42,146 compared to the same period of 2016. In addition to the changes in revenue, expenses and income/(loss) noted above, which resulted in a net decrease in loss attributable to shareholders, the change was primarily due to (i) increased depreciation and amortization expense from additional assets acquired and placed into service, (ii) decreased non-controlling share of Adjusted EBITDA, (iii) increased equity-based compensation and (iv) increased equity in losses of unconsolidated entities. Partially offsetting these changes was the change in the fair value of the non-hedge derivative instrument and the 2016 asset impairment charge. There was no impairment charge in the nine months ended September 30, 2017.</w:t>
      </w:r>
    </w:p>
    <w:p>
      <w:pPr>
        <w:spacing w:after="0" w:line="176" w:lineRule="exact"/>
        <w:rPr>
          <w:sz w:val="20"/>
          <w:szCs w:val="20"/>
          <w:color w:val="auto"/>
        </w:rPr>
      </w:pPr>
    </w:p>
    <w:p>
      <w:pPr>
        <w:spacing w:after="0"/>
        <w:rPr>
          <w:sz w:val="20"/>
          <w:szCs w:val="20"/>
          <w:color w:val="auto"/>
        </w:rPr>
      </w:pPr>
      <w:r>
        <w:rPr>
          <w:rFonts w:ascii="Arial" w:cs="Arial" w:eastAsia="Arial" w:hAnsi="Arial"/>
          <w:sz w:val="16"/>
          <w:szCs w:val="16"/>
          <w:b w:val="1"/>
          <w:bCs w:val="1"/>
          <w:color w:val="00497F"/>
        </w:rPr>
        <w:t>Aviation Leasing Segment</w:t>
      </w:r>
    </w:p>
    <w:p>
      <w:pPr>
        <w:spacing w:after="0" w:line="169"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As of September 30, 2017, in our Aviation Leasing segment, we own and manage 141 aviation assets, consisting of 38 aircraft and 103 commercial jet engines.</w:t>
      </w:r>
    </w:p>
    <w:p>
      <w:pPr>
        <w:spacing w:after="0" w:line="337" w:lineRule="exact"/>
        <w:rPr>
          <w:sz w:val="20"/>
          <w:szCs w:val="20"/>
          <w:color w:val="auto"/>
        </w:rPr>
      </w:pPr>
    </w:p>
    <w:p>
      <w:pPr>
        <w:jc w:val="both"/>
        <w:spacing w:after="0" w:line="257" w:lineRule="auto"/>
        <w:rPr>
          <w:sz w:val="20"/>
          <w:szCs w:val="20"/>
          <w:color w:val="auto"/>
        </w:rPr>
      </w:pPr>
      <w:r>
        <w:rPr>
          <w:rFonts w:ascii="Arial" w:cs="Arial" w:eastAsia="Arial" w:hAnsi="Arial"/>
          <w:sz w:val="16"/>
          <w:szCs w:val="16"/>
          <w:color w:val="auto"/>
        </w:rPr>
        <w:t>As of September 30, 2017, 37 of our commercial aircraft and 71 of our jet engines were leased to operators or other third parties. Aviation assets currently off lease are either undergoing repair and/or maintenance, being prepared to go on lease or held in short term storage awaiting a future lease. Our aviation equipment was approximately 88% utilized as of September 30, 2017, based on the equity value of our on-hire leasing equipment as a percentage of the total equity value of our aviation leasing equipment. Our aircraft currently have a weighted average remaining lease term of 34 months, and our jet engines currently on-lease have an average remaining lease term of 11 months. The table below provides additional information on the assets in our Aviation Leasing segment:</w:t>
      </w:r>
    </w:p>
    <w:p>
      <w:pPr>
        <w:spacing w:after="0" w:line="384"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40" w:type="dxa"/>
            <w:vAlign w:val="bottom"/>
            <w:shd w:val="clear" w:color="auto" w:fill="00497F"/>
          </w:tcPr>
          <w:p>
            <w:pPr>
              <w:spacing w:after="0"/>
              <w:rPr>
                <w:sz w:val="23"/>
                <w:szCs w:val="23"/>
                <w:color w:val="auto"/>
              </w:rPr>
            </w:pPr>
          </w:p>
        </w:tc>
        <w:tc>
          <w:tcPr>
            <w:tcW w:w="4660" w:type="dxa"/>
            <w:vAlign w:val="bottom"/>
            <w:gridSpan w:val="3"/>
            <w:shd w:val="clear" w:color="auto" w:fill="00497F"/>
          </w:tcPr>
          <w:p>
            <w:pPr>
              <w:spacing w:after="0"/>
              <w:rPr>
                <w:sz w:val="20"/>
                <w:szCs w:val="20"/>
                <w:color w:val="auto"/>
              </w:rPr>
            </w:pPr>
            <w:r>
              <w:rPr>
                <w:rFonts w:ascii="Arial" w:cs="Arial" w:eastAsia="Arial" w:hAnsi="Arial"/>
                <w:sz w:val="14"/>
                <w:szCs w:val="14"/>
                <w:b w:val="1"/>
                <w:bCs w:val="1"/>
                <w:color w:val="FFFFFF"/>
              </w:rPr>
              <w:t>Aviation Assets</w:t>
            </w:r>
          </w:p>
        </w:tc>
        <w:tc>
          <w:tcPr>
            <w:tcW w:w="1660" w:type="dxa"/>
            <w:vAlign w:val="bottom"/>
            <w:shd w:val="clear" w:color="auto" w:fill="00497F"/>
          </w:tcPr>
          <w:p>
            <w:pPr>
              <w:ind w:left="740"/>
              <w:spacing w:after="0"/>
              <w:rPr>
                <w:sz w:val="20"/>
                <w:szCs w:val="20"/>
                <w:color w:val="auto"/>
              </w:rPr>
            </w:pPr>
            <w:r>
              <w:rPr>
                <w:rFonts w:ascii="Arial" w:cs="Arial" w:eastAsia="Arial" w:hAnsi="Arial"/>
                <w:sz w:val="14"/>
                <w:szCs w:val="14"/>
                <w:b w:val="1"/>
                <w:bCs w:val="1"/>
                <w:color w:val="FFFFFF"/>
              </w:rPr>
              <w:t>Widebody</w:t>
            </w:r>
          </w:p>
        </w:tc>
        <w:tc>
          <w:tcPr>
            <w:tcW w:w="520" w:type="dxa"/>
            <w:vAlign w:val="bottom"/>
            <w:shd w:val="clear" w:color="auto" w:fill="00497F"/>
          </w:tcPr>
          <w:p>
            <w:pPr>
              <w:spacing w:after="0"/>
              <w:rPr>
                <w:sz w:val="23"/>
                <w:szCs w:val="23"/>
                <w:color w:val="auto"/>
              </w:rPr>
            </w:pPr>
          </w:p>
        </w:tc>
        <w:tc>
          <w:tcPr>
            <w:tcW w:w="120" w:type="dxa"/>
            <w:vAlign w:val="bottom"/>
            <w:shd w:val="clear" w:color="auto" w:fill="00497F"/>
          </w:tcPr>
          <w:p>
            <w:pPr>
              <w:spacing w:after="0"/>
              <w:rPr>
                <w:sz w:val="23"/>
                <w:szCs w:val="23"/>
                <w:color w:val="auto"/>
              </w:rPr>
            </w:pPr>
          </w:p>
        </w:tc>
        <w:tc>
          <w:tcPr>
            <w:tcW w:w="1680" w:type="dxa"/>
            <w:vAlign w:val="bottom"/>
            <w:shd w:val="clear" w:color="auto" w:fill="00497F"/>
          </w:tcPr>
          <w:p>
            <w:pPr>
              <w:ind w:left="660"/>
              <w:spacing w:after="0"/>
              <w:rPr>
                <w:sz w:val="20"/>
                <w:szCs w:val="20"/>
                <w:color w:val="auto"/>
              </w:rPr>
            </w:pPr>
            <w:r>
              <w:rPr>
                <w:rFonts w:ascii="Arial" w:cs="Arial" w:eastAsia="Arial" w:hAnsi="Arial"/>
                <w:sz w:val="14"/>
                <w:szCs w:val="14"/>
                <w:b w:val="1"/>
                <w:bCs w:val="1"/>
                <w:color w:val="FFFFFF"/>
              </w:rPr>
              <w:t>Narrowbody</w:t>
            </w:r>
          </w:p>
        </w:tc>
        <w:tc>
          <w:tcPr>
            <w:tcW w:w="480" w:type="dxa"/>
            <w:vAlign w:val="bottom"/>
            <w:shd w:val="clear" w:color="auto" w:fill="00497F"/>
          </w:tcPr>
          <w:p>
            <w:pPr>
              <w:spacing w:after="0"/>
              <w:rPr>
                <w:sz w:val="23"/>
                <w:szCs w:val="23"/>
                <w:color w:val="auto"/>
              </w:rPr>
            </w:pPr>
          </w:p>
        </w:tc>
        <w:tc>
          <w:tcPr>
            <w:tcW w:w="100" w:type="dxa"/>
            <w:vAlign w:val="bottom"/>
            <w:shd w:val="clear" w:color="auto" w:fill="00497F"/>
          </w:tcPr>
          <w:p>
            <w:pPr>
              <w:spacing w:after="0"/>
              <w:rPr>
                <w:sz w:val="23"/>
                <w:szCs w:val="23"/>
                <w:color w:val="auto"/>
              </w:rPr>
            </w:pPr>
          </w:p>
        </w:tc>
        <w:tc>
          <w:tcPr>
            <w:tcW w:w="2160" w:type="dxa"/>
            <w:vAlign w:val="bottom"/>
            <w:shd w:val="clear" w:color="auto" w:fill="00497F"/>
          </w:tcPr>
          <w:p>
            <w:pPr>
              <w:jc w:val="right"/>
              <w:ind w:right="848"/>
              <w:spacing w:after="0"/>
              <w:rPr>
                <w:sz w:val="20"/>
                <w:szCs w:val="20"/>
                <w:color w:val="auto"/>
              </w:rPr>
            </w:pPr>
            <w:r>
              <w:rPr>
                <w:rFonts w:ascii="Arial" w:cs="Arial" w:eastAsia="Arial" w:hAnsi="Arial"/>
                <w:sz w:val="14"/>
                <w:szCs w:val="14"/>
                <w:b w:val="1"/>
                <w:bCs w:val="1"/>
                <w:color w:val="FFFFFF"/>
              </w:rPr>
              <w:t>Total</w:t>
            </w:r>
          </w:p>
        </w:tc>
      </w:tr>
      <w:tr>
        <w:trPr>
          <w:trHeight w:val="230"/>
        </w:trPr>
        <w:tc>
          <w:tcPr>
            <w:tcW w:w="40" w:type="dxa"/>
            <w:vAlign w:val="bottom"/>
          </w:tcPr>
          <w:p>
            <w:pPr>
              <w:spacing w:after="0"/>
              <w:rPr>
                <w:sz w:val="19"/>
                <w:szCs w:val="19"/>
                <w:color w:val="auto"/>
              </w:rPr>
            </w:pPr>
          </w:p>
        </w:tc>
        <w:tc>
          <w:tcPr>
            <w:tcW w:w="4660" w:type="dxa"/>
            <w:vAlign w:val="bottom"/>
            <w:gridSpan w:val="3"/>
          </w:tcPr>
          <w:p>
            <w:pPr>
              <w:spacing w:after="0"/>
              <w:rPr>
                <w:sz w:val="20"/>
                <w:szCs w:val="20"/>
                <w:color w:val="auto"/>
              </w:rPr>
            </w:pPr>
            <w:r>
              <w:rPr>
                <w:rFonts w:ascii="Arial" w:cs="Arial" w:eastAsia="Arial" w:hAnsi="Arial"/>
                <w:sz w:val="14"/>
                <w:szCs w:val="14"/>
                <w:b w:val="1"/>
                <w:bCs w:val="1"/>
                <w:i w:val="1"/>
                <w:iCs w:val="1"/>
                <w:color w:val="auto"/>
              </w:rPr>
              <w:t>Aircraft</w:t>
            </w:r>
          </w:p>
        </w:tc>
        <w:tc>
          <w:tcPr>
            <w:tcW w:w="16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160" w:type="dxa"/>
            <w:vAlign w:val="bottom"/>
          </w:tcPr>
          <w:p>
            <w:pPr>
              <w:spacing w:after="0"/>
              <w:rPr>
                <w:sz w:val="19"/>
                <w:szCs w:val="19"/>
                <w:color w:val="auto"/>
              </w:rPr>
            </w:pPr>
          </w:p>
        </w:tc>
      </w:tr>
      <w:tr>
        <w:trPr>
          <w:trHeight w:val="20"/>
        </w:trPr>
        <w:tc>
          <w:tcPr>
            <w:tcW w:w="4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86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r>
      <w:tr>
        <w:trPr>
          <w:trHeight w:val="289"/>
        </w:trPr>
        <w:tc>
          <w:tcPr>
            <w:tcW w:w="40" w:type="dxa"/>
            <w:vAlign w:val="bottom"/>
          </w:tcPr>
          <w:p>
            <w:pPr>
              <w:spacing w:after="0"/>
              <w:rPr>
                <w:sz w:val="24"/>
                <w:szCs w:val="24"/>
                <w:color w:val="auto"/>
              </w:rPr>
            </w:pPr>
          </w:p>
        </w:tc>
        <w:tc>
          <w:tcPr>
            <w:tcW w:w="4660" w:type="dxa"/>
            <w:vAlign w:val="bottom"/>
            <w:gridSpan w:val="3"/>
          </w:tcPr>
          <w:p>
            <w:pPr>
              <w:spacing w:after="0"/>
              <w:rPr>
                <w:sz w:val="20"/>
                <w:szCs w:val="20"/>
                <w:color w:val="auto"/>
              </w:rPr>
            </w:pPr>
            <w:r>
              <w:rPr>
                <w:rFonts w:ascii="Arial" w:cs="Arial" w:eastAsia="Arial" w:hAnsi="Arial"/>
                <w:sz w:val="14"/>
                <w:szCs w:val="14"/>
                <w:b w:val="1"/>
                <w:bCs w:val="1"/>
                <w:color w:val="auto"/>
              </w:rPr>
              <w:t>Assets at January 1, 2017</w:t>
            </w:r>
          </w:p>
        </w:tc>
        <w:tc>
          <w:tcPr>
            <w:tcW w:w="1660" w:type="dxa"/>
            <w:vAlign w:val="bottom"/>
          </w:tcPr>
          <w:p>
            <w:pPr>
              <w:spacing w:after="0"/>
              <w:rPr>
                <w:sz w:val="24"/>
                <w:szCs w:val="24"/>
                <w:color w:val="auto"/>
              </w:rPr>
            </w:pPr>
          </w:p>
        </w:tc>
        <w:tc>
          <w:tcPr>
            <w:tcW w:w="520" w:type="dxa"/>
            <w:vAlign w:val="bottom"/>
          </w:tcPr>
          <w:p>
            <w:pPr>
              <w:jc w:val="right"/>
              <w:ind w:right="48"/>
              <w:spacing w:after="0"/>
              <w:rPr>
                <w:sz w:val="20"/>
                <w:szCs w:val="20"/>
                <w:color w:val="auto"/>
              </w:rPr>
            </w:pPr>
            <w:r>
              <w:rPr>
                <w:rFonts w:ascii="Arial" w:cs="Arial" w:eastAsia="Arial" w:hAnsi="Arial"/>
                <w:sz w:val="14"/>
                <w:szCs w:val="14"/>
                <w:b w:val="1"/>
                <w:bCs w:val="1"/>
                <w:color w:val="auto"/>
              </w:rPr>
              <w:t>7</w:t>
            </w:r>
          </w:p>
        </w:tc>
        <w:tc>
          <w:tcPr>
            <w:tcW w:w="12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480" w:type="dxa"/>
            <w:vAlign w:val="bottom"/>
          </w:tcPr>
          <w:p>
            <w:pPr>
              <w:jc w:val="right"/>
              <w:ind w:right="48"/>
              <w:spacing w:after="0"/>
              <w:rPr>
                <w:sz w:val="20"/>
                <w:szCs w:val="20"/>
                <w:color w:val="auto"/>
              </w:rPr>
            </w:pPr>
            <w:r>
              <w:rPr>
                <w:rFonts w:ascii="Arial" w:cs="Arial" w:eastAsia="Arial" w:hAnsi="Arial"/>
                <w:sz w:val="14"/>
                <w:szCs w:val="14"/>
                <w:b w:val="1"/>
                <w:bCs w:val="1"/>
                <w:color w:val="auto"/>
              </w:rPr>
              <w:t>19</w:t>
            </w:r>
          </w:p>
        </w:tc>
        <w:tc>
          <w:tcPr>
            <w:tcW w:w="100" w:type="dxa"/>
            <w:vAlign w:val="bottom"/>
          </w:tcPr>
          <w:p>
            <w:pPr>
              <w:spacing w:after="0"/>
              <w:rPr>
                <w:sz w:val="24"/>
                <w:szCs w:val="24"/>
                <w:color w:val="auto"/>
              </w:rPr>
            </w:pPr>
          </w:p>
        </w:tc>
        <w:tc>
          <w:tcPr>
            <w:tcW w:w="2160" w:type="dxa"/>
            <w:vAlign w:val="bottom"/>
          </w:tcPr>
          <w:p>
            <w:pPr>
              <w:jc w:val="right"/>
              <w:ind w:right="28"/>
              <w:spacing w:after="0"/>
              <w:rPr>
                <w:sz w:val="20"/>
                <w:szCs w:val="20"/>
                <w:color w:val="auto"/>
              </w:rPr>
            </w:pPr>
            <w:r>
              <w:rPr>
                <w:rFonts w:ascii="Arial" w:cs="Arial" w:eastAsia="Arial" w:hAnsi="Arial"/>
                <w:sz w:val="14"/>
                <w:szCs w:val="14"/>
                <w:b w:val="1"/>
                <w:bCs w:val="1"/>
                <w:color w:val="auto"/>
              </w:rPr>
              <w:t>26</w:t>
            </w:r>
          </w:p>
        </w:tc>
      </w:tr>
      <w:tr>
        <w:trPr>
          <w:trHeight w:val="264"/>
        </w:trPr>
        <w:tc>
          <w:tcPr>
            <w:tcW w:w="40" w:type="dxa"/>
            <w:vAlign w:val="bottom"/>
          </w:tcPr>
          <w:p>
            <w:pPr>
              <w:spacing w:after="0"/>
              <w:rPr>
                <w:sz w:val="22"/>
                <w:szCs w:val="22"/>
                <w:color w:val="auto"/>
              </w:rPr>
            </w:pPr>
          </w:p>
        </w:tc>
        <w:tc>
          <w:tcPr>
            <w:tcW w:w="4660" w:type="dxa"/>
            <w:vAlign w:val="bottom"/>
            <w:gridSpan w:val="3"/>
          </w:tcPr>
          <w:p>
            <w:pPr>
              <w:ind w:left="240"/>
              <w:spacing w:after="0"/>
              <w:rPr>
                <w:sz w:val="20"/>
                <w:szCs w:val="20"/>
                <w:color w:val="auto"/>
              </w:rPr>
            </w:pPr>
            <w:r>
              <w:rPr>
                <w:rFonts w:ascii="Arial" w:cs="Arial" w:eastAsia="Arial" w:hAnsi="Arial"/>
                <w:sz w:val="14"/>
                <w:szCs w:val="14"/>
                <w:color w:val="auto"/>
              </w:rPr>
              <w:t>Purchases</w:t>
            </w:r>
          </w:p>
        </w:tc>
        <w:tc>
          <w:tcPr>
            <w:tcW w:w="1660" w:type="dxa"/>
            <w:vAlign w:val="bottom"/>
          </w:tcPr>
          <w:p>
            <w:pPr>
              <w:spacing w:after="0"/>
              <w:rPr>
                <w:sz w:val="22"/>
                <w:szCs w:val="22"/>
                <w:color w:val="auto"/>
              </w:rPr>
            </w:pPr>
          </w:p>
        </w:tc>
        <w:tc>
          <w:tcPr>
            <w:tcW w:w="520" w:type="dxa"/>
            <w:vAlign w:val="bottom"/>
          </w:tcPr>
          <w:p>
            <w:pPr>
              <w:jc w:val="right"/>
              <w:ind w:right="48"/>
              <w:spacing w:after="0"/>
              <w:rPr>
                <w:sz w:val="20"/>
                <w:szCs w:val="20"/>
                <w:color w:val="auto"/>
              </w:rPr>
            </w:pPr>
            <w:r>
              <w:rPr>
                <w:rFonts w:ascii="Arial" w:cs="Arial" w:eastAsia="Arial" w:hAnsi="Arial"/>
                <w:sz w:val="14"/>
                <w:szCs w:val="14"/>
                <w:color w:val="auto"/>
              </w:rPr>
              <w:t>3</w:t>
            </w:r>
          </w:p>
        </w:tc>
        <w:tc>
          <w:tcPr>
            <w:tcW w:w="120" w:type="dxa"/>
            <w:vAlign w:val="bottom"/>
          </w:tcPr>
          <w:p>
            <w:pPr>
              <w:spacing w:after="0"/>
              <w:rPr>
                <w:sz w:val="22"/>
                <w:szCs w:val="22"/>
                <w:color w:val="auto"/>
              </w:rPr>
            </w:pPr>
          </w:p>
        </w:tc>
        <w:tc>
          <w:tcPr>
            <w:tcW w:w="1680" w:type="dxa"/>
            <w:vAlign w:val="bottom"/>
          </w:tcPr>
          <w:p>
            <w:pPr>
              <w:spacing w:after="0"/>
              <w:rPr>
                <w:sz w:val="22"/>
                <w:szCs w:val="22"/>
                <w:color w:val="auto"/>
              </w:rPr>
            </w:pPr>
          </w:p>
        </w:tc>
        <w:tc>
          <w:tcPr>
            <w:tcW w:w="480" w:type="dxa"/>
            <w:vAlign w:val="bottom"/>
          </w:tcPr>
          <w:p>
            <w:pPr>
              <w:jc w:val="right"/>
              <w:ind w:right="48"/>
              <w:spacing w:after="0"/>
              <w:rPr>
                <w:sz w:val="20"/>
                <w:szCs w:val="20"/>
                <w:color w:val="auto"/>
              </w:rPr>
            </w:pPr>
            <w:r>
              <w:rPr>
                <w:rFonts w:ascii="Arial" w:cs="Arial" w:eastAsia="Arial" w:hAnsi="Arial"/>
                <w:sz w:val="14"/>
                <w:szCs w:val="14"/>
                <w:color w:val="auto"/>
              </w:rPr>
              <w:t>14</w:t>
            </w:r>
          </w:p>
        </w:tc>
        <w:tc>
          <w:tcPr>
            <w:tcW w:w="100" w:type="dxa"/>
            <w:vAlign w:val="bottom"/>
          </w:tcPr>
          <w:p>
            <w:pPr>
              <w:spacing w:after="0"/>
              <w:rPr>
                <w:sz w:val="22"/>
                <w:szCs w:val="22"/>
                <w:color w:val="auto"/>
              </w:rPr>
            </w:pPr>
          </w:p>
        </w:tc>
        <w:tc>
          <w:tcPr>
            <w:tcW w:w="2160" w:type="dxa"/>
            <w:vAlign w:val="bottom"/>
          </w:tcPr>
          <w:p>
            <w:pPr>
              <w:jc w:val="right"/>
              <w:ind w:right="28"/>
              <w:spacing w:after="0"/>
              <w:rPr>
                <w:sz w:val="20"/>
                <w:szCs w:val="20"/>
                <w:color w:val="auto"/>
              </w:rPr>
            </w:pPr>
            <w:r>
              <w:rPr>
                <w:rFonts w:ascii="Arial" w:cs="Arial" w:eastAsia="Arial" w:hAnsi="Arial"/>
                <w:sz w:val="14"/>
                <w:szCs w:val="14"/>
                <w:color w:val="auto"/>
              </w:rPr>
              <w:t>17</w:t>
            </w:r>
          </w:p>
        </w:tc>
      </w:tr>
      <w:tr>
        <w:trPr>
          <w:trHeight w:val="274"/>
        </w:trPr>
        <w:tc>
          <w:tcPr>
            <w:tcW w:w="40" w:type="dxa"/>
            <w:vAlign w:val="bottom"/>
          </w:tcPr>
          <w:p>
            <w:pPr>
              <w:spacing w:after="0"/>
              <w:rPr>
                <w:sz w:val="23"/>
                <w:szCs w:val="23"/>
                <w:color w:val="auto"/>
              </w:rPr>
            </w:pPr>
          </w:p>
        </w:tc>
        <w:tc>
          <w:tcPr>
            <w:tcW w:w="4660" w:type="dxa"/>
            <w:vAlign w:val="bottom"/>
            <w:gridSpan w:val="3"/>
          </w:tcPr>
          <w:p>
            <w:pPr>
              <w:ind w:left="240"/>
              <w:spacing w:after="0"/>
              <w:rPr>
                <w:sz w:val="20"/>
                <w:szCs w:val="20"/>
                <w:color w:val="auto"/>
              </w:rPr>
            </w:pPr>
            <w:r>
              <w:rPr>
                <w:rFonts w:ascii="Arial" w:cs="Arial" w:eastAsia="Arial" w:hAnsi="Arial"/>
                <w:sz w:val="14"/>
                <w:szCs w:val="14"/>
                <w:color w:val="auto"/>
              </w:rPr>
              <w:t>Sales</w:t>
            </w:r>
          </w:p>
        </w:tc>
        <w:tc>
          <w:tcPr>
            <w:tcW w:w="1660" w:type="dxa"/>
            <w:vAlign w:val="bottom"/>
            <w:tcBorders>
              <w:bottom w:val="single" w:sz="8" w:color="auto"/>
            </w:tcBorders>
          </w:tcPr>
          <w:p>
            <w:pPr>
              <w:spacing w:after="0"/>
              <w:rPr>
                <w:sz w:val="23"/>
                <w:szCs w:val="23"/>
                <w:color w:val="auto"/>
              </w:rPr>
            </w:pPr>
          </w:p>
        </w:tc>
        <w:tc>
          <w:tcPr>
            <w:tcW w:w="5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w:t>
            </w:r>
          </w:p>
        </w:tc>
        <w:tc>
          <w:tcPr>
            <w:tcW w:w="120" w:type="dxa"/>
            <w:vAlign w:val="bottom"/>
          </w:tcPr>
          <w:p>
            <w:pPr>
              <w:spacing w:after="0"/>
              <w:rPr>
                <w:sz w:val="23"/>
                <w:szCs w:val="23"/>
                <w:color w:val="auto"/>
              </w:rPr>
            </w:pPr>
          </w:p>
        </w:tc>
        <w:tc>
          <w:tcPr>
            <w:tcW w:w="1680" w:type="dxa"/>
            <w:vAlign w:val="bottom"/>
            <w:tcBorders>
              <w:bottom w:val="single" w:sz="8" w:color="auto"/>
            </w:tcBorders>
          </w:tcPr>
          <w:p>
            <w:pPr>
              <w:spacing w:after="0"/>
              <w:rPr>
                <w:sz w:val="23"/>
                <w:szCs w:val="23"/>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w:t>
            </w:r>
          </w:p>
        </w:tc>
        <w:tc>
          <w:tcPr>
            <w:tcW w:w="100" w:type="dxa"/>
            <w:vAlign w:val="bottom"/>
          </w:tcPr>
          <w:p>
            <w:pPr>
              <w:spacing w:after="0"/>
              <w:rPr>
                <w:sz w:val="23"/>
                <w:szCs w:val="23"/>
                <w:color w:val="auto"/>
              </w:rPr>
            </w:pPr>
          </w:p>
        </w:tc>
        <w:tc>
          <w:tcPr>
            <w:tcW w:w="2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w:t>
            </w:r>
          </w:p>
        </w:tc>
      </w:tr>
      <w:tr>
        <w:trPr>
          <w:trHeight w:val="252"/>
        </w:trPr>
        <w:tc>
          <w:tcPr>
            <w:tcW w:w="40" w:type="dxa"/>
            <w:vAlign w:val="bottom"/>
          </w:tcPr>
          <w:p>
            <w:pPr>
              <w:spacing w:after="0"/>
              <w:rPr>
                <w:sz w:val="21"/>
                <w:szCs w:val="21"/>
                <w:color w:val="auto"/>
              </w:rPr>
            </w:pPr>
          </w:p>
        </w:tc>
        <w:tc>
          <w:tcPr>
            <w:tcW w:w="4660" w:type="dxa"/>
            <w:vAlign w:val="bottom"/>
            <w:gridSpan w:val="3"/>
          </w:tcPr>
          <w:p>
            <w:pPr>
              <w:spacing w:after="0"/>
              <w:rPr>
                <w:sz w:val="20"/>
                <w:szCs w:val="20"/>
                <w:color w:val="auto"/>
              </w:rPr>
            </w:pPr>
            <w:r>
              <w:rPr>
                <w:rFonts w:ascii="Arial" w:cs="Arial" w:eastAsia="Arial" w:hAnsi="Arial"/>
                <w:sz w:val="14"/>
                <w:szCs w:val="14"/>
                <w:b w:val="1"/>
                <w:bCs w:val="1"/>
                <w:color w:val="auto"/>
              </w:rPr>
              <w:t>Assets at September 30, 2017</w:t>
            </w:r>
          </w:p>
        </w:tc>
        <w:tc>
          <w:tcPr>
            <w:tcW w:w="1660" w:type="dxa"/>
            <w:vAlign w:val="bottom"/>
            <w:tcBorders>
              <w:bottom w:val="single" w:sz="8" w:color="auto"/>
            </w:tcBorders>
          </w:tcPr>
          <w:p>
            <w:pPr>
              <w:spacing w:after="0"/>
              <w:rPr>
                <w:sz w:val="21"/>
                <w:szCs w:val="21"/>
                <w:color w:val="auto"/>
              </w:rPr>
            </w:pPr>
          </w:p>
        </w:tc>
        <w:tc>
          <w:tcPr>
            <w:tcW w:w="5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9</w:t>
            </w:r>
          </w:p>
        </w:tc>
        <w:tc>
          <w:tcPr>
            <w:tcW w:w="120" w:type="dxa"/>
            <w:vAlign w:val="bottom"/>
          </w:tcPr>
          <w:p>
            <w:pPr>
              <w:spacing w:after="0"/>
              <w:rPr>
                <w:sz w:val="21"/>
                <w:szCs w:val="21"/>
                <w:color w:val="auto"/>
              </w:rPr>
            </w:pPr>
          </w:p>
        </w:tc>
        <w:tc>
          <w:tcPr>
            <w:tcW w:w="1680" w:type="dxa"/>
            <w:vAlign w:val="bottom"/>
            <w:tcBorders>
              <w:bottom w:val="single" w:sz="8" w:color="auto"/>
            </w:tcBorders>
          </w:tcPr>
          <w:p>
            <w:pPr>
              <w:spacing w:after="0"/>
              <w:rPr>
                <w:sz w:val="21"/>
                <w:szCs w:val="21"/>
                <w:color w:val="auto"/>
              </w:rPr>
            </w:pPr>
          </w:p>
        </w:tc>
        <w:tc>
          <w:tcPr>
            <w:tcW w:w="4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29</w:t>
            </w:r>
          </w:p>
        </w:tc>
        <w:tc>
          <w:tcPr>
            <w:tcW w:w="100" w:type="dxa"/>
            <w:vAlign w:val="bottom"/>
          </w:tcPr>
          <w:p>
            <w:pPr>
              <w:spacing w:after="0"/>
              <w:rPr>
                <w:sz w:val="21"/>
                <w:szCs w:val="21"/>
                <w:color w:val="auto"/>
              </w:rPr>
            </w:pPr>
          </w:p>
        </w:tc>
        <w:tc>
          <w:tcPr>
            <w:tcW w:w="21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38</w:t>
            </w:r>
          </w:p>
        </w:tc>
      </w:tr>
      <w:tr>
        <w:trPr>
          <w:trHeight w:val="549"/>
        </w:trPr>
        <w:tc>
          <w:tcPr>
            <w:tcW w:w="40" w:type="dxa"/>
            <w:vAlign w:val="bottom"/>
          </w:tcPr>
          <w:p>
            <w:pPr>
              <w:spacing w:after="0"/>
              <w:rPr>
                <w:sz w:val="24"/>
                <w:szCs w:val="24"/>
                <w:color w:val="auto"/>
              </w:rPr>
            </w:pPr>
          </w:p>
        </w:tc>
        <w:tc>
          <w:tcPr>
            <w:tcW w:w="4660" w:type="dxa"/>
            <w:vAlign w:val="bottom"/>
            <w:gridSpan w:val="3"/>
          </w:tcPr>
          <w:p>
            <w:pPr>
              <w:spacing w:after="0"/>
              <w:rPr>
                <w:sz w:val="20"/>
                <w:szCs w:val="20"/>
                <w:color w:val="auto"/>
              </w:rPr>
            </w:pPr>
            <w:r>
              <w:rPr>
                <w:rFonts w:ascii="Arial" w:cs="Arial" w:eastAsia="Arial" w:hAnsi="Arial"/>
                <w:sz w:val="14"/>
                <w:szCs w:val="14"/>
                <w:b w:val="1"/>
                <w:bCs w:val="1"/>
                <w:i w:val="1"/>
                <w:iCs w:val="1"/>
                <w:color w:val="auto"/>
              </w:rPr>
              <w:t>Jet Engines</w:t>
            </w:r>
          </w:p>
        </w:tc>
        <w:tc>
          <w:tcPr>
            <w:tcW w:w="16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160" w:type="dxa"/>
            <w:vAlign w:val="bottom"/>
          </w:tcPr>
          <w:p>
            <w:pPr>
              <w:spacing w:after="0"/>
              <w:rPr>
                <w:sz w:val="24"/>
                <w:szCs w:val="24"/>
                <w:color w:val="auto"/>
              </w:rPr>
            </w:pPr>
          </w:p>
        </w:tc>
      </w:tr>
      <w:tr>
        <w:trPr>
          <w:trHeight w:val="20"/>
        </w:trPr>
        <w:tc>
          <w:tcPr>
            <w:tcW w:w="40" w:type="dxa"/>
            <w:vAlign w:val="bottom"/>
          </w:tcPr>
          <w:p>
            <w:pPr>
              <w:spacing w:after="0" w:line="20" w:lineRule="exact"/>
              <w:rPr>
                <w:sz w:val="1"/>
                <w:szCs w:val="1"/>
                <w:color w:val="auto"/>
              </w:rPr>
            </w:pPr>
          </w:p>
        </w:tc>
        <w:tc>
          <w:tcPr>
            <w:tcW w:w="800" w:type="dxa"/>
            <w:vAlign w:val="bottom"/>
            <w:gridSpan w:val="2"/>
            <w:shd w:val="clear" w:color="auto" w:fill="000000"/>
          </w:tcPr>
          <w:p>
            <w:pPr>
              <w:spacing w:after="0" w:line="20" w:lineRule="exact"/>
              <w:rPr>
                <w:sz w:val="1"/>
                <w:szCs w:val="1"/>
                <w:color w:val="auto"/>
              </w:rPr>
            </w:pPr>
          </w:p>
        </w:tc>
        <w:tc>
          <w:tcPr>
            <w:tcW w:w="386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r>
      <w:tr>
        <w:trPr>
          <w:trHeight w:val="289"/>
        </w:trPr>
        <w:tc>
          <w:tcPr>
            <w:tcW w:w="40" w:type="dxa"/>
            <w:vAlign w:val="bottom"/>
          </w:tcPr>
          <w:p>
            <w:pPr>
              <w:spacing w:after="0"/>
              <w:rPr>
                <w:sz w:val="24"/>
                <w:szCs w:val="24"/>
                <w:color w:val="auto"/>
              </w:rPr>
            </w:pPr>
          </w:p>
        </w:tc>
        <w:tc>
          <w:tcPr>
            <w:tcW w:w="4660" w:type="dxa"/>
            <w:vAlign w:val="bottom"/>
            <w:gridSpan w:val="3"/>
          </w:tcPr>
          <w:p>
            <w:pPr>
              <w:spacing w:after="0"/>
              <w:rPr>
                <w:sz w:val="20"/>
                <w:szCs w:val="20"/>
                <w:color w:val="auto"/>
              </w:rPr>
            </w:pPr>
            <w:r>
              <w:rPr>
                <w:rFonts w:ascii="Arial" w:cs="Arial" w:eastAsia="Arial" w:hAnsi="Arial"/>
                <w:sz w:val="14"/>
                <w:szCs w:val="14"/>
                <w:b w:val="1"/>
                <w:bCs w:val="1"/>
                <w:color w:val="auto"/>
              </w:rPr>
              <w:t>Assets at January 1, 2017</w:t>
            </w:r>
          </w:p>
        </w:tc>
        <w:tc>
          <w:tcPr>
            <w:tcW w:w="1660" w:type="dxa"/>
            <w:vAlign w:val="bottom"/>
          </w:tcPr>
          <w:p>
            <w:pPr>
              <w:spacing w:after="0"/>
              <w:rPr>
                <w:sz w:val="24"/>
                <w:szCs w:val="24"/>
                <w:color w:val="auto"/>
              </w:rPr>
            </w:pPr>
          </w:p>
        </w:tc>
        <w:tc>
          <w:tcPr>
            <w:tcW w:w="520" w:type="dxa"/>
            <w:vAlign w:val="bottom"/>
          </w:tcPr>
          <w:p>
            <w:pPr>
              <w:jc w:val="right"/>
              <w:ind w:right="48"/>
              <w:spacing w:after="0"/>
              <w:rPr>
                <w:sz w:val="20"/>
                <w:szCs w:val="20"/>
                <w:color w:val="auto"/>
              </w:rPr>
            </w:pPr>
            <w:r>
              <w:rPr>
                <w:rFonts w:ascii="Arial" w:cs="Arial" w:eastAsia="Arial" w:hAnsi="Arial"/>
                <w:sz w:val="14"/>
                <w:szCs w:val="14"/>
                <w:b w:val="1"/>
                <w:bCs w:val="1"/>
                <w:color w:val="auto"/>
              </w:rPr>
              <w:t>38</w:t>
            </w:r>
          </w:p>
        </w:tc>
        <w:tc>
          <w:tcPr>
            <w:tcW w:w="12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480" w:type="dxa"/>
            <w:vAlign w:val="bottom"/>
          </w:tcPr>
          <w:p>
            <w:pPr>
              <w:jc w:val="right"/>
              <w:ind w:right="48"/>
              <w:spacing w:after="0"/>
              <w:rPr>
                <w:sz w:val="20"/>
                <w:szCs w:val="20"/>
                <w:color w:val="auto"/>
              </w:rPr>
            </w:pPr>
            <w:r>
              <w:rPr>
                <w:rFonts w:ascii="Arial" w:cs="Arial" w:eastAsia="Arial" w:hAnsi="Arial"/>
                <w:sz w:val="14"/>
                <w:szCs w:val="14"/>
                <w:b w:val="1"/>
                <w:bCs w:val="1"/>
                <w:color w:val="auto"/>
              </w:rPr>
              <w:t>28</w:t>
            </w:r>
          </w:p>
        </w:tc>
        <w:tc>
          <w:tcPr>
            <w:tcW w:w="100" w:type="dxa"/>
            <w:vAlign w:val="bottom"/>
          </w:tcPr>
          <w:p>
            <w:pPr>
              <w:spacing w:after="0"/>
              <w:rPr>
                <w:sz w:val="24"/>
                <w:szCs w:val="24"/>
                <w:color w:val="auto"/>
              </w:rPr>
            </w:pPr>
          </w:p>
        </w:tc>
        <w:tc>
          <w:tcPr>
            <w:tcW w:w="2160" w:type="dxa"/>
            <w:vAlign w:val="bottom"/>
          </w:tcPr>
          <w:p>
            <w:pPr>
              <w:jc w:val="right"/>
              <w:ind w:right="28"/>
              <w:spacing w:after="0"/>
              <w:rPr>
                <w:sz w:val="20"/>
                <w:szCs w:val="20"/>
                <w:color w:val="auto"/>
              </w:rPr>
            </w:pPr>
            <w:r>
              <w:rPr>
                <w:rFonts w:ascii="Arial" w:cs="Arial" w:eastAsia="Arial" w:hAnsi="Arial"/>
                <w:sz w:val="14"/>
                <w:szCs w:val="14"/>
                <w:b w:val="1"/>
                <w:bCs w:val="1"/>
                <w:color w:val="auto"/>
              </w:rPr>
              <w:t>66</w:t>
            </w:r>
          </w:p>
        </w:tc>
      </w:tr>
      <w:tr>
        <w:trPr>
          <w:trHeight w:val="264"/>
        </w:trPr>
        <w:tc>
          <w:tcPr>
            <w:tcW w:w="40" w:type="dxa"/>
            <w:vAlign w:val="bottom"/>
          </w:tcPr>
          <w:p>
            <w:pPr>
              <w:spacing w:after="0"/>
              <w:rPr>
                <w:sz w:val="22"/>
                <w:szCs w:val="22"/>
                <w:color w:val="auto"/>
              </w:rPr>
            </w:pPr>
          </w:p>
        </w:tc>
        <w:tc>
          <w:tcPr>
            <w:tcW w:w="4660" w:type="dxa"/>
            <w:vAlign w:val="bottom"/>
            <w:gridSpan w:val="3"/>
          </w:tcPr>
          <w:p>
            <w:pPr>
              <w:ind w:left="240"/>
              <w:spacing w:after="0"/>
              <w:rPr>
                <w:sz w:val="20"/>
                <w:szCs w:val="20"/>
                <w:color w:val="auto"/>
              </w:rPr>
            </w:pPr>
            <w:r>
              <w:rPr>
                <w:rFonts w:ascii="Arial" w:cs="Arial" w:eastAsia="Arial" w:hAnsi="Arial"/>
                <w:sz w:val="14"/>
                <w:szCs w:val="14"/>
                <w:color w:val="auto"/>
              </w:rPr>
              <w:t>Purchases</w:t>
            </w:r>
          </w:p>
        </w:tc>
        <w:tc>
          <w:tcPr>
            <w:tcW w:w="1660" w:type="dxa"/>
            <w:vAlign w:val="bottom"/>
          </w:tcPr>
          <w:p>
            <w:pPr>
              <w:spacing w:after="0"/>
              <w:rPr>
                <w:sz w:val="22"/>
                <w:szCs w:val="22"/>
                <w:color w:val="auto"/>
              </w:rPr>
            </w:pPr>
          </w:p>
        </w:tc>
        <w:tc>
          <w:tcPr>
            <w:tcW w:w="520" w:type="dxa"/>
            <w:vAlign w:val="bottom"/>
          </w:tcPr>
          <w:p>
            <w:pPr>
              <w:jc w:val="right"/>
              <w:ind w:right="48"/>
              <w:spacing w:after="0"/>
              <w:rPr>
                <w:sz w:val="20"/>
                <w:szCs w:val="20"/>
                <w:color w:val="auto"/>
              </w:rPr>
            </w:pPr>
            <w:r>
              <w:rPr>
                <w:rFonts w:ascii="Arial" w:cs="Arial" w:eastAsia="Arial" w:hAnsi="Arial"/>
                <w:sz w:val="14"/>
                <w:szCs w:val="14"/>
                <w:color w:val="auto"/>
              </w:rPr>
              <w:t>22</w:t>
            </w:r>
          </w:p>
        </w:tc>
        <w:tc>
          <w:tcPr>
            <w:tcW w:w="120" w:type="dxa"/>
            <w:vAlign w:val="bottom"/>
          </w:tcPr>
          <w:p>
            <w:pPr>
              <w:spacing w:after="0"/>
              <w:rPr>
                <w:sz w:val="22"/>
                <w:szCs w:val="22"/>
                <w:color w:val="auto"/>
              </w:rPr>
            </w:pPr>
          </w:p>
        </w:tc>
        <w:tc>
          <w:tcPr>
            <w:tcW w:w="1680" w:type="dxa"/>
            <w:vAlign w:val="bottom"/>
          </w:tcPr>
          <w:p>
            <w:pPr>
              <w:spacing w:after="0"/>
              <w:rPr>
                <w:sz w:val="22"/>
                <w:szCs w:val="22"/>
                <w:color w:val="auto"/>
              </w:rPr>
            </w:pPr>
          </w:p>
        </w:tc>
        <w:tc>
          <w:tcPr>
            <w:tcW w:w="480" w:type="dxa"/>
            <w:vAlign w:val="bottom"/>
          </w:tcPr>
          <w:p>
            <w:pPr>
              <w:jc w:val="right"/>
              <w:ind w:right="48"/>
              <w:spacing w:after="0"/>
              <w:rPr>
                <w:sz w:val="20"/>
                <w:szCs w:val="20"/>
                <w:color w:val="auto"/>
              </w:rPr>
            </w:pPr>
            <w:r>
              <w:rPr>
                <w:rFonts w:ascii="Arial" w:cs="Arial" w:eastAsia="Arial" w:hAnsi="Arial"/>
                <w:sz w:val="14"/>
                <w:szCs w:val="14"/>
                <w:color w:val="auto"/>
              </w:rPr>
              <w:t>28</w:t>
            </w:r>
          </w:p>
        </w:tc>
        <w:tc>
          <w:tcPr>
            <w:tcW w:w="100" w:type="dxa"/>
            <w:vAlign w:val="bottom"/>
          </w:tcPr>
          <w:p>
            <w:pPr>
              <w:spacing w:after="0"/>
              <w:rPr>
                <w:sz w:val="22"/>
                <w:szCs w:val="22"/>
                <w:color w:val="auto"/>
              </w:rPr>
            </w:pPr>
          </w:p>
        </w:tc>
        <w:tc>
          <w:tcPr>
            <w:tcW w:w="2160" w:type="dxa"/>
            <w:vAlign w:val="bottom"/>
          </w:tcPr>
          <w:p>
            <w:pPr>
              <w:jc w:val="right"/>
              <w:ind w:right="28"/>
              <w:spacing w:after="0"/>
              <w:rPr>
                <w:sz w:val="20"/>
                <w:szCs w:val="20"/>
                <w:color w:val="auto"/>
              </w:rPr>
            </w:pPr>
            <w:r>
              <w:rPr>
                <w:rFonts w:ascii="Arial" w:cs="Arial" w:eastAsia="Arial" w:hAnsi="Arial"/>
                <w:sz w:val="14"/>
                <w:szCs w:val="14"/>
                <w:color w:val="auto"/>
              </w:rPr>
              <w:t>50</w:t>
            </w:r>
          </w:p>
        </w:tc>
      </w:tr>
      <w:tr>
        <w:trPr>
          <w:trHeight w:val="274"/>
        </w:trPr>
        <w:tc>
          <w:tcPr>
            <w:tcW w:w="40" w:type="dxa"/>
            <w:vAlign w:val="bottom"/>
          </w:tcPr>
          <w:p>
            <w:pPr>
              <w:spacing w:after="0"/>
              <w:rPr>
                <w:sz w:val="23"/>
                <w:szCs w:val="23"/>
                <w:color w:val="auto"/>
              </w:rPr>
            </w:pPr>
          </w:p>
        </w:tc>
        <w:tc>
          <w:tcPr>
            <w:tcW w:w="4660" w:type="dxa"/>
            <w:vAlign w:val="bottom"/>
            <w:gridSpan w:val="3"/>
          </w:tcPr>
          <w:p>
            <w:pPr>
              <w:ind w:left="240"/>
              <w:spacing w:after="0"/>
              <w:rPr>
                <w:sz w:val="20"/>
                <w:szCs w:val="20"/>
                <w:color w:val="auto"/>
              </w:rPr>
            </w:pPr>
            <w:r>
              <w:rPr>
                <w:rFonts w:ascii="Arial" w:cs="Arial" w:eastAsia="Arial" w:hAnsi="Arial"/>
                <w:sz w:val="14"/>
                <w:szCs w:val="14"/>
                <w:color w:val="auto"/>
              </w:rPr>
              <w:t>Sales</w:t>
            </w:r>
          </w:p>
        </w:tc>
        <w:tc>
          <w:tcPr>
            <w:tcW w:w="1660" w:type="dxa"/>
            <w:vAlign w:val="bottom"/>
            <w:tcBorders>
              <w:bottom w:val="single" w:sz="8" w:color="auto"/>
            </w:tcBorders>
          </w:tcPr>
          <w:p>
            <w:pPr>
              <w:spacing w:after="0"/>
              <w:rPr>
                <w:sz w:val="23"/>
                <w:szCs w:val="23"/>
                <w:color w:val="auto"/>
              </w:rPr>
            </w:pPr>
          </w:p>
        </w:tc>
        <w:tc>
          <w:tcPr>
            <w:tcW w:w="5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(9)</w:t>
            </w:r>
          </w:p>
        </w:tc>
        <w:tc>
          <w:tcPr>
            <w:tcW w:w="120" w:type="dxa"/>
            <w:vAlign w:val="bottom"/>
          </w:tcPr>
          <w:p>
            <w:pPr>
              <w:spacing w:after="0"/>
              <w:rPr>
                <w:sz w:val="23"/>
                <w:szCs w:val="23"/>
                <w:color w:val="auto"/>
              </w:rPr>
            </w:pPr>
          </w:p>
        </w:tc>
        <w:tc>
          <w:tcPr>
            <w:tcW w:w="1680" w:type="dxa"/>
            <w:vAlign w:val="bottom"/>
            <w:tcBorders>
              <w:bottom w:val="single" w:sz="8" w:color="auto"/>
            </w:tcBorders>
          </w:tcPr>
          <w:p>
            <w:pPr>
              <w:spacing w:after="0"/>
              <w:rPr>
                <w:sz w:val="23"/>
                <w:szCs w:val="23"/>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w:t>
            </w:r>
          </w:p>
        </w:tc>
        <w:tc>
          <w:tcPr>
            <w:tcW w:w="100" w:type="dxa"/>
            <w:vAlign w:val="bottom"/>
          </w:tcPr>
          <w:p>
            <w:pPr>
              <w:spacing w:after="0"/>
              <w:rPr>
                <w:sz w:val="23"/>
                <w:szCs w:val="23"/>
                <w:color w:val="auto"/>
              </w:rPr>
            </w:pPr>
          </w:p>
        </w:tc>
        <w:tc>
          <w:tcPr>
            <w:tcW w:w="2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w:t>
            </w:r>
          </w:p>
        </w:tc>
      </w:tr>
      <w:tr>
        <w:trPr>
          <w:trHeight w:val="253"/>
        </w:trPr>
        <w:tc>
          <w:tcPr>
            <w:tcW w:w="40" w:type="dxa"/>
            <w:vAlign w:val="bottom"/>
          </w:tcPr>
          <w:p>
            <w:pPr>
              <w:spacing w:after="0"/>
              <w:rPr>
                <w:sz w:val="22"/>
                <w:szCs w:val="22"/>
                <w:color w:val="auto"/>
              </w:rPr>
            </w:pPr>
          </w:p>
        </w:tc>
        <w:tc>
          <w:tcPr>
            <w:tcW w:w="4660" w:type="dxa"/>
            <w:vAlign w:val="bottom"/>
            <w:gridSpan w:val="3"/>
          </w:tcPr>
          <w:p>
            <w:pPr>
              <w:spacing w:after="0"/>
              <w:rPr>
                <w:sz w:val="20"/>
                <w:szCs w:val="20"/>
                <w:color w:val="auto"/>
              </w:rPr>
            </w:pPr>
            <w:r>
              <w:rPr>
                <w:rFonts w:ascii="Arial" w:cs="Arial" w:eastAsia="Arial" w:hAnsi="Arial"/>
                <w:sz w:val="14"/>
                <w:szCs w:val="14"/>
                <w:b w:val="1"/>
                <w:bCs w:val="1"/>
                <w:color w:val="auto"/>
              </w:rPr>
              <w:t>Assets at September 30, 2017</w:t>
            </w:r>
          </w:p>
        </w:tc>
        <w:tc>
          <w:tcPr>
            <w:tcW w:w="1660" w:type="dxa"/>
            <w:vAlign w:val="bottom"/>
            <w:tcBorders>
              <w:bottom w:val="single" w:sz="8" w:color="auto"/>
            </w:tcBorders>
          </w:tcPr>
          <w:p>
            <w:pPr>
              <w:spacing w:after="0"/>
              <w:rPr>
                <w:sz w:val="22"/>
                <w:szCs w:val="22"/>
                <w:color w:val="auto"/>
              </w:rPr>
            </w:pPr>
          </w:p>
        </w:tc>
        <w:tc>
          <w:tcPr>
            <w:tcW w:w="5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51</w:t>
            </w:r>
          </w:p>
        </w:tc>
        <w:tc>
          <w:tcPr>
            <w:tcW w:w="120" w:type="dxa"/>
            <w:vAlign w:val="bottom"/>
          </w:tcPr>
          <w:p>
            <w:pPr>
              <w:spacing w:after="0"/>
              <w:rPr>
                <w:sz w:val="22"/>
                <w:szCs w:val="22"/>
                <w:color w:val="auto"/>
              </w:rPr>
            </w:pPr>
          </w:p>
        </w:tc>
        <w:tc>
          <w:tcPr>
            <w:tcW w:w="1680" w:type="dxa"/>
            <w:vAlign w:val="bottom"/>
            <w:tcBorders>
              <w:bottom w:val="single" w:sz="8" w:color="auto"/>
            </w:tcBorders>
          </w:tcPr>
          <w:p>
            <w:pPr>
              <w:spacing w:after="0"/>
              <w:rPr>
                <w:sz w:val="22"/>
                <w:szCs w:val="22"/>
                <w:color w:val="auto"/>
              </w:rPr>
            </w:pPr>
          </w:p>
        </w:tc>
        <w:tc>
          <w:tcPr>
            <w:tcW w:w="4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52</w:t>
            </w:r>
          </w:p>
        </w:tc>
        <w:tc>
          <w:tcPr>
            <w:tcW w:w="100" w:type="dxa"/>
            <w:vAlign w:val="bottom"/>
          </w:tcPr>
          <w:p>
            <w:pPr>
              <w:spacing w:after="0"/>
              <w:rPr>
                <w:sz w:val="22"/>
                <w:szCs w:val="22"/>
                <w:color w:val="auto"/>
              </w:rPr>
            </w:pPr>
          </w:p>
        </w:tc>
        <w:tc>
          <w:tcPr>
            <w:tcW w:w="21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103</w:t>
            </w:r>
          </w:p>
        </w:tc>
      </w:tr>
    </w:tbl>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49</w:t>
      </w:r>
    </w:p>
    <w:p>
      <w:pPr>
        <w:sectPr>
          <w:pgSz w:w="11900" w:h="16838" w:orient="portrait"/>
          <w:cols w:equalWidth="0" w:num="1">
            <w:col w:w="11420"/>
          </w:cols>
          <w:pgMar w:left="240" w:top="527" w:right="239" w:bottom="1440" w:gutter="0" w:footer="0" w:header="0"/>
        </w:sectPr>
      </w:pPr>
    </w:p>
    <w:bookmarkStart w:id="49" w:name="page50"/>
    <w:bookmarkEnd w:id="49"/>
    <w:p>
      <w:pPr>
        <w:spacing w:after="0" w:line="291" w:lineRule="auto"/>
        <w:rPr>
          <w:sz w:val="20"/>
          <w:szCs w:val="20"/>
          <w:color w:val="auto"/>
        </w:rPr>
      </w:pPr>
      <w:r>
        <w:rPr>
          <w:rFonts w:ascii="Arial" w:cs="Arial" w:eastAsia="Arial" w:hAnsi="Arial"/>
          <w:sz w:val="16"/>
          <w:szCs w:val="16"/>
          <w:color w:val="auto"/>
        </w:rPr>
        <w:t>The following table presents our results of operations and reconciliation of net income attributable to shareholders to Adjusted Net Income for the Aviation Leasing segment for the three and nine months ended September 30, 2017 and September 30, 2016:</w:t>
      </w: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3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900" w:type="dxa"/>
            <w:vAlign w:val="bottom"/>
            <w:gridSpan w:val="5"/>
          </w:tcPr>
          <w:p>
            <w:pPr>
              <w:jc w:val="center"/>
              <w:ind w:right="280"/>
              <w:spacing w:after="0"/>
              <w:rPr>
                <w:sz w:val="20"/>
                <w:szCs w:val="20"/>
                <w:color w:val="auto"/>
              </w:rPr>
            </w:pPr>
            <w:r>
              <w:rPr>
                <w:rFonts w:ascii="Arial" w:cs="Arial" w:eastAsia="Arial" w:hAnsi="Arial"/>
                <w:sz w:val="14"/>
                <w:szCs w:val="14"/>
                <w:b w:val="1"/>
                <w:bCs w:val="1"/>
                <w:color w:val="auto"/>
              </w:rPr>
              <w:t>Three Months Ended</w:t>
            </w:r>
          </w:p>
        </w:tc>
        <w:tc>
          <w:tcPr>
            <w:tcW w:w="1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00" w:type="dxa"/>
            <w:vAlign w:val="bottom"/>
            <w:gridSpan w:val="5"/>
          </w:tcPr>
          <w:p>
            <w:pPr>
              <w:ind w:left="100"/>
              <w:spacing w:after="0"/>
              <w:rPr>
                <w:sz w:val="20"/>
                <w:szCs w:val="20"/>
                <w:color w:val="auto"/>
              </w:rPr>
            </w:pPr>
            <w:r>
              <w:rPr>
                <w:rFonts w:ascii="Arial" w:cs="Arial" w:eastAsia="Arial" w:hAnsi="Arial"/>
                <w:sz w:val="14"/>
                <w:szCs w:val="14"/>
                <w:b w:val="1"/>
                <w:bCs w:val="1"/>
                <w:color w:val="auto"/>
              </w:rPr>
              <w:t>Nine Months Ended</w:t>
            </w:r>
          </w:p>
        </w:tc>
        <w:tc>
          <w:tcPr>
            <w:tcW w:w="1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2"/>
        </w:trPr>
        <w:tc>
          <w:tcPr>
            <w:tcW w:w="53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900" w:type="dxa"/>
            <w:vAlign w:val="bottom"/>
            <w:gridSpan w:val="5"/>
          </w:tcPr>
          <w:p>
            <w:pPr>
              <w:jc w:val="center"/>
              <w:ind w:right="280"/>
              <w:spacing w:after="0"/>
              <w:rPr>
                <w:sz w:val="20"/>
                <w:szCs w:val="20"/>
                <w:color w:val="auto"/>
              </w:rPr>
            </w:pPr>
            <w:r>
              <w:rPr>
                <w:rFonts w:ascii="Arial" w:cs="Arial" w:eastAsia="Arial" w:hAnsi="Arial"/>
                <w:sz w:val="14"/>
                <w:szCs w:val="14"/>
                <w:b w:val="1"/>
                <w:bCs w:val="1"/>
                <w:color w:val="auto"/>
              </w:rPr>
              <w:t>September 30,</w:t>
            </w: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0" w:type="dxa"/>
            <w:vAlign w:val="bottom"/>
            <w:gridSpan w:val="5"/>
          </w:tcPr>
          <w:p>
            <w:pPr>
              <w:ind w:left="280"/>
              <w:spacing w:after="0"/>
              <w:rPr>
                <w:sz w:val="20"/>
                <w:szCs w:val="20"/>
                <w:color w:val="auto"/>
              </w:rPr>
            </w:pPr>
            <w:r>
              <w:rPr>
                <w:rFonts w:ascii="Arial" w:cs="Arial" w:eastAsia="Arial" w:hAnsi="Arial"/>
                <w:sz w:val="14"/>
                <w:szCs w:val="14"/>
                <w:b w:val="1"/>
                <w:bCs w:val="1"/>
                <w:color w:val="auto"/>
              </w:rPr>
              <w:t>September 30,</w:t>
            </w: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64"/>
        </w:trPr>
        <w:tc>
          <w:tcPr>
            <w:tcW w:w="5380" w:type="dxa"/>
            <w:vAlign w:val="bottom"/>
          </w:tcPr>
          <w:p>
            <w:pPr>
              <w:ind w:left="40"/>
              <w:spacing w:after="0"/>
              <w:rPr>
                <w:sz w:val="20"/>
                <w:szCs w:val="20"/>
                <w:color w:val="auto"/>
              </w:rPr>
            </w:pPr>
            <w:r>
              <w:rPr>
                <w:rFonts w:ascii="Arial" w:cs="Arial" w:eastAsia="Arial" w:hAnsi="Arial"/>
                <w:sz w:val="14"/>
                <w:szCs w:val="14"/>
                <w:i w:val="1"/>
                <w:iCs w:val="1"/>
                <w:color w:val="auto"/>
              </w:rPr>
              <w:t>(Dollar amounts in thousands)</w:t>
            </w:r>
          </w:p>
        </w:tc>
        <w:tc>
          <w:tcPr>
            <w:tcW w:w="200" w:type="dxa"/>
            <w:vAlign w:val="bottom"/>
            <w:tcBorders>
              <w:top w:val="single" w:sz="8" w:color="auto"/>
              <w:bottom w:val="single" w:sz="8" w:color="auto"/>
            </w:tcBorders>
          </w:tcPr>
          <w:p>
            <w:pPr>
              <w:spacing w:after="0"/>
              <w:rPr>
                <w:sz w:val="22"/>
                <w:szCs w:val="22"/>
                <w:color w:val="auto"/>
              </w:rPr>
            </w:pPr>
          </w:p>
        </w:tc>
        <w:tc>
          <w:tcPr>
            <w:tcW w:w="740" w:type="dxa"/>
            <w:vAlign w:val="bottom"/>
            <w:tcBorders>
              <w:top w:val="single" w:sz="8" w:color="auto"/>
              <w:bottom w:val="single" w:sz="8" w:color="auto"/>
            </w:tcBorders>
          </w:tcPr>
          <w:p>
            <w:pPr>
              <w:jc w:val="right"/>
              <w:ind w:right="248"/>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top w:val="single" w:sz="8" w:color="auto"/>
              <w:bottom w:val="single" w:sz="8" w:color="auto"/>
            </w:tcBorders>
          </w:tcPr>
          <w:p>
            <w:pPr>
              <w:spacing w:after="0"/>
              <w:rPr>
                <w:sz w:val="22"/>
                <w:szCs w:val="22"/>
                <w:color w:val="auto"/>
              </w:rPr>
            </w:pPr>
          </w:p>
        </w:tc>
        <w:tc>
          <w:tcPr>
            <w:tcW w:w="200" w:type="dxa"/>
            <w:vAlign w:val="bottom"/>
            <w:tcBorders>
              <w:top w:val="single" w:sz="8" w:color="auto"/>
              <w:bottom w:val="single" w:sz="8" w:color="auto"/>
            </w:tcBorders>
          </w:tcPr>
          <w:p>
            <w:pPr>
              <w:spacing w:after="0"/>
              <w:rPr>
                <w:sz w:val="22"/>
                <w:szCs w:val="22"/>
                <w:color w:val="auto"/>
              </w:rPr>
            </w:pPr>
          </w:p>
        </w:tc>
        <w:tc>
          <w:tcPr>
            <w:tcW w:w="720" w:type="dxa"/>
            <w:vAlign w:val="bottom"/>
            <w:tcBorders>
              <w:top w:val="single" w:sz="8" w:color="auto"/>
              <w:bottom w:val="single" w:sz="8" w:color="auto"/>
            </w:tcBorders>
          </w:tcPr>
          <w:p>
            <w:pPr>
              <w:jc w:val="right"/>
              <w:ind w:right="228"/>
              <w:spacing w:after="0"/>
              <w:rPr>
                <w:sz w:val="20"/>
                <w:szCs w:val="20"/>
                <w:color w:val="auto"/>
              </w:rPr>
            </w:pPr>
            <w:r>
              <w:rPr>
                <w:rFonts w:ascii="Arial" w:cs="Arial" w:eastAsia="Arial" w:hAnsi="Arial"/>
                <w:sz w:val="14"/>
                <w:szCs w:val="14"/>
                <w:b w:val="1"/>
                <w:bCs w:val="1"/>
                <w:color w:val="auto"/>
              </w:rPr>
              <w:t>2016</w:t>
            </w:r>
          </w:p>
        </w:tc>
        <w:tc>
          <w:tcPr>
            <w:tcW w:w="120" w:type="dxa"/>
            <w:vAlign w:val="bottom"/>
            <w:tcBorders>
              <w:bottom w:val="single" w:sz="8" w:color="auto"/>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gridSpan w:val="2"/>
          </w:tcPr>
          <w:p>
            <w:pPr>
              <w:ind w:left="60"/>
              <w:spacing w:after="0"/>
              <w:rPr>
                <w:sz w:val="20"/>
                <w:szCs w:val="20"/>
                <w:color w:val="auto"/>
              </w:rPr>
            </w:pPr>
            <w:r>
              <w:rPr>
                <w:rFonts w:ascii="Arial" w:cs="Arial" w:eastAsia="Arial" w:hAnsi="Arial"/>
                <w:sz w:val="14"/>
                <w:szCs w:val="14"/>
                <w:b w:val="1"/>
                <w:bCs w:val="1"/>
                <w:color w:val="auto"/>
              </w:rPr>
              <w:t>Change</w:t>
            </w:r>
          </w:p>
        </w:tc>
        <w:tc>
          <w:tcPr>
            <w:tcW w:w="200" w:type="dxa"/>
            <w:vAlign w:val="bottom"/>
            <w:tcBorders>
              <w:top w:val="single" w:sz="8" w:color="auto"/>
              <w:bottom w:val="single" w:sz="8" w:color="auto"/>
            </w:tcBorders>
          </w:tcPr>
          <w:p>
            <w:pPr>
              <w:spacing w:after="0"/>
              <w:rPr>
                <w:sz w:val="22"/>
                <w:szCs w:val="22"/>
                <w:color w:val="auto"/>
              </w:rPr>
            </w:pPr>
          </w:p>
        </w:tc>
        <w:tc>
          <w:tcPr>
            <w:tcW w:w="700" w:type="dxa"/>
            <w:vAlign w:val="bottom"/>
            <w:tcBorders>
              <w:top w:val="single" w:sz="8" w:color="auto"/>
              <w:bottom w:val="single" w:sz="8" w:color="auto"/>
            </w:tcBorders>
          </w:tcPr>
          <w:p>
            <w:pPr>
              <w:ind w:left="100"/>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top w:val="single" w:sz="8" w:color="auto"/>
              <w:bottom w:val="single" w:sz="8" w:color="auto"/>
            </w:tcBorders>
          </w:tcPr>
          <w:p>
            <w:pPr>
              <w:spacing w:after="0"/>
              <w:rPr>
                <w:sz w:val="22"/>
                <w:szCs w:val="22"/>
                <w:color w:val="auto"/>
              </w:rPr>
            </w:pPr>
          </w:p>
        </w:tc>
        <w:tc>
          <w:tcPr>
            <w:tcW w:w="200" w:type="dxa"/>
            <w:vAlign w:val="bottom"/>
            <w:tcBorders>
              <w:top w:val="single" w:sz="8" w:color="auto"/>
              <w:bottom w:val="single" w:sz="8" w:color="auto"/>
            </w:tcBorders>
          </w:tcPr>
          <w:p>
            <w:pPr>
              <w:spacing w:after="0"/>
              <w:rPr>
                <w:sz w:val="22"/>
                <w:szCs w:val="22"/>
                <w:color w:val="auto"/>
              </w:rPr>
            </w:pPr>
          </w:p>
        </w:tc>
        <w:tc>
          <w:tcPr>
            <w:tcW w:w="700" w:type="dxa"/>
            <w:vAlign w:val="bottom"/>
            <w:tcBorders>
              <w:top w:val="single" w:sz="8" w:color="auto"/>
              <w:bottom w:val="single" w:sz="8" w:color="auto"/>
            </w:tcBorders>
          </w:tcPr>
          <w:p>
            <w:pPr>
              <w:jc w:val="right"/>
              <w:ind w:right="208"/>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auto"/>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265"/>
        </w:trPr>
        <w:tc>
          <w:tcPr>
            <w:tcW w:w="5380" w:type="dxa"/>
            <w:vAlign w:val="bottom"/>
          </w:tcPr>
          <w:p>
            <w:pPr>
              <w:ind w:left="40"/>
              <w:spacing w:after="0"/>
              <w:rPr>
                <w:sz w:val="20"/>
                <w:szCs w:val="20"/>
                <w:color w:val="auto"/>
              </w:rPr>
            </w:pPr>
            <w:r>
              <w:rPr>
                <w:rFonts w:ascii="Arial" w:cs="Arial" w:eastAsia="Arial" w:hAnsi="Arial"/>
                <w:sz w:val="14"/>
                <w:szCs w:val="14"/>
                <w:b w:val="1"/>
                <w:bCs w:val="1"/>
                <w:color w:val="auto"/>
              </w:rPr>
              <w:t>Revenues</w:t>
            </w:r>
          </w:p>
        </w:tc>
        <w:tc>
          <w:tcPr>
            <w:tcW w:w="2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1"/>
        </w:trPr>
        <w:tc>
          <w:tcPr>
            <w:tcW w:w="538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Equipment leasing revenues</w:t>
            </w:r>
          </w:p>
        </w:tc>
        <w:tc>
          <w:tcPr>
            <w:tcW w:w="200" w:type="dxa"/>
            <w:vAlign w:val="bottom"/>
            <w:shd w:val="clear" w:color="auto" w:fill="CCEEFF"/>
          </w:tcPr>
          <w:p>
            <w:pPr>
              <w:spacing w:after="0"/>
              <w:rPr>
                <w:sz w:val="23"/>
                <w:szCs w:val="23"/>
                <w:color w:val="auto"/>
              </w:rPr>
            </w:pPr>
          </w:p>
        </w:tc>
        <w:tc>
          <w:tcPr>
            <w:tcW w:w="7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7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7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7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7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74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9"/>
        </w:trPr>
        <w:tc>
          <w:tcPr>
            <w:tcW w:w="5380" w:type="dxa"/>
            <w:vAlign w:val="bottom"/>
          </w:tcPr>
          <w:p>
            <w:pPr>
              <w:ind w:left="40"/>
              <w:spacing w:after="0"/>
              <w:rPr>
                <w:sz w:val="20"/>
                <w:szCs w:val="20"/>
                <w:color w:val="auto"/>
              </w:rPr>
            </w:pPr>
            <w:r>
              <w:rPr>
                <w:rFonts w:ascii="Arial" w:cs="Arial" w:eastAsia="Arial" w:hAnsi="Arial"/>
                <w:sz w:val="14"/>
                <w:szCs w:val="14"/>
                <w:color w:val="auto"/>
              </w:rPr>
              <w:t>Lease income</w:t>
            </w:r>
          </w:p>
        </w:tc>
        <w:tc>
          <w:tcPr>
            <w:tcW w:w="200" w:type="dxa"/>
            <w:vAlign w:val="bottom"/>
          </w:tcPr>
          <w:p>
            <w:pPr>
              <w:jc w:val="right"/>
              <w:ind w:right="8"/>
              <w:spacing w:after="0"/>
              <w:rPr>
                <w:sz w:val="20"/>
                <w:szCs w:val="20"/>
                <w:color w:val="auto"/>
              </w:rPr>
            </w:pPr>
            <w:r>
              <w:rPr>
                <w:rFonts w:ascii="Arial" w:cs="Arial" w:eastAsia="Arial" w:hAnsi="Arial"/>
                <w:sz w:val="14"/>
                <w:szCs w:val="14"/>
                <w:b w:val="1"/>
                <w:bCs w:val="1"/>
                <w:color w:val="auto"/>
              </w:rPr>
              <w:t>$</w:t>
            </w:r>
          </w:p>
        </w:tc>
        <w:tc>
          <w:tcPr>
            <w:tcW w:w="740" w:type="dxa"/>
            <w:vAlign w:val="bottom"/>
          </w:tcPr>
          <w:p>
            <w:pPr>
              <w:jc w:val="right"/>
              <w:ind w:right="48"/>
              <w:spacing w:after="0"/>
              <w:rPr>
                <w:sz w:val="20"/>
                <w:szCs w:val="20"/>
                <w:color w:val="auto"/>
              </w:rPr>
            </w:pPr>
            <w:r>
              <w:rPr>
                <w:rFonts w:ascii="Arial" w:cs="Arial" w:eastAsia="Arial" w:hAnsi="Arial"/>
                <w:sz w:val="14"/>
                <w:szCs w:val="14"/>
                <w:b w:val="1"/>
                <w:bCs w:val="1"/>
                <w:color w:val="auto"/>
              </w:rPr>
              <w:t>25,941</w:t>
            </w:r>
          </w:p>
        </w:tc>
        <w:tc>
          <w:tcPr>
            <w:tcW w:w="120" w:type="dxa"/>
            <w:vAlign w:val="bottom"/>
          </w:tcPr>
          <w:p>
            <w:pPr>
              <w:spacing w:after="0"/>
              <w:rPr>
                <w:sz w:val="23"/>
                <w:szCs w:val="23"/>
                <w:color w:val="auto"/>
              </w:rPr>
            </w:pP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720" w:type="dxa"/>
            <w:vAlign w:val="bottom"/>
          </w:tcPr>
          <w:p>
            <w:pPr>
              <w:jc w:val="right"/>
              <w:ind w:right="48"/>
              <w:spacing w:after="0"/>
              <w:rPr>
                <w:sz w:val="20"/>
                <w:szCs w:val="20"/>
                <w:color w:val="auto"/>
              </w:rPr>
            </w:pPr>
            <w:r>
              <w:rPr>
                <w:rFonts w:ascii="Arial" w:cs="Arial" w:eastAsia="Arial" w:hAnsi="Arial"/>
                <w:sz w:val="14"/>
                <w:szCs w:val="14"/>
                <w:color w:val="auto"/>
              </w:rPr>
              <w:t>19,039</w:t>
            </w:r>
          </w:p>
        </w:tc>
        <w:tc>
          <w:tcPr>
            <w:tcW w:w="120" w:type="dxa"/>
            <w:vAlign w:val="bottom"/>
          </w:tcPr>
          <w:p>
            <w:pPr>
              <w:spacing w:after="0"/>
              <w:rPr>
                <w:sz w:val="23"/>
                <w:szCs w:val="23"/>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780" w:type="dxa"/>
            <w:vAlign w:val="bottom"/>
          </w:tcPr>
          <w:p>
            <w:pPr>
              <w:jc w:val="right"/>
              <w:ind w:right="48"/>
              <w:spacing w:after="0"/>
              <w:rPr>
                <w:sz w:val="20"/>
                <w:szCs w:val="20"/>
                <w:color w:val="auto"/>
              </w:rPr>
            </w:pPr>
            <w:r>
              <w:rPr>
                <w:rFonts w:ascii="Arial" w:cs="Arial" w:eastAsia="Arial" w:hAnsi="Arial"/>
                <w:sz w:val="14"/>
                <w:szCs w:val="14"/>
                <w:color w:val="auto"/>
              </w:rPr>
              <w:t>6,902</w:t>
            </w:r>
          </w:p>
        </w:tc>
        <w:tc>
          <w:tcPr>
            <w:tcW w:w="100" w:type="dxa"/>
            <w:vAlign w:val="bottom"/>
          </w:tcPr>
          <w:p>
            <w:pPr>
              <w:spacing w:after="0"/>
              <w:rPr>
                <w:sz w:val="23"/>
                <w:szCs w:val="23"/>
                <w:color w:val="auto"/>
              </w:rPr>
            </w:pPr>
          </w:p>
        </w:tc>
        <w:tc>
          <w:tcPr>
            <w:tcW w:w="200" w:type="dxa"/>
            <w:vAlign w:val="bottom"/>
          </w:tcPr>
          <w:p>
            <w:pPr>
              <w:jc w:val="right"/>
              <w:ind w:right="8"/>
              <w:spacing w:after="0"/>
              <w:rPr>
                <w:sz w:val="20"/>
                <w:szCs w:val="20"/>
                <w:color w:val="auto"/>
              </w:rPr>
            </w:pPr>
            <w:r>
              <w:rPr>
                <w:rFonts w:ascii="Arial" w:cs="Arial" w:eastAsia="Arial" w:hAnsi="Arial"/>
                <w:sz w:val="14"/>
                <w:szCs w:val="14"/>
                <w:b w:val="1"/>
                <w:bCs w:val="1"/>
                <w:color w:val="auto"/>
              </w:rPr>
              <w:t>$</w:t>
            </w:r>
          </w:p>
        </w:tc>
        <w:tc>
          <w:tcPr>
            <w:tcW w:w="700" w:type="dxa"/>
            <w:vAlign w:val="bottom"/>
          </w:tcPr>
          <w:p>
            <w:pPr>
              <w:jc w:val="right"/>
              <w:ind w:right="28"/>
              <w:spacing w:after="0"/>
              <w:rPr>
                <w:sz w:val="20"/>
                <w:szCs w:val="20"/>
                <w:color w:val="auto"/>
              </w:rPr>
            </w:pPr>
            <w:r>
              <w:rPr>
                <w:rFonts w:ascii="Arial" w:cs="Arial" w:eastAsia="Arial" w:hAnsi="Arial"/>
                <w:sz w:val="14"/>
                <w:szCs w:val="14"/>
                <w:b w:val="1"/>
                <w:bCs w:val="1"/>
                <w:color w:val="auto"/>
              </w:rPr>
              <w:t>63,577</w:t>
            </w:r>
          </w:p>
        </w:tc>
        <w:tc>
          <w:tcPr>
            <w:tcW w:w="100" w:type="dxa"/>
            <w:vAlign w:val="bottom"/>
          </w:tcPr>
          <w:p>
            <w:pPr>
              <w:spacing w:after="0"/>
              <w:rPr>
                <w:sz w:val="23"/>
                <w:szCs w:val="23"/>
                <w:color w:val="auto"/>
              </w:rPr>
            </w:pPr>
          </w:p>
        </w:tc>
        <w:tc>
          <w:tcPr>
            <w:tcW w:w="20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700" w:type="dxa"/>
            <w:vAlign w:val="bottom"/>
          </w:tcPr>
          <w:p>
            <w:pPr>
              <w:jc w:val="right"/>
              <w:ind w:right="28"/>
              <w:spacing w:after="0"/>
              <w:rPr>
                <w:sz w:val="20"/>
                <w:szCs w:val="20"/>
                <w:color w:val="auto"/>
              </w:rPr>
            </w:pPr>
            <w:r>
              <w:rPr>
                <w:rFonts w:ascii="Arial" w:cs="Arial" w:eastAsia="Arial" w:hAnsi="Arial"/>
                <w:sz w:val="14"/>
                <w:szCs w:val="14"/>
                <w:color w:val="auto"/>
              </w:rPr>
              <w:t>46,636</w:t>
            </w:r>
          </w:p>
        </w:tc>
        <w:tc>
          <w:tcPr>
            <w:tcW w:w="100" w:type="dxa"/>
            <w:vAlign w:val="bottom"/>
          </w:tcPr>
          <w:p>
            <w:pPr>
              <w:spacing w:after="0"/>
              <w:rPr>
                <w:sz w:val="23"/>
                <w:szCs w:val="23"/>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740" w:type="dxa"/>
            <w:vAlign w:val="bottom"/>
          </w:tcPr>
          <w:p>
            <w:pPr>
              <w:jc w:val="right"/>
              <w:ind w:right="28"/>
              <w:spacing w:after="0"/>
              <w:rPr>
                <w:sz w:val="20"/>
                <w:szCs w:val="20"/>
                <w:color w:val="auto"/>
              </w:rPr>
            </w:pPr>
            <w:r>
              <w:rPr>
                <w:rFonts w:ascii="Arial" w:cs="Arial" w:eastAsia="Arial" w:hAnsi="Arial"/>
                <w:sz w:val="14"/>
                <w:szCs w:val="14"/>
                <w:color w:val="auto"/>
              </w:rPr>
              <w:t>16,941</w:t>
            </w:r>
          </w:p>
        </w:tc>
        <w:tc>
          <w:tcPr>
            <w:tcW w:w="0" w:type="dxa"/>
            <w:vAlign w:val="bottom"/>
          </w:tcPr>
          <w:p>
            <w:pPr>
              <w:spacing w:after="0"/>
              <w:rPr>
                <w:sz w:val="1"/>
                <w:szCs w:val="1"/>
                <w:color w:val="auto"/>
              </w:rPr>
            </w:pPr>
          </w:p>
        </w:tc>
      </w:tr>
      <w:tr>
        <w:trPr>
          <w:trHeight w:val="271"/>
        </w:trPr>
        <w:tc>
          <w:tcPr>
            <w:tcW w:w="5380" w:type="dxa"/>
            <w:vAlign w:val="bottom"/>
            <w:shd w:val="clear" w:color="auto" w:fill="CCEEFF"/>
          </w:tcPr>
          <w:p>
            <w:pPr>
              <w:ind w:left="40"/>
              <w:spacing w:after="0"/>
              <w:rPr>
                <w:sz w:val="20"/>
                <w:szCs w:val="20"/>
                <w:color w:val="auto"/>
              </w:rPr>
            </w:pPr>
            <w:r>
              <w:rPr>
                <w:rFonts w:ascii="Arial" w:cs="Arial" w:eastAsia="Arial" w:hAnsi="Arial"/>
                <w:sz w:val="14"/>
                <w:szCs w:val="14"/>
                <w:color w:val="auto"/>
              </w:rPr>
              <w:t>Maintenance revenue</w:t>
            </w:r>
          </w:p>
        </w:tc>
        <w:tc>
          <w:tcPr>
            <w:tcW w:w="200" w:type="dxa"/>
            <w:vAlign w:val="bottom"/>
            <w:shd w:val="clear" w:color="auto" w:fill="CCEEFF"/>
          </w:tcPr>
          <w:p>
            <w:pPr>
              <w:spacing w:after="0"/>
              <w:rPr>
                <w:sz w:val="23"/>
                <w:szCs w:val="23"/>
                <w:color w:val="auto"/>
              </w:rPr>
            </w:pPr>
          </w:p>
        </w:tc>
        <w:tc>
          <w:tcPr>
            <w:tcW w:w="74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17,533</w:t>
            </w: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7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7,646</w:t>
            </w: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7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9,887</w:t>
            </w: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70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46,778</w:t>
            </w: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7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19,037</w:t>
            </w: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7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27,741</w:t>
            </w:r>
          </w:p>
        </w:tc>
        <w:tc>
          <w:tcPr>
            <w:tcW w:w="0" w:type="dxa"/>
            <w:vAlign w:val="bottom"/>
          </w:tcPr>
          <w:p>
            <w:pPr>
              <w:spacing w:after="0"/>
              <w:rPr>
                <w:sz w:val="1"/>
                <w:szCs w:val="1"/>
                <w:color w:val="auto"/>
              </w:rPr>
            </w:pPr>
          </w:p>
        </w:tc>
      </w:tr>
      <w:tr>
        <w:trPr>
          <w:trHeight w:val="269"/>
        </w:trPr>
        <w:tc>
          <w:tcPr>
            <w:tcW w:w="5380" w:type="dxa"/>
            <w:vAlign w:val="bottom"/>
          </w:tcPr>
          <w:p>
            <w:pPr>
              <w:ind w:left="40"/>
              <w:spacing w:after="0"/>
              <w:rPr>
                <w:sz w:val="20"/>
                <w:szCs w:val="20"/>
                <w:color w:val="auto"/>
              </w:rPr>
            </w:pPr>
            <w:r>
              <w:rPr>
                <w:rFonts w:ascii="Arial" w:cs="Arial" w:eastAsia="Arial" w:hAnsi="Arial"/>
                <w:sz w:val="14"/>
                <w:szCs w:val="14"/>
                <w:color w:val="auto"/>
              </w:rPr>
              <w:t>Other revenue</w:t>
            </w:r>
          </w:p>
        </w:tc>
        <w:tc>
          <w:tcPr>
            <w:tcW w:w="200" w:type="dxa"/>
            <w:vAlign w:val="bottom"/>
          </w:tcPr>
          <w:p>
            <w:pPr>
              <w:spacing w:after="0"/>
              <w:rPr>
                <w:sz w:val="23"/>
                <w:szCs w:val="23"/>
                <w:color w:val="auto"/>
              </w:rPr>
            </w:pPr>
          </w:p>
        </w:tc>
        <w:tc>
          <w:tcPr>
            <w:tcW w:w="86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rPr>
              <w:t>—</w:t>
            </w:r>
          </w:p>
        </w:tc>
        <w:tc>
          <w:tcPr>
            <w:tcW w:w="200" w:type="dxa"/>
            <w:vAlign w:val="bottom"/>
          </w:tcPr>
          <w:p>
            <w:pPr>
              <w:spacing w:after="0"/>
              <w:rPr>
                <w:sz w:val="23"/>
                <w:szCs w:val="23"/>
                <w:color w:val="auto"/>
              </w:rPr>
            </w:pPr>
          </w:p>
        </w:tc>
        <w:tc>
          <w:tcPr>
            <w:tcW w:w="720" w:type="dxa"/>
            <w:vAlign w:val="bottom"/>
          </w:tcPr>
          <w:p>
            <w:pPr>
              <w:jc w:val="right"/>
              <w:ind w:right="48"/>
              <w:spacing w:after="0"/>
              <w:rPr>
                <w:sz w:val="20"/>
                <w:szCs w:val="20"/>
                <w:color w:val="auto"/>
              </w:rPr>
            </w:pPr>
            <w:r>
              <w:rPr>
                <w:rFonts w:ascii="Arial" w:cs="Arial" w:eastAsia="Arial" w:hAnsi="Arial"/>
                <w:sz w:val="14"/>
                <w:szCs w:val="14"/>
                <w:color w:val="auto"/>
              </w:rPr>
              <w:t>375</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80" w:type="dxa"/>
            <w:vAlign w:val="bottom"/>
          </w:tcPr>
          <w:p>
            <w:pPr>
              <w:jc w:val="right"/>
              <w:ind w:right="8"/>
              <w:spacing w:after="0"/>
              <w:rPr>
                <w:sz w:val="20"/>
                <w:szCs w:val="20"/>
                <w:color w:val="auto"/>
              </w:rPr>
            </w:pPr>
            <w:r>
              <w:rPr>
                <w:rFonts w:ascii="Arial" w:cs="Arial" w:eastAsia="Arial" w:hAnsi="Arial"/>
                <w:sz w:val="14"/>
                <w:szCs w:val="14"/>
                <w:color w:val="auto"/>
              </w:rPr>
              <w:t>(375)</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00" w:type="dxa"/>
            <w:vAlign w:val="bottom"/>
          </w:tcPr>
          <w:p>
            <w:pPr>
              <w:jc w:val="right"/>
              <w:ind w:right="28"/>
              <w:spacing w:after="0"/>
              <w:rPr>
                <w:sz w:val="20"/>
                <w:szCs w:val="20"/>
                <w:color w:val="auto"/>
              </w:rPr>
            </w:pPr>
            <w:r>
              <w:rPr>
                <w:rFonts w:ascii="Arial" w:cs="Arial" w:eastAsia="Arial" w:hAnsi="Arial"/>
                <w:sz w:val="14"/>
                <w:szCs w:val="14"/>
                <w:b w:val="1"/>
                <w:bCs w:val="1"/>
                <w:color w:val="auto"/>
              </w:rPr>
              <w:t>2</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00" w:type="dxa"/>
            <w:vAlign w:val="bottom"/>
          </w:tcPr>
          <w:p>
            <w:pPr>
              <w:jc w:val="right"/>
              <w:ind w:right="28"/>
              <w:spacing w:after="0"/>
              <w:rPr>
                <w:sz w:val="20"/>
                <w:szCs w:val="20"/>
                <w:color w:val="auto"/>
              </w:rPr>
            </w:pPr>
            <w:r>
              <w:rPr>
                <w:rFonts w:ascii="Arial" w:cs="Arial" w:eastAsia="Arial" w:hAnsi="Arial"/>
                <w:sz w:val="14"/>
                <w:szCs w:val="14"/>
                <w:color w:val="auto"/>
              </w:rPr>
              <w:t>687</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(685)</w:t>
            </w:r>
          </w:p>
        </w:tc>
        <w:tc>
          <w:tcPr>
            <w:tcW w:w="0" w:type="dxa"/>
            <w:vAlign w:val="bottom"/>
          </w:tcPr>
          <w:p>
            <w:pPr>
              <w:spacing w:after="0"/>
              <w:rPr>
                <w:sz w:val="1"/>
                <w:szCs w:val="1"/>
                <w:color w:val="auto"/>
              </w:rPr>
            </w:pPr>
          </w:p>
        </w:tc>
      </w:tr>
      <w:tr>
        <w:trPr>
          <w:trHeight w:val="250"/>
        </w:trPr>
        <w:tc>
          <w:tcPr>
            <w:tcW w:w="538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4"/>
                <w:szCs w:val="14"/>
                <w:b w:val="1"/>
                <w:bCs w:val="1"/>
                <w:color w:val="auto"/>
              </w:rPr>
              <w:t>Total revenues</w:t>
            </w:r>
          </w:p>
        </w:tc>
        <w:tc>
          <w:tcPr>
            <w:tcW w:w="200" w:type="dxa"/>
            <w:vAlign w:val="bottom"/>
            <w:tcBorders>
              <w:top w:val="single" w:sz="8" w:color="auto"/>
              <w:bottom w:val="single" w:sz="8" w:color="auto"/>
            </w:tcBorders>
            <w:shd w:val="clear" w:color="auto" w:fill="CCEEFF"/>
          </w:tcPr>
          <w:p>
            <w:pPr>
              <w:spacing w:after="0"/>
              <w:rPr>
                <w:sz w:val="21"/>
                <w:szCs w:val="21"/>
                <w:color w:val="auto"/>
              </w:rPr>
            </w:pPr>
          </w:p>
        </w:tc>
        <w:tc>
          <w:tcPr>
            <w:tcW w:w="74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43,474</w:t>
            </w:r>
          </w:p>
        </w:tc>
        <w:tc>
          <w:tcPr>
            <w:tcW w:w="120" w:type="dxa"/>
            <w:vAlign w:val="bottom"/>
            <w:tcBorders>
              <w:top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spacing w:after="0"/>
              <w:rPr>
                <w:sz w:val="21"/>
                <w:szCs w:val="21"/>
                <w:color w:val="auto"/>
              </w:rPr>
            </w:pPr>
          </w:p>
        </w:tc>
        <w:tc>
          <w:tcPr>
            <w:tcW w:w="72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27,060</w:t>
            </w:r>
          </w:p>
        </w:tc>
        <w:tc>
          <w:tcPr>
            <w:tcW w:w="120" w:type="dxa"/>
            <w:vAlign w:val="bottom"/>
            <w:tcBorders>
              <w:top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spacing w:after="0"/>
              <w:rPr>
                <w:sz w:val="21"/>
                <w:szCs w:val="21"/>
                <w:color w:val="auto"/>
              </w:rPr>
            </w:pPr>
          </w:p>
        </w:tc>
        <w:tc>
          <w:tcPr>
            <w:tcW w:w="78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16,414</w:t>
            </w:r>
          </w:p>
        </w:tc>
        <w:tc>
          <w:tcPr>
            <w:tcW w:w="100" w:type="dxa"/>
            <w:vAlign w:val="bottom"/>
            <w:tcBorders>
              <w:top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spacing w:after="0"/>
              <w:rPr>
                <w:sz w:val="21"/>
                <w:szCs w:val="21"/>
                <w:color w:val="auto"/>
              </w:rPr>
            </w:pPr>
          </w:p>
        </w:tc>
        <w:tc>
          <w:tcPr>
            <w:tcW w:w="70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110,357</w:t>
            </w:r>
          </w:p>
        </w:tc>
        <w:tc>
          <w:tcPr>
            <w:tcW w:w="100" w:type="dxa"/>
            <w:vAlign w:val="bottom"/>
            <w:tcBorders>
              <w:top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spacing w:after="0"/>
              <w:rPr>
                <w:sz w:val="21"/>
                <w:szCs w:val="21"/>
                <w:color w:val="auto"/>
              </w:rPr>
            </w:pPr>
          </w:p>
        </w:tc>
        <w:tc>
          <w:tcPr>
            <w:tcW w:w="70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66,360</w:t>
            </w:r>
          </w:p>
        </w:tc>
        <w:tc>
          <w:tcPr>
            <w:tcW w:w="100" w:type="dxa"/>
            <w:vAlign w:val="bottom"/>
            <w:tcBorders>
              <w:top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spacing w:after="0"/>
              <w:rPr>
                <w:sz w:val="21"/>
                <w:szCs w:val="21"/>
                <w:color w:val="auto"/>
              </w:rPr>
            </w:pPr>
          </w:p>
        </w:tc>
        <w:tc>
          <w:tcPr>
            <w:tcW w:w="74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43,997</w:t>
            </w:r>
          </w:p>
        </w:tc>
        <w:tc>
          <w:tcPr>
            <w:tcW w:w="0" w:type="dxa"/>
            <w:vAlign w:val="bottom"/>
          </w:tcPr>
          <w:p>
            <w:pPr>
              <w:spacing w:after="0"/>
              <w:rPr>
                <w:sz w:val="1"/>
                <w:szCs w:val="1"/>
                <w:color w:val="auto"/>
              </w:rPr>
            </w:pPr>
          </w:p>
        </w:tc>
      </w:tr>
      <w:tr>
        <w:trPr>
          <w:trHeight w:val="292"/>
        </w:trPr>
        <w:tc>
          <w:tcPr>
            <w:tcW w:w="53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538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Expenses</w:t>
            </w:r>
          </w:p>
        </w:tc>
        <w:tc>
          <w:tcPr>
            <w:tcW w:w="200" w:type="dxa"/>
            <w:vAlign w:val="bottom"/>
            <w:shd w:val="clear" w:color="auto" w:fill="CCEEFF"/>
          </w:tcPr>
          <w:p>
            <w:pPr>
              <w:spacing w:after="0"/>
              <w:rPr>
                <w:sz w:val="23"/>
                <w:szCs w:val="23"/>
                <w:color w:val="auto"/>
              </w:rPr>
            </w:pPr>
          </w:p>
        </w:tc>
        <w:tc>
          <w:tcPr>
            <w:tcW w:w="7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7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7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7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7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74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9"/>
        </w:trPr>
        <w:tc>
          <w:tcPr>
            <w:tcW w:w="5380" w:type="dxa"/>
            <w:vAlign w:val="bottom"/>
          </w:tcPr>
          <w:p>
            <w:pPr>
              <w:ind w:left="40"/>
              <w:spacing w:after="0"/>
              <w:rPr>
                <w:sz w:val="20"/>
                <w:szCs w:val="20"/>
                <w:color w:val="auto"/>
              </w:rPr>
            </w:pPr>
            <w:r>
              <w:rPr>
                <w:rFonts w:ascii="Arial" w:cs="Arial" w:eastAsia="Arial" w:hAnsi="Arial"/>
                <w:sz w:val="14"/>
                <w:szCs w:val="14"/>
                <w:color w:val="auto"/>
              </w:rPr>
              <w:t>Operating expenses</w:t>
            </w:r>
          </w:p>
        </w:tc>
        <w:tc>
          <w:tcPr>
            <w:tcW w:w="200" w:type="dxa"/>
            <w:vAlign w:val="bottom"/>
          </w:tcPr>
          <w:p>
            <w:pPr>
              <w:spacing w:after="0"/>
              <w:rPr>
                <w:sz w:val="23"/>
                <w:szCs w:val="23"/>
                <w:color w:val="auto"/>
              </w:rPr>
            </w:pPr>
          </w:p>
        </w:tc>
        <w:tc>
          <w:tcPr>
            <w:tcW w:w="740" w:type="dxa"/>
            <w:vAlign w:val="bottom"/>
          </w:tcPr>
          <w:p>
            <w:pPr>
              <w:jc w:val="right"/>
              <w:ind w:right="48"/>
              <w:spacing w:after="0"/>
              <w:rPr>
                <w:sz w:val="20"/>
                <w:szCs w:val="20"/>
                <w:color w:val="auto"/>
              </w:rPr>
            </w:pPr>
            <w:r>
              <w:rPr>
                <w:rFonts w:ascii="Arial" w:cs="Arial" w:eastAsia="Arial" w:hAnsi="Arial"/>
                <w:sz w:val="14"/>
                <w:szCs w:val="14"/>
                <w:b w:val="1"/>
                <w:bCs w:val="1"/>
                <w:color w:val="auto"/>
              </w:rPr>
              <w:t>1,706</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20" w:type="dxa"/>
            <w:vAlign w:val="bottom"/>
          </w:tcPr>
          <w:p>
            <w:pPr>
              <w:jc w:val="right"/>
              <w:ind w:right="48"/>
              <w:spacing w:after="0"/>
              <w:rPr>
                <w:sz w:val="20"/>
                <w:szCs w:val="20"/>
                <w:color w:val="auto"/>
              </w:rPr>
            </w:pPr>
            <w:r>
              <w:rPr>
                <w:rFonts w:ascii="Arial" w:cs="Arial" w:eastAsia="Arial" w:hAnsi="Arial"/>
                <w:sz w:val="14"/>
                <w:szCs w:val="14"/>
                <w:color w:val="auto"/>
              </w:rPr>
              <w:t>892</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80" w:type="dxa"/>
            <w:vAlign w:val="bottom"/>
          </w:tcPr>
          <w:p>
            <w:pPr>
              <w:jc w:val="right"/>
              <w:ind w:right="48"/>
              <w:spacing w:after="0"/>
              <w:rPr>
                <w:sz w:val="20"/>
                <w:szCs w:val="20"/>
                <w:color w:val="auto"/>
              </w:rPr>
            </w:pPr>
            <w:r>
              <w:rPr>
                <w:rFonts w:ascii="Arial" w:cs="Arial" w:eastAsia="Arial" w:hAnsi="Arial"/>
                <w:sz w:val="14"/>
                <w:szCs w:val="14"/>
                <w:color w:val="auto"/>
              </w:rPr>
              <w:t>814</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00" w:type="dxa"/>
            <w:vAlign w:val="bottom"/>
          </w:tcPr>
          <w:p>
            <w:pPr>
              <w:jc w:val="right"/>
              <w:ind w:right="28"/>
              <w:spacing w:after="0"/>
              <w:rPr>
                <w:sz w:val="20"/>
                <w:szCs w:val="20"/>
                <w:color w:val="auto"/>
              </w:rPr>
            </w:pPr>
            <w:r>
              <w:rPr>
                <w:rFonts w:ascii="Arial" w:cs="Arial" w:eastAsia="Arial" w:hAnsi="Arial"/>
                <w:sz w:val="14"/>
                <w:szCs w:val="14"/>
                <w:b w:val="1"/>
                <w:bCs w:val="1"/>
                <w:color w:val="auto"/>
              </w:rPr>
              <w:t>4,496</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00" w:type="dxa"/>
            <w:vAlign w:val="bottom"/>
          </w:tcPr>
          <w:p>
            <w:pPr>
              <w:jc w:val="right"/>
              <w:ind w:right="28"/>
              <w:spacing w:after="0"/>
              <w:rPr>
                <w:sz w:val="20"/>
                <w:szCs w:val="20"/>
                <w:color w:val="auto"/>
              </w:rPr>
            </w:pPr>
            <w:r>
              <w:rPr>
                <w:rFonts w:ascii="Arial" w:cs="Arial" w:eastAsia="Arial" w:hAnsi="Arial"/>
                <w:sz w:val="14"/>
                <w:szCs w:val="14"/>
                <w:color w:val="auto"/>
              </w:rPr>
              <w:t>2,875</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40" w:type="dxa"/>
            <w:vAlign w:val="bottom"/>
          </w:tcPr>
          <w:p>
            <w:pPr>
              <w:jc w:val="right"/>
              <w:ind w:right="28"/>
              <w:spacing w:after="0"/>
              <w:rPr>
                <w:sz w:val="20"/>
                <w:szCs w:val="20"/>
                <w:color w:val="auto"/>
              </w:rPr>
            </w:pPr>
            <w:r>
              <w:rPr>
                <w:rFonts w:ascii="Arial" w:cs="Arial" w:eastAsia="Arial" w:hAnsi="Arial"/>
                <w:sz w:val="14"/>
                <w:szCs w:val="14"/>
                <w:color w:val="auto"/>
              </w:rPr>
              <w:t>1,621</w:t>
            </w:r>
          </w:p>
        </w:tc>
        <w:tc>
          <w:tcPr>
            <w:tcW w:w="0" w:type="dxa"/>
            <w:vAlign w:val="bottom"/>
          </w:tcPr>
          <w:p>
            <w:pPr>
              <w:spacing w:after="0"/>
              <w:rPr>
                <w:sz w:val="1"/>
                <w:szCs w:val="1"/>
                <w:color w:val="auto"/>
              </w:rPr>
            </w:pPr>
          </w:p>
        </w:tc>
      </w:tr>
      <w:tr>
        <w:trPr>
          <w:trHeight w:val="271"/>
        </w:trPr>
        <w:tc>
          <w:tcPr>
            <w:tcW w:w="5380" w:type="dxa"/>
            <w:vAlign w:val="bottom"/>
            <w:shd w:val="clear" w:color="auto" w:fill="CCEEFF"/>
          </w:tcPr>
          <w:p>
            <w:pPr>
              <w:ind w:left="40"/>
              <w:spacing w:after="0"/>
              <w:rPr>
                <w:sz w:val="20"/>
                <w:szCs w:val="20"/>
                <w:color w:val="auto"/>
              </w:rPr>
            </w:pPr>
            <w:r>
              <w:rPr>
                <w:rFonts w:ascii="Arial" w:cs="Arial" w:eastAsia="Arial" w:hAnsi="Arial"/>
                <w:sz w:val="14"/>
                <w:szCs w:val="14"/>
                <w:color w:val="auto"/>
              </w:rPr>
              <w:t>Acquisition and transaction expenses</w:t>
            </w:r>
          </w:p>
        </w:tc>
        <w:tc>
          <w:tcPr>
            <w:tcW w:w="200" w:type="dxa"/>
            <w:vAlign w:val="bottom"/>
            <w:shd w:val="clear" w:color="auto" w:fill="CCEEFF"/>
          </w:tcPr>
          <w:p>
            <w:pPr>
              <w:spacing w:after="0"/>
              <w:rPr>
                <w:sz w:val="23"/>
                <w:szCs w:val="23"/>
                <w:color w:val="auto"/>
              </w:rPr>
            </w:pPr>
          </w:p>
        </w:tc>
        <w:tc>
          <w:tcPr>
            <w:tcW w:w="74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6</w:t>
            </w: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3"/>
                <w:szCs w:val="23"/>
                <w:color w:val="auto"/>
              </w:rPr>
            </w:pPr>
          </w:p>
        </w:tc>
        <w:tc>
          <w:tcPr>
            <w:tcW w:w="7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6</w:t>
            </w: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70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276</w:t>
            </w: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3"/>
                <w:szCs w:val="23"/>
                <w:color w:val="auto"/>
              </w:rPr>
            </w:pPr>
          </w:p>
        </w:tc>
        <w:tc>
          <w:tcPr>
            <w:tcW w:w="7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276</w:t>
            </w:r>
          </w:p>
        </w:tc>
        <w:tc>
          <w:tcPr>
            <w:tcW w:w="0" w:type="dxa"/>
            <w:vAlign w:val="bottom"/>
          </w:tcPr>
          <w:p>
            <w:pPr>
              <w:spacing w:after="0"/>
              <w:rPr>
                <w:sz w:val="1"/>
                <w:szCs w:val="1"/>
                <w:color w:val="auto"/>
              </w:rPr>
            </w:pPr>
          </w:p>
        </w:tc>
      </w:tr>
      <w:tr>
        <w:trPr>
          <w:trHeight w:val="269"/>
        </w:trPr>
        <w:tc>
          <w:tcPr>
            <w:tcW w:w="538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Depreciation and amortization</w:t>
            </w:r>
          </w:p>
        </w:tc>
        <w:tc>
          <w:tcPr>
            <w:tcW w:w="200" w:type="dxa"/>
            <w:vAlign w:val="bottom"/>
            <w:tcBorders>
              <w:bottom w:val="single" w:sz="8" w:color="auto"/>
            </w:tcBorders>
          </w:tcPr>
          <w:p>
            <w:pPr>
              <w:spacing w:after="0"/>
              <w:rPr>
                <w:sz w:val="23"/>
                <w:szCs w:val="23"/>
                <w:color w:val="auto"/>
              </w:rPr>
            </w:pPr>
          </w:p>
        </w:tc>
        <w:tc>
          <w:tcPr>
            <w:tcW w:w="7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17,909</w:t>
            </w:r>
          </w:p>
        </w:tc>
        <w:tc>
          <w:tcPr>
            <w:tcW w:w="120" w:type="dxa"/>
            <w:vAlign w:val="bottom"/>
            <w:tcBorders>
              <w:bottom w:val="single" w:sz="8" w:color="CCEEFF"/>
            </w:tcBorders>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7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9,376</w:t>
            </w:r>
          </w:p>
        </w:tc>
        <w:tc>
          <w:tcPr>
            <w:tcW w:w="120" w:type="dxa"/>
            <w:vAlign w:val="bottom"/>
            <w:tcBorders>
              <w:bottom w:val="single" w:sz="8" w:color="CCEEFF"/>
            </w:tcBorders>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7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8,533</w:t>
            </w:r>
          </w:p>
        </w:tc>
        <w:tc>
          <w:tcPr>
            <w:tcW w:w="100" w:type="dxa"/>
            <w:vAlign w:val="bottom"/>
            <w:tcBorders>
              <w:bottom w:val="single" w:sz="8" w:color="CCEEFF"/>
            </w:tcBorders>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7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43,284</w:t>
            </w:r>
          </w:p>
        </w:tc>
        <w:tc>
          <w:tcPr>
            <w:tcW w:w="100" w:type="dxa"/>
            <w:vAlign w:val="bottom"/>
            <w:tcBorders>
              <w:bottom w:val="single" w:sz="8" w:color="CCEEFF"/>
            </w:tcBorders>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7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25,307</w:t>
            </w:r>
          </w:p>
        </w:tc>
        <w:tc>
          <w:tcPr>
            <w:tcW w:w="100" w:type="dxa"/>
            <w:vAlign w:val="bottom"/>
            <w:tcBorders>
              <w:bottom w:val="single" w:sz="8" w:color="CCEEFF"/>
            </w:tcBorders>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7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17,977</w:t>
            </w:r>
          </w:p>
        </w:tc>
        <w:tc>
          <w:tcPr>
            <w:tcW w:w="0" w:type="dxa"/>
            <w:vAlign w:val="bottom"/>
          </w:tcPr>
          <w:p>
            <w:pPr>
              <w:spacing w:after="0"/>
              <w:rPr>
                <w:sz w:val="1"/>
                <w:szCs w:val="1"/>
                <w:color w:val="auto"/>
              </w:rPr>
            </w:pPr>
          </w:p>
        </w:tc>
      </w:tr>
      <w:tr>
        <w:trPr>
          <w:trHeight w:val="250"/>
        </w:trPr>
        <w:tc>
          <w:tcPr>
            <w:tcW w:w="538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Total expenses</w:t>
            </w:r>
          </w:p>
        </w:tc>
        <w:tc>
          <w:tcPr>
            <w:tcW w:w="200" w:type="dxa"/>
            <w:vAlign w:val="bottom"/>
            <w:tcBorders>
              <w:bottom w:val="single" w:sz="8" w:color="auto"/>
            </w:tcBorders>
            <w:shd w:val="clear" w:color="auto" w:fill="CCEEFF"/>
          </w:tcPr>
          <w:p>
            <w:pPr>
              <w:spacing w:after="0"/>
              <w:rPr>
                <w:sz w:val="21"/>
                <w:szCs w:val="21"/>
                <w:color w:val="auto"/>
              </w:rPr>
            </w:pPr>
          </w:p>
        </w:tc>
        <w:tc>
          <w:tcPr>
            <w:tcW w:w="74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19,621</w:t>
            </w:r>
          </w:p>
        </w:tc>
        <w:tc>
          <w:tcPr>
            <w:tcW w:w="120" w:type="dxa"/>
            <w:vAlign w:val="bottom"/>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7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10,268</w:t>
            </w:r>
          </w:p>
        </w:tc>
        <w:tc>
          <w:tcPr>
            <w:tcW w:w="120" w:type="dxa"/>
            <w:vAlign w:val="bottom"/>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78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9,353</w:t>
            </w:r>
          </w:p>
        </w:tc>
        <w:tc>
          <w:tcPr>
            <w:tcW w:w="100" w:type="dxa"/>
            <w:vAlign w:val="bottom"/>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7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48,056</w:t>
            </w:r>
          </w:p>
        </w:tc>
        <w:tc>
          <w:tcPr>
            <w:tcW w:w="100" w:type="dxa"/>
            <w:vAlign w:val="bottom"/>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7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28,182</w:t>
            </w:r>
          </w:p>
        </w:tc>
        <w:tc>
          <w:tcPr>
            <w:tcW w:w="100" w:type="dxa"/>
            <w:vAlign w:val="bottom"/>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7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19,874</w:t>
            </w:r>
          </w:p>
        </w:tc>
        <w:tc>
          <w:tcPr>
            <w:tcW w:w="0" w:type="dxa"/>
            <w:vAlign w:val="bottom"/>
          </w:tcPr>
          <w:p>
            <w:pPr>
              <w:spacing w:after="0"/>
              <w:rPr>
                <w:sz w:val="1"/>
                <w:szCs w:val="1"/>
                <w:color w:val="auto"/>
              </w:rPr>
            </w:pPr>
          </w:p>
        </w:tc>
      </w:tr>
      <w:tr>
        <w:trPr>
          <w:trHeight w:val="292"/>
        </w:trPr>
        <w:tc>
          <w:tcPr>
            <w:tcW w:w="53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538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Other income (expense)</w:t>
            </w:r>
          </w:p>
        </w:tc>
        <w:tc>
          <w:tcPr>
            <w:tcW w:w="200" w:type="dxa"/>
            <w:vAlign w:val="bottom"/>
            <w:shd w:val="clear" w:color="auto" w:fill="CCEEFF"/>
          </w:tcPr>
          <w:p>
            <w:pPr>
              <w:spacing w:after="0"/>
              <w:rPr>
                <w:sz w:val="23"/>
                <w:szCs w:val="23"/>
                <w:color w:val="auto"/>
              </w:rPr>
            </w:pPr>
          </w:p>
        </w:tc>
        <w:tc>
          <w:tcPr>
            <w:tcW w:w="7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7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7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7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7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74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9"/>
        </w:trPr>
        <w:tc>
          <w:tcPr>
            <w:tcW w:w="5380" w:type="dxa"/>
            <w:vAlign w:val="bottom"/>
          </w:tcPr>
          <w:p>
            <w:pPr>
              <w:ind w:left="40"/>
              <w:spacing w:after="0"/>
              <w:rPr>
                <w:sz w:val="20"/>
                <w:szCs w:val="20"/>
                <w:color w:val="auto"/>
              </w:rPr>
            </w:pPr>
            <w:r>
              <w:rPr>
                <w:rFonts w:ascii="Arial" w:cs="Arial" w:eastAsia="Arial" w:hAnsi="Arial"/>
                <w:sz w:val="14"/>
                <w:szCs w:val="14"/>
                <w:color w:val="auto"/>
              </w:rPr>
              <w:t>Equity losses of unconsolidated entities</w:t>
            </w:r>
          </w:p>
        </w:tc>
        <w:tc>
          <w:tcPr>
            <w:tcW w:w="200" w:type="dxa"/>
            <w:vAlign w:val="bottom"/>
          </w:tcPr>
          <w:p>
            <w:pPr>
              <w:spacing w:after="0"/>
              <w:rPr>
                <w:sz w:val="23"/>
                <w:szCs w:val="23"/>
                <w:color w:val="auto"/>
              </w:rPr>
            </w:pPr>
          </w:p>
        </w:tc>
        <w:tc>
          <w:tcPr>
            <w:tcW w:w="740" w:type="dxa"/>
            <w:vAlign w:val="bottom"/>
          </w:tcPr>
          <w:p>
            <w:pPr>
              <w:jc w:val="right"/>
              <w:ind w:right="8"/>
              <w:spacing w:after="0"/>
              <w:rPr>
                <w:sz w:val="20"/>
                <w:szCs w:val="20"/>
                <w:color w:val="auto"/>
              </w:rPr>
            </w:pPr>
            <w:r>
              <w:rPr>
                <w:rFonts w:ascii="Arial" w:cs="Arial" w:eastAsia="Arial" w:hAnsi="Arial"/>
                <w:sz w:val="14"/>
                <w:szCs w:val="14"/>
                <w:b w:val="1"/>
                <w:bCs w:val="1"/>
                <w:color w:val="auto"/>
              </w:rPr>
              <w:t>(203)</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3"/>
                <w:szCs w:val="23"/>
                <w:color w:val="auto"/>
              </w:rPr>
            </w:pPr>
          </w:p>
        </w:tc>
        <w:tc>
          <w:tcPr>
            <w:tcW w:w="780" w:type="dxa"/>
            <w:vAlign w:val="bottom"/>
          </w:tcPr>
          <w:p>
            <w:pPr>
              <w:jc w:val="right"/>
              <w:ind w:right="8"/>
              <w:spacing w:after="0"/>
              <w:rPr>
                <w:sz w:val="20"/>
                <w:szCs w:val="20"/>
                <w:color w:val="auto"/>
              </w:rPr>
            </w:pPr>
            <w:r>
              <w:rPr>
                <w:rFonts w:ascii="Arial" w:cs="Arial" w:eastAsia="Arial" w:hAnsi="Arial"/>
                <w:sz w:val="14"/>
                <w:szCs w:val="14"/>
                <w:color w:val="auto"/>
              </w:rPr>
              <w:t>(203)</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00" w:type="dxa"/>
            <w:vAlign w:val="bottom"/>
          </w:tcPr>
          <w:p>
            <w:pPr>
              <w:jc w:val="right"/>
              <w:spacing w:after="0"/>
              <w:rPr>
                <w:sz w:val="20"/>
                <w:szCs w:val="20"/>
                <w:color w:val="auto"/>
              </w:rPr>
            </w:pPr>
            <w:r>
              <w:rPr>
                <w:rFonts w:ascii="Arial" w:cs="Arial" w:eastAsia="Arial" w:hAnsi="Arial"/>
                <w:sz w:val="14"/>
                <w:szCs w:val="14"/>
                <w:b w:val="1"/>
                <w:bCs w:val="1"/>
                <w:color w:val="auto"/>
              </w:rPr>
              <w:t>(1,046)</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(1,046)</w:t>
            </w:r>
          </w:p>
        </w:tc>
        <w:tc>
          <w:tcPr>
            <w:tcW w:w="0" w:type="dxa"/>
            <w:vAlign w:val="bottom"/>
          </w:tcPr>
          <w:p>
            <w:pPr>
              <w:spacing w:after="0"/>
              <w:rPr>
                <w:sz w:val="1"/>
                <w:szCs w:val="1"/>
                <w:color w:val="auto"/>
              </w:rPr>
            </w:pPr>
          </w:p>
        </w:tc>
      </w:tr>
      <w:tr>
        <w:trPr>
          <w:trHeight w:val="271"/>
        </w:trPr>
        <w:tc>
          <w:tcPr>
            <w:tcW w:w="5380" w:type="dxa"/>
            <w:vAlign w:val="bottom"/>
            <w:shd w:val="clear" w:color="auto" w:fill="CCEEFF"/>
          </w:tcPr>
          <w:p>
            <w:pPr>
              <w:ind w:left="40"/>
              <w:spacing w:after="0"/>
              <w:rPr>
                <w:sz w:val="20"/>
                <w:szCs w:val="20"/>
                <w:color w:val="auto"/>
              </w:rPr>
            </w:pPr>
            <w:r>
              <w:rPr>
                <w:rFonts w:ascii="Arial" w:cs="Arial" w:eastAsia="Arial" w:hAnsi="Arial"/>
                <w:sz w:val="14"/>
                <w:szCs w:val="14"/>
                <w:color w:val="auto"/>
              </w:rPr>
              <w:t>Gain on sale of equipment, net</w:t>
            </w:r>
          </w:p>
        </w:tc>
        <w:tc>
          <w:tcPr>
            <w:tcW w:w="200" w:type="dxa"/>
            <w:vAlign w:val="bottom"/>
            <w:shd w:val="clear" w:color="auto" w:fill="CCEEFF"/>
          </w:tcPr>
          <w:p>
            <w:pPr>
              <w:spacing w:after="0"/>
              <w:rPr>
                <w:sz w:val="23"/>
                <w:szCs w:val="23"/>
                <w:color w:val="auto"/>
              </w:rPr>
            </w:pPr>
          </w:p>
        </w:tc>
        <w:tc>
          <w:tcPr>
            <w:tcW w:w="74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2,871</w:t>
            </w: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3"/>
                <w:szCs w:val="23"/>
                <w:color w:val="auto"/>
              </w:rPr>
            </w:pPr>
          </w:p>
        </w:tc>
        <w:tc>
          <w:tcPr>
            <w:tcW w:w="7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2,871</w:t>
            </w: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70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6,932</w:t>
            </w: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7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2,717</w:t>
            </w: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7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4,215</w:t>
            </w:r>
          </w:p>
        </w:tc>
        <w:tc>
          <w:tcPr>
            <w:tcW w:w="0" w:type="dxa"/>
            <w:vAlign w:val="bottom"/>
          </w:tcPr>
          <w:p>
            <w:pPr>
              <w:spacing w:after="0"/>
              <w:rPr>
                <w:sz w:val="1"/>
                <w:szCs w:val="1"/>
                <w:color w:val="auto"/>
              </w:rPr>
            </w:pPr>
          </w:p>
        </w:tc>
      </w:tr>
      <w:tr>
        <w:trPr>
          <w:trHeight w:val="269"/>
        </w:trPr>
        <w:tc>
          <w:tcPr>
            <w:tcW w:w="538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Interest income</w:t>
            </w:r>
          </w:p>
        </w:tc>
        <w:tc>
          <w:tcPr>
            <w:tcW w:w="200" w:type="dxa"/>
            <w:vAlign w:val="bottom"/>
            <w:tcBorders>
              <w:bottom w:val="single" w:sz="8" w:color="auto"/>
            </w:tcBorders>
          </w:tcPr>
          <w:p>
            <w:pPr>
              <w:spacing w:after="0"/>
              <w:rPr>
                <w:sz w:val="23"/>
                <w:szCs w:val="23"/>
                <w:color w:val="auto"/>
              </w:rPr>
            </w:pPr>
          </w:p>
        </w:tc>
        <w:tc>
          <w:tcPr>
            <w:tcW w:w="7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51</w:t>
            </w:r>
          </w:p>
        </w:tc>
        <w:tc>
          <w:tcPr>
            <w:tcW w:w="120" w:type="dxa"/>
            <w:vAlign w:val="bottom"/>
            <w:tcBorders>
              <w:bottom w:val="single" w:sz="8" w:color="CCEEFF"/>
            </w:tcBorders>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7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6</w:t>
            </w:r>
          </w:p>
        </w:tc>
        <w:tc>
          <w:tcPr>
            <w:tcW w:w="120" w:type="dxa"/>
            <w:vAlign w:val="bottom"/>
            <w:tcBorders>
              <w:bottom w:val="single" w:sz="8" w:color="CCEEFF"/>
            </w:tcBorders>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7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45</w:t>
            </w:r>
          </w:p>
        </w:tc>
        <w:tc>
          <w:tcPr>
            <w:tcW w:w="100" w:type="dxa"/>
            <w:vAlign w:val="bottom"/>
            <w:tcBorders>
              <w:bottom w:val="single" w:sz="8" w:color="CCEEFF"/>
            </w:tcBorders>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7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210</w:t>
            </w:r>
          </w:p>
        </w:tc>
        <w:tc>
          <w:tcPr>
            <w:tcW w:w="100" w:type="dxa"/>
            <w:vAlign w:val="bottom"/>
            <w:tcBorders>
              <w:bottom w:val="single" w:sz="8" w:color="CCEEFF"/>
            </w:tcBorders>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7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9</w:t>
            </w:r>
          </w:p>
        </w:tc>
        <w:tc>
          <w:tcPr>
            <w:tcW w:w="100" w:type="dxa"/>
            <w:vAlign w:val="bottom"/>
            <w:tcBorders>
              <w:bottom w:val="single" w:sz="8" w:color="CCEEFF"/>
            </w:tcBorders>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7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201</w:t>
            </w:r>
          </w:p>
        </w:tc>
        <w:tc>
          <w:tcPr>
            <w:tcW w:w="0" w:type="dxa"/>
            <w:vAlign w:val="bottom"/>
          </w:tcPr>
          <w:p>
            <w:pPr>
              <w:spacing w:after="0"/>
              <w:rPr>
                <w:sz w:val="1"/>
                <w:szCs w:val="1"/>
                <w:color w:val="auto"/>
              </w:rPr>
            </w:pPr>
          </w:p>
        </w:tc>
      </w:tr>
      <w:tr>
        <w:trPr>
          <w:trHeight w:val="250"/>
        </w:trPr>
        <w:tc>
          <w:tcPr>
            <w:tcW w:w="538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Total other income</w:t>
            </w:r>
          </w:p>
        </w:tc>
        <w:tc>
          <w:tcPr>
            <w:tcW w:w="200" w:type="dxa"/>
            <w:vAlign w:val="bottom"/>
            <w:tcBorders>
              <w:bottom w:val="single" w:sz="8" w:color="auto"/>
            </w:tcBorders>
            <w:shd w:val="clear" w:color="auto" w:fill="CCEEFF"/>
          </w:tcPr>
          <w:p>
            <w:pPr>
              <w:spacing w:after="0"/>
              <w:rPr>
                <w:sz w:val="21"/>
                <w:szCs w:val="21"/>
                <w:color w:val="auto"/>
              </w:rPr>
            </w:pPr>
          </w:p>
        </w:tc>
        <w:tc>
          <w:tcPr>
            <w:tcW w:w="74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2,719</w:t>
            </w:r>
          </w:p>
        </w:tc>
        <w:tc>
          <w:tcPr>
            <w:tcW w:w="120" w:type="dxa"/>
            <w:vAlign w:val="bottom"/>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7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6</w:t>
            </w:r>
          </w:p>
        </w:tc>
        <w:tc>
          <w:tcPr>
            <w:tcW w:w="120" w:type="dxa"/>
            <w:vAlign w:val="bottom"/>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78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2,713</w:t>
            </w:r>
          </w:p>
        </w:tc>
        <w:tc>
          <w:tcPr>
            <w:tcW w:w="100" w:type="dxa"/>
            <w:vAlign w:val="bottom"/>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7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6,096</w:t>
            </w:r>
          </w:p>
        </w:tc>
        <w:tc>
          <w:tcPr>
            <w:tcW w:w="100" w:type="dxa"/>
            <w:vAlign w:val="bottom"/>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7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2,726</w:t>
            </w:r>
          </w:p>
        </w:tc>
        <w:tc>
          <w:tcPr>
            <w:tcW w:w="100" w:type="dxa"/>
            <w:vAlign w:val="bottom"/>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7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3,370</w:t>
            </w:r>
          </w:p>
        </w:tc>
        <w:tc>
          <w:tcPr>
            <w:tcW w:w="0" w:type="dxa"/>
            <w:vAlign w:val="bottom"/>
          </w:tcPr>
          <w:p>
            <w:pPr>
              <w:spacing w:after="0"/>
              <w:rPr>
                <w:sz w:val="1"/>
                <w:szCs w:val="1"/>
                <w:color w:val="auto"/>
              </w:rPr>
            </w:pPr>
          </w:p>
        </w:tc>
      </w:tr>
      <w:tr>
        <w:trPr>
          <w:trHeight w:val="250"/>
        </w:trPr>
        <w:tc>
          <w:tcPr>
            <w:tcW w:w="5380" w:type="dxa"/>
            <w:vAlign w:val="bottom"/>
          </w:tcPr>
          <w:p>
            <w:pPr>
              <w:ind w:left="40"/>
              <w:spacing w:after="0"/>
              <w:rPr>
                <w:sz w:val="20"/>
                <w:szCs w:val="20"/>
                <w:color w:val="auto"/>
              </w:rPr>
            </w:pPr>
            <w:r>
              <w:rPr>
                <w:rFonts w:ascii="Arial" w:cs="Arial" w:eastAsia="Arial" w:hAnsi="Arial"/>
                <w:sz w:val="14"/>
                <w:szCs w:val="14"/>
                <w:b w:val="1"/>
                <w:bCs w:val="1"/>
                <w:color w:val="auto"/>
              </w:rPr>
              <w:t>Income before income taxes</w:t>
            </w:r>
          </w:p>
        </w:tc>
        <w:tc>
          <w:tcPr>
            <w:tcW w:w="200" w:type="dxa"/>
            <w:vAlign w:val="bottom"/>
          </w:tcPr>
          <w:p>
            <w:pPr>
              <w:spacing w:after="0"/>
              <w:rPr>
                <w:sz w:val="21"/>
                <w:szCs w:val="21"/>
                <w:color w:val="auto"/>
              </w:rPr>
            </w:pPr>
          </w:p>
        </w:tc>
        <w:tc>
          <w:tcPr>
            <w:tcW w:w="740" w:type="dxa"/>
            <w:vAlign w:val="bottom"/>
          </w:tcPr>
          <w:p>
            <w:pPr>
              <w:jc w:val="right"/>
              <w:ind w:right="48"/>
              <w:spacing w:after="0"/>
              <w:rPr>
                <w:sz w:val="20"/>
                <w:szCs w:val="20"/>
                <w:color w:val="auto"/>
              </w:rPr>
            </w:pPr>
            <w:r>
              <w:rPr>
                <w:rFonts w:ascii="Arial" w:cs="Arial" w:eastAsia="Arial" w:hAnsi="Arial"/>
                <w:sz w:val="14"/>
                <w:szCs w:val="14"/>
                <w:b w:val="1"/>
                <w:bCs w:val="1"/>
                <w:color w:val="auto"/>
              </w:rPr>
              <w:t>26,572</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20" w:type="dxa"/>
            <w:vAlign w:val="bottom"/>
          </w:tcPr>
          <w:p>
            <w:pPr>
              <w:jc w:val="right"/>
              <w:ind w:right="48"/>
              <w:spacing w:after="0"/>
              <w:rPr>
                <w:sz w:val="20"/>
                <w:szCs w:val="20"/>
                <w:color w:val="auto"/>
              </w:rPr>
            </w:pPr>
            <w:r>
              <w:rPr>
                <w:rFonts w:ascii="Arial" w:cs="Arial" w:eastAsia="Arial" w:hAnsi="Arial"/>
                <w:sz w:val="14"/>
                <w:szCs w:val="14"/>
                <w:color w:val="auto"/>
              </w:rPr>
              <w:t>16,798</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80" w:type="dxa"/>
            <w:vAlign w:val="bottom"/>
          </w:tcPr>
          <w:p>
            <w:pPr>
              <w:jc w:val="right"/>
              <w:ind w:right="48"/>
              <w:spacing w:after="0"/>
              <w:rPr>
                <w:sz w:val="20"/>
                <w:szCs w:val="20"/>
                <w:color w:val="auto"/>
              </w:rPr>
            </w:pPr>
            <w:r>
              <w:rPr>
                <w:rFonts w:ascii="Arial" w:cs="Arial" w:eastAsia="Arial" w:hAnsi="Arial"/>
                <w:sz w:val="14"/>
                <w:szCs w:val="14"/>
                <w:color w:val="auto"/>
              </w:rPr>
              <w:t>9,774</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00" w:type="dxa"/>
            <w:vAlign w:val="bottom"/>
          </w:tcPr>
          <w:p>
            <w:pPr>
              <w:jc w:val="right"/>
              <w:ind w:right="28"/>
              <w:spacing w:after="0"/>
              <w:rPr>
                <w:sz w:val="20"/>
                <w:szCs w:val="20"/>
                <w:color w:val="auto"/>
              </w:rPr>
            </w:pPr>
            <w:r>
              <w:rPr>
                <w:rFonts w:ascii="Arial" w:cs="Arial" w:eastAsia="Arial" w:hAnsi="Arial"/>
                <w:sz w:val="14"/>
                <w:szCs w:val="14"/>
                <w:b w:val="1"/>
                <w:bCs w:val="1"/>
                <w:color w:val="auto"/>
              </w:rPr>
              <w:t>68,397</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00" w:type="dxa"/>
            <w:vAlign w:val="bottom"/>
          </w:tcPr>
          <w:p>
            <w:pPr>
              <w:jc w:val="right"/>
              <w:ind w:right="28"/>
              <w:spacing w:after="0"/>
              <w:rPr>
                <w:sz w:val="20"/>
                <w:szCs w:val="20"/>
                <w:color w:val="auto"/>
              </w:rPr>
            </w:pPr>
            <w:r>
              <w:rPr>
                <w:rFonts w:ascii="Arial" w:cs="Arial" w:eastAsia="Arial" w:hAnsi="Arial"/>
                <w:sz w:val="14"/>
                <w:szCs w:val="14"/>
                <w:color w:val="auto"/>
              </w:rPr>
              <w:t>40,904</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40" w:type="dxa"/>
            <w:vAlign w:val="bottom"/>
          </w:tcPr>
          <w:p>
            <w:pPr>
              <w:jc w:val="right"/>
              <w:ind w:right="28"/>
              <w:spacing w:after="0"/>
              <w:rPr>
                <w:sz w:val="20"/>
                <w:szCs w:val="20"/>
                <w:color w:val="auto"/>
              </w:rPr>
            </w:pPr>
            <w:r>
              <w:rPr>
                <w:rFonts w:ascii="Arial" w:cs="Arial" w:eastAsia="Arial" w:hAnsi="Arial"/>
                <w:sz w:val="14"/>
                <w:szCs w:val="14"/>
                <w:color w:val="auto"/>
              </w:rPr>
              <w:t>27,493</w:t>
            </w:r>
          </w:p>
        </w:tc>
        <w:tc>
          <w:tcPr>
            <w:tcW w:w="0" w:type="dxa"/>
            <w:vAlign w:val="bottom"/>
          </w:tcPr>
          <w:p>
            <w:pPr>
              <w:spacing w:after="0"/>
              <w:rPr>
                <w:sz w:val="1"/>
                <w:szCs w:val="1"/>
                <w:color w:val="auto"/>
              </w:rPr>
            </w:pPr>
          </w:p>
        </w:tc>
      </w:tr>
      <w:tr>
        <w:trPr>
          <w:trHeight w:val="270"/>
        </w:trPr>
        <w:tc>
          <w:tcPr>
            <w:tcW w:w="5380" w:type="dxa"/>
            <w:vAlign w:val="bottom"/>
            <w:shd w:val="clear" w:color="auto" w:fill="CCEEFF"/>
          </w:tcPr>
          <w:p>
            <w:pPr>
              <w:ind w:left="40"/>
              <w:spacing w:after="0"/>
              <w:rPr>
                <w:sz w:val="20"/>
                <w:szCs w:val="20"/>
                <w:color w:val="auto"/>
              </w:rPr>
            </w:pPr>
            <w:r>
              <w:rPr>
                <w:rFonts w:ascii="Arial" w:cs="Arial" w:eastAsia="Arial" w:hAnsi="Arial"/>
                <w:sz w:val="14"/>
                <w:szCs w:val="14"/>
                <w:color w:val="auto"/>
              </w:rPr>
              <w:t>Provision for income taxes</w:t>
            </w:r>
          </w:p>
        </w:tc>
        <w:tc>
          <w:tcPr>
            <w:tcW w:w="200" w:type="dxa"/>
            <w:vAlign w:val="bottom"/>
            <w:tcBorders>
              <w:bottom w:val="single" w:sz="8" w:color="auto"/>
            </w:tcBorders>
            <w:shd w:val="clear" w:color="auto" w:fill="CCEEFF"/>
          </w:tcPr>
          <w:p>
            <w:pPr>
              <w:spacing w:after="0"/>
              <w:rPr>
                <w:sz w:val="23"/>
                <w:szCs w:val="23"/>
                <w:color w:val="auto"/>
              </w:rPr>
            </w:pPr>
          </w:p>
        </w:tc>
        <w:tc>
          <w:tcPr>
            <w:tcW w:w="74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927</w:t>
            </w:r>
          </w:p>
        </w:tc>
        <w:tc>
          <w:tcPr>
            <w:tcW w:w="12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7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100</w:t>
            </w:r>
          </w:p>
        </w:tc>
        <w:tc>
          <w:tcPr>
            <w:tcW w:w="12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78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827</w:t>
            </w:r>
          </w:p>
        </w:tc>
        <w:tc>
          <w:tcPr>
            <w:tcW w:w="10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7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1,598</w:t>
            </w:r>
          </w:p>
        </w:tc>
        <w:tc>
          <w:tcPr>
            <w:tcW w:w="100" w:type="dxa"/>
            <w:vAlign w:val="bottom"/>
            <w:tcBorders>
              <w:bottom w:val="single" w:sz="8" w:color="auto"/>
            </w:tcBorders>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7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188</w:t>
            </w:r>
          </w:p>
        </w:tc>
        <w:tc>
          <w:tcPr>
            <w:tcW w:w="100" w:type="dxa"/>
            <w:vAlign w:val="bottom"/>
            <w:tcBorders>
              <w:bottom w:val="single" w:sz="8" w:color="auto"/>
            </w:tcBorders>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7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1,410</w:t>
            </w:r>
          </w:p>
        </w:tc>
        <w:tc>
          <w:tcPr>
            <w:tcW w:w="0" w:type="dxa"/>
            <w:vAlign w:val="bottom"/>
          </w:tcPr>
          <w:p>
            <w:pPr>
              <w:spacing w:after="0"/>
              <w:rPr>
                <w:sz w:val="1"/>
                <w:szCs w:val="1"/>
                <w:color w:val="auto"/>
              </w:rPr>
            </w:pPr>
          </w:p>
        </w:tc>
      </w:tr>
      <w:tr>
        <w:trPr>
          <w:trHeight w:val="264"/>
        </w:trPr>
        <w:tc>
          <w:tcPr>
            <w:tcW w:w="538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Net income</w:t>
            </w:r>
          </w:p>
        </w:tc>
        <w:tc>
          <w:tcPr>
            <w:tcW w:w="20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25,645</w:t>
            </w:r>
          </w:p>
        </w:tc>
        <w:tc>
          <w:tcPr>
            <w:tcW w:w="12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16,698</w:t>
            </w:r>
          </w:p>
        </w:tc>
        <w:tc>
          <w:tcPr>
            <w:tcW w:w="12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8,947</w:t>
            </w:r>
          </w:p>
        </w:tc>
        <w:tc>
          <w:tcPr>
            <w:tcW w:w="10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66,799</w:t>
            </w:r>
          </w:p>
        </w:tc>
        <w:tc>
          <w:tcPr>
            <w:tcW w:w="100" w:type="dxa"/>
            <w:vAlign w:val="bottom"/>
            <w:tcBorders>
              <w:bottom w:val="single" w:sz="8" w:color="auto"/>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40,716</w:t>
            </w:r>
          </w:p>
        </w:tc>
        <w:tc>
          <w:tcPr>
            <w:tcW w:w="100" w:type="dxa"/>
            <w:vAlign w:val="bottom"/>
            <w:tcBorders>
              <w:bottom w:val="single" w:sz="8" w:color="auto"/>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26,083</w:t>
            </w:r>
          </w:p>
        </w:tc>
        <w:tc>
          <w:tcPr>
            <w:tcW w:w="0" w:type="dxa"/>
            <w:vAlign w:val="bottom"/>
          </w:tcPr>
          <w:p>
            <w:pPr>
              <w:spacing w:after="0"/>
              <w:rPr>
                <w:sz w:val="1"/>
                <w:szCs w:val="1"/>
                <w:color w:val="auto"/>
              </w:rPr>
            </w:pPr>
          </w:p>
        </w:tc>
      </w:tr>
      <w:tr>
        <w:trPr>
          <w:trHeight w:val="264"/>
        </w:trPr>
        <w:tc>
          <w:tcPr>
            <w:tcW w:w="5380" w:type="dxa"/>
            <w:vAlign w:val="bottom"/>
            <w:shd w:val="clear" w:color="auto" w:fill="CCEEFF"/>
          </w:tcPr>
          <w:p>
            <w:pPr>
              <w:ind w:left="40"/>
              <w:spacing w:after="0"/>
              <w:rPr>
                <w:sz w:val="20"/>
                <w:szCs w:val="20"/>
                <w:color w:val="auto"/>
              </w:rPr>
            </w:pPr>
            <w:r>
              <w:rPr>
                <w:rFonts w:ascii="Arial" w:cs="Arial" w:eastAsia="Arial" w:hAnsi="Arial"/>
                <w:sz w:val="14"/>
                <w:szCs w:val="14"/>
                <w:color w:val="auto"/>
              </w:rPr>
              <w:t>Less: Net income attributable to non-controlling interest in consolidated subsidiaries</w:t>
            </w:r>
          </w:p>
        </w:tc>
        <w:tc>
          <w:tcPr>
            <w:tcW w:w="200" w:type="dxa"/>
            <w:vAlign w:val="bottom"/>
            <w:tcBorders>
              <w:bottom w:val="single" w:sz="8" w:color="auto"/>
            </w:tcBorders>
            <w:shd w:val="clear" w:color="auto" w:fill="CCEEFF"/>
          </w:tcPr>
          <w:p>
            <w:pPr>
              <w:spacing w:after="0"/>
              <w:rPr>
                <w:sz w:val="22"/>
                <w:szCs w:val="22"/>
                <w:color w:val="auto"/>
              </w:rPr>
            </w:pPr>
          </w:p>
        </w:tc>
        <w:tc>
          <w:tcPr>
            <w:tcW w:w="74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303</w:t>
            </w:r>
          </w:p>
        </w:tc>
        <w:tc>
          <w:tcPr>
            <w:tcW w:w="120" w:type="dxa"/>
            <w:vAlign w:val="bottom"/>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spacing w:after="0"/>
              <w:rPr>
                <w:sz w:val="22"/>
                <w:szCs w:val="22"/>
                <w:color w:val="auto"/>
              </w:rPr>
            </w:pPr>
          </w:p>
        </w:tc>
        <w:tc>
          <w:tcPr>
            <w:tcW w:w="7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60</w:t>
            </w:r>
          </w:p>
        </w:tc>
        <w:tc>
          <w:tcPr>
            <w:tcW w:w="120" w:type="dxa"/>
            <w:vAlign w:val="bottom"/>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spacing w:after="0"/>
              <w:rPr>
                <w:sz w:val="22"/>
                <w:szCs w:val="22"/>
                <w:color w:val="auto"/>
              </w:rPr>
            </w:pPr>
          </w:p>
        </w:tc>
        <w:tc>
          <w:tcPr>
            <w:tcW w:w="78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243</w:t>
            </w:r>
          </w:p>
        </w:tc>
        <w:tc>
          <w:tcPr>
            <w:tcW w:w="100" w:type="dxa"/>
            <w:vAlign w:val="bottom"/>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spacing w:after="0"/>
              <w:rPr>
                <w:sz w:val="22"/>
                <w:szCs w:val="22"/>
                <w:color w:val="auto"/>
              </w:rPr>
            </w:pPr>
          </w:p>
        </w:tc>
        <w:tc>
          <w:tcPr>
            <w:tcW w:w="7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445</w:t>
            </w:r>
          </w:p>
        </w:tc>
        <w:tc>
          <w:tcPr>
            <w:tcW w:w="100" w:type="dxa"/>
            <w:vAlign w:val="bottom"/>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spacing w:after="0"/>
              <w:rPr>
                <w:sz w:val="22"/>
                <w:szCs w:val="22"/>
                <w:color w:val="auto"/>
              </w:rPr>
            </w:pPr>
          </w:p>
        </w:tc>
        <w:tc>
          <w:tcPr>
            <w:tcW w:w="7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350</w:t>
            </w:r>
          </w:p>
        </w:tc>
        <w:tc>
          <w:tcPr>
            <w:tcW w:w="100" w:type="dxa"/>
            <w:vAlign w:val="bottom"/>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spacing w:after="0"/>
              <w:rPr>
                <w:sz w:val="22"/>
                <w:szCs w:val="22"/>
                <w:color w:val="auto"/>
              </w:rPr>
            </w:pPr>
          </w:p>
        </w:tc>
        <w:tc>
          <w:tcPr>
            <w:tcW w:w="7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95</w:t>
            </w:r>
          </w:p>
        </w:tc>
        <w:tc>
          <w:tcPr>
            <w:tcW w:w="0" w:type="dxa"/>
            <w:vAlign w:val="bottom"/>
          </w:tcPr>
          <w:p>
            <w:pPr>
              <w:spacing w:after="0"/>
              <w:rPr>
                <w:sz w:val="1"/>
                <w:szCs w:val="1"/>
                <w:color w:val="auto"/>
              </w:rPr>
            </w:pPr>
          </w:p>
        </w:tc>
      </w:tr>
      <w:tr>
        <w:trPr>
          <w:trHeight w:val="250"/>
        </w:trPr>
        <w:tc>
          <w:tcPr>
            <w:tcW w:w="538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Net income attributable to shareholders</w:t>
            </w:r>
          </w:p>
        </w:tc>
        <w:tc>
          <w:tcPr>
            <w:tcW w:w="2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w:t>
            </w:r>
          </w:p>
        </w:tc>
        <w:tc>
          <w:tcPr>
            <w:tcW w:w="7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25,342</w:t>
            </w:r>
          </w:p>
        </w:tc>
        <w:tc>
          <w:tcPr>
            <w:tcW w:w="12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16,638</w:t>
            </w:r>
          </w:p>
        </w:tc>
        <w:tc>
          <w:tcPr>
            <w:tcW w:w="12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8,704</w:t>
            </w:r>
          </w:p>
        </w:tc>
        <w:tc>
          <w:tcPr>
            <w:tcW w:w="10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w:t>
            </w:r>
          </w:p>
        </w:tc>
        <w:tc>
          <w:tcPr>
            <w:tcW w:w="7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66,354</w:t>
            </w:r>
          </w:p>
        </w:tc>
        <w:tc>
          <w:tcPr>
            <w:tcW w:w="10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40,366</w:t>
            </w:r>
          </w:p>
        </w:tc>
        <w:tc>
          <w:tcPr>
            <w:tcW w:w="10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25,988</w:t>
            </w:r>
          </w:p>
        </w:tc>
        <w:tc>
          <w:tcPr>
            <w:tcW w:w="0" w:type="dxa"/>
            <w:vAlign w:val="bottom"/>
          </w:tcPr>
          <w:p>
            <w:pPr>
              <w:spacing w:after="0"/>
              <w:rPr>
                <w:sz w:val="1"/>
                <w:szCs w:val="1"/>
                <w:color w:val="auto"/>
              </w:rPr>
            </w:pPr>
          </w:p>
        </w:tc>
      </w:tr>
      <w:tr>
        <w:trPr>
          <w:trHeight w:val="251"/>
        </w:trPr>
        <w:tc>
          <w:tcPr>
            <w:tcW w:w="5380" w:type="dxa"/>
            <w:vAlign w:val="bottom"/>
            <w:shd w:val="clear" w:color="auto" w:fill="CCEEFF"/>
          </w:tcPr>
          <w:p>
            <w:pPr>
              <w:ind w:left="40"/>
              <w:spacing w:after="0"/>
              <w:rPr>
                <w:sz w:val="20"/>
                <w:szCs w:val="20"/>
                <w:color w:val="auto"/>
              </w:rPr>
            </w:pPr>
            <w:r>
              <w:rPr>
                <w:rFonts w:ascii="Arial" w:cs="Arial" w:eastAsia="Arial" w:hAnsi="Arial"/>
                <w:sz w:val="14"/>
                <w:szCs w:val="14"/>
                <w:color w:val="auto"/>
              </w:rPr>
              <w:t>Add: Provision for income taxes</w:t>
            </w:r>
          </w:p>
        </w:tc>
        <w:tc>
          <w:tcPr>
            <w:tcW w:w="200" w:type="dxa"/>
            <w:vAlign w:val="bottom"/>
            <w:shd w:val="clear" w:color="auto" w:fill="CCEEFF"/>
          </w:tcPr>
          <w:p>
            <w:pPr>
              <w:spacing w:after="0"/>
              <w:rPr>
                <w:sz w:val="21"/>
                <w:szCs w:val="21"/>
                <w:color w:val="auto"/>
              </w:rPr>
            </w:pPr>
          </w:p>
        </w:tc>
        <w:tc>
          <w:tcPr>
            <w:tcW w:w="74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927</w:t>
            </w:r>
          </w:p>
        </w:tc>
        <w:tc>
          <w:tcPr>
            <w:tcW w:w="1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7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100</w:t>
            </w: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7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827</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70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1,598</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7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188</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7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1,410</w:t>
            </w:r>
          </w:p>
        </w:tc>
        <w:tc>
          <w:tcPr>
            <w:tcW w:w="0" w:type="dxa"/>
            <w:vAlign w:val="bottom"/>
          </w:tcPr>
          <w:p>
            <w:pPr>
              <w:spacing w:after="0"/>
              <w:rPr>
                <w:sz w:val="1"/>
                <w:szCs w:val="1"/>
                <w:color w:val="auto"/>
              </w:rPr>
            </w:pPr>
          </w:p>
        </w:tc>
      </w:tr>
      <w:tr>
        <w:trPr>
          <w:trHeight w:val="269"/>
        </w:trPr>
        <w:tc>
          <w:tcPr>
            <w:tcW w:w="5380" w:type="dxa"/>
            <w:vAlign w:val="bottom"/>
          </w:tcPr>
          <w:p>
            <w:pPr>
              <w:ind w:left="40"/>
              <w:spacing w:after="0"/>
              <w:rPr>
                <w:sz w:val="20"/>
                <w:szCs w:val="20"/>
                <w:color w:val="auto"/>
              </w:rPr>
            </w:pPr>
            <w:r>
              <w:rPr>
                <w:rFonts w:ascii="Arial" w:cs="Arial" w:eastAsia="Arial" w:hAnsi="Arial"/>
                <w:sz w:val="14"/>
                <w:szCs w:val="14"/>
                <w:color w:val="auto"/>
              </w:rPr>
              <w:t>Add: Equity-based compensation expense</w:t>
            </w:r>
          </w:p>
        </w:tc>
        <w:tc>
          <w:tcPr>
            <w:tcW w:w="200" w:type="dxa"/>
            <w:vAlign w:val="bottom"/>
          </w:tcPr>
          <w:p>
            <w:pPr>
              <w:spacing w:after="0"/>
              <w:rPr>
                <w:sz w:val="23"/>
                <w:szCs w:val="23"/>
                <w:color w:val="auto"/>
              </w:rPr>
            </w:pPr>
          </w:p>
        </w:tc>
        <w:tc>
          <w:tcPr>
            <w:tcW w:w="86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rPr>
              <w:t>—</w:t>
            </w:r>
          </w:p>
        </w:tc>
        <w:tc>
          <w:tcPr>
            <w:tcW w:w="200" w:type="dxa"/>
            <w:vAlign w:val="bottom"/>
          </w:tcPr>
          <w:p>
            <w:pPr>
              <w:spacing w:after="0"/>
              <w:rPr>
                <w:sz w:val="23"/>
                <w:szCs w:val="23"/>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3"/>
                <w:szCs w:val="23"/>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3"/>
                <w:szCs w:val="23"/>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rPr>
              <w:t>—</w:t>
            </w:r>
          </w:p>
        </w:tc>
        <w:tc>
          <w:tcPr>
            <w:tcW w:w="200" w:type="dxa"/>
            <w:vAlign w:val="bottom"/>
          </w:tcPr>
          <w:p>
            <w:pPr>
              <w:spacing w:after="0"/>
              <w:rPr>
                <w:sz w:val="23"/>
                <w:szCs w:val="23"/>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3"/>
                <w:szCs w:val="23"/>
                <w:color w:val="auto"/>
              </w:rPr>
            </w:pPr>
          </w:p>
        </w:tc>
        <w:tc>
          <w:tcPr>
            <w:tcW w:w="74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1"/>
        </w:trPr>
        <w:tc>
          <w:tcPr>
            <w:tcW w:w="5380" w:type="dxa"/>
            <w:vAlign w:val="bottom"/>
            <w:shd w:val="clear" w:color="auto" w:fill="CCEEFF"/>
          </w:tcPr>
          <w:p>
            <w:pPr>
              <w:ind w:left="40"/>
              <w:spacing w:after="0"/>
              <w:rPr>
                <w:sz w:val="20"/>
                <w:szCs w:val="20"/>
                <w:color w:val="auto"/>
              </w:rPr>
            </w:pPr>
            <w:r>
              <w:rPr>
                <w:rFonts w:ascii="Arial" w:cs="Arial" w:eastAsia="Arial" w:hAnsi="Arial"/>
                <w:sz w:val="14"/>
                <w:szCs w:val="14"/>
                <w:color w:val="auto"/>
              </w:rPr>
              <w:t>Add: Acquisition and transaction expenses</w:t>
            </w:r>
          </w:p>
        </w:tc>
        <w:tc>
          <w:tcPr>
            <w:tcW w:w="200" w:type="dxa"/>
            <w:vAlign w:val="bottom"/>
            <w:shd w:val="clear" w:color="auto" w:fill="CCEEFF"/>
          </w:tcPr>
          <w:p>
            <w:pPr>
              <w:spacing w:after="0"/>
              <w:rPr>
                <w:sz w:val="23"/>
                <w:szCs w:val="23"/>
                <w:color w:val="auto"/>
              </w:rPr>
            </w:pPr>
          </w:p>
        </w:tc>
        <w:tc>
          <w:tcPr>
            <w:tcW w:w="74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6</w:t>
            </w: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3"/>
                <w:szCs w:val="23"/>
                <w:color w:val="auto"/>
              </w:rPr>
            </w:pPr>
          </w:p>
        </w:tc>
        <w:tc>
          <w:tcPr>
            <w:tcW w:w="7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6</w:t>
            </w: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70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276</w:t>
            </w: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3"/>
                <w:szCs w:val="23"/>
                <w:color w:val="auto"/>
              </w:rPr>
            </w:pPr>
          </w:p>
        </w:tc>
        <w:tc>
          <w:tcPr>
            <w:tcW w:w="7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276</w:t>
            </w:r>
          </w:p>
        </w:tc>
        <w:tc>
          <w:tcPr>
            <w:tcW w:w="0" w:type="dxa"/>
            <w:vAlign w:val="bottom"/>
          </w:tcPr>
          <w:p>
            <w:pPr>
              <w:spacing w:after="0"/>
              <w:rPr>
                <w:sz w:val="1"/>
                <w:szCs w:val="1"/>
                <w:color w:val="auto"/>
              </w:rPr>
            </w:pPr>
          </w:p>
        </w:tc>
      </w:tr>
      <w:tr>
        <w:trPr>
          <w:trHeight w:val="176"/>
        </w:trPr>
        <w:tc>
          <w:tcPr>
            <w:tcW w:w="5380" w:type="dxa"/>
            <w:vAlign w:val="bottom"/>
          </w:tcPr>
          <w:p>
            <w:pPr>
              <w:ind w:left="40"/>
              <w:spacing w:after="0"/>
              <w:rPr>
                <w:sz w:val="20"/>
                <w:szCs w:val="20"/>
                <w:color w:val="auto"/>
              </w:rPr>
            </w:pPr>
            <w:r>
              <w:rPr>
                <w:rFonts w:ascii="Arial" w:cs="Arial" w:eastAsia="Arial" w:hAnsi="Arial"/>
                <w:sz w:val="14"/>
                <w:szCs w:val="14"/>
                <w:color w:val="auto"/>
              </w:rPr>
              <w:t>Add: Losses on the modification or extinguishment of debt and capital lease</w:t>
            </w:r>
          </w:p>
        </w:tc>
        <w:tc>
          <w:tcPr>
            <w:tcW w:w="200" w:type="dxa"/>
            <w:vAlign w:val="bottom"/>
          </w:tcPr>
          <w:p>
            <w:pPr>
              <w:spacing w:after="0"/>
              <w:rPr>
                <w:sz w:val="15"/>
                <w:szCs w:val="15"/>
                <w:color w:val="auto"/>
              </w:rPr>
            </w:pPr>
          </w:p>
        </w:tc>
        <w:tc>
          <w:tcPr>
            <w:tcW w:w="860" w:type="dxa"/>
            <w:vAlign w:val="bottom"/>
            <w:gridSpan w:val="2"/>
            <w:vMerge w:val="restart"/>
          </w:tcPr>
          <w:p>
            <w:pPr>
              <w:jc w:val="right"/>
              <w:ind w:right="240"/>
              <w:spacing w:after="0"/>
              <w:rPr>
                <w:sz w:val="20"/>
                <w:szCs w:val="20"/>
                <w:color w:val="auto"/>
              </w:rPr>
            </w:pPr>
            <w:r>
              <w:rPr>
                <w:rFonts w:ascii="Arial" w:cs="Arial" w:eastAsia="Arial" w:hAnsi="Arial"/>
                <w:sz w:val="14"/>
                <w:szCs w:val="14"/>
                <w:b w:val="1"/>
                <w:bCs w:val="1"/>
                <w:color w:val="auto"/>
              </w:rPr>
              <w:t>—</w:t>
            </w:r>
          </w:p>
        </w:tc>
        <w:tc>
          <w:tcPr>
            <w:tcW w:w="2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8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5"/>
                <w:szCs w:val="15"/>
                <w:color w:val="auto"/>
              </w:rPr>
            </w:pPr>
          </w:p>
        </w:tc>
        <w:tc>
          <w:tcPr>
            <w:tcW w:w="800" w:type="dxa"/>
            <w:vAlign w:val="bottom"/>
            <w:gridSpan w:val="2"/>
            <w:vMerge w:val="restart"/>
          </w:tcPr>
          <w:p>
            <w:pPr>
              <w:jc w:val="right"/>
              <w:ind w:right="200"/>
              <w:spacing w:after="0"/>
              <w:rPr>
                <w:sz w:val="20"/>
                <w:szCs w:val="20"/>
                <w:color w:val="auto"/>
              </w:rPr>
            </w:pPr>
            <w:r>
              <w:rPr>
                <w:rFonts w:ascii="Arial" w:cs="Arial" w:eastAsia="Arial" w:hAnsi="Arial"/>
                <w:sz w:val="14"/>
                <w:szCs w:val="14"/>
                <w:b w:val="1"/>
                <w:bCs w:val="1"/>
                <w:color w:val="auto"/>
              </w:rPr>
              <w:t>—</w:t>
            </w:r>
          </w:p>
        </w:tc>
        <w:tc>
          <w:tcPr>
            <w:tcW w:w="2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40" w:type="dxa"/>
            <w:vAlign w:val="bottom"/>
            <w:vMerge w:val="restart"/>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13"/>
        </w:trPr>
        <w:tc>
          <w:tcPr>
            <w:tcW w:w="5380" w:type="dxa"/>
            <w:vAlign w:val="bottom"/>
            <w:vMerge w:val="restart"/>
          </w:tcPr>
          <w:p>
            <w:pPr>
              <w:ind w:left="40"/>
              <w:spacing w:after="0"/>
              <w:rPr>
                <w:sz w:val="20"/>
                <w:szCs w:val="20"/>
                <w:color w:val="auto"/>
              </w:rPr>
            </w:pPr>
            <w:r>
              <w:rPr>
                <w:rFonts w:ascii="Arial" w:cs="Arial" w:eastAsia="Arial" w:hAnsi="Arial"/>
                <w:sz w:val="14"/>
                <w:szCs w:val="14"/>
                <w:color w:val="auto"/>
              </w:rPr>
              <w:t>obligations</w:t>
            </w:r>
          </w:p>
        </w:tc>
        <w:tc>
          <w:tcPr>
            <w:tcW w:w="200" w:type="dxa"/>
            <w:vAlign w:val="bottom"/>
          </w:tcPr>
          <w:p>
            <w:pPr>
              <w:spacing w:after="0"/>
              <w:rPr>
                <w:sz w:val="9"/>
                <w:szCs w:val="9"/>
                <w:color w:val="auto"/>
              </w:rPr>
            </w:pPr>
          </w:p>
        </w:tc>
        <w:tc>
          <w:tcPr>
            <w:tcW w:w="860" w:type="dxa"/>
            <w:vAlign w:val="bottom"/>
            <w:gridSpan w:val="2"/>
            <w:vMerge w:val="continue"/>
          </w:tcPr>
          <w:p>
            <w:pPr>
              <w:spacing w:after="0"/>
              <w:rPr>
                <w:sz w:val="9"/>
                <w:szCs w:val="9"/>
                <w:color w:val="auto"/>
              </w:rPr>
            </w:pPr>
          </w:p>
        </w:tc>
        <w:tc>
          <w:tcPr>
            <w:tcW w:w="200" w:type="dxa"/>
            <w:vAlign w:val="bottom"/>
          </w:tcPr>
          <w:p>
            <w:pPr>
              <w:spacing w:after="0"/>
              <w:rPr>
                <w:sz w:val="9"/>
                <w:szCs w:val="9"/>
                <w:color w:val="auto"/>
              </w:rPr>
            </w:pPr>
          </w:p>
        </w:tc>
        <w:tc>
          <w:tcPr>
            <w:tcW w:w="84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9"/>
                <w:szCs w:val="9"/>
                <w:color w:val="auto"/>
              </w:rPr>
            </w:pPr>
          </w:p>
        </w:tc>
        <w:tc>
          <w:tcPr>
            <w:tcW w:w="880" w:type="dxa"/>
            <w:vAlign w:val="bottom"/>
            <w:gridSpan w:val="2"/>
            <w:vMerge w:val="continue"/>
          </w:tcPr>
          <w:p>
            <w:pPr>
              <w:spacing w:after="0"/>
              <w:rPr>
                <w:sz w:val="9"/>
                <w:szCs w:val="9"/>
                <w:color w:val="auto"/>
              </w:rPr>
            </w:pPr>
          </w:p>
        </w:tc>
        <w:tc>
          <w:tcPr>
            <w:tcW w:w="200" w:type="dxa"/>
            <w:vAlign w:val="bottom"/>
          </w:tcPr>
          <w:p>
            <w:pPr>
              <w:spacing w:after="0"/>
              <w:rPr>
                <w:sz w:val="9"/>
                <w:szCs w:val="9"/>
                <w:color w:val="auto"/>
              </w:rPr>
            </w:pPr>
          </w:p>
        </w:tc>
        <w:tc>
          <w:tcPr>
            <w:tcW w:w="800" w:type="dxa"/>
            <w:vAlign w:val="bottom"/>
            <w:gridSpan w:val="2"/>
            <w:vMerge w:val="continue"/>
          </w:tcPr>
          <w:p>
            <w:pPr>
              <w:spacing w:after="0"/>
              <w:rPr>
                <w:sz w:val="9"/>
                <w:szCs w:val="9"/>
                <w:color w:val="auto"/>
              </w:rPr>
            </w:pPr>
          </w:p>
        </w:tc>
        <w:tc>
          <w:tcPr>
            <w:tcW w:w="200" w:type="dxa"/>
            <w:vAlign w:val="bottom"/>
          </w:tcPr>
          <w:p>
            <w:pPr>
              <w:spacing w:after="0"/>
              <w:rPr>
                <w:sz w:val="9"/>
                <w:szCs w:val="9"/>
                <w:color w:val="auto"/>
              </w:rPr>
            </w:pPr>
          </w:p>
        </w:tc>
        <w:tc>
          <w:tcPr>
            <w:tcW w:w="800" w:type="dxa"/>
            <w:vAlign w:val="bottom"/>
            <w:gridSpan w:val="2"/>
            <w:vMerge w:val="restart"/>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9"/>
                <w:szCs w:val="9"/>
                <w:color w:val="auto"/>
              </w:rPr>
            </w:pPr>
          </w:p>
        </w:tc>
        <w:tc>
          <w:tcPr>
            <w:tcW w:w="7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88"/>
        </w:trPr>
        <w:tc>
          <w:tcPr>
            <w:tcW w:w="5380" w:type="dxa"/>
            <w:vAlign w:val="bottom"/>
            <w:vMerge w:val="continue"/>
          </w:tcPr>
          <w:p>
            <w:pPr>
              <w:spacing w:after="0"/>
              <w:rPr>
                <w:sz w:val="7"/>
                <w:szCs w:val="7"/>
                <w:color w:val="auto"/>
              </w:rPr>
            </w:pPr>
          </w:p>
        </w:tc>
        <w:tc>
          <w:tcPr>
            <w:tcW w:w="200" w:type="dxa"/>
            <w:vAlign w:val="bottom"/>
          </w:tcPr>
          <w:p>
            <w:pPr>
              <w:spacing w:after="0"/>
              <w:rPr>
                <w:sz w:val="7"/>
                <w:szCs w:val="7"/>
                <w:color w:val="auto"/>
              </w:rPr>
            </w:pPr>
          </w:p>
        </w:tc>
        <w:tc>
          <w:tcPr>
            <w:tcW w:w="860" w:type="dxa"/>
            <w:vAlign w:val="bottom"/>
            <w:gridSpan w:val="2"/>
            <w:vMerge w:val="continue"/>
          </w:tcPr>
          <w:p>
            <w:pPr>
              <w:spacing w:after="0"/>
              <w:rPr>
                <w:sz w:val="7"/>
                <w:szCs w:val="7"/>
                <w:color w:val="auto"/>
              </w:rPr>
            </w:pPr>
          </w:p>
        </w:tc>
        <w:tc>
          <w:tcPr>
            <w:tcW w:w="200" w:type="dxa"/>
            <w:vAlign w:val="bottom"/>
          </w:tcPr>
          <w:p>
            <w:pPr>
              <w:spacing w:after="0"/>
              <w:rPr>
                <w:sz w:val="7"/>
                <w:szCs w:val="7"/>
                <w:color w:val="auto"/>
              </w:rPr>
            </w:pPr>
          </w:p>
        </w:tc>
        <w:tc>
          <w:tcPr>
            <w:tcW w:w="840" w:type="dxa"/>
            <w:vAlign w:val="bottom"/>
            <w:gridSpan w:val="2"/>
            <w:vMerge w:val="continue"/>
          </w:tcPr>
          <w:p>
            <w:pPr>
              <w:spacing w:after="0"/>
              <w:rPr>
                <w:sz w:val="7"/>
                <w:szCs w:val="7"/>
                <w:color w:val="auto"/>
              </w:rPr>
            </w:pPr>
          </w:p>
        </w:tc>
        <w:tc>
          <w:tcPr>
            <w:tcW w:w="160" w:type="dxa"/>
            <w:vAlign w:val="bottom"/>
          </w:tcPr>
          <w:p>
            <w:pPr>
              <w:spacing w:after="0"/>
              <w:rPr>
                <w:sz w:val="7"/>
                <w:szCs w:val="7"/>
                <w:color w:val="auto"/>
              </w:rPr>
            </w:pPr>
          </w:p>
        </w:tc>
        <w:tc>
          <w:tcPr>
            <w:tcW w:w="780" w:type="dxa"/>
            <w:vAlign w:val="bottom"/>
          </w:tcPr>
          <w:p>
            <w:pPr>
              <w:spacing w:after="0"/>
              <w:rPr>
                <w:sz w:val="7"/>
                <w:szCs w:val="7"/>
                <w:color w:val="auto"/>
              </w:rPr>
            </w:pPr>
          </w:p>
        </w:tc>
        <w:tc>
          <w:tcPr>
            <w:tcW w:w="100" w:type="dxa"/>
            <w:vAlign w:val="bottom"/>
          </w:tcPr>
          <w:p>
            <w:pPr>
              <w:spacing w:after="0"/>
              <w:rPr>
                <w:sz w:val="7"/>
                <w:szCs w:val="7"/>
                <w:color w:val="auto"/>
              </w:rPr>
            </w:pPr>
          </w:p>
        </w:tc>
        <w:tc>
          <w:tcPr>
            <w:tcW w:w="200" w:type="dxa"/>
            <w:vAlign w:val="bottom"/>
          </w:tcPr>
          <w:p>
            <w:pPr>
              <w:spacing w:after="0"/>
              <w:rPr>
                <w:sz w:val="7"/>
                <w:szCs w:val="7"/>
                <w:color w:val="auto"/>
              </w:rPr>
            </w:pPr>
          </w:p>
        </w:tc>
        <w:tc>
          <w:tcPr>
            <w:tcW w:w="800" w:type="dxa"/>
            <w:vAlign w:val="bottom"/>
            <w:gridSpan w:val="2"/>
            <w:vMerge w:val="continue"/>
          </w:tcPr>
          <w:p>
            <w:pPr>
              <w:spacing w:after="0"/>
              <w:rPr>
                <w:sz w:val="7"/>
                <w:szCs w:val="7"/>
                <w:color w:val="auto"/>
              </w:rPr>
            </w:pPr>
          </w:p>
        </w:tc>
        <w:tc>
          <w:tcPr>
            <w:tcW w:w="200" w:type="dxa"/>
            <w:vAlign w:val="bottom"/>
          </w:tcPr>
          <w:p>
            <w:pPr>
              <w:spacing w:after="0"/>
              <w:rPr>
                <w:sz w:val="7"/>
                <w:szCs w:val="7"/>
                <w:color w:val="auto"/>
              </w:rPr>
            </w:pPr>
          </w:p>
        </w:tc>
        <w:tc>
          <w:tcPr>
            <w:tcW w:w="800" w:type="dxa"/>
            <w:vAlign w:val="bottom"/>
            <w:gridSpan w:val="2"/>
            <w:vMerge w:val="continue"/>
          </w:tcPr>
          <w:p>
            <w:pPr>
              <w:spacing w:after="0"/>
              <w:rPr>
                <w:sz w:val="7"/>
                <w:szCs w:val="7"/>
                <w:color w:val="auto"/>
              </w:rPr>
            </w:pPr>
          </w:p>
        </w:tc>
        <w:tc>
          <w:tcPr>
            <w:tcW w:w="160" w:type="dxa"/>
            <w:vAlign w:val="bottom"/>
          </w:tcPr>
          <w:p>
            <w:pPr>
              <w:spacing w:after="0"/>
              <w:rPr>
                <w:sz w:val="7"/>
                <w:szCs w:val="7"/>
                <w:color w:val="auto"/>
              </w:rPr>
            </w:pPr>
          </w:p>
        </w:tc>
        <w:tc>
          <w:tcPr>
            <w:tcW w:w="7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71"/>
        </w:trPr>
        <w:tc>
          <w:tcPr>
            <w:tcW w:w="5380" w:type="dxa"/>
            <w:vAlign w:val="bottom"/>
            <w:shd w:val="clear" w:color="auto" w:fill="CCEEFF"/>
          </w:tcPr>
          <w:p>
            <w:pPr>
              <w:ind w:left="40"/>
              <w:spacing w:after="0"/>
              <w:rPr>
                <w:sz w:val="20"/>
                <w:szCs w:val="20"/>
                <w:color w:val="auto"/>
              </w:rPr>
            </w:pPr>
            <w:r>
              <w:rPr>
                <w:rFonts w:ascii="Arial" w:cs="Arial" w:eastAsia="Arial" w:hAnsi="Arial"/>
                <w:sz w:val="14"/>
                <w:szCs w:val="14"/>
                <w:color w:val="auto"/>
              </w:rPr>
              <w:t>Add: Changes in fair value of non-hedge derivative instruments</w:t>
            </w:r>
          </w:p>
        </w:tc>
        <w:tc>
          <w:tcPr>
            <w:tcW w:w="200" w:type="dxa"/>
            <w:vAlign w:val="bottom"/>
            <w:shd w:val="clear" w:color="auto" w:fill="CCEEFF"/>
          </w:tcPr>
          <w:p>
            <w:pPr>
              <w:spacing w:after="0"/>
              <w:rPr>
                <w:sz w:val="23"/>
                <w:szCs w:val="23"/>
                <w:color w:val="auto"/>
              </w:rPr>
            </w:pPr>
          </w:p>
        </w:tc>
        <w:tc>
          <w:tcPr>
            <w:tcW w:w="86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b w:val="1"/>
                <w:bCs w:val="1"/>
                <w:color w:val="auto"/>
              </w:rPr>
              <w:t>—</w:t>
            </w:r>
          </w:p>
        </w:tc>
        <w:tc>
          <w:tcPr>
            <w:tcW w:w="200" w:type="dxa"/>
            <w:vAlign w:val="bottom"/>
            <w:shd w:val="clear" w:color="auto" w:fill="CCEEFF"/>
          </w:tcPr>
          <w:p>
            <w:pPr>
              <w:spacing w:after="0"/>
              <w:rPr>
                <w:sz w:val="23"/>
                <w:szCs w:val="23"/>
                <w:color w:val="auto"/>
              </w:rPr>
            </w:pP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3"/>
                <w:szCs w:val="23"/>
                <w:color w:val="auto"/>
              </w:rPr>
            </w:pP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23"/>
                <w:szCs w:val="23"/>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b w:val="1"/>
                <w:bCs w:val="1"/>
                <w:color w:val="auto"/>
              </w:rPr>
              <w:t>—</w:t>
            </w:r>
          </w:p>
        </w:tc>
        <w:tc>
          <w:tcPr>
            <w:tcW w:w="200" w:type="dxa"/>
            <w:vAlign w:val="bottom"/>
            <w:shd w:val="clear" w:color="auto" w:fill="CCEEFF"/>
          </w:tcPr>
          <w:p>
            <w:pPr>
              <w:spacing w:after="0"/>
              <w:rPr>
                <w:sz w:val="23"/>
                <w:szCs w:val="23"/>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3"/>
                <w:szCs w:val="23"/>
                <w:color w:val="auto"/>
              </w:rPr>
            </w:pPr>
          </w:p>
        </w:tc>
        <w:tc>
          <w:tcPr>
            <w:tcW w:w="7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69"/>
        </w:trPr>
        <w:tc>
          <w:tcPr>
            <w:tcW w:w="5380" w:type="dxa"/>
            <w:vAlign w:val="bottom"/>
          </w:tcPr>
          <w:p>
            <w:pPr>
              <w:ind w:left="40"/>
              <w:spacing w:after="0"/>
              <w:rPr>
                <w:sz w:val="20"/>
                <w:szCs w:val="20"/>
                <w:color w:val="auto"/>
              </w:rPr>
            </w:pPr>
            <w:r>
              <w:rPr>
                <w:rFonts w:ascii="Arial" w:cs="Arial" w:eastAsia="Arial" w:hAnsi="Arial"/>
                <w:sz w:val="14"/>
                <w:szCs w:val="14"/>
                <w:color w:val="auto"/>
              </w:rPr>
              <w:t>Add: Asset impairment charges</w:t>
            </w:r>
          </w:p>
        </w:tc>
        <w:tc>
          <w:tcPr>
            <w:tcW w:w="200" w:type="dxa"/>
            <w:vAlign w:val="bottom"/>
          </w:tcPr>
          <w:p>
            <w:pPr>
              <w:spacing w:after="0"/>
              <w:rPr>
                <w:sz w:val="23"/>
                <w:szCs w:val="23"/>
                <w:color w:val="auto"/>
              </w:rPr>
            </w:pPr>
          </w:p>
        </w:tc>
        <w:tc>
          <w:tcPr>
            <w:tcW w:w="86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rPr>
              <w:t>—</w:t>
            </w:r>
          </w:p>
        </w:tc>
        <w:tc>
          <w:tcPr>
            <w:tcW w:w="200" w:type="dxa"/>
            <w:vAlign w:val="bottom"/>
          </w:tcPr>
          <w:p>
            <w:pPr>
              <w:spacing w:after="0"/>
              <w:rPr>
                <w:sz w:val="23"/>
                <w:szCs w:val="23"/>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3"/>
                <w:szCs w:val="23"/>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3"/>
                <w:szCs w:val="23"/>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rPr>
              <w:t>—</w:t>
            </w:r>
          </w:p>
        </w:tc>
        <w:tc>
          <w:tcPr>
            <w:tcW w:w="200" w:type="dxa"/>
            <w:vAlign w:val="bottom"/>
          </w:tcPr>
          <w:p>
            <w:pPr>
              <w:spacing w:after="0"/>
              <w:rPr>
                <w:sz w:val="23"/>
                <w:szCs w:val="23"/>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3"/>
                <w:szCs w:val="23"/>
                <w:color w:val="auto"/>
              </w:rPr>
            </w:pPr>
          </w:p>
        </w:tc>
        <w:tc>
          <w:tcPr>
            <w:tcW w:w="74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1"/>
        </w:trPr>
        <w:tc>
          <w:tcPr>
            <w:tcW w:w="5380" w:type="dxa"/>
            <w:vAlign w:val="bottom"/>
            <w:shd w:val="clear" w:color="auto" w:fill="CCEEFF"/>
          </w:tcPr>
          <w:p>
            <w:pPr>
              <w:ind w:left="40"/>
              <w:spacing w:after="0"/>
              <w:rPr>
                <w:sz w:val="20"/>
                <w:szCs w:val="20"/>
                <w:color w:val="auto"/>
              </w:rPr>
            </w:pPr>
            <w:r>
              <w:rPr>
                <w:rFonts w:ascii="Arial" w:cs="Arial" w:eastAsia="Arial" w:hAnsi="Arial"/>
                <w:sz w:val="14"/>
                <w:szCs w:val="14"/>
                <w:color w:val="auto"/>
              </w:rPr>
              <w:t>Add: Pro-rata share of Adjusted Net Income from unconsolidated entities</w:t>
            </w:r>
            <w:r>
              <w:rPr>
                <w:rFonts w:ascii="Arial" w:cs="Arial" w:eastAsia="Arial" w:hAnsi="Arial"/>
                <w:sz w:val="17"/>
                <w:szCs w:val="17"/>
                <w:color w:val="auto"/>
                <w:vertAlign w:val="superscript"/>
              </w:rPr>
              <w:t>(1)</w:t>
            </w:r>
          </w:p>
        </w:tc>
        <w:tc>
          <w:tcPr>
            <w:tcW w:w="200" w:type="dxa"/>
            <w:vAlign w:val="bottom"/>
            <w:shd w:val="clear" w:color="auto" w:fill="CCEEFF"/>
          </w:tcPr>
          <w:p>
            <w:pPr>
              <w:spacing w:after="0"/>
              <w:rPr>
                <w:sz w:val="23"/>
                <w:szCs w:val="23"/>
                <w:color w:val="auto"/>
              </w:rPr>
            </w:pPr>
          </w:p>
        </w:tc>
        <w:tc>
          <w:tcPr>
            <w:tcW w:w="740" w:type="dxa"/>
            <w:vAlign w:val="bottom"/>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(203)</w:t>
            </w: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3"/>
                <w:szCs w:val="23"/>
                <w:color w:val="auto"/>
              </w:rPr>
            </w:pPr>
          </w:p>
        </w:tc>
        <w:tc>
          <w:tcPr>
            <w:tcW w:w="7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(203)</w:t>
            </w: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(1,046)</w:t>
            </w: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3"/>
                <w:szCs w:val="23"/>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(1,046)</w:t>
            </w:r>
          </w:p>
        </w:tc>
        <w:tc>
          <w:tcPr>
            <w:tcW w:w="0" w:type="dxa"/>
            <w:vAlign w:val="bottom"/>
          </w:tcPr>
          <w:p>
            <w:pPr>
              <w:spacing w:after="0"/>
              <w:rPr>
                <w:sz w:val="1"/>
                <w:szCs w:val="1"/>
                <w:color w:val="auto"/>
              </w:rPr>
            </w:pPr>
          </w:p>
        </w:tc>
      </w:tr>
      <w:tr>
        <w:trPr>
          <w:trHeight w:val="269"/>
        </w:trPr>
        <w:tc>
          <w:tcPr>
            <w:tcW w:w="5380" w:type="dxa"/>
            <w:vAlign w:val="bottom"/>
          </w:tcPr>
          <w:p>
            <w:pPr>
              <w:ind w:left="40"/>
              <w:spacing w:after="0"/>
              <w:rPr>
                <w:sz w:val="20"/>
                <w:szCs w:val="20"/>
                <w:color w:val="auto"/>
              </w:rPr>
            </w:pPr>
            <w:r>
              <w:rPr>
                <w:rFonts w:ascii="Arial" w:cs="Arial" w:eastAsia="Arial" w:hAnsi="Arial"/>
                <w:sz w:val="14"/>
                <w:szCs w:val="14"/>
                <w:color w:val="auto"/>
              </w:rPr>
              <w:t>Add: Incentive allocations</w:t>
            </w:r>
          </w:p>
        </w:tc>
        <w:tc>
          <w:tcPr>
            <w:tcW w:w="200" w:type="dxa"/>
            <w:vAlign w:val="bottom"/>
          </w:tcPr>
          <w:p>
            <w:pPr>
              <w:spacing w:after="0"/>
              <w:rPr>
                <w:sz w:val="23"/>
                <w:szCs w:val="23"/>
                <w:color w:val="auto"/>
              </w:rPr>
            </w:pPr>
          </w:p>
        </w:tc>
        <w:tc>
          <w:tcPr>
            <w:tcW w:w="86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rPr>
              <w:t>—</w:t>
            </w:r>
          </w:p>
        </w:tc>
        <w:tc>
          <w:tcPr>
            <w:tcW w:w="200" w:type="dxa"/>
            <w:vAlign w:val="bottom"/>
          </w:tcPr>
          <w:p>
            <w:pPr>
              <w:spacing w:after="0"/>
              <w:rPr>
                <w:sz w:val="23"/>
                <w:szCs w:val="23"/>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3"/>
                <w:szCs w:val="23"/>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3"/>
                <w:szCs w:val="23"/>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rPr>
              <w:t>—</w:t>
            </w:r>
          </w:p>
        </w:tc>
        <w:tc>
          <w:tcPr>
            <w:tcW w:w="200" w:type="dxa"/>
            <w:vAlign w:val="bottom"/>
          </w:tcPr>
          <w:p>
            <w:pPr>
              <w:spacing w:after="0"/>
              <w:rPr>
                <w:sz w:val="23"/>
                <w:szCs w:val="23"/>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3"/>
                <w:szCs w:val="23"/>
                <w:color w:val="auto"/>
              </w:rPr>
            </w:pPr>
          </w:p>
        </w:tc>
        <w:tc>
          <w:tcPr>
            <w:tcW w:w="74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1"/>
        </w:trPr>
        <w:tc>
          <w:tcPr>
            <w:tcW w:w="5380" w:type="dxa"/>
            <w:vAlign w:val="bottom"/>
            <w:shd w:val="clear" w:color="auto" w:fill="CCEEFF"/>
          </w:tcPr>
          <w:p>
            <w:pPr>
              <w:ind w:left="40"/>
              <w:spacing w:after="0"/>
              <w:rPr>
                <w:sz w:val="20"/>
                <w:szCs w:val="20"/>
                <w:color w:val="auto"/>
              </w:rPr>
            </w:pPr>
            <w:r>
              <w:rPr>
                <w:rFonts w:ascii="Arial" w:cs="Arial" w:eastAsia="Arial" w:hAnsi="Arial"/>
                <w:sz w:val="14"/>
                <w:szCs w:val="14"/>
                <w:color w:val="auto"/>
              </w:rPr>
              <w:t>Less: Cash payments for income taxes</w:t>
            </w:r>
          </w:p>
        </w:tc>
        <w:tc>
          <w:tcPr>
            <w:tcW w:w="200" w:type="dxa"/>
            <w:vAlign w:val="bottom"/>
            <w:shd w:val="clear" w:color="auto" w:fill="CCEEFF"/>
          </w:tcPr>
          <w:p>
            <w:pPr>
              <w:spacing w:after="0"/>
              <w:rPr>
                <w:sz w:val="23"/>
                <w:szCs w:val="23"/>
                <w:color w:val="auto"/>
              </w:rPr>
            </w:pPr>
          </w:p>
        </w:tc>
        <w:tc>
          <w:tcPr>
            <w:tcW w:w="740" w:type="dxa"/>
            <w:vAlign w:val="bottom"/>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(1)</w:t>
            </w: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(174)</w:t>
            </w: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7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173</w:t>
            </w: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w:t>
            </w: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(538)</w:t>
            </w: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7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537</w:t>
            </w:r>
          </w:p>
        </w:tc>
        <w:tc>
          <w:tcPr>
            <w:tcW w:w="0" w:type="dxa"/>
            <w:vAlign w:val="bottom"/>
          </w:tcPr>
          <w:p>
            <w:pPr>
              <w:spacing w:after="0"/>
              <w:rPr>
                <w:sz w:val="1"/>
                <w:szCs w:val="1"/>
                <w:color w:val="auto"/>
              </w:rPr>
            </w:pPr>
          </w:p>
        </w:tc>
      </w:tr>
      <w:tr>
        <w:trPr>
          <w:trHeight w:val="269"/>
        </w:trPr>
        <w:tc>
          <w:tcPr>
            <w:tcW w:w="5380" w:type="dxa"/>
            <w:vAlign w:val="bottom"/>
          </w:tcPr>
          <w:p>
            <w:pPr>
              <w:ind w:left="40"/>
              <w:spacing w:after="0"/>
              <w:rPr>
                <w:sz w:val="20"/>
                <w:szCs w:val="20"/>
                <w:color w:val="auto"/>
              </w:rPr>
            </w:pPr>
            <w:r>
              <w:rPr>
                <w:rFonts w:ascii="Arial" w:cs="Arial" w:eastAsia="Arial" w:hAnsi="Arial"/>
                <w:sz w:val="14"/>
                <w:szCs w:val="14"/>
                <w:color w:val="auto"/>
              </w:rPr>
              <w:t>Less: Equity in losses of unconsolidated entities</w:t>
            </w:r>
          </w:p>
        </w:tc>
        <w:tc>
          <w:tcPr>
            <w:tcW w:w="200" w:type="dxa"/>
            <w:vAlign w:val="bottom"/>
          </w:tcPr>
          <w:p>
            <w:pPr>
              <w:spacing w:after="0"/>
              <w:rPr>
                <w:sz w:val="23"/>
                <w:szCs w:val="23"/>
                <w:color w:val="auto"/>
              </w:rPr>
            </w:pPr>
          </w:p>
        </w:tc>
        <w:tc>
          <w:tcPr>
            <w:tcW w:w="740" w:type="dxa"/>
            <w:vAlign w:val="bottom"/>
          </w:tcPr>
          <w:p>
            <w:pPr>
              <w:jc w:val="right"/>
              <w:ind w:right="48"/>
              <w:spacing w:after="0"/>
              <w:rPr>
                <w:sz w:val="20"/>
                <w:szCs w:val="20"/>
                <w:color w:val="auto"/>
              </w:rPr>
            </w:pPr>
            <w:r>
              <w:rPr>
                <w:rFonts w:ascii="Arial" w:cs="Arial" w:eastAsia="Arial" w:hAnsi="Arial"/>
                <w:sz w:val="14"/>
                <w:szCs w:val="14"/>
                <w:b w:val="1"/>
                <w:bCs w:val="1"/>
                <w:color w:val="auto"/>
              </w:rPr>
              <w:t>203</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3"/>
                <w:szCs w:val="23"/>
                <w:color w:val="auto"/>
              </w:rPr>
            </w:pPr>
          </w:p>
        </w:tc>
        <w:tc>
          <w:tcPr>
            <w:tcW w:w="780" w:type="dxa"/>
            <w:vAlign w:val="bottom"/>
          </w:tcPr>
          <w:p>
            <w:pPr>
              <w:jc w:val="right"/>
              <w:ind w:right="48"/>
              <w:spacing w:after="0"/>
              <w:rPr>
                <w:sz w:val="20"/>
                <w:szCs w:val="20"/>
                <w:color w:val="auto"/>
              </w:rPr>
            </w:pPr>
            <w:r>
              <w:rPr>
                <w:rFonts w:ascii="Arial" w:cs="Arial" w:eastAsia="Arial" w:hAnsi="Arial"/>
                <w:sz w:val="14"/>
                <w:szCs w:val="14"/>
                <w:color w:val="auto"/>
              </w:rPr>
              <w:t>203</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00" w:type="dxa"/>
            <w:vAlign w:val="bottom"/>
          </w:tcPr>
          <w:p>
            <w:pPr>
              <w:jc w:val="right"/>
              <w:ind w:right="28"/>
              <w:spacing w:after="0"/>
              <w:rPr>
                <w:sz w:val="20"/>
                <w:szCs w:val="20"/>
                <w:color w:val="auto"/>
              </w:rPr>
            </w:pPr>
            <w:r>
              <w:rPr>
                <w:rFonts w:ascii="Arial" w:cs="Arial" w:eastAsia="Arial" w:hAnsi="Arial"/>
                <w:sz w:val="14"/>
                <w:szCs w:val="14"/>
                <w:b w:val="1"/>
                <w:bCs w:val="1"/>
                <w:color w:val="auto"/>
              </w:rPr>
              <w:t>1,046</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3"/>
                <w:szCs w:val="23"/>
                <w:color w:val="auto"/>
              </w:rPr>
            </w:pPr>
          </w:p>
        </w:tc>
        <w:tc>
          <w:tcPr>
            <w:tcW w:w="740" w:type="dxa"/>
            <w:vAlign w:val="bottom"/>
          </w:tcPr>
          <w:p>
            <w:pPr>
              <w:jc w:val="right"/>
              <w:ind w:right="28"/>
              <w:spacing w:after="0"/>
              <w:rPr>
                <w:sz w:val="20"/>
                <w:szCs w:val="20"/>
                <w:color w:val="auto"/>
              </w:rPr>
            </w:pPr>
            <w:r>
              <w:rPr>
                <w:rFonts w:ascii="Arial" w:cs="Arial" w:eastAsia="Arial" w:hAnsi="Arial"/>
                <w:sz w:val="14"/>
                <w:szCs w:val="14"/>
                <w:color w:val="auto"/>
              </w:rPr>
              <w:t>1,046</w:t>
            </w:r>
          </w:p>
        </w:tc>
        <w:tc>
          <w:tcPr>
            <w:tcW w:w="0" w:type="dxa"/>
            <w:vAlign w:val="bottom"/>
          </w:tcPr>
          <w:p>
            <w:pPr>
              <w:spacing w:after="0"/>
              <w:rPr>
                <w:sz w:val="1"/>
                <w:szCs w:val="1"/>
                <w:color w:val="auto"/>
              </w:rPr>
            </w:pPr>
          </w:p>
        </w:tc>
      </w:tr>
      <w:tr>
        <w:trPr>
          <w:trHeight w:val="270"/>
        </w:trPr>
        <w:tc>
          <w:tcPr>
            <w:tcW w:w="5380" w:type="dxa"/>
            <w:vAlign w:val="bottom"/>
            <w:shd w:val="clear" w:color="auto" w:fill="CCEEFF"/>
          </w:tcPr>
          <w:p>
            <w:pPr>
              <w:ind w:left="40"/>
              <w:spacing w:after="0"/>
              <w:rPr>
                <w:sz w:val="20"/>
                <w:szCs w:val="20"/>
                <w:color w:val="auto"/>
              </w:rPr>
            </w:pPr>
            <w:r>
              <w:rPr>
                <w:rFonts w:ascii="Arial" w:cs="Arial" w:eastAsia="Arial" w:hAnsi="Arial"/>
                <w:sz w:val="14"/>
                <w:szCs w:val="14"/>
                <w:color w:val="auto"/>
              </w:rPr>
              <w:t>Less: Non-controlling share of Adjusted Net Income</w:t>
            </w:r>
          </w:p>
        </w:tc>
        <w:tc>
          <w:tcPr>
            <w:tcW w:w="200" w:type="dxa"/>
            <w:vAlign w:val="bottom"/>
            <w:shd w:val="clear" w:color="auto" w:fill="CCEEFF"/>
          </w:tcPr>
          <w:p>
            <w:pPr>
              <w:spacing w:after="0"/>
              <w:rPr>
                <w:sz w:val="23"/>
                <w:szCs w:val="23"/>
                <w:color w:val="auto"/>
              </w:rPr>
            </w:pPr>
          </w:p>
        </w:tc>
        <w:tc>
          <w:tcPr>
            <w:tcW w:w="86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b w:val="1"/>
                <w:bCs w:val="1"/>
                <w:color w:val="auto"/>
              </w:rPr>
              <w:t>—</w:t>
            </w:r>
          </w:p>
        </w:tc>
        <w:tc>
          <w:tcPr>
            <w:tcW w:w="200" w:type="dxa"/>
            <w:vAlign w:val="bottom"/>
            <w:shd w:val="clear" w:color="auto" w:fill="CCEEFF"/>
          </w:tcPr>
          <w:p>
            <w:pPr>
              <w:spacing w:after="0"/>
              <w:rPr>
                <w:sz w:val="23"/>
                <w:szCs w:val="23"/>
                <w:color w:val="auto"/>
              </w:rPr>
            </w:pP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3"/>
                <w:szCs w:val="23"/>
                <w:color w:val="auto"/>
              </w:rPr>
            </w:pP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23"/>
                <w:szCs w:val="23"/>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b w:val="1"/>
                <w:bCs w:val="1"/>
                <w:color w:val="auto"/>
              </w:rPr>
              <w:t>—</w:t>
            </w:r>
          </w:p>
        </w:tc>
        <w:tc>
          <w:tcPr>
            <w:tcW w:w="200" w:type="dxa"/>
            <w:vAlign w:val="bottom"/>
            <w:shd w:val="clear" w:color="auto" w:fill="CCEEFF"/>
          </w:tcPr>
          <w:p>
            <w:pPr>
              <w:spacing w:after="0"/>
              <w:rPr>
                <w:sz w:val="23"/>
                <w:szCs w:val="23"/>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3"/>
                <w:szCs w:val="23"/>
                <w:color w:val="auto"/>
              </w:rPr>
            </w:pPr>
          </w:p>
        </w:tc>
        <w:tc>
          <w:tcPr>
            <w:tcW w:w="7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38"/>
        </w:trPr>
        <w:tc>
          <w:tcPr>
            <w:tcW w:w="5380" w:type="dxa"/>
            <w:vAlign w:val="bottom"/>
          </w:tcPr>
          <w:p>
            <w:pPr>
              <w:ind w:left="40"/>
              <w:spacing w:after="0"/>
              <w:rPr>
                <w:sz w:val="20"/>
                <w:szCs w:val="20"/>
                <w:color w:val="auto"/>
              </w:rPr>
            </w:pPr>
            <w:r>
              <w:rPr>
                <w:rFonts w:ascii="Arial" w:cs="Arial" w:eastAsia="Arial" w:hAnsi="Arial"/>
                <w:sz w:val="14"/>
                <w:szCs w:val="14"/>
                <w:b w:val="1"/>
                <w:bCs w:val="1"/>
                <w:color w:val="auto"/>
              </w:rPr>
              <w:t>Adjusted Net Income</w:t>
            </w:r>
          </w:p>
        </w:tc>
        <w:tc>
          <w:tcPr>
            <w:tcW w:w="20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w:t>
            </w:r>
          </w:p>
        </w:tc>
        <w:tc>
          <w:tcPr>
            <w:tcW w:w="74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26,274</w:t>
            </w:r>
          </w:p>
        </w:tc>
        <w:tc>
          <w:tcPr>
            <w:tcW w:w="120" w:type="dxa"/>
            <w:vAlign w:val="bottom"/>
          </w:tcPr>
          <w:p>
            <w:pPr>
              <w:spacing w:after="0"/>
              <w:rPr>
                <w:sz w:val="20"/>
                <w:szCs w:val="20"/>
                <w:color w:val="auto"/>
              </w:rPr>
            </w:pPr>
          </w:p>
        </w:tc>
        <w:tc>
          <w:tcPr>
            <w:tcW w:w="20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72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16,564</w:t>
            </w:r>
          </w:p>
        </w:tc>
        <w:tc>
          <w:tcPr>
            <w:tcW w:w="120" w:type="dxa"/>
            <w:vAlign w:val="bottom"/>
          </w:tcPr>
          <w:p>
            <w:pPr>
              <w:spacing w:after="0"/>
              <w:rPr>
                <w:sz w:val="20"/>
                <w:szCs w:val="20"/>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8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9,710</w:t>
            </w:r>
          </w:p>
        </w:tc>
        <w:tc>
          <w:tcPr>
            <w:tcW w:w="100" w:type="dxa"/>
            <w:vAlign w:val="bottom"/>
          </w:tcPr>
          <w:p>
            <w:pPr>
              <w:spacing w:after="0"/>
              <w:rPr>
                <w:sz w:val="20"/>
                <w:szCs w:val="20"/>
                <w:color w:val="auto"/>
              </w:rPr>
            </w:pPr>
          </w:p>
        </w:tc>
        <w:tc>
          <w:tcPr>
            <w:tcW w:w="20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w:t>
            </w:r>
          </w:p>
        </w:tc>
        <w:tc>
          <w:tcPr>
            <w:tcW w:w="70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68,227</w:t>
            </w:r>
          </w:p>
        </w:tc>
        <w:tc>
          <w:tcPr>
            <w:tcW w:w="100" w:type="dxa"/>
            <w:vAlign w:val="bottom"/>
          </w:tcPr>
          <w:p>
            <w:pPr>
              <w:spacing w:after="0"/>
              <w:rPr>
                <w:sz w:val="20"/>
                <w:szCs w:val="20"/>
                <w:color w:val="auto"/>
              </w:rPr>
            </w:pPr>
          </w:p>
        </w:tc>
        <w:tc>
          <w:tcPr>
            <w:tcW w:w="20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70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40,016</w:t>
            </w:r>
          </w:p>
        </w:tc>
        <w:tc>
          <w:tcPr>
            <w:tcW w:w="100" w:type="dxa"/>
            <w:vAlign w:val="bottom"/>
          </w:tcPr>
          <w:p>
            <w:pPr>
              <w:spacing w:after="0"/>
              <w:rPr>
                <w:sz w:val="20"/>
                <w:szCs w:val="20"/>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4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28,211</w:t>
            </w:r>
          </w:p>
        </w:tc>
        <w:tc>
          <w:tcPr>
            <w:tcW w:w="0" w:type="dxa"/>
            <w:vAlign w:val="bottom"/>
          </w:tcPr>
          <w:p>
            <w:pPr>
              <w:spacing w:after="0"/>
              <w:rPr>
                <w:sz w:val="1"/>
                <w:szCs w:val="1"/>
                <w:color w:val="auto"/>
              </w:rPr>
            </w:pPr>
          </w:p>
        </w:tc>
      </w:tr>
      <w:tr>
        <w:trPr>
          <w:trHeight w:val="20"/>
        </w:trPr>
        <w:tc>
          <w:tcPr>
            <w:tcW w:w="53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9" w:lineRule="exact"/>
        <w:rPr>
          <w:sz w:val="20"/>
          <w:szCs w:val="20"/>
          <w:color w:val="auto"/>
        </w:rPr>
      </w:pPr>
    </w:p>
    <w:p>
      <w:pPr>
        <w:ind w:left="500" w:hanging="492"/>
        <w:spacing w:after="0" w:line="239" w:lineRule="auto"/>
        <w:tabs>
          <w:tab w:leader="none" w:pos="149" w:val="left"/>
        </w:tabs>
        <w:numPr>
          <w:ilvl w:val="0"/>
          <w:numId w:val="14"/>
        </w:numPr>
        <w:rPr>
          <w:rFonts w:ascii="Arial" w:cs="Arial" w:eastAsia="Arial" w:hAnsi="Arial"/>
          <w:sz w:val="17"/>
          <w:szCs w:val="17"/>
          <w:color w:val="auto"/>
          <w:vertAlign w:val="superscript"/>
        </w:rPr>
      </w:pPr>
      <w:r>
        <w:rPr>
          <w:rFonts w:ascii="Arial" w:cs="Arial" w:eastAsia="Arial" w:hAnsi="Arial"/>
          <w:sz w:val="14"/>
          <w:szCs w:val="14"/>
          <w:color w:val="auto"/>
        </w:rPr>
        <w:t>Pro-rata share of Adjusted Net Income from unconsolidated entities includes Aviation’s proportionate share of the unconsolidated entities’ net income adjusted for the excluded and included items detailed in the table above, for which there were no adjustments.</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50</w:t>
      </w:r>
    </w:p>
    <w:p>
      <w:pPr>
        <w:sectPr>
          <w:pgSz w:w="11900" w:h="16838" w:orient="portrait"/>
          <w:cols w:equalWidth="0" w:num="1">
            <w:col w:w="11420"/>
          </w:cols>
          <w:pgMar w:left="240" w:top="527" w:right="239" w:bottom="1440" w:gutter="0" w:footer="0" w:header="0"/>
        </w:sectPr>
      </w:pPr>
    </w:p>
    <w:bookmarkStart w:id="50" w:name="page51"/>
    <w:bookmarkEnd w:id="50"/>
    <w:p>
      <w:pPr>
        <w:spacing w:after="0" w:line="291" w:lineRule="auto"/>
        <w:rPr>
          <w:sz w:val="20"/>
          <w:szCs w:val="20"/>
          <w:color w:val="auto"/>
        </w:rPr>
      </w:pPr>
      <w:r>
        <w:rPr>
          <w:rFonts w:ascii="Arial" w:cs="Arial" w:eastAsia="Arial" w:hAnsi="Arial"/>
          <w:sz w:val="16"/>
          <w:szCs w:val="16"/>
          <w:color w:val="auto"/>
        </w:rPr>
        <w:t>The following table sets forth a reconciliation of net income attributable to shareholders to Adjusted EBITDA for the Aviation Leasing segment for the three and nine months ended September 30, 2017 and September 30, 2016:</w:t>
      </w: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900" w:type="dxa"/>
            <w:vAlign w:val="bottom"/>
            <w:gridSpan w:val="5"/>
          </w:tcPr>
          <w:p>
            <w:pPr>
              <w:jc w:val="center"/>
              <w:ind w:right="280"/>
              <w:spacing w:after="0"/>
              <w:rPr>
                <w:sz w:val="20"/>
                <w:szCs w:val="20"/>
                <w:color w:val="auto"/>
              </w:rPr>
            </w:pPr>
            <w:r>
              <w:rPr>
                <w:rFonts w:ascii="Arial" w:cs="Arial" w:eastAsia="Arial" w:hAnsi="Arial"/>
                <w:sz w:val="14"/>
                <w:szCs w:val="14"/>
                <w:b w:val="1"/>
                <w:bCs w:val="1"/>
                <w:color w:val="auto"/>
              </w:rPr>
              <w:t>Three Months Ended</w:t>
            </w:r>
          </w:p>
        </w:tc>
        <w:tc>
          <w:tcPr>
            <w:tcW w:w="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00" w:type="dxa"/>
            <w:vAlign w:val="bottom"/>
            <w:gridSpan w:val="5"/>
          </w:tcPr>
          <w:p>
            <w:pPr>
              <w:ind w:left="100"/>
              <w:spacing w:after="0"/>
              <w:rPr>
                <w:sz w:val="20"/>
                <w:szCs w:val="20"/>
                <w:color w:val="auto"/>
              </w:rPr>
            </w:pPr>
            <w:r>
              <w:rPr>
                <w:rFonts w:ascii="Arial" w:cs="Arial" w:eastAsia="Arial" w:hAnsi="Arial"/>
                <w:sz w:val="14"/>
                <w:szCs w:val="14"/>
                <w:b w:val="1"/>
                <w:bCs w:val="1"/>
                <w:color w:val="auto"/>
              </w:rPr>
              <w:t>Nine Months Ended</w:t>
            </w:r>
          </w:p>
        </w:tc>
        <w:tc>
          <w:tcPr>
            <w:tcW w:w="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4"/>
        </w:trPr>
        <w:tc>
          <w:tcPr>
            <w:tcW w:w="5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900" w:type="dxa"/>
            <w:vAlign w:val="bottom"/>
            <w:gridSpan w:val="5"/>
          </w:tcPr>
          <w:p>
            <w:pPr>
              <w:jc w:val="center"/>
              <w:ind w:right="280"/>
              <w:spacing w:after="0"/>
              <w:rPr>
                <w:sz w:val="20"/>
                <w:szCs w:val="20"/>
                <w:color w:val="auto"/>
              </w:rPr>
            </w:pPr>
            <w:r>
              <w:rPr>
                <w:rFonts w:ascii="Arial" w:cs="Arial" w:eastAsia="Arial" w:hAnsi="Arial"/>
                <w:sz w:val="14"/>
                <w:szCs w:val="14"/>
                <w:b w:val="1"/>
                <w:bCs w:val="1"/>
                <w:color w:val="auto"/>
              </w:rPr>
              <w:t>September 30,</w:t>
            </w:r>
          </w:p>
        </w:tc>
        <w:tc>
          <w:tcPr>
            <w:tcW w:w="140" w:type="dxa"/>
            <w:vAlign w:val="bottom"/>
          </w:tcPr>
          <w:p>
            <w:pPr>
              <w:spacing w:after="0"/>
              <w:rPr>
                <w:sz w:val="17"/>
                <w:szCs w:val="17"/>
                <w:color w:val="auto"/>
              </w:rPr>
            </w:pPr>
          </w:p>
        </w:tc>
        <w:tc>
          <w:tcPr>
            <w:tcW w:w="840" w:type="dxa"/>
            <w:vAlign w:val="bottom"/>
            <w:gridSpan w:val="2"/>
          </w:tcPr>
          <w:p>
            <w:pPr>
              <w:ind w:left="40"/>
              <w:spacing w:after="0"/>
              <w:rPr>
                <w:sz w:val="20"/>
                <w:szCs w:val="20"/>
                <w:color w:val="auto"/>
              </w:rPr>
            </w:pPr>
            <w:r>
              <w:rPr>
                <w:rFonts w:ascii="Arial" w:cs="Arial" w:eastAsia="Arial" w:hAnsi="Arial"/>
                <w:sz w:val="14"/>
                <w:szCs w:val="14"/>
                <w:b w:val="1"/>
                <w:bCs w:val="1"/>
                <w:color w:val="auto"/>
              </w:rPr>
              <w:t>Change</w:t>
            </w:r>
          </w:p>
        </w:tc>
        <w:tc>
          <w:tcPr>
            <w:tcW w:w="180" w:type="dxa"/>
            <w:vAlign w:val="bottom"/>
          </w:tcPr>
          <w:p>
            <w:pPr>
              <w:spacing w:after="0"/>
              <w:rPr>
                <w:sz w:val="17"/>
                <w:szCs w:val="17"/>
                <w:color w:val="auto"/>
              </w:rPr>
            </w:pPr>
          </w:p>
        </w:tc>
        <w:tc>
          <w:tcPr>
            <w:tcW w:w="1800" w:type="dxa"/>
            <w:vAlign w:val="bottom"/>
            <w:gridSpan w:val="5"/>
          </w:tcPr>
          <w:p>
            <w:pPr>
              <w:ind w:left="280"/>
              <w:spacing w:after="0"/>
              <w:rPr>
                <w:sz w:val="20"/>
                <w:szCs w:val="20"/>
                <w:color w:val="auto"/>
              </w:rPr>
            </w:pPr>
            <w:r>
              <w:rPr>
                <w:rFonts w:ascii="Arial" w:cs="Arial" w:eastAsia="Arial" w:hAnsi="Arial"/>
                <w:sz w:val="14"/>
                <w:szCs w:val="14"/>
                <w:b w:val="1"/>
                <w:bCs w:val="1"/>
                <w:color w:val="auto"/>
              </w:rPr>
              <w:t>September 30,</w:t>
            </w:r>
          </w:p>
        </w:tc>
        <w:tc>
          <w:tcPr>
            <w:tcW w:w="140" w:type="dxa"/>
            <w:vAlign w:val="bottom"/>
          </w:tcPr>
          <w:p>
            <w:pPr>
              <w:spacing w:after="0"/>
              <w:rPr>
                <w:sz w:val="17"/>
                <w:szCs w:val="17"/>
                <w:color w:val="auto"/>
              </w:rPr>
            </w:pPr>
          </w:p>
        </w:tc>
        <w:tc>
          <w:tcPr>
            <w:tcW w:w="740" w:type="dxa"/>
            <w:vAlign w:val="bottom"/>
          </w:tcPr>
          <w:p>
            <w:pPr>
              <w:jc w:val="right"/>
              <w:ind w:right="108"/>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235"/>
        </w:trPr>
        <w:tc>
          <w:tcPr>
            <w:tcW w:w="528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740" w:type="dxa"/>
            <w:vAlign w:val="bottom"/>
            <w:tcBorders>
              <w:top w:val="single" w:sz="8" w:color="auto"/>
            </w:tcBorders>
          </w:tcPr>
          <w:p>
            <w:pPr>
              <w:jc w:val="right"/>
              <w:ind w:right="228"/>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top w:val="single" w:sz="8" w:color="auto"/>
            </w:tcBorders>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720" w:type="dxa"/>
            <w:vAlign w:val="bottom"/>
            <w:tcBorders>
              <w:top w:val="single" w:sz="8" w:color="auto"/>
            </w:tcBorders>
          </w:tcPr>
          <w:p>
            <w:pPr>
              <w:jc w:val="right"/>
              <w:ind w:right="228"/>
              <w:spacing w:after="0"/>
              <w:rPr>
                <w:sz w:val="20"/>
                <w:szCs w:val="20"/>
                <w:color w:val="auto"/>
              </w:rPr>
            </w:pPr>
            <w:r>
              <w:rPr>
                <w:rFonts w:ascii="Arial" w:cs="Arial" w:eastAsia="Arial" w:hAnsi="Arial"/>
                <w:sz w:val="14"/>
                <w:szCs w:val="14"/>
                <w:b w:val="1"/>
                <w:bCs w:val="1"/>
                <w:color w:val="auto"/>
              </w:rPr>
              <w:t>2016</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700" w:type="dxa"/>
            <w:vAlign w:val="bottom"/>
            <w:tcBorders>
              <w:top w:val="single" w:sz="8" w:color="auto"/>
            </w:tcBorders>
          </w:tcPr>
          <w:p>
            <w:pPr>
              <w:ind w:left="100"/>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top w:val="single" w:sz="8" w:color="auto"/>
            </w:tcBorders>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680" w:type="dxa"/>
            <w:vAlign w:val="bottom"/>
            <w:tcBorders>
              <w:top w:val="single" w:sz="8" w:color="auto"/>
            </w:tcBorders>
          </w:tcPr>
          <w:p>
            <w:pPr>
              <w:jc w:val="right"/>
              <w:ind w:right="208"/>
              <w:spacing w:after="0"/>
              <w:rPr>
                <w:sz w:val="20"/>
                <w:szCs w:val="20"/>
                <w:color w:val="auto"/>
              </w:rPr>
            </w:pPr>
            <w:r>
              <w:rPr>
                <w:rFonts w:ascii="Arial" w:cs="Arial" w:eastAsia="Arial" w:hAnsi="Arial"/>
                <w:sz w:val="14"/>
                <w:szCs w:val="14"/>
                <w:b w:val="1"/>
                <w:bCs w:val="1"/>
                <w:color w:val="auto"/>
              </w:rPr>
              <w:t>2016</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9"/>
        </w:trPr>
        <w:tc>
          <w:tcPr>
            <w:tcW w:w="5280" w:type="dxa"/>
            <w:vAlign w:val="bottom"/>
            <w:vMerge w:val="restart"/>
          </w:tcPr>
          <w:p>
            <w:pPr>
              <w:ind w:left="40"/>
              <w:spacing w:after="0"/>
              <w:rPr>
                <w:sz w:val="20"/>
                <w:szCs w:val="20"/>
                <w:color w:val="auto"/>
              </w:rPr>
            </w:pPr>
            <w:r>
              <w:rPr>
                <w:rFonts w:ascii="Arial" w:cs="Arial" w:eastAsia="Arial" w:hAnsi="Arial"/>
                <w:sz w:val="14"/>
                <w:szCs w:val="14"/>
                <w:i w:val="1"/>
                <w:iCs w:val="1"/>
                <w:color w:val="auto"/>
              </w:rPr>
              <w:t>(Dollar amounts in thousands)</w:t>
            </w:r>
          </w:p>
        </w:tc>
        <w:tc>
          <w:tcPr>
            <w:tcW w:w="1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8"/>
        </w:trPr>
        <w:tc>
          <w:tcPr>
            <w:tcW w:w="5280" w:type="dxa"/>
            <w:vAlign w:val="bottom"/>
            <w:vMerge w:val="continue"/>
          </w:tcPr>
          <w:p>
            <w:pPr>
              <w:spacing w:after="0"/>
              <w:rPr>
                <w:sz w:val="16"/>
                <w:szCs w:val="16"/>
                <w:color w:val="auto"/>
              </w:rPr>
            </w:pPr>
          </w:p>
        </w:tc>
        <w:tc>
          <w:tcPr>
            <w:tcW w:w="1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
        </w:trPr>
        <w:tc>
          <w:tcPr>
            <w:tcW w:w="5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0"/>
        </w:trPr>
        <w:tc>
          <w:tcPr>
            <w:tcW w:w="528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Net income attributable to shareholders</w:t>
            </w: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w:t>
            </w:r>
          </w:p>
        </w:tc>
        <w:tc>
          <w:tcPr>
            <w:tcW w:w="74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25,342</w:t>
            </w: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16,638</w:t>
            </w: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8,704</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w:t>
            </w:r>
          </w:p>
        </w:tc>
        <w:tc>
          <w:tcPr>
            <w:tcW w:w="70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66,354</w:t>
            </w: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40,366</w:t>
            </w: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25,988</w:t>
            </w:r>
          </w:p>
        </w:tc>
        <w:tc>
          <w:tcPr>
            <w:tcW w:w="0" w:type="dxa"/>
            <w:vAlign w:val="bottom"/>
          </w:tcPr>
          <w:p>
            <w:pPr>
              <w:spacing w:after="0"/>
              <w:rPr>
                <w:sz w:val="1"/>
                <w:szCs w:val="1"/>
                <w:color w:val="auto"/>
              </w:rPr>
            </w:pPr>
          </w:p>
        </w:tc>
      </w:tr>
      <w:tr>
        <w:trPr>
          <w:trHeight w:val="269"/>
        </w:trPr>
        <w:tc>
          <w:tcPr>
            <w:tcW w:w="5280" w:type="dxa"/>
            <w:vAlign w:val="bottom"/>
          </w:tcPr>
          <w:p>
            <w:pPr>
              <w:ind w:left="40"/>
              <w:spacing w:after="0"/>
              <w:rPr>
                <w:sz w:val="20"/>
                <w:szCs w:val="20"/>
                <w:color w:val="auto"/>
              </w:rPr>
            </w:pPr>
            <w:r>
              <w:rPr>
                <w:rFonts w:ascii="Arial" w:cs="Arial" w:eastAsia="Arial" w:hAnsi="Arial"/>
                <w:sz w:val="14"/>
                <w:szCs w:val="14"/>
                <w:color w:val="auto"/>
              </w:rPr>
              <w:t>Add: Provision for income taxes</w:t>
            </w:r>
          </w:p>
        </w:tc>
        <w:tc>
          <w:tcPr>
            <w:tcW w:w="180" w:type="dxa"/>
            <w:vAlign w:val="bottom"/>
          </w:tcPr>
          <w:p>
            <w:pPr>
              <w:spacing w:after="0"/>
              <w:rPr>
                <w:sz w:val="23"/>
                <w:szCs w:val="23"/>
                <w:color w:val="auto"/>
              </w:rPr>
            </w:pPr>
          </w:p>
        </w:tc>
        <w:tc>
          <w:tcPr>
            <w:tcW w:w="740" w:type="dxa"/>
            <w:vAlign w:val="bottom"/>
          </w:tcPr>
          <w:p>
            <w:pPr>
              <w:jc w:val="right"/>
              <w:ind w:right="48"/>
              <w:spacing w:after="0"/>
              <w:rPr>
                <w:sz w:val="20"/>
                <w:szCs w:val="20"/>
                <w:color w:val="auto"/>
              </w:rPr>
            </w:pPr>
            <w:r>
              <w:rPr>
                <w:rFonts w:ascii="Arial" w:cs="Arial" w:eastAsia="Arial" w:hAnsi="Arial"/>
                <w:sz w:val="14"/>
                <w:szCs w:val="14"/>
                <w:b w:val="1"/>
                <w:bCs w:val="1"/>
                <w:color w:val="auto"/>
              </w:rPr>
              <w:t>927</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20" w:type="dxa"/>
            <w:vAlign w:val="bottom"/>
          </w:tcPr>
          <w:p>
            <w:pPr>
              <w:jc w:val="right"/>
              <w:ind w:right="48"/>
              <w:spacing w:after="0"/>
              <w:rPr>
                <w:sz w:val="20"/>
                <w:szCs w:val="20"/>
                <w:color w:val="auto"/>
              </w:rPr>
            </w:pPr>
            <w:r>
              <w:rPr>
                <w:rFonts w:ascii="Arial" w:cs="Arial" w:eastAsia="Arial" w:hAnsi="Arial"/>
                <w:sz w:val="14"/>
                <w:szCs w:val="14"/>
                <w:color w:val="auto"/>
              </w:rPr>
              <w:t>100</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40" w:type="dxa"/>
            <w:vAlign w:val="bottom"/>
          </w:tcPr>
          <w:p>
            <w:pPr>
              <w:jc w:val="right"/>
              <w:ind w:right="48"/>
              <w:spacing w:after="0"/>
              <w:rPr>
                <w:sz w:val="20"/>
                <w:szCs w:val="20"/>
                <w:color w:val="auto"/>
              </w:rPr>
            </w:pPr>
            <w:r>
              <w:rPr>
                <w:rFonts w:ascii="Arial" w:cs="Arial" w:eastAsia="Arial" w:hAnsi="Arial"/>
                <w:sz w:val="14"/>
                <w:szCs w:val="14"/>
                <w:color w:val="auto"/>
              </w:rPr>
              <w:t>827</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700" w:type="dxa"/>
            <w:vAlign w:val="bottom"/>
          </w:tcPr>
          <w:p>
            <w:pPr>
              <w:jc w:val="right"/>
              <w:ind w:right="28"/>
              <w:spacing w:after="0"/>
              <w:rPr>
                <w:sz w:val="20"/>
                <w:szCs w:val="20"/>
                <w:color w:val="auto"/>
              </w:rPr>
            </w:pPr>
            <w:r>
              <w:rPr>
                <w:rFonts w:ascii="Arial" w:cs="Arial" w:eastAsia="Arial" w:hAnsi="Arial"/>
                <w:sz w:val="14"/>
                <w:szCs w:val="14"/>
                <w:b w:val="1"/>
                <w:bCs w:val="1"/>
                <w:color w:val="auto"/>
              </w:rPr>
              <w:t>1,598</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680" w:type="dxa"/>
            <w:vAlign w:val="bottom"/>
          </w:tcPr>
          <w:p>
            <w:pPr>
              <w:jc w:val="right"/>
              <w:ind w:right="28"/>
              <w:spacing w:after="0"/>
              <w:rPr>
                <w:sz w:val="20"/>
                <w:szCs w:val="20"/>
                <w:color w:val="auto"/>
              </w:rPr>
            </w:pPr>
            <w:r>
              <w:rPr>
                <w:rFonts w:ascii="Arial" w:cs="Arial" w:eastAsia="Arial" w:hAnsi="Arial"/>
                <w:sz w:val="14"/>
                <w:szCs w:val="14"/>
                <w:color w:val="auto"/>
              </w:rPr>
              <w:t>188</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40" w:type="dxa"/>
            <w:vAlign w:val="bottom"/>
          </w:tcPr>
          <w:p>
            <w:pPr>
              <w:jc w:val="right"/>
              <w:ind w:right="48"/>
              <w:spacing w:after="0"/>
              <w:rPr>
                <w:sz w:val="20"/>
                <w:szCs w:val="20"/>
                <w:color w:val="auto"/>
              </w:rPr>
            </w:pPr>
            <w:r>
              <w:rPr>
                <w:rFonts w:ascii="Arial" w:cs="Arial" w:eastAsia="Arial" w:hAnsi="Arial"/>
                <w:sz w:val="14"/>
                <w:szCs w:val="14"/>
                <w:color w:val="auto"/>
              </w:rPr>
              <w:t>1,410</w:t>
            </w:r>
          </w:p>
        </w:tc>
        <w:tc>
          <w:tcPr>
            <w:tcW w:w="0" w:type="dxa"/>
            <w:vAlign w:val="bottom"/>
          </w:tcPr>
          <w:p>
            <w:pPr>
              <w:spacing w:after="0"/>
              <w:rPr>
                <w:sz w:val="1"/>
                <w:szCs w:val="1"/>
                <w:color w:val="auto"/>
              </w:rPr>
            </w:pPr>
          </w:p>
        </w:tc>
      </w:tr>
      <w:tr>
        <w:trPr>
          <w:trHeight w:val="271"/>
        </w:trPr>
        <w:tc>
          <w:tcPr>
            <w:tcW w:w="5280" w:type="dxa"/>
            <w:vAlign w:val="bottom"/>
            <w:shd w:val="clear" w:color="auto" w:fill="CCEEFF"/>
          </w:tcPr>
          <w:p>
            <w:pPr>
              <w:ind w:left="40"/>
              <w:spacing w:after="0"/>
              <w:rPr>
                <w:sz w:val="20"/>
                <w:szCs w:val="20"/>
                <w:color w:val="auto"/>
              </w:rPr>
            </w:pPr>
            <w:r>
              <w:rPr>
                <w:rFonts w:ascii="Arial" w:cs="Arial" w:eastAsia="Arial" w:hAnsi="Arial"/>
                <w:sz w:val="14"/>
                <w:szCs w:val="14"/>
                <w:color w:val="auto"/>
              </w:rPr>
              <w:t>Add: Equity-based compensation expense</w:t>
            </w:r>
          </w:p>
        </w:tc>
        <w:tc>
          <w:tcPr>
            <w:tcW w:w="180" w:type="dxa"/>
            <w:vAlign w:val="bottom"/>
            <w:shd w:val="clear" w:color="auto" w:fill="CCEEFF"/>
          </w:tcPr>
          <w:p>
            <w:pPr>
              <w:spacing w:after="0"/>
              <w:rPr>
                <w:sz w:val="23"/>
                <w:szCs w:val="23"/>
                <w:color w:val="auto"/>
              </w:rPr>
            </w:pPr>
          </w:p>
        </w:tc>
        <w:tc>
          <w:tcPr>
            <w:tcW w:w="86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b w:val="1"/>
                <w:bCs w:val="1"/>
                <w:color w:val="auto"/>
              </w:rPr>
              <w:t>—</w:t>
            </w:r>
          </w:p>
        </w:tc>
        <w:tc>
          <w:tcPr>
            <w:tcW w:w="200" w:type="dxa"/>
            <w:vAlign w:val="bottom"/>
            <w:shd w:val="clear" w:color="auto" w:fill="CCEEFF"/>
          </w:tcPr>
          <w:p>
            <w:pPr>
              <w:spacing w:after="0"/>
              <w:rPr>
                <w:sz w:val="23"/>
                <w:szCs w:val="23"/>
                <w:color w:val="auto"/>
              </w:rPr>
            </w:pP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3"/>
                <w:szCs w:val="23"/>
                <w:color w:val="auto"/>
              </w:rPr>
            </w:pP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3"/>
                <w:szCs w:val="23"/>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b w:val="1"/>
                <w:bCs w:val="1"/>
                <w:color w:val="auto"/>
              </w:rPr>
              <w:t>—</w:t>
            </w:r>
          </w:p>
        </w:tc>
        <w:tc>
          <w:tcPr>
            <w:tcW w:w="200" w:type="dxa"/>
            <w:vAlign w:val="bottom"/>
            <w:shd w:val="clear" w:color="auto" w:fill="CCEEFF"/>
          </w:tcPr>
          <w:p>
            <w:pPr>
              <w:spacing w:after="0"/>
              <w:rPr>
                <w:sz w:val="23"/>
                <w:szCs w:val="23"/>
                <w:color w:val="auto"/>
              </w:rPr>
            </w:pP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3"/>
                <w:szCs w:val="23"/>
                <w:color w:val="auto"/>
              </w:rPr>
            </w:pPr>
          </w:p>
        </w:tc>
        <w:tc>
          <w:tcPr>
            <w:tcW w:w="7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69"/>
        </w:trPr>
        <w:tc>
          <w:tcPr>
            <w:tcW w:w="5280" w:type="dxa"/>
            <w:vAlign w:val="bottom"/>
          </w:tcPr>
          <w:p>
            <w:pPr>
              <w:ind w:left="40"/>
              <w:spacing w:after="0"/>
              <w:rPr>
                <w:sz w:val="20"/>
                <w:szCs w:val="20"/>
                <w:color w:val="auto"/>
              </w:rPr>
            </w:pPr>
            <w:r>
              <w:rPr>
                <w:rFonts w:ascii="Arial" w:cs="Arial" w:eastAsia="Arial" w:hAnsi="Arial"/>
                <w:sz w:val="14"/>
                <w:szCs w:val="14"/>
                <w:color w:val="auto"/>
              </w:rPr>
              <w:t>Add: Acquisition and transaction expenses</w:t>
            </w:r>
          </w:p>
        </w:tc>
        <w:tc>
          <w:tcPr>
            <w:tcW w:w="180" w:type="dxa"/>
            <w:vAlign w:val="bottom"/>
          </w:tcPr>
          <w:p>
            <w:pPr>
              <w:spacing w:after="0"/>
              <w:rPr>
                <w:sz w:val="23"/>
                <w:szCs w:val="23"/>
                <w:color w:val="auto"/>
              </w:rPr>
            </w:pPr>
          </w:p>
        </w:tc>
        <w:tc>
          <w:tcPr>
            <w:tcW w:w="740" w:type="dxa"/>
            <w:vAlign w:val="bottom"/>
          </w:tcPr>
          <w:p>
            <w:pPr>
              <w:jc w:val="right"/>
              <w:ind w:right="48"/>
              <w:spacing w:after="0"/>
              <w:rPr>
                <w:sz w:val="20"/>
                <w:szCs w:val="20"/>
                <w:color w:val="auto"/>
              </w:rPr>
            </w:pPr>
            <w:r>
              <w:rPr>
                <w:rFonts w:ascii="Arial" w:cs="Arial" w:eastAsia="Arial" w:hAnsi="Arial"/>
                <w:sz w:val="14"/>
                <w:szCs w:val="14"/>
                <w:b w:val="1"/>
                <w:bCs w:val="1"/>
                <w:color w:val="auto"/>
              </w:rPr>
              <w:t>6</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3"/>
                <w:szCs w:val="23"/>
                <w:color w:val="auto"/>
              </w:rPr>
            </w:pPr>
          </w:p>
        </w:tc>
        <w:tc>
          <w:tcPr>
            <w:tcW w:w="740" w:type="dxa"/>
            <w:vAlign w:val="bottom"/>
          </w:tcPr>
          <w:p>
            <w:pPr>
              <w:jc w:val="right"/>
              <w:ind w:right="48"/>
              <w:spacing w:after="0"/>
              <w:rPr>
                <w:sz w:val="20"/>
                <w:szCs w:val="20"/>
                <w:color w:val="auto"/>
              </w:rPr>
            </w:pPr>
            <w:r>
              <w:rPr>
                <w:rFonts w:ascii="Arial" w:cs="Arial" w:eastAsia="Arial" w:hAnsi="Arial"/>
                <w:sz w:val="14"/>
                <w:szCs w:val="14"/>
                <w:color w:val="auto"/>
              </w:rPr>
              <w:t>6</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700" w:type="dxa"/>
            <w:vAlign w:val="bottom"/>
          </w:tcPr>
          <w:p>
            <w:pPr>
              <w:jc w:val="right"/>
              <w:ind w:right="28"/>
              <w:spacing w:after="0"/>
              <w:rPr>
                <w:sz w:val="20"/>
                <w:szCs w:val="20"/>
                <w:color w:val="auto"/>
              </w:rPr>
            </w:pPr>
            <w:r>
              <w:rPr>
                <w:rFonts w:ascii="Arial" w:cs="Arial" w:eastAsia="Arial" w:hAnsi="Arial"/>
                <w:sz w:val="14"/>
                <w:szCs w:val="14"/>
                <w:b w:val="1"/>
                <w:bCs w:val="1"/>
                <w:color w:val="auto"/>
              </w:rPr>
              <w:t>276</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3"/>
                <w:szCs w:val="23"/>
                <w:color w:val="auto"/>
              </w:rPr>
            </w:pPr>
          </w:p>
        </w:tc>
        <w:tc>
          <w:tcPr>
            <w:tcW w:w="740" w:type="dxa"/>
            <w:vAlign w:val="bottom"/>
          </w:tcPr>
          <w:p>
            <w:pPr>
              <w:jc w:val="right"/>
              <w:ind w:right="48"/>
              <w:spacing w:after="0"/>
              <w:rPr>
                <w:sz w:val="20"/>
                <w:szCs w:val="20"/>
                <w:color w:val="auto"/>
              </w:rPr>
            </w:pPr>
            <w:r>
              <w:rPr>
                <w:rFonts w:ascii="Arial" w:cs="Arial" w:eastAsia="Arial" w:hAnsi="Arial"/>
                <w:sz w:val="14"/>
                <w:szCs w:val="14"/>
                <w:color w:val="auto"/>
              </w:rPr>
              <w:t>276</w:t>
            </w:r>
          </w:p>
        </w:tc>
        <w:tc>
          <w:tcPr>
            <w:tcW w:w="0" w:type="dxa"/>
            <w:vAlign w:val="bottom"/>
          </w:tcPr>
          <w:p>
            <w:pPr>
              <w:spacing w:after="0"/>
              <w:rPr>
                <w:sz w:val="1"/>
                <w:szCs w:val="1"/>
                <w:color w:val="auto"/>
              </w:rPr>
            </w:pPr>
          </w:p>
        </w:tc>
      </w:tr>
      <w:tr>
        <w:trPr>
          <w:trHeight w:val="177"/>
        </w:trPr>
        <w:tc>
          <w:tcPr>
            <w:tcW w:w="5280" w:type="dxa"/>
            <w:vAlign w:val="bottom"/>
            <w:shd w:val="clear" w:color="auto" w:fill="CCEEFF"/>
          </w:tcPr>
          <w:p>
            <w:pPr>
              <w:ind w:left="40"/>
              <w:spacing w:after="0"/>
              <w:rPr>
                <w:sz w:val="20"/>
                <w:szCs w:val="20"/>
                <w:color w:val="auto"/>
              </w:rPr>
            </w:pPr>
            <w:r>
              <w:rPr>
                <w:rFonts w:ascii="Arial" w:cs="Arial" w:eastAsia="Arial" w:hAnsi="Arial"/>
                <w:sz w:val="14"/>
                <w:szCs w:val="14"/>
                <w:color w:val="auto"/>
              </w:rPr>
              <w:t>Add: Losses on the modification or extinguishment of debt and capital lease</w:t>
            </w:r>
          </w:p>
        </w:tc>
        <w:tc>
          <w:tcPr>
            <w:tcW w:w="180" w:type="dxa"/>
            <w:vAlign w:val="bottom"/>
            <w:shd w:val="clear" w:color="auto" w:fill="CCEEFF"/>
          </w:tcPr>
          <w:p>
            <w:pPr>
              <w:spacing w:after="0"/>
              <w:rPr>
                <w:sz w:val="15"/>
                <w:szCs w:val="15"/>
                <w:color w:val="auto"/>
              </w:rPr>
            </w:pPr>
          </w:p>
        </w:tc>
        <w:tc>
          <w:tcPr>
            <w:tcW w:w="86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4"/>
                <w:szCs w:val="14"/>
                <w:b w:val="1"/>
                <w:bCs w:val="1"/>
                <w:color w:val="auto"/>
              </w:rPr>
              <w:t>—</w:t>
            </w:r>
          </w:p>
        </w:tc>
        <w:tc>
          <w:tcPr>
            <w:tcW w:w="20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0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4"/>
                <w:szCs w:val="14"/>
                <w:b w:val="1"/>
                <w:bCs w:val="1"/>
                <w:color w:val="auto"/>
              </w:rPr>
              <w:t>—</w:t>
            </w:r>
          </w:p>
        </w:tc>
        <w:tc>
          <w:tcPr>
            <w:tcW w:w="20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2"/>
        </w:trPr>
        <w:tc>
          <w:tcPr>
            <w:tcW w:w="5280" w:type="dxa"/>
            <w:vAlign w:val="bottom"/>
            <w:shd w:val="clear" w:color="auto" w:fill="CCEEFF"/>
          </w:tcPr>
          <w:p>
            <w:pPr>
              <w:ind w:left="40"/>
              <w:spacing w:after="0"/>
              <w:rPr>
                <w:sz w:val="20"/>
                <w:szCs w:val="20"/>
                <w:color w:val="auto"/>
              </w:rPr>
            </w:pPr>
            <w:r>
              <w:rPr>
                <w:rFonts w:ascii="Arial" w:cs="Arial" w:eastAsia="Arial" w:hAnsi="Arial"/>
                <w:sz w:val="14"/>
                <w:szCs w:val="14"/>
                <w:color w:val="auto"/>
              </w:rPr>
              <w:t>obligations</w:t>
            </w:r>
          </w:p>
        </w:tc>
        <w:tc>
          <w:tcPr>
            <w:tcW w:w="180" w:type="dxa"/>
            <w:vAlign w:val="bottom"/>
            <w:shd w:val="clear" w:color="auto" w:fill="CCEEFF"/>
          </w:tcPr>
          <w:p>
            <w:pPr>
              <w:spacing w:after="0"/>
              <w:rPr>
                <w:sz w:val="17"/>
                <w:szCs w:val="17"/>
                <w:color w:val="auto"/>
              </w:rPr>
            </w:pPr>
          </w:p>
        </w:tc>
        <w:tc>
          <w:tcPr>
            <w:tcW w:w="860" w:type="dxa"/>
            <w:vAlign w:val="bottom"/>
            <w:gridSpan w:val="2"/>
            <w:vMerge w:val="continue"/>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7"/>
                <w:szCs w:val="17"/>
                <w:color w:val="auto"/>
              </w:rPr>
            </w:pPr>
          </w:p>
        </w:tc>
        <w:tc>
          <w:tcPr>
            <w:tcW w:w="800" w:type="dxa"/>
            <w:vAlign w:val="bottom"/>
            <w:gridSpan w:val="2"/>
            <w:vMerge w:val="continue"/>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7"/>
                <w:szCs w:val="17"/>
                <w:color w:val="auto"/>
              </w:rPr>
            </w:pPr>
          </w:p>
        </w:tc>
        <w:tc>
          <w:tcPr>
            <w:tcW w:w="7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69"/>
        </w:trPr>
        <w:tc>
          <w:tcPr>
            <w:tcW w:w="5280" w:type="dxa"/>
            <w:vAlign w:val="bottom"/>
          </w:tcPr>
          <w:p>
            <w:pPr>
              <w:ind w:left="40"/>
              <w:spacing w:after="0"/>
              <w:rPr>
                <w:sz w:val="20"/>
                <w:szCs w:val="20"/>
                <w:color w:val="auto"/>
              </w:rPr>
            </w:pPr>
            <w:r>
              <w:rPr>
                <w:rFonts w:ascii="Arial" w:cs="Arial" w:eastAsia="Arial" w:hAnsi="Arial"/>
                <w:sz w:val="14"/>
                <w:szCs w:val="14"/>
                <w:color w:val="auto"/>
              </w:rPr>
              <w:t>Add: Changes in fair value of non-hedge derivative instruments</w:t>
            </w:r>
          </w:p>
        </w:tc>
        <w:tc>
          <w:tcPr>
            <w:tcW w:w="180" w:type="dxa"/>
            <w:vAlign w:val="bottom"/>
          </w:tcPr>
          <w:p>
            <w:pPr>
              <w:spacing w:after="0"/>
              <w:rPr>
                <w:sz w:val="23"/>
                <w:szCs w:val="23"/>
                <w:color w:val="auto"/>
              </w:rPr>
            </w:pPr>
          </w:p>
        </w:tc>
        <w:tc>
          <w:tcPr>
            <w:tcW w:w="86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rPr>
              <w:t>—</w:t>
            </w:r>
          </w:p>
        </w:tc>
        <w:tc>
          <w:tcPr>
            <w:tcW w:w="200" w:type="dxa"/>
            <w:vAlign w:val="bottom"/>
          </w:tcPr>
          <w:p>
            <w:pPr>
              <w:spacing w:after="0"/>
              <w:rPr>
                <w:sz w:val="23"/>
                <w:szCs w:val="23"/>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3"/>
                <w:szCs w:val="23"/>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3"/>
                <w:szCs w:val="23"/>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rPr>
              <w:t>—</w:t>
            </w:r>
          </w:p>
        </w:tc>
        <w:tc>
          <w:tcPr>
            <w:tcW w:w="200" w:type="dxa"/>
            <w:vAlign w:val="bottom"/>
          </w:tcPr>
          <w:p>
            <w:pPr>
              <w:spacing w:after="0"/>
              <w:rPr>
                <w:sz w:val="23"/>
                <w:szCs w:val="23"/>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3"/>
                <w:szCs w:val="23"/>
                <w:color w:val="auto"/>
              </w:rPr>
            </w:pPr>
          </w:p>
        </w:tc>
        <w:tc>
          <w:tcPr>
            <w:tcW w:w="74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1"/>
        </w:trPr>
        <w:tc>
          <w:tcPr>
            <w:tcW w:w="5280" w:type="dxa"/>
            <w:vAlign w:val="bottom"/>
            <w:shd w:val="clear" w:color="auto" w:fill="CCEEFF"/>
          </w:tcPr>
          <w:p>
            <w:pPr>
              <w:ind w:left="40"/>
              <w:spacing w:after="0"/>
              <w:rPr>
                <w:sz w:val="20"/>
                <w:szCs w:val="20"/>
                <w:color w:val="auto"/>
              </w:rPr>
            </w:pPr>
            <w:r>
              <w:rPr>
                <w:rFonts w:ascii="Arial" w:cs="Arial" w:eastAsia="Arial" w:hAnsi="Arial"/>
                <w:sz w:val="14"/>
                <w:szCs w:val="14"/>
                <w:color w:val="auto"/>
              </w:rPr>
              <w:t>Add: Asset impairment charges</w:t>
            </w:r>
          </w:p>
        </w:tc>
        <w:tc>
          <w:tcPr>
            <w:tcW w:w="180" w:type="dxa"/>
            <w:vAlign w:val="bottom"/>
            <w:shd w:val="clear" w:color="auto" w:fill="CCEEFF"/>
          </w:tcPr>
          <w:p>
            <w:pPr>
              <w:spacing w:after="0"/>
              <w:rPr>
                <w:sz w:val="23"/>
                <w:szCs w:val="23"/>
                <w:color w:val="auto"/>
              </w:rPr>
            </w:pPr>
          </w:p>
        </w:tc>
        <w:tc>
          <w:tcPr>
            <w:tcW w:w="86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b w:val="1"/>
                <w:bCs w:val="1"/>
                <w:color w:val="auto"/>
              </w:rPr>
              <w:t>—</w:t>
            </w:r>
          </w:p>
        </w:tc>
        <w:tc>
          <w:tcPr>
            <w:tcW w:w="200" w:type="dxa"/>
            <w:vAlign w:val="bottom"/>
            <w:shd w:val="clear" w:color="auto" w:fill="CCEEFF"/>
          </w:tcPr>
          <w:p>
            <w:pPr>
              <w:spacing w:after="0"/>
              <w:rPr>
                <w:sz w:val="23"/>
                <w:szCs w:val="23"/>
                <w:color w:val="auto"/>
              </w:rPr>
            </w:pP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3"/>
                <w:szCs w:val="23"/>
                <w:color w:val="auto"/>
              </w:rPr>
            </w:pP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3"/>
                <w:szCs w:val="23"/>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b w:val="1"/>
                <w:bCs w:val="1"/>
                <w:color w:val="auto"/>
              </w:rPr>
              <w:t>—</w:t>
            </w:r>
          </w:p>
        </w:tc>
        <w:tc>
          <w:tcPr>
            <w:tcW w:w="200" w:type="dxa"/>
            <w:vAlign w:val="bottom"/>
            <w:shd w:val="clear" w:color="auto" w:fill="CCEEFF"/>
          </w:tcPr>
          <w:p>
            <w:pPr>
              <w:spacing w:after="0"/>
              <w:rPr>
                <w:sz w:val="23"/>
                <w:szCs w:val="23"/>
                <w:color w:val="auto"/>
              </w:rPr>
            </w:pP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3"/>
                <w:szCs w:val="23"/>
                <w:color w:val="auto"/>
              </w:rPr>
            </w:pPr>
          </w:p>
        </w:tc>
        <w:tc>
          <w:tcPr>
            <w:tcW w:w="7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69"/>
        </w:trPr>
        <w:tc>
          <w:tcPr>
            <w:tcW w:w="5280" w:type="dxa"/>
            <w:vAlign w:val="bottom"/>
          </w:tcPr>
          <w:p>
            <w:pPr>
              <w:ind w:left="40"/>
              <w:spacing w:after="0"/>
              <w:rPr>
                <w:sz w:val="20"/>
                <w:szCs w:val="20"/>
                <w:color w:val="auto"/>
              </w:rPr>
            </w:pPr>
            <w:r>
              <w:rPr>
                <w:rFonts w:ascii="Arial" w:cs="Arial" w:eastAsia="Arial" w:hAnsi="Arial"/>
                <w:sz w:val="14"/>
                <w:szCs w:val="14"/>
                <w:color w:val="auto"/>
              </w:rPr>
              <w:t>Add: Incentive allocations</w:t>
            </w:r>
          </w:p>
        </w:tc>
        <w:tc>
          <w:tcPr>
            <w:tcW w:w="180" w:type="dxa"/>
            <w:vAlign w:val="bottom"/>
          </w:tcPr>
          <w:p>
            <w:pPr>
              <w:spacing w:after="0"/>
              <w:rPr>
                <w:sz w:val="23"/>
                <w:szCs w:val="23"/>
                <w:color w:val="auto"/>
              </w:rPr>
            </w:pPr>
          </w:p>
        </w:tc>
        <w:tc>
          <w:tcPr>
            <w:tcW w:w="86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rPr>
              <w:t>—</w:t>
            </w:r>
          </w:p>
        </w:tc>
        <w:tc>
          <w:tcPr>
            <w:tcW w:w="200" w:type="dxa"/>
            <w:vAlign w:val="bottom"/>
          </w:tcPr>
          <w:p>
            <w:pPr>
              <w:spacing w:after="0"/>
              <w:rPr>
                <w:sz w:val="23"/>
                <w:szCs w:val="23"/>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3"/>
                <w:szCs w:val="23"/>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3"/>
                <w:szCs w:val="23"/>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rPr>
              <w:t>—</w:t>
            </w:r>
          </w:p>
        </w:tc>
        <w:tc>
          <w:tcPr>
            <w:tcW w:w="200" w:type="dxa"/>
            <w:vAlign w:val="bottom"/>
          </w:tcPr>
          <w:p>
            <w:pPr>
              <w:spacing w:after="0"/>
              <w:rPr>
                <w:sz w:val="23"/>
                <w:szCs w:val="23"/>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3"/>
                <w:szCs w:val="23"/>
                <w:color w:val="auto"/>
              </w:rPr>
            </w:pPr>
          </w:p>
        </w:tc>
        <w:tc>
          <w:tcPr>
            <w:tcW w:w="74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1"/>
        </w:trPr>
        <w:tc>
          <w:tcPr>
            <w:tcW w:w="5280" w:type="dxa"/>
            <w:vAlign w:val="bottom"/>
            <w:shd w:val="clear" w:color="auto" w:fill="CCEEFF"/>
          </w:tcPr>
          <w:p>
            <w:pPr>
              <w:ind w:left="40"/>
              <w:spacing w:after="0"/>
              <w:rPr>
                <w:sz w:val="20"/>
                <w:szCs w:val="20"/>
                <w:color w:val="auto"/>
              </w:rPr>
            </w:pPr>
            <w:r>
              <w:rPr>
                <w:rFonts w:ascii="Arial" w:cs="Arial" w:eastAsia="Arial" w:hAnsi="Arial"/>
                <w:sz w:val="14"/>
                <w:szCs w:val="14"/>
                <w:color w:val="auto"/>
              </w:rPr>
              <w:t xml:space="preserve">Add: Depreciation and amortization expense </w:t>
            </w:r>
            <w:r>
              <w:rPr>
                <w:rFonts w:ascii="Arial" w:cs="Arial" w:eastAsia="Arial" w:hAnsi="Arial"/>
                <w:sz w:val="17"/>
                <w:szCs w:val="17"/>
                <w:color w:val="auto"/>
                <w:vertAlign w:val="superscript"/>
              </w:rPr>
              <w:t>(2)</w:t>
            </w:r>
          </w:p>
        </w:tc>
        <w:tc>
          <w:tcPr>
            <w:tcW w:w="180" w:type="dxa"/>
            <w:vAlign w:val="bottom"/>
            <w:shd w:val="clear" w:color="auto" w:fill="CCEEFF"/>
          </w:tcPr>
          <w:p>
            <w:pPr>
              <w:spacing w:after="0"/>
              <w:rPr>
                <w:sz w:val="23"/>
                <w:szCs w:val="23"/>
                <w:color w:val="auto"/>
              </w:rPr>
            </w:pPr>
          </w:p>
        </w:tc>
        <w:tc>
          <w:tcPr>
            <w:tcW w:w="74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19,811</w:t>
            </w: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7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10,885</w:t>
            </w: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7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8,926</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70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48,477</w:t>
            </w: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6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30,089</w:t>
            </w: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7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18,388</w:t>
            </w:r>
          </w:p>
        </w:tc>
        <w:tc>
          <w:tcPr>
            <w:tcW w:w="0" w:type="dxa"/>
            <w:vAlign w:val="bottom"/>
          </w:tcPr>
          <w:p>
            <w:pPr>
              <w:spacing w:after="0"/>
              <w:rPr>
                <w:sz w:val="1"/>
                <w:szCs w:val="1"/>
                <w:color w:val="auto"/>
              </w:rPr>
            </w:pPr>
          </w:p>
        </w:tc>
      </w:tr>
      <w:tr>
        <w:trPr>
          <w:trHeight w:val="269"/>
        </w:trPr>
        <w:tc>
          <w:tcPr>
            <w:tcW w:w="5280" w:type="dxa"/>
            <w:vAlign w:val="bottom"/>
          </w:tcPr>
          <w:p>
            <w:pPr>
              <w:ind w:left="40"/>
              <w:spacing w:after="0"/>
              <w:rPr>
                <w:sz w:val="20"/>
                <w:szCs w:val="20"/>
                <w:color w:val="auto"/>
              </w:rPr>
            </w:pPr>
            <w:r>
              <w:rPr>
                <w:rFonts w:ascii="Arial" w:cs="Arial" w:eastAsia="Arial" w:hAnsi="Arial"/>
                <w:sz w:val="14"/>
                <w:szCs w:val="14"/>
                <w:color w:val="auto"/>
              </w:rPr>
              <w:t>Add: Interest expense</w:t>
            </w:r>
          </w:p>
        </w:tc>
        <w:tc>
          <w:tcPr>
            <w:tcW w:w="180" w:type="dxa"/>
            <w:vAlign w:val="bottom"/>
          </w:tcPr>
          <w:p>
            <w:pPr>
              <w:spacing w:after="0"/>
              <w:rPr>
                <w:sz w:val="23"/>
                <w:szCs w:val="23"/>
                <w:color w:val="auto"/>
              </w:rPr>
            </w:pPr>
          </w:p>
        </w:tc>
        <w:tc>
          <w:tcPr>
            <w:tcW w:w="86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rPr>
              <w:t>—</w:t>
            </w:r>
          </w:p>
        </w:tc>
        <w:tc>
          <w:tcPr>
            <w:tcW w:w="200" w:type="dxa"/>
            <w:vAlign w:val="bottom"/>
          </w:tcPr>
          <w:p>
            <w:pPr>
              <w:spacing w:after="0"/>
              <w:rPr>
                <w:sz w:val="23"/>
                <w:szCs w:val="23"/>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3"/>
                <w:szCs w:val="23"/>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3"/>
                <w:szCs w:val="23"/>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rPr>
              <w:t>—</w:t>
            </w:r>
          </w:p>
        </w:tc>
        <w:tc>
          <w:tcPr>
            <w:tcW w:w="200" w:type="dxa"/>
            <w:vAlign w:val="bottom"/>
          </w:tcPr>
          <w:p>
            <w:pPr>
              <w:spacing w:after="0"/>
              <w:rPr>
                <w:sz w:val="23"/>
                <w:szCs w:val="23"/>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3"/>
                <w:szCs w:val="23"/>
                <w:color w:val="auto"/>
              </w:rPr>
            </w:pPr>
          </w:p>
        </w:tc>
        <w:tc>
          <w:tcPr>
            <w:tcW w:w="74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1"/>
        </w:trPr>
        <w:tc>
          <w:tcPr>
            <w:tcW w:w="5280" w:type="dxa"/>
            <w:vAlign w:val="bottom"/>
            <w:shd w:val="clear" w:color="auto" w:fill="CCEEFF"/>
          </w:tcPr>
          <w:p>
            <w:pPr>
              <w:ind w:left="40"/>
              <w:spacing w:after="0"/>
              <w:rPr>
                <w:sz w:val="20"/>
                <w:szCs w:val="20"/>
                <w:color w:val="auto"/>
              </w:rPr>
            </w:pPr>
            <w:r>
              <w:rPr>
                <w:rFonts w:ascii="Arial" w:cs="Arial" w:eastAsia="Arial" w:hAnsi="Arial"/>
                <w:sz w:val="14"/>
                <w:szCs w:val="14"/>
                <w:color w:val="auto"/>
              </w:rPr>
              <w:t>Add: Pro-rata share of Adjusted EBITDA from unconsolidated entities</w:t>
            </w:r>
            <w:r>
              <w:rPr>
                <w:rFonts w:ascii="Arial" w:cs="Arial" w:eastAsia="Arial" w:hAnsi="Arial"/>
                <w:sz w:val="17"/>
                <w:szCs w:val="17"/>
                <w:color w:val="auto"/>
                <w:vertAlign w:val="superscript"/>
              </w:rPr>
              <w:t>(3)</w:t>
            </w:r>
          </w:p>
        </w:tc>
        <w:tc>
          <w:tcPr>
            <w:tcW w:w="180" w:type="dxa"/>
            <w:vAlign w:val="bottom"/>
            <w:shd w:val="clear" w:color="auto" w:fill="CCEEFF"/>
          </w:tcPr>
          <w:p>
            <w:pPr>
              <w:spacing w:after="0"/>
              <w:rPr>
                <w:sz w:val="23"/>
                <w:szCs w:val="23"/>
                <w:color w:val="auto"/>
              </w:rPr>
            </w:pPr>
          </w:p>
        </w:tc>
        <w:tc>
          <w:tcPr>
            <w:tcW w:w="740" w:type="dxa"/>
            <w:vAlign w:val="bottom"/>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(203)</w:t>
            </w: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3"/>
                <w:szCs w:val="23"/>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(203)</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(1,046)</w:t>
            </w: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3"/>
                <w:szCs w:val="23"/>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(1,046)</w:t>
            </w:r>
          </w:p>
        </w:tc>
        <w:tc>
          <w:tcPr>
            <w:tcW w:w="0" w:type="dxa"/>
            <w:vAlign w:val="bottom"/>
          </w:tcPr>
          <w:p>
            <w:pPr>
              <w:spacing w:after="0"/>
              <w:rPr>
                <w:sz w:val="1"/>
                <w:szCs w:val="1"/>
                <w:color w:val="auto"/>
              </w:rPr>
            </w:pPr>
          </w:p>
        </w:tc>
      </w:tr>
      <w:tr>
        <w:trPr>
          <w:trHeight w:val="269"/>
        </w:trPr>
        <w:tc>
          <w:tcPr>
            <w:tcW w:w="5280" w:type="dxa"/>
            <w:vAlign w:val="bottom"/>
          </w:tcPr>
          <w:p>
            <w:pPr>
              <w:ind w:left="40"/>
              <w:spacing w:after="0"/>
              <w:rPr>
                <w:sz w:val="20"/>
                <w:szCs w:val="20"/>
                <w:color w:val="auto"/>
              </w:rPr>
            </w:pPr>
            <w:r>
              <w:rPr>
                <w:rFonts w:ascii="Arial" w:cs="Arial" w:eastAsia="Arial" w:hAnsi="Arial"/>
                <w:sz w:val="14"/>
                <w:szCs w:val="14"/>
                <w:color w:val="auto"/>
              </w:rPr>
              <w:t>Less: Equity in losses of unconsolidated entities</w:t>
            </w:r>
          </w:p>
        </w:tc>
        <w:tc>
          <w:tcPr>
            <w:tcW w:w="180" w:type="dxa"/>
            <w:vAlign w:val="bottom"/>
          </w:tcPr>
          <w:p>
            <w:pPr>
              <w:spacing w:after="0"/>
              <w:rPr>
                <w:sz w:val="23"/>
                <w:szCs w:val="23"/>
                <w:color w:val="auto"/>
              </w:rPr>
            </w:pPr>
          </w:p>
        </w:tc>
        <w:tc>
          <w:tcPr>
            <w:tcW w:w="740" w:type="dxa"/>
            <w:vAlign w:val="bottom"/>
          </w:tcPr>
          <w:p>
            <w:pPr>
              <w:jc w:val="right"/>
              <w:ind w:right="48"/>
              <w:spacing w:after="0"/>
              <w:rPr>
                <w:sz w:val="20"/>
                <w:szCs w:val="20"/>
                <w:color w:val="auto"/>
              </w:rPr>
            </w:pPr>
            <w:r>
              <w:rPr>
                <w:rFonts w:ascii="Arial" w:cs="Arial" w:eastAsia="Arial" w:hAnsi="Arial"/>
                <w:sz w:val="14"/>
                <w:szCs w:val="14"/>
                <w:b w:val="1"/>
                <w:bCs w:val="1"/>
                <w:color w:val="auto"/>
              </w:rPr>
              <w:t>203</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3"/>
                <w:szCs w:val="23"/>
                <w:color w:val="auto"/>
              </w:rPr>
            </w:pPr>
          </w:p>
        </w:tc>
        <w:tc>
          <w:tcPr>
            <w:tcW w:w="740" w:type="dxa"/>
            <w:vAlign w:val="bottom"/>
          </w:tcPr>
          <w:p>
            <w:pPr>
              <w:jc w:val="right"/>
              <w:ind w:right="48"/>
              <w:spacing w:after="0"/>
              <w:rPr>
                <w:sz w:val="20"/>
                <w:szCs w:val="20"/>
                <w:color w:val="auto"/>
              </w:rPr>
            </w:pPr>
            <w:r>
              <w:rPr>
                <w:rFonts w:ascii="Arial" w:cs="Arial" w:eastAsia="Arial" w:hAnsi="Arial"/>
                <w:sz w:val="14"/>
                <w:szCs w:val="14"/>
                <w:color w:val="auto"/>
              </w:rPr>
              <w:t>203</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700" w:type="dxa"/>
            <w:vAlign w:val="bottom"/>
          </w:tcPr>
          <w:p>
            <w:pPr>
              <w:jc w:val="right"/>
              <w:ind w:right="28"/>
              <w:spacing w:after="0"/>
              <w:rPr>
                <w:sz w:val="20"/>
                <w:szCs w:val="20"/>
                <w:color w:val="auto"/>
              </w:rPr>
            </w:pPr>
            <w:r>
              <w:rPr>
                <w:rFonts w:ascii="Arial" w:cs="Arial" w:eastAsia="Arial" w:hAnsi="Arial"/>
                <w:sz w:val="14"/>
                <w:szCs w:val="14"/>
                <w:b w:val="1"/>
                <w:bCs w:val="1"/>
                <w:color w:val="auto"/>
              </w:rPr>
              <w:t>1,046</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3"/>
                <w:szCs w:val="23"/>
                <w:color w:val="auto"/>
              </w:rPr>
            </w:pPr>
          </w:p>
        </w:tc>
        <w:tc>
          <w:tcPr>
            <w:tcW w:w="740" w:type="dxa"/>
            <w:vAlign w:val="bottom"/>
          </w:tcPr>
          <w:p>
            <w:pPr>
              <w:jc w:val="right"/>
              <w:ind w:right="48"/>
              <w:spacing w:after="0"/>
              <w:rPr>
                <w:sz w:val="20"/>
                <w:szCs w:val="20"/>
                <w:color w:val="auto"/>
              </w:rPr>
            </w:pPr>
            <w:r>
              <w:rPr>
                <w:rFonts w:ascii="Arial" w:cs="Arial" w:eastAsia="Arial" w:hAnsi="Arial"/>
                <w:sz w:val="14"/>
                <w:szCs w:val="14"/>
                <w:color w:val="auto"/>
              </w:rPr>
              <w:t>1,046</w:t>
            </w:r>
          </w:p>
        </w:tc>
        <w:tc>
          <w:tcPr>
            <w:tcW w:w="0" w:type="dxa"/>
            <w:vAlign w:val="bottom"/>
          </w:tcPr>
          <w:p>
            <w:pPr>
              <w:spacing w:after="0"/>
              <w:rPr>
                <w:sz w:val="1"/>
                <w:szCs w:val="1"/>
                <w:color w:val="auto"/>
              </w:rPr>
            </w:pPr>
          </w:p>
        </w:tc>
      </w:tr>
      <w:tr>
        <w:trPr>
          <w:trHeight w:val="271"/>
        </w:trPr>
        <w:tc>
          <w:tcPr>
            <w:tcW w:w="5280" w:type="dxa"/>
            <w:vAlign w:val="bottom"/>
            <w:shd w:val="clear" w:color="auto" w:fill="CCEEFF"/>
          </w:tcPr>
          <w:p>
            <w:pPr>
              <w:ind w:left="40"/>
              <w:spacing w:after="0"/>
              <w:rPr>
                <w:sz w:val="20"/>
                <w:szCs w:val="20"/>
                <w:color w:val="auto"/>
              </w:rPr>
            </w:pPr>
            <w:r>
              <w:rPr>
                <w:rFonts w:ascii="Arial" w:cs="Arial" w:eastAsia="Arial" w:hAnsi="Arial"/>
                <w:sz w:val="14"/>
                <w:szCs w:val="14"/>
                <w:color w:val="auto"/>
              </w:rPr>
              <w:t>Less: Non-controlling share of Adjusted EBITDA</w:t>
            </w:r>
            <w:r>
              <w:rPr>
                <w:rFonts w:ascii="Arial" w:cs="Arial" w:eastAsia="Arial" w:hAnsi="Arial"/>
                <w:sz w:val="17"/>
                <w:szCs w:val="17"/>
                <w:color w:val="auto"/>
                <w:vertAlign w:val="superscript"/>
              </w:rPr>
              <w:t>(4)</w:t>
            </w:r>
          </w:p>
        </w:tc>
        <w:tc>
          <w:tcPr>
            <w:tcW w:w="180" w:type="dxa"/>
            <w:vAlign w:val="bottom"/>
            <w:tcBorders>
              <w:bottom w:val="single" w:sz="8" w:color="auto"/>
            </w:tcBorders>
            <w:shd w:val="clear" w:color="auto" w:fill="CCEEFF"/>
          </w:tcPr>
          <w:p>
            <w:pPr>
              <w:spacing w:after="0"/>
              <w:rPr>
                <w:sz w:val="23"/>
                <w:szCs w:val="23"/>
                <w:color w:val="auto"/>
              </w:rPr>
            </w:pPr>
          </w:p>
        </w:tc>
        <w:tc>
          <w:tcPr>
            <w:tcW w:w="74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(192)</w:t>
            </w:r>
          </w:p>
        </w:tc>
        <w:tc>
          <w:tcPr>
            <w:tcW w:w="12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72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(41)</w:t>
            </w:r>
          </w:p>
        </w:tc>
        <w:tc>
          <w:tcPr>
            <w:tcW w:w="12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(151)</w:t>
            </w:r>
          </w:p>
        </w:tc>
        <w:tc>
          <w:tcPr>
            <w:tcW w:w="10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(354)</w:t>
            </w:r>
          </w:p>
        </w:tc>
        <w:tc>
          <w:tcPr>
            <w:tcW w:w="10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(123)</w:t>
            </w:r>
          </w:p>
        </w:tc>
        <w:tc>
          <w:tcPr>
            <w:tcW w:w="12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(231)</w:t>
            </w:r>
          </w:p>
        </w:tc>
        <w:tc>
          <w:tcPr>
            <w:tcW w:w="0" w:type="dxa"/>
            <w:vAlign w:val="bottom"/>
          </w:tcPr>
          <w:p>
            <w:pPr>
              <w:spacing w:after="0"/>
              <w:rPr>
                <w:sz w:val="1"/>
                <w:szCs w:val="1"/>
                <w:color w:val="auto"/>
              </w:rPr>
            </w:pPr>
          </w:p>
        </w:tc>
      </w:tr>
      <w:tr>
        <w:trPr>
          <w:trHeight w:val="237"/>
        </w:trPr>
        <w:tc>
          <w:tcPr>
            <w:tcW w:w="5280" w:type="dxa"/>
            <w:vAlign w:val="bottom"/>
          </w:tcPr>
          <w:p>
            <w:pPr>
              <w:ind w:left="40"/>
              <w:spacing w:after="0"/>
              <w:rPr>
                <w:sz w:val="20"/>
                <w:szCs w:val="20"/>
                <w:color w:val="auto"/>
              </w:rPr>
            </w:pPr>
            <w:r>
              <w:rPr>
                <w:rFonts w:ascii="Arial" w:cs="Arial" w:eastAsia="Arial" w:hAnsi="Arial"/>
                <w:sz w:val="14"/>
                <w:szCs w:val="14"/>
                <w:b w:val="1"/>
                <w:bCs w:val="1"/>
                <w:color w:val="auto"/>
              </w:rPr>
              <w:t>Adjusted EBITDA (non-GAAP)</w:t>
            </w:r>
          </w:p>
        </w:tc>
        <w:tc>
          <w:tcPr>
            <w:tcW w:w="1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w:t>
            </w:r>
          </w:p>
        </w:tc>
        <w:tc>
          <w:tcPr>
            <w:tcW w:w="7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45,894</w:t>
            </w:r>
          </w:p>
        </w:tc>
        <w:tc>
          <w:tcPr>
            <w:tcW w:w="120" w:type="dxa"/>
            <w:vAlign w:val="bottom"/>
          </w:tcPr>
          <w:p>
            <w:pPr>
              <w:spacing w:after="0"/>
              <w:rPr>
                <w:sz w:val="20"/>
                <w:szCs w:val="20"/>
                <w:color w:val="auto"/>
              </w:rPr>
            </w:pPr>
          </w:p>
        </w:tc>
        <w:tc>
          <w:tcPr>
            <w:tcW w:w="2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27,582</w:t>
            </w:r>
          </w:p>
        </w:tc>
        <w:tc>
          <w:tcPr>
            <w:tcW w:w="120" w:type="dxa"/>
            <w:vAlign w:val="bottom"/>
          </w:tcPr>
          <w:p>
            <w:pPr>
              <w:spacing w:after="0"/>
              <w:rPr>
                <w:sz w:val="20"/>
                <w:szCs w:val="20"/>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18,312</w:t>
            </w:r>
          </w:p>
        </w:tc>
        <w:tc>
          <w:tcPr>
            <w:tcW w:w="100" w:type="dxa"/>
            <w:vAlign w:val="bottom"/>
          </w:tcPr>
          <w:p>
            <w:pPr>
              <w:spacing w:after="0"/>
              <w:rPr>
                <w:sz w:val="20"/>
                <w:szCs w:val="20"/>
                <w:color w:val="auto"/>
              </w:rPr>
            </w:pPr>
          </w:p>
        </w:tc>
        <w:tc>
          <w:tcPr>
            <w:tcW w:w="1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w:t>
            </w:r>
          </w:p>
        </w:tc>
        <w:tc>
          <w:tcPr>
            <w:tcW w:w="7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116,351</w:t>
            </w:r>
          </w:p>
        </w:tc>
        <w:tc>
          <w:tcPr>
            <w:tcW w:w="100" w:type="dxa"/>
            <w:vAlign w:val="bottom"/>
          </w:tcPr>
          <w:p>
            <w:pPr>
              <w:spacing w:after="0"/>
              <w:rPr>
                <w:sz w:val="20"/>
                <w:szCs w:val="20"/>
                <w:color w:val="auto"/>
              </w:rPr>
            </w:pPr>
          </w:p>
        </w:tc>
        <w:tc>
          <w:tcPr>
            <w:tcW w:w="2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6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70,520</w:t>
            </w:r>
          </w:p>
        </w:tc>
        <w:tc>
          <w:tcPr>
            <w:tcW w:w="120" w:type="dxa"/>
            <w:vAlign w:val="bottom"/>
          </w:tcPr>
          <w:p>
            <w:pPr>
              <w:spacing w:after="0"/>
              <w:rPr>
                <w:sz w:val="20"/>
                <w:szCs w:val="20"/>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45,831</w:t>
            </w:r>
          </w:p>
        </w:tc>
        <w:tc>
          <w:tcPr>
            <w:tcW w:w="0" w:type="dxa"/>
            <w:vAlign w:val="bottom"/>
          </w:tcPr>
          <w:p>
            <w:pPr>
              <w:spacing w:after="0"/>
              <w:rPr>
                <w:sz w:val="1"/>
                <w:szCs w:val="1"/>
                <w:color w:val="auto"/>
              </w:rPr>
            </w:pPr>
          </w:p>
        </w:tc>
      </w:tr>
      <w:tr>
        <w:trPr>
          <w:trHeight w:val="20"/>
        </w:trPr>
        <w:tc>
          <w:tcPr>
            <w:tcW w:w="52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5" w:lineRule="exact"/>
        <w:rPr>
          <w:sz w:val="20"/>
          <w:szCs w:val="20"/>
          <w:color w:val="auto"/>
        </w:rPr>
      </w:pPr>
    </w:p>
    <w:p>
      <w:pPr>
        <w:spacing w:after="0"/>
        <w:rPr>
          <w:sz w:val="20"/>
          <w:szCs w:val="20"/>
          <w:color w:val="auto"/>
        </w:rPr>
      </w:pPr>
      <w:r>
        <w:rPr>
          <w:rFonts w:ascii="Arial" w:cs="Arial" w:eastAsia="Arial" w:hAnsi="Arial"/>
          <w:sz w:val="11"/>
          <w:szCs w:val="11"/>
          <w:color w:val="auto"/>
        </w:rPr>
        <w:t>______________________________________________________________________________________</w:t>
      </w:r>
    </w:p>
    <w:p>
      <w:pPr>
        <w:spacing w:after="0" w:line="229" w:lineRule="exact"/>
        <w:rPr>
          <w:sz w:val="20"/>
          <w:szCs w:val="20"/>
          <w:color w:val="auto"/>
        </w:rPr>
      </w:pPr>
    </w:p>
    <w:p>
      <w:pPr>
        <w:ind w:left="500" w:hanging="492"/>
        <w:spacing w:after="0" w:line="236" w:lineRule="auto"/>
        <w:tabs>
          <w:tab w:leader="none" w:pos="162" w:val="left"/>
        </w:tabs>
        <w:numPr>
          <w:ilvl w:val="0"/>
          <w:numId w:val="15"/>
        </w:numPr>
        <w:rPr>
          <w:rFonts w:ascii="Arial" w:cs="Arial" w:eastAsia="Arial" w:hAnsi="Arial"/>
          <w:sz w:val="18"/>
          <w:szCs w:val="18"/>
          <w:color w:val="auto"/>
          <w:vertAlign w:val="superscript"/>
        </w:rPr>
      </w:pPr>
      <w:r>
        <w:rPr>
          <w:rFonts w:ascii="Arial" w:cs="Arial" w:eastAsia="Arial" w:hAnsi="Arial"/>
          <w:sz w:val="14"/>
          <w:szCs w:val="14"/>
          <w:color w:val="auto"/>
        </w:rPr>
        <w:t>Depreciation and amortization expense includes $17,909 and $9,376 of depreciation expense, $1,147 and $1,403 of lease intangible amortization, and $755 and $106 of amortization for lease incentives in the three months ended September 30, 2017 and 2016, respectively. Depreciation and amortization expense includes $43,284 and $25,307 of depreciation expense, $3,494 and $4,557 of lease intangible amortization, and $1,699 and $225 of amortization for lease incentives in the nine months ended September 30, 2017 and 2016, respectively.</w:t>
      </w:r>
    </w:p>
    <w:p>
      <w:pPr>
        <w:spacing w:after="0" w:line="131" w:lineRule="exact"/>
        <w:rPr>
          <w:rFonts w:ascii="Arial" w:cs="Arial" w:eastAsia="Arial" w:hAnsi="Arial"/>
          <w:sz w:val="18"/>
          <w:szCs w:val="18"/>
          <w:color w:val="auto"/>
          <w:vertAlign w:val="superscript"/>
        </w:rPr>
      </w:pPr>
    </w:p>
    <w:p>
      <w:pPr>
        <w:ind w:left="500" w:hanging="492"/>
        <w:spacing w:after="0" w:line="235" w:lineRule="auto"/>
        <w:tabs>
          <w:tab w:leader="none" w:pos="167" w:val="left"/>
        </w:tabs>
        <w:numPr>
          <w:ilvl w:val="0"/>
          <w:numId w:val="15"/>
        </w:numPr>
        <w:rPr>
          <w:rFonts w:ascii="Arial" w:cs="Arial" w:eastAsia="Arial" w:hAnsi="Arial"/>
          <w:sz w:val="18"/>
          <w:szCs w:val="18"/>
          <w:color w:val="auto"/>
          <w:vertAlign w:val="superscript"/>
        </w:rPr>
      </w:pPr>
      <w:r>
        <w:rPr>
          <w:rFonts w:ascii="Arial" w:cs="Arial" w:eastAsia="Arial" w:hAnsi="Arial"/>
          <w:sz w:val="14"/>
          <w:szCs w:val="14"/>
          <w:color w:val="auto"/>
        </w:rPr>
        <w:t>Aviation Leasing's pro-rata share of Adjusted EBITDA from unconsolidated entities includes net loss of $203 and $0 for the three months ended September 30, 2017 and 2016, respectively. Aviation Leasing’s pro-rata share of Adjusted EBITDA from unconsolidated entities includes net loss of $1,046 and $0 in the nine months ended September 30, 2017 and 2016, respectively.</w:t>
      </w:r>
    </w:p>
    <w:p>
      <w:pPr>
        <w:spacing w:after="0" w:line="130" w:lineRule="exact"/>
        <w:rPr>
          <w:rFonts w:ascii="Arial" w:cs="Arial" w:eastAsia="Arial" w:hAnsi="Arial"/>
          <w:sz w:val="18"/>
          <w:szCs w:val="18"/>
          <w:color w:val="auto"/>
          <w:vertAlign w:val="superscript"/>
        </w:rPr>
      </w:pPr>
    </w:p>
    <w:p>
      <w:pPr>
        <w:ind w:left="500" w:hanging="492"/>
        <w:spacing w:after="0" w:line="235" w:lineRule="auto"/>
        <w:tabs>
          <w:tab w:leader="none" w:pos="170" w:val="left"/>
        </w:tabs>
        <w:numPr>
          <w:ilvl w:val="0"/>
          <w:numId w:val="15"/>
        </w:numPr>
        <w:rPr>
          <w:rFonts w:ascii="Arial" w:cs="Arial" w:eastAsia="Arial" w:hAnsi="Arial"/>
          <w:sz w:val="18"/>
          <w:szCs w:val="18"/>
          <w:color w:val="auto"/>
          <w:vertAlign w:val="superscript"/>
        </w:rPr>
      </w:pPr>
      <w:r>
        <w:rPr>
          <w:rFonts w:ascii="Arial" w:cs="Arial" w:eastAsia="Arial" w:hAnsi="Arial"/>
          <w:sz w:val="14"/>
          <w:szCs w:val="14"/>
          <w:color w:val="auto"/>
        </w:rPr>
        <w:t>Non-controlling share of Adjusted EBITDA is comprised of depreciation and amortization expense of $192 and $41 for the three months ended September 30, 2017 and 2016, respectively. Non-controlling share of Adjusted EBITDA is comprised of depreciation and amortization expense of $354 and $123 for the nine months ended September 30, 2017 and 2016, respectively.</w:t>
      </w:r>
    </w:p>
    <w:p>
      <w:pPr>
        <w:spacing w:after="0" w:line="12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00497F"/>
        </w:rPr>
        <w:t>Revenues</w:t>
      </w:r>
    </w:p>
    <w:p>
      <w:pPr>
        <w:spacing w:after="0" w:line="167" w:lineRule="exact"/>
        <w:rPr>
          <w:sz w:val="20"/>
          <w:szCs w:val="20"/>
          <w:color w:val="auto"/>
        </w:rPr>
      </w:pPr>
    </w:p>
    <w:p>
      <w:pPr>
        <w:jc w:val="both"/>
        <w:spacing w:after="0" w:line="254" w:lineRule="auto"/>
        <w:rPr>
          <w:sz w:val="20"/>
          <w:szCs w:val="20"/>
          <w:color w:val="auto"/>
        </w:rPr>
      </w:pPr>
      <w:r>
        <w:rPr>
          <w:rFonts w:ascii="Arial" w:cs="Arial" w:eastAsia="Arial" w:hAnsi="Arial"/>
          <w:sz w:val="16"/>
          <w:szCs w:val="16"/>
          <w:color w:val="auto"/>
        </w:rPr>
        <w:t>Total revenues in the Aviation Leasing segment increased $16,414 in the three months ended September 30, 2017 as compared to the three months ended September 30, 2016, due to higher lease income and maintenance revenue driven by newly acquired assets. Lease income increased $6,902 primarily due to higher aircraft lease income of $2,639 driven by the addition of 17 aircraft on lease partially offset by the redelivery of two aircraft. Engine lease income increased $4,263 primarily driven by an increase in the number of engines which generated revenue from 34 in the three months ended September 30, 2016 to 76 in the three months ended September 30, 2017. Maintenance revenue increased $9,887 reflecting additional aircraft and engines on lease. Engine maintenance and aircraft maintenance revenue increased $7,646 and $2,241, respectively, in the three months ended September 30, 2017 as compared to the three months ended September 30, 2016.</w:t>
      </w:r>
    </w:p>
    <w:p>
      <w:pPr>
        <w:spacing w:after="0" w:line="231" w:lineRule="exact"/>
        <w:rPr>
          <w:sz w:val="20"/>
          <w:szCs w:val="20"/>
          <w:color w:val="auto"/>
        </w:rPr>
      </w:pPr>
    </w:p>
    <w:p>
      <w:pPr>
        <w:jc w:val="both"/>
        <w:spacing w:after="0" w:line="254" w:lineRule="auto"/>
        <w:rPr>
          <w:sz w:val="20"/>
          <w:szCs w:val="20"/>
          <w:color w:val="auto"/>
        </w:rPr>
      </w:pPr>
      <w:r>
        <w:rPr>
          <w:rFonts w:ascii="Arial" w:cs="Arial" w:eastAsia="Arial" w:hAnsi="Arial"/>
          <w:sz w:val="16"/>
          <w:szCs w:val="16"/>
          <w:color w:val="auto"/>
        </w:rPr>
        <w:t>Total revenues in the Aviation Leasing segment increased $43,997 in the nine months ended September 30, 2017 as compared to the nine months ended September 30, 2016, due to higher lease income and maintenance revenue reflecting newly acquired assets. Lease income increased $16,941 primarily due to higher aircraft lease income of $6,064 reflecting an additional 17 aircraft on lease partially offset by the redelivery and sale of three aircraft. Engine lease income increased $10,877 primarily driven by an increase in the number of engines which generated revenue from 40 in the nine months ended September 30, 2016 to 79 in the nine months ended September 30, 2017. Maintenance revenue increased $27,741 due to a higher number of aircraft and engines on lease and the receipt of end-of-lease compensation for two aircraft. Engine maintenance and aircraft maintenance revenue increased $17,355 and $10,386, respectively, in the nine months ended September 30, 2017 as compared to the nine months ended September 30, 2016.</w:t>
      </w:r>
    </w:p>
    <w:p>
      <w:pPr>
        <w:spacing w:after="0" w:line="31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51</w:t>
      </w:r>
    </w:p>
    <w:p>
      <w:pPr>
        <w:sectPr>
          <w:pgSz w:w="11900" w:h="16838" w:orient="portrait"/>
          <w:cols w:equalWidth="0" w:num="1">
            <w:col w:w="11420"/>
          </w:cols>
          <w:pgMar w:left="240" w:top="527" w:right="239" w:bottom="1440" w:gutter="0" w:footer="0" w:header="0"/>
        </w:sectPr>
      </w:pPr>
    </w:p>
    <w:bookmarkStart w:id="51" w:name="page52"/>
    <w:bookmarkEnd w:id="51"/>
    <w:p>
      <w:pPr>
        <w:spacing w:after="0"/>
        <w:rPr>
          <w:sz w:val="20"/>
          <w:szCs w:val="20"/>
          <w:color w:val="auto"/>
        </w:rPr>
      </w:pPr>
      <w:r>
        <w:rPr>
          <w:rFonts w:ascii="Arial" w:cs="Arial" w:eastAsia="Arial" w:hAnsi="Arial"/>
          <w:sz w:val="16"/>
          <w:szCs w:val="16"/>
          <w:b w:val="1"/>
          <w:bCs w:val="1"/>
          <w:i w:val="1"/>
          <w:iCs w:val="1"/>
          <w:color w:val="00497F"/>
        </w:rPr>
        <w:t>Expenses</w:t>
      </w:r>
    </w:p>
    <w:p>
      <w:pPr>
        <w:spacing w:after="0" w:line="167" w:lineRule="exact"/>
        <w:rPr>
          <w:sz w:val="20"/>
          <w:szCs w:val="20"/>
          <w:color w:val="auto"/>
        </w:rPr>
      </w:pPr>
    </w:p>
    <w:p>
      <w:pPr>
        <w:jc w:val="both"/>
        <w:ind w:right="20"/>
        <w:spacing w:after="0" w:line="255" w:lineRule="auto"/>
        <w:rPr>
          <w:sz w:val="20"/>
          <w:szCs w:val="20"/>
          <w:color w:val="auto"/>
        </w:rPr>
      </w:pPr>
      <w:r>
        <w:rPr>
          <w:rFonts w:ascii="Arial" w:cs="Arial" w:eastAsia="Arial" w:hAnsi="Arial"/>
          <w:sz w:val="16"/>
          <w:szCs w:val="16"/>
          <w:color w:val="auto"/>
        </w:rPr>
        <w:t>Total expenses in the Aviation Leasing segment increased $9,353 in the three months ended September 30, 2017 as compared to the three months ended September 30, 2016 primarily due to an increase in depreciation and amortization and an increase in operating expenses. Depreciation and amortization increased by $8,533 reflecting the depreciation of additional aircraft and engines owned or put on lease in the three months ended September 30, 2017. Operating expenses increased $814 primarily reflecting increases in (i) professional fees of $456 due to an increased number of assets on lease, (ii) aviation shipping expense of $246 due to the positioning of our assets for lease and (iii) other operating expense of $112 due to the overall growth of the aviation portfolio.</w:t>
      </w:r>
    </w:p>
    <w:p>
      <w:pPr>
        <w:spacing w:after="0" w:line="232" w:lineRule="exact"/>
        <w:rPr>
          <w:sz w:val="20"/>
          <w:szCs w:val="20"/>
          <w:color w:val="auto"/>
        </w:rPr>
      </w:pPr>
    </w:p>
    <w:p>
      <w:pPr>
        <w:jc w:val="both"/>
        <w:ind w:right="20"/>
        <w:spacing w:after="0" w:line="254" w:lineRule="auto"/>
        <w:rPr>
          <w:sz w:val="20"/>
          <w:szCs w:val="20"/>
          <w:color w:val="auto"/>
        </w:rPr>
      </w:pPr>
      <w:r>
        <w:rPr>
          <w:rFonts w:ascii="Arial" w:cs="Arial" w:eastAsia="Arial" w:hAnsi="Arial"/>
          <w:sz w:val="16"/>
          <w:szCs w:val="16"/>
          <w:color w:val="auto"/>
        </w:rPr>
        <w:t>Total expenses in the Aviation Leasing segment increased $19,874 in the nine months ended September 30, 2017 as compared to the nine months ended September 30, 2016 primarily due to an increase in depreciation and amortization and an increase in operating expenses. Depreciation and amortization increased by $17,977 reflecting the depreciation of additional aircraft and engines owned or put on lease in the nine months ended September 30, 2017. Operating expenses increased $1,621 in the nine months ended September 30, 2017 as compared to the nine months ended September 30, 2016, primarily reflecting increases in (i) professional fees of $912 due to an increased number of assets on lease, (ii) aviation shipping expense of $593 due to the positioning of our assets for lease and (iii) other operating expense of $116 due to the overall growth of the aviation portfolio. Acquisitions and transaction expenses increased $276 in the nine months ended September 30, 2017 compared to the same period of 2016 as we continue to pursue new business opportunities.</w:t>
      </w:r>
    </w:p>
    <w:p>
      <w:pPr>
        <w:spacing w:after="0" w:line="23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00497F"/>
        </w:rPr>
        <w:t>Other Income</w:t>
      </w:r>
    </w:p>
    <w:p>
      <w:pPr>
        <w:spacing w:after="0" w:line="167" w:lineRule="exact"/>
        <w:rPr>
          <w:sz w:val="20"/>
          <w:szCs w:val="20"/>
          <w:color w:val="auto"/>
        </w:rPr>
      </w:pPr>
    </w:p>
    <w:p>
      <w:pPr>
        <w:jc w:val="both"/>
        <w:ind w:right="20"/>
        <w:spacing w:after="0" w:line="269" w:lineRule="auto"/>
        <w:rPr>
          <w:sz w:val="20"/>
          <w:szCs w:val="20"/>
          <w:color w:val="auto"/>
        </w:rPr>
      </w:pPr>
      <w:r>
        <w:rPr>
          <w:rFonts w:ascii="Arial" w:cs="Arial" w:eastAsia="Arial" w:hAnsi="Arial"/>
          <w:sz w:val="16"/>
          <w:szCs w:val="16"/>
          <w:color w:val="auto"/>
        </w:rPr>
        <w:t>Total other income in the Aviation Leasing segment increased $2,713 and $3,370 in the three and nine months ended September 30, 2017 as compared to the three and nine months ended September 30, 2016, respectively, reflecting increases in the gain on sale of leasing equipment, partially offset by increases in the equity in losses of unconsolidated entities.</w:t>
      </w:r>
    </w:p>
    <w:p>
      <w:pPr>
        <w:spacing w:after="0" w:line="21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00497F"/>
        </w:rPr>
        <w:t>Adjusted Net Income</w:t>
      </w:r>
    </w:p>
    <w:p>
      <w:pPr>
        <w:spacing w:after="0" w:line="167" w:lineRule="exact"/>
        <w:rPr>
          <w:sz w:val="20"/>
          <w:szCs w:val="20"/>
          <w:color w:val="auto"/>
        </w:rPr>
      </w:pPr>
    </w:p>
    <w:p>
      <w:pPr>
        <w:jc w:val="both"/>
        <w:ind w:right="20"/>
        <w:spacing w:after="0" w:line="261" w:lineRule="auto"/>
        <w:rPr>
          <w:sz w:val="20"/>
          <w:szCs w:val="20"/>
          <w:color w:val="auto"/>
        </w:rPr>
      </w:pPr>
      <w:r>
        <w:rPr>
          <w:rFonts w:ascii="Arial" w:cs="Arial" w:eastAsia="Arial" w:hAnsi="Arial"/>
          <w:sz w:val="16"/>
          <w:szCs w:val="16"/>
          <w:color w:val="auto"/>
        </w:rPr>
        <w:t>Adjusted Net Income in the Aviation Leasing segment was $26,274 and $68,227 for the three and nine months ended September 30, 2017, respectively, increasing $9,710 and $28,211 as compared to the three and nine months ended September 30, 2016, respectively, primarily reflecting the changes to net income attributable to shareholders noted above, adjusted for the provision for income taxes, acquisition and transaction expenses, and cash payments for income taxes.</w:t>
      </w:r>
    </w:p>
    <w:p>
      <w:pPr>
        <w:spacing w:after="0" w:line="11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00497F"/>
        </w:rPr>
        <w:t>Adjusted EBITDA (Non-GAAP)</w:t>
      </w:r>
    </w:p>
    <w:p>
      <w:pPr>
        <w:spacing w:after="0" w:line="181" w:lineRule="exact"/>
        <w:rPr>
          <w:sz w:val="20"/>
          <w:szCs w:val="20"/>
          <w:color w:val="auto"/>
        </w:rPr>
      </w:pPr>
    </w:p>
    <w:p>
      <w:pPr>
        <w:jc w:val="both"/>
        <w:ind w:right="20"/>
        <w:spacing w:after="0" w:line="293" w:lineRule="auto"/>
        <w:rPr>
          <w:sz w:val="20"/>
          <w:szCs w:val="20"/>
          <w:color w:val="auto"/>
        </w:rPr>
      </w:pPr>
      <w:r>
        <w:rPr>
          <w:rFonts w:ascii="Arial" w:cs="Arial" w:eastAsia="Arial" w:hAnsi="Arial"/>
          <w:sz w:val="16"/>
          <w:szCs w:val="16"/>
          <w:color w:val="auto"/>
        </w:rPr>
        <w:t>Adjusted EBITDA in the Aviation Leasing segment was $45,894 and $116,351 for the three and nine months ended September 30, 2017, respectively, decreasing $18,312 and $45,831 as compared to the three and nine months ended September 30, 2016, respectively. In addition to the changes in net income attributable to shareholders noted above, this movement was primarily due to (i) higher depreciation and amortization expense for the additional aircraft and engines owned and on lease in the three and nine months ended September 30, 2017, (ii) higher provision for income tax, and (iii) an increase in the acquisition and transaction expenses.</w:t>
      </w:r>
    </w:p>
    <w:p>
      <w:pPr>
        <w:spacing w:after="0" w:line="158" w:lineRule="exact"/>
        <w:rPr>
          <w:sz w:val="20"/>
          <w:szCs w:val="20"/>
          <w:color w:val="auto"/>
        </w:rPr>
      </w:pPr>
    </w:p>
    <w:p>
      <w:pPr>
        <w:spacing w:after="0"/>
        <w:rPr>
          <w:sz w:val="20"/>
          <w:szCs w:val="20"/>
          <w:color w:val="auto"/>
        </w:rPr>
      </w:pPr>
      <w:r>
        <w:rPr>
          <w:rFonts w:ascii="Arial" w:cs="Arial" w:eastAsia="Arial" w:hAnsi="Arial"/>
          <w:sz w:val="16"/>
          <w:szCs w:val="16"/>
          <w:b w:val="1"/>
          <w:bCs w:val="1"/>
          <w:color w:val="00497F"/>
        </w:rPr>
        <w:t>Offshore Energy Segment</w:t>
      </w:r>
    </w:p>
    <w:p>
      <w:pPr>
        <w:spacing w:after="0" w:line="169" w:lineRule="exact"/>
        <w:rPr>
          <w:sz w:val="20"/>
          <w:szCs w:val="20"/>
          <w:color w:val="auto"/>
        </w:rPr>
      </w:pPr>
    </w:p>
    <w:p>
      <w:pPr>
        <w:jc w:val="both"/>
        <w:ind w:right="20"/>
        <w:spacing w:after="0" w:line="291" w:lineRule="auto"/>
        <w:rPr>
          <w:sz w:val="20"/>
          <w:szCs w:val="20"/>
          <w:color w:val="auto"/>
        </w:rPr>
      </w:pPr>
      <w:r>
        <w:rPr>
          <w:rFonts w:ascii="Arial" w:cs="Arial" w:eastAsia="Arial" w:hAnsi="Arial"/>
          <w:sz w:val="16"/>
          <w:szCs w:val="16"/>
          <w:color w:val="auto"/>
        </w:rPr>
        <w:t>In our Offshore Energy segment, we own one remotely operated vehicle (“ROV”) support vessel, one construction support vessel and one anchor handling tug supply (“AHTS”) vessel. The chart below describes the assets in our Offshore Energy segment as of September 30,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156845</wp:posOffset>
            </wp:positionV>
            <wp:extent cx="7254875" cy="114935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54875" cy="1149350"/>
                    </a:xfrm>
                    <a:prstGeom prst="rect">
                      <a:avLst/>
                    </a:prstGeom>
                    <a:noFill/>
                  </pic:spPr>
                </pic:pic>
              </a:graphicData>
            </a:graphic>
          </wp:anchor>
        </w:drawing>
      </w:r>
    </w:p>
    <w:p>
      <w:pPr>
        <w:spacing w:after="0" w:line="252" w:lineRule="exact"/>
        <w:rPr>
          <w:sz w:val="20"/>
          <w:szCs w:val="20"/>
          <w:color w:val="auto"/>
        </w:rPr>
      </w:pPr>
    </w:p>
    <w:p>
      <w:pPr>
        <w:ind w:left="180"/>
        <w:spacing w:after="0"/>
        <w:rPr>
          <w:sz w:val="20"/>
          <w:szCs w:val="20"/>
          <w:color w:val="auto"/>
        </w:rPr>
      </w:pPr>
      <w:r>
        <w:rPr>
          <w:rFonts w:ascii="Arial" w:cs="Arial" w:eastAsia="Arial" w:hAnsi="Arial"/>
          <w:sz w:val="14"/>
          <w:szCs w:val="14"/>
          <w:b w:val="1"/>
          <w:bCs w:val="1"/>
          <w:color w:val="FFFFFF"/>
        </w:rPr>
        <w:t>Offshore Energy Assets</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208"/>
        </w:trPr>
        <w:tc>
          <w:tcPr>
            <w:tcW w:w="2900" w:type="dxa"/>
            <w:vAlign w:val="bottom"/>
            <w:tcBorders>
              <w:top w:val="single" w:sz="8" w:color="auto"/>
              <w:bottom w:val="single" w:sz="8" w:color="auto"/>
              <w:right w:val="single" w:sz="8" w:color="auto"/>
            </w:tcBorders>
            <w:shd w:val="clear" w:color="auto" w:fill="D8D8D8"/>
          </w:tcPr>
          <w:p>
            <w:pPr>
              <w:ind w:left="180"/>
              <w:spacing w:after="0"/>
              <w:rPr>
                <w:sz w:val="20"/>
                <w:szCs w:val="20"/>
                <w:color w:val="auto"/>
              </w:rPr>
            </w:pPr>
            <w:r>
              <w:rPr>
                <w:rFonts w:ascii="Arial" w:cs="Arial" w:eastAsia="Arial" w:hAnsi="Arial"/>
                <w:sz w:val="14"/>
                <w:szCs w:val="14"/>
                <w:color w:val="auto"/>
              </w:rPr>
              <w:t>Asset Type</w:t>
            </w:r>
          </w:p>
        </w:tc>
        <w:tc>
          <w:tcPr>
            <w:tcW w:w="1120" w:type="dxa"/>
            <w:vAlign w:val="bottom"/>
            <w:tcBorders>
              <w:top w:val="single" w:sz="8" w:color="auto"/>
              <w:bottom w:val="single" w:sz="8" w:color="auto"/>
              <w:right w:val="single" w:sz="8" w:color="auto"/>
            </w:tcBorders>
            <w:shd w:val="clear" w:color="auto" w:fill="D8D8D8"/>
          </w:tcPr>
          <w:p>
            <w:pPr>
              <w:jc w:val="center"/>
              <w:spacing w:after="0"/>
              <w:rPr>
                <w:sz w:val="20"/>
                <w:szCs w:val="20"/>
                <w:color w:val="auto"/>
              </w:rPr>
            </w:pPr>
            <w:r>
              <w:rPr>
                <w:rFonts w:ascii="Arial" w:cs="Arial" w:eastAsia="Arial" w:hAnsi="Arial"/>
                <w:sz w:val="14"/>
                <w:szCs w:val="14"/>
                <w:color w:val="auto"/>
              </w:rPr>
              <w:t>Year Built</w:t>
            </w:r>
          </w:p>
        </w:tc>
        <w:tc>
          <w:tcPr>
            <w:tcW w:w="5360" w:type="dxa"/>
            <w:vAlign w:val="bottom"/>
            <w:tcBorders>
              <w:top w:val="single" w:sz="8" w:color="auto"/>
              <w:bottom w:val="single" w:sz="8" w:color="auto"/>
              <w:right w:val="single" w:sz="8" w:color="auto"/>
            </w:tcBorders>
            <w:shd w:val="clear" w:color="auto" w:fill="D8D8D8"/>
          </w:tcPr>
          <w:p>
            <w:pPr>
              <w:ind w:left="2320"/>
              <w:spacing w:after="0"/>
              <w:rPr>
                <w:sz w:val="20"/>
                <w:szCs w:val="20"/>
                <w:color w:val="auto"/>
              </w:rPr>
            </w:pPr>
            <w:r>
              <w:rPr>
                <w:rFonts w:ascii="Arial" w:cs="Arial" w:eastAsia="Arial" w:hAnsi="Arial"/>
                <w:sz w:val="14"/>
                <w:szCs w:val="14"/>
                <w:color w:val="auto"/>
              </w:rPr>
              <w:t>Description</w:t>
            </w:r>
          </w:p>
        </w:tc>
        <w:tc>
          <w:tcPr>
            <w:tcW w:w="2040" w:type="dxa"/>
            <w:vAlign w:val="bottom"/>
            <w:tcBorders>
              <w:top w:val="single" w:sz="8" w:color="auto"/>
              <w:bottom w:val="single" w:sz="8" w:color="auto"/>
            </w:tcBorders>
            <w:shd w:val="clear" w:color="auto" w:fill="D8D8D8"/>
          </w:tcPr>
          <w:p>
            <w:pPr>
              <w:ind w:left="320"/>
              <w:spacing w:after="0"/>
              <w:rPr>
                <w:sz w:val="20"/>
                <w:szCs w:val="20"/>
                <w:color w:val="auto"/>
              </w:rPr>
            </w:pPr>
            <w:r>
              <w:rPr>
                <w:rFonts w:ascii="Arial" w:cs="Arial" w:eastAsia="Arial" w:hAnsi="Arial"/>
                <w:sz w:val="14"/>
                <w:szCs w:val="14"/>
                <w:color w:val="auto"/>
              </w:rPr>
              <w:t>Economic Interest (%)</w:t>
            </w:r>
          </w:p>
        </w:tc>
        <w:tc>
          <w:tcPr>
            <w:tcW w:w="20" w:type="dxa"/>
            <w:vAlign w:val="bottom"/>
            <w:tcBorders>
              <w:top w:val="single" w:sz="8" w:color="auto"/>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73"/>
        </w:trPr>
        <w:tc>
          <w:tcPr>
            <w:tcW w:w="2900" w:type="dxa"/>
            <w:vAlign w:val="bottom"/>
            <w:tcBorders>
              <w:right w:val="single" w:sz="8" w:color="auto"/>
            </w:tcBorders>
            <w:vMerge w:val="restart"/>
          </w:tcPr>
          <w:p>
            <w:pPr>
              <w:ind w:left="180"/>
              <w:spacing w:after="0"/>
              <w:rPr>
                <w:sz w:val="20"/>
                <w:szCs w:val="20"/>
                <w:color w:val="auto"/>
              </w:rPr>
            </w:pPr>
            <w:r>
              <w:rPr>
                <w:rFonts w:ascii="Arial" w:cs="Arial" w:eastAsia="Arial" w:hAnsi="Arial"/>
                <w:sz w:val="14"/>
                <w:szCs w:val="14"/>
                <w:color w:val="auto"/>
              </w:rPr>
              <w:t>AHTS Vessel</w:t>
            </w:r>
          </w:p>
        </w:tc>
        <w:tc>
          <w:tcPr>
            <w:tcW w:w="11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color w:val="auto"/>
              </w:rPr>
              <w:t>2010</w:t>
            </w:r>
          </w:p>
        </w:tc>
        <w:tc>
          <w:tcPr>
            <w:tcW w:w="5360" w:type="dxa"/>
            <w:vAlign w:val="bottom"/>
            <w:tcBorders>
              <w:right w:val="single" w:sz="8" w:color="auto"/>
            </w:tcBorders>
          </w:tcPr>
          <w:p>
            <w:pPr>
              <w:ind w:left="160"/>
              <w:spacing w:after="0"/>
              <w:rPr>
                <w:sz w:val="20"/>
                <w:szCs w:val="20"/>
                <w:color w:val="auto"/>
              </w:rPr>
            </w:pPr>
            <w:r>
              <w:rPr>
                <w:rFonts w:ascii="Arial" w:cs="Arial" w:eastAsia="Arial" w:hAnsi="Arial"/>
                <w:sz w:val="14"/>
                <w:szCs w:val="14"/>
                <w:color w:val="auto"/>
              </w:rPr>
              <w:t>Anchor handling tug supply vessel with accommodation for 30 personnel</w:t>
            </w:r>
          </w:p>
        </w:tc>
        <w:tc>
          <w:tcPr>
            <w:tcW w:w="2040" w:type="dxa"/>
            <w:vAlign w:val="bottom"/>
            <w:vMerge w:val="restart"/>
          </w:tcPr>
          <w:p>
            <w:pPr>
              <w:jc w:val="center"/>
              <w:spacing w:after="0"/>
              <w:rPr>
                <w:sz w:val="20"/>
                <w:szCs w:val="20"/>
                <w:color w:val="auto"/>
              </w:rPr>
            </w:pPr>
            <w:r>
              <w:rPr>
                <w:rFonts w:ascii="Arial" w:cs="Arial" w:eastAsia="Arial" w:hAnsi="Arial"/>
                <w:sz w:val="14"/>
                <w:szCs w:val="14"/>
                <w:color w:val="auto"/>
              </w:rPr>
              <w:t>100%</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3"/>
        </w:trPr>
        <w:tc>
          <w:tcPr>
            <w:tcW w:w="2900" w:type="dxa"/>
            <w:vAlign w:val="bottom"/>
            <w:tcBorders>
              <w:right w:val="single" w:sz="8" w:color="auto"/>
            </w:tcBorders>
            <w:vMerge w:val="continue"/>
          </w:tcPr>
          <w:p>
            <w:pPr>
              <w:spacing w:after="0"/>
              <w:rPr>
                <w:sz w:val="9"/>
                <w:szCs w:val="9"/>
                <w:color w:val="auto"/>
              </w:rPr>
            </w:pPr>
          </w:p>
        </w:tc>
        <w:tc>
          <w:tcPr>
            <w:tcW w:w="1120" w:type="dxa"/>
            <w:vAlign w:val="bottom"/>
            <w:tcBorders>
              <w:right w:val="single" w:sz="8" w:color="auto"/>
            </w:tcBorders>
            <w:vMerge w:val="continue"/>
          </w:tcPr>
          <w:p>
            <w:pPr>
              <w:spacing w:after="0"/>
              <w:rPr>
                <w:sz w:val="9"/>
                <w:szCs w:val="9"/>
                <w:color w:val="auto"/>
              </w:rPr>
            </w:pPr>
          </w:p>
        </w:tc>
        <w:tc>
          <w:tcPr>
            <w:tcW w:w="5360" w:type="dxa"/>
            <w:vAlign w:val="bottom"/>
            <w:tcBorders>
              <w:right w:val="single" w:sz="8" w:color="auto"/>
            </w:tcBorders>
            <w:vMerge w:val="restart"/>
          </w:tcPr>
          <w:p>
            <w:pPr>
              <w:ind w:left="160"/>
              <w:spacing w:after="0"/>
              <w:rPr>
                <w:sz w:val="20"/>
                <w:szCs w:val="20"/>
                <w:color w:val="auto"/>
              </w:rPr>
            </w:pPr>
            <w:r>
              <w:rPr>
                <w:rFonts w:ascii="Arial" w:cs="Arial" w:eastAsia="Arial" w:hAnsi="Arial"/>
                <w:sz w:val="14"/>
                <w:szCs w:val="14"/>
                <w:color w:val="auto"/>
              </w:rPr>
              <w:t>and a total bollard pull of 68.5 tons</w:t>
            </w:r>
          </w:p>
        </w:tc>
        <w:tc>
          <w:tcPr>
            <w:tcW w:w="2040" w:type="dxa"/>
            <w:vAlign w:val="bottom"/>
            <w:vMerge w:val="continue"/>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85"/>
        </w:trPr>
        <w:tc>
          <w:tcPr>
            <w:tcW w:w="2900" w:type="dxa"/>
            <w:vAlign w:val="bottom"/>
            <w:tcBorders>
              <w:bottom w:val="single" w:sz="8" w:color="auto"/>
              <w:right w:val="single" w:sz="8" w:color="auto"/>
            </w:tcBorders>
          </w:tcPr>
          <w:p>
            <w:pPr>
              <w:spacing w:after="0"/>
              <w:rPr>
                <w:sz w:val="7"/>
                <w:szCs w:val="7"/>
                <w:color w:val="auto"/>
              </w:rPr>
            </w:pPr>
          </w:p>
        </w:tc>
        <w:tc>
          <w:tcPr>
            <w:tcW w:w="1120" w:type="dxa"/>
            <w:vAlign w:val="bottom"/>
            <w:tcBorders>
              <w:bottom w:val="single" w:sz="8" w:color="auto"/>
              <w:right w:val="single" w:sz="8" w:color="auto"/>
            </w:tcBorders>
          </w:tcPr>
          <w:p>
            <w:pPr>
              <w:spacing w:after="0"/>
              <w:rPr>
                <w:sz w:val="7"/>
                <w:szCs w:val="7"/>
                <w:color w:val="auto"/>
              </w:rPr>
            </w:pPr>
          </w:p>
        </w:tc>
        <w:tc>
          <w:tcPr>
            <w:tcW w:w="5360" w:type="dxa"/>
            <w:vAlign w:val="bottom"/>
            <w:tcBorders>
              <w:bottom w:val="single" w:sz="8" w:color="auto"/>
              <w:right w:val="single" w:sz="8" w:color="auto"/>
            </w:tcBorders>
            <w:vMerge w:val="continue"/>
          </w:tcPr>
          <w:p>
            <w:pPr>
              <w:spacing w:after="0"/>
              <w:rPr>
                <w:sz w:val="7"/>
                <w:szCs w:val="7"/>
                <w:color w:val="auto"/>
              </w:rPr>
            </w:pPr>
          </w:p>
        </w:tc>
        <w:tc>
          <w:tcPr>
            <w:tcW w:w="204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73"/>
        </w:trPr>
        <w:tc>
          <w:tcPr>
            <w:tcW w:w="2900" w:type="dxa"/>
            <w:vAlign w:val="bottom"/>
            <w:tcBorders>
              <w:right w:val="single" w:sz="8" w:color="auto"/>
            </w:tcBorders>
          </w:tcPr>
          <w:p>
            <w:pPr>
              <w:spacing w:after="0"/>
              <w:rPr>
                <w:sz w:val="15"/>
                <w:szCs w:val="15"/>
                <w:color w:val="auto"/>
              </w:rPr>
            </w:pPr>
          </w:p>
        </w:tc>
        <w:tc>
          <w:tcPr>
            <w:tcW w:w="1120" w:type="dxa"/>
            <w:vAlign w:val="bottom"/>
            <w:tcBorders>
              <w:right w:val="single" w:sz="8" w:color="auto"/>
            </w:tcBorders>
          </w:tcPr>
          <w:p>
            <w:pPr>
              <w:spacing w:after="0"/>
              <w:rPr>
                <w:sz w:val="15"/>
                <w:szCs w:val="15"/>
                <w:color w:val="auto"/>
              </w:rPr>
            </w:pPr>
          </w:p>
        </w:tc>
        <w:tc>
          <w:tcPr>
            <w:tcW w:w="5360" w:type="dxa"/>
            <w:vAlign w:val="bottom"/>
            <w:tcBorders>
              <w:right w:val="single" w:sz="8" w:color="auto"/>
            </w:tcBorders>
          </w:tcPr>
          <w:p>
            <w:pPr>
              <w:ind w:left="160"/>
              <w:spacing w:after="0"/>
              <w:rPr>
                <w:sz w:val="20"/>
                <w:szCs w:val="20"/>
                <w:color w:val="auto"/>
              </w:rPr>
            </w:pPr>
            <w:r>
              <w:rPr>
                <w:rFonts w:ascii="Arial" w:cs="Arial" w:eastAsia="Arial" w:hAnsi="Arial"/>
                <w:sz w:val="14"/>
                <w:szCs w:val="14"/>
                <w:color w:val="auto"/>
              </w:rPr>
              <w:t>DP-3 construction support and well intervention vessel with 250-ton main crane,</w:t>
            </w:r>
          </w:p>
        </w:tc>
        <w:tc>
          <w:tcPr>
            <w:tcW w:w="20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2900" w:type="dxa"/>
            <w:vAlign w:val="bottom"/>
            <w:tcBorders>
              <w:right w:val="single" w:sz="8" w:color="auto"/>
            </w:tcBorders>
          </w:tcPr>
          <w:p>
            <w:pPr>
              <w:ind w:left="180"/>
              <w:spacing w:after="0"/>
              <w:rPr>
                <w:sz w:val="20"/>
                <w:szCs w:val="20"/>
                <w:color w:val="auto"/>
              </w:rPr>
            </w:pPr>
            <w:r>
              <w:rPr>
                <w:rFonts w:ascii="Arial" w:cs="Arial" w:eastAsia="Arial" w:hAnsi="Arial"/>
                <w:sz w:val="14"/>
                <w:szCs w:val="14"/>
                <w:color w:val="auto"/>
              </w:rPr>
              <w:t>Construction Support Vessel</w:t>
            </w:r>
          </w:p>
        </w:tc>
        <w:tc>
          <w:tcPr>
            <w:tcW w:w="112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2014</w:t>
            </w:r>
          </w:p>
        </w:tc>
        <w:tc>
          <w:tcPr>
            <w:tcW w:w="5360" w:type="dxa"/>
            <w:vAlign w:val="bottom"/>
            <w:tcBorders>
              <w:right w:val="single" w:sz="8" w:color="auto"/>
            </w:tcBorders>
          </w:tcPr>
          <w:p>
            <w:pPr>
              <w:ind w:left="160"/>
              <w:spacing w:after="0"/>
              <w:rPr>
                <w:sz w:val="20"/>
                <w:szCs w:val="20"/>
                <w:color w:val="auto"/>
              </w:rPr>
            </w:pPr>
            <w:r>
              <w:rPr>
                <w:rFonts w:ascii="Arial" w:cs="Arial" w:eastAsia="Arial" w:hAnsi="Arial"/>
                <w:sz w:val="14"/>
                <w:szCs w:val="14"/>
                <w:color w:val="auto"/>
              </w:rPr>
              <w:t>2,000 square meter open deck space, moon pool and accommodation for 100</w:t>
            </w:r>
          </w:p>
        </w:tc>
        <w:tc>
          <w:tcPr>
            <w:tcW w:w="2040" w:type="dxa"/>
            <w:vAlign w:val="bottom"/>
          </w:tcPr>
          <w:p>
            <w:pPr>
              <w:jc w:val="center"/>
              <w:spacing w:after="0"/>
              <w:rPr>
                <w:sz w:val="20"/>
                <w:szCs w:val="20"/>
                <w:color w:val="auto"/>
              </w:rPr>
            </w:pPr>
            <w:r>
              <w:rPr>
                <w:rFonts w:ascii="Arial" w:cs="Arial" w:eastAsia="Arial" w:hAnsi="Arial"/>
                <w:sz w:val="14"/>
                <w:szCs w:val="14"/>
                <w:color w:val="auto"/>
              </w:rPr>
              <w:t>100%</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8"/>
        </w:trPr>
        <w:tc>
          <w:tcPr>
            <w:tcW w:w="2900" w:type="dxa"/>
            <w:vAlign w:val="bottom"/>
            <w:tcBorders>
              <w:bottom w:val="single" w:sz="8" w:color="auto"/>
              <w:right w:val="single" w:sz="8" w:color="auto"/>
            </w:tcBorders>
          </w:tcPr>
          <w:p>
            <w:pPr>
              <w:spacing w:after="0"/>
              <w:rPr>
                <w:sz w:val="17"/>
                <w:szCs w:val="17"/>
                <w:color w:val="auto"/>
              </w:rPr>
            </w:pPr>
          </w:p>
        </w:tc>
        <w:tc>
          <w:tcPr>
            <w:tcW w:w="1120" w:type="dxa"/>
            <w:vAlign w:val="bottom"/>
            <w:tcBorders>
              <w:bottom w:val="single" w:sz="8" w:color="auto"/>
              <w:right w:val="single" w:sz="8" w:color="auto"/>
            </w:tcBorders>
          </w:tcPr>
          <w:p>
            <w:pPr>
              <w:spacing w:after="0"/>
              <w:rPr>
                <w:sz w:val="17"/>
                <w:szCs w:val="17"/>
                <w:color w:val="auto"/>
              </w:rPr>
            </w:pPr>
          </w:p>
        </w:tc>
        <w:tc>
          <w:tcPr>
            <w:tcW w:w="5360" w:type="dxa"/>
            <w:vAlign w:val="bottom"/>
            <w:tcBorders>
              <w:bottom w:val="single" w:sz="8" w:color="auto"/>
              <w:right w:val="single" w:sz="8" w:color="auto"/>
            </w:tcBorders>
          </w:tcPr>
          <w:p>
            <w:pPr>
              <w:ind w:left="160"/>
              <w:spacing w:after="0"/>
              <w:rPr>
                <w:sz w:val="20"/>
                <w:szCs w:val="20"/>
                <w:color w:val="auto"/>
              </w:rPr>
            </w:pPr>
            <w:r>
              <w:rPr>
                <w:rFonts w:ascii="Arial" w:cs="Arial" w:eastAsia="Arial" w:hAnsi="Arial"/>
                <w:sz w:val="14"/>
                <w:szCs w:val="14"/>
                <w:color w:val="auto"/>
              </w:rPr>
              <w:t>personnel</w:t>
            </w:r>
          </w:p>
        </w:tc>
        <w:tc>
          <w:tcPr>
            <w:tcW w:w="204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73"/>
        </w:trPr>
        <w:tc>
          <w:tcPr>
            <w:tcW w:w="2900" w:type="dxa"/>
            <w:vAlign w:val="bottom"/>
            <w:tcBorders>
              <w:right w:val="single" w:sz="8" w:color="auto"/>
            </w:tcBorders>
            <w:vMerge w:val="restart"/>
          </w:tcPr>
          <w:p>
            <w:pPr>
              <w:ind w:left="180"/>
              <w:spacing w:after="0"/>
              <w:rPr>
                <w:sz w:val="20"/>
                <w:szCs w:val="20"/>
                <w:color w:val="auto"/>
              </w:rPr>
            </w:pPr>
            <w:r>
              <w:rPr>
                <w:rFonts w:ascii="Arial" w:cs="Arial" w:eastAsia="Arial" w:hAnsi="Arial"/>
                <w:sz w:val="14"/>
                <w:szCs w:val="14"/>
                <w:color w:val="auto"/>
              </w:rPr>
              <w:t>ROV Support Vessel</w:t>
            </w:r>
          </w:p>
        </w:tc>
        <w:tc>
          <w:tcPr>
            <w:tcW w:w="11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color w:val="auto"/>
                <w:w w:val="96"/>
              </w:rPr>
              <w:t>2011</w:t>
            </w:r>
          </w:p>
        </w:tc>
        <w:tc>
          <w:tcPr>
            <w:tcW w:w="5360" w:type="dxa"/>
            <w:vAlign w:val="bottom"/>
            <w:tcBorders>
              <w:right w:val="single" w:sz="8" w:color="auto"/>
            </w:tcBorders>
          </w:tcPr>
          <w:p>
            <w:pPr>
              <w:ind w:left="160"/>
              <w:spacing w:after="0"/>
              <w:rPr>
                <w:sz w:val="20"/>
                <w:szCs w:val="20"/>
                <w:color w:val="auto"/>
              </w:rPr>
            </w:pPr>
            <w:r>
              <w:rPr>
                <w:rFonts w:ascii="Arial" w:cs="Arial" w:eastAsia="Arial" w:hAnsi="Arial"/>
                <w:sz w:val="14"/>
                <w:szCs w:val="14"/>
                <w:color w:val="auto"/>
              </w:rPr>
              <w:t>DP-2 dive and ROV support vessel with 50-ton crane, moon pool and</w:t>
            </w:r>
          </w:p>
        </w:tc>
        <w:tc>
          <w:tcPr>
            <w:tcW w:w="2040" w:type="dxa"/>
            <w:vAlign w:val="bottom"/>
            <w:vMerge w:val="restart"/>
          </w:tcPr>
          <w:p>
            <w:pPr>
              <w:jc w:val="center"/>
              <w:spacing w:after="0"/>
              <w:rPr>
                <w:sz w:val="20"/>
                <w:szCs w:val="20"/>
                <w:color w:val="auto"/>
              </w:rPr>
            </w:pPr>
            <w:r>
              <w:rPr>
                <w:rFonts w:ascii="Arial" w:cs="Arial" w:eastAsia="Arial" w:hAnsi="Arial"/>
                <w:sz w:val="14"/>
                <w:szCs w:val="14"/>
                <w:color w:val="auto"/>
              </w:rPr>
              <w:t>100%*</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3"/>
        </w:trPr>
        <w:tc>
          <w:tcPr>
            <w:tcW w:w="2900" w:type="dxa"/>
            <w:vAlign w:val="bottom"/>
            <w:tcBorders>
              <w:right w:val="single" w:sz="8" w:color="auto"/>
            </w:tcBorders>
            <w:vMerge w:val="continue"/>
          </w:tcPr>
          <w:p>
            <w:pPr>
              <w:spacing w:after="0"/>
              <w:rPr>
                <w:sz w:val="9"/>
                <w:szCs w:val="9"/>
                <w:color w:val="auto"/>
              </w:rPr>
            </w:pPr>
          </w:p>
        </w:tc>
        <w:tc>
          <w:tcPr>
            <w:tcW w:w="1120" w:type="dxa"/>
            <w:vAlign w:val="bottom"/>
            <w:tcBorders>
              <w:right w:val="single" w:sz="8" w:color="auto"/>
            </w:tcBorders>
            <w:vMerge w:val="continue"/>
          </w:tcPr>
          <w:p>
            <w:pPr>
              <w:spacing w:after="0"/>
              <w:rPr>
                <w:sz w:val="9"/>
                <w:szCs w:val="9"/>
                <w:color w:val="auto"/>
              </w:rPr>
            </w:pPr>
          </w:p>
        </w:tc>
        <w:tc>
          <w:tcPr>
            <w:tcW w:w="5360" w:type="dxa"/>
            <w:vAlign w:val="bottom"/>
            <w:tcBorders>
              <w:right w:val="single" w:sz="8" w:color="auto"/>
            </w:tcBorders>
            <w:vMerge w:val="restart"/>
          </w:tcPr>
          <w:p>
            <w:pPr>
              <w:ind w:left="160"/>
              <w:spacing w:after="0"/>
              <w:rPr>
                <w:sz w:val="20"/>
                <w:szCs w:val="20"/>
                <w:color w:val="auto"/>
              </w:rPr>
            </w:pPr>
            <w:r>
              <w:rPr>
                <w:rFonts w:ascii="Arial" w:cs="Arial" w:eastAsia="Arial" w:hAnsi="Arial"/>
                <w:sz w:val="14"/>
                <w:szCs w:val="14"/>
                <w:color w:val="auto"/>
              </w:rPr>
              <w:t>accommodation for 120 personnel</w:t>
            </w:r>
          </w:p>
        </w:tc>
        <w:tc>
          <w:tcPr>
            <w:tcW w:w="2040" w:type="dxa"/>
            <w:vAlign w:val="bottom"/>
            <w:vMerge w:val="continue"/>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85"/>
        </w:trPr>
        <w:tc>
          <w:tcPr>
            <w:tcW w:w="2900" w:type="dxa"/>
            <w:vAlign w:val="bottom"/>
            <w:tcBorders>
              <w:bottom w:val="single" w:sz="8" w:color="auto"/>
              <w:right w:val="single" w:sz="8" w:color="auto"/>
            </w:tcBorders>
          </w:tcPr>
          <w:p>
            <w:pPr>
              <w:spacing w:after="0"/>
              <w:rPr>
                <w:sz w:val="7"/>
                <w:szCs w:val="7"/>
                <w:color w:val="auto"/>
              </w:rPr>
            </w:pPr>
          </w:p>
        </w:tc>
        <w:tc>
          <w:tcPr>
            <w:tcW w:w="1120" w:type="dxa"/>
            <w:vAlign w:val="bottom"/>
            <w:tcBorders>
              <w:bottom w:val="single" w:sz="8" w:color="auto"/>
              <w:right w:val="single" w:sz="8" w:color="auto"/>
            </w:tcBorders>
          </w:tcPr>
          <w:p>
            <w:pPr>
              <w:spacing w:after="0"/>
              <w:rPr>
                <w:sz w:val="7"/>
                <w:szCs w:val="7"/>
                <w:color w:val="auto"/>
              </w:rPr>
            </w:pPr>
          </w:p>
        </w:tc>
        <w:tc>
          <w:tcPr>
            <w:tcW w:w="5360" w:type="dxa"/>
            <w:vAlign w:val="bottom"/>
            <w:tcBorders>
              <w:bottom w:val="single" w:sz="8" w:color="auto"/>
              <w:right w:val="single" w:sz="8" w:color="auto"/>
            </w:tcBorders>
            <w:vMerge w:val="continue"/>
          </w:tcPr>
          <w:p>
            <w:pPr>
              <w:spacing w:after="0"/>
              <w:rPr>
                <w:sz w:val="7"/>
                <w:szCs w:val="7"/>
                <w:color w:val="auto"/>
              </w:rPr>
            </w:pPr>
          </w:p>
        </w:tc>
        <w:tc>
          <w:tcPr>
            <w:tcW w:w="204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225"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52</w:t>
      </w:r>
    </w:p>
    <w:p>
      <w:pPr>
        <w:sectPr>
          <w:pgSz w:w="11900" w:h="16838" w:orient="portrait"/>
          <w:cols w:equalWidth="0" w:num="1">
            <w:col w:w="11440"/>
          </w:cols>
          <w:pgMar w:left="240" w:top="527" w:right="219" w:bottom="1440" w:gutter="0" w:footer="0" w:header="0"/>
        </w:sectPr>
      </w:pPr>
    </w:p>
    <w:bookmarkStart w:id="52" w:name="page53"/>
    <w:bookmarkEnd w:id="52"/>
    <w:p>
      <w:pPr>
        <w:ind w:firstLine="8"/>
        <w:spacing w:after="0" w:line="291" w:lineRule="auto"/>
        <w:tabs>
          <w:tab w:leader="none" w:pos="133" w:val="left"/>
        </w:tabs>
        <w:numPr>
          <w:ilvl w:val="0"/>
          <w:numId w:val="16"/>
        </w:numPr>
        <w:rPr>
          <w:rFonts w:ascii="Arial" w:cs="Arial" w:eastAsia="Arial" w:hAnsi="Arial"/>
          <w:sz w:val="16"/>
          <w:szCs w:val="16"/>
          <w:color w:val="auto"/>
        </w:rPr>
      </w:pPr>
      <w:r>
        <w:rPr>
          <w:rFonts w:ascii="Arial" w:cs="Arial" w:eastAsia="Arial" w:hAnsi="Arial"/>
          <w:sz w:val="16"/>
          <w:szCs w:val="16"/>
          <w:color w:val="auto"/>
        </w:rPr>
        <w:t>The increase in the economic interest in the third quarter of 2017 for the ROV support vessel reflects the transfer of the non-controlling interest to the Company as part of the settlement arrangement as more fully discussed in Note 2 and Note 8 of the Consolidated Financial Statements.</w:t>
      </w:r>
    </w:p>
    <w:p>
      <w:pPr>
        <w:spacing w:after="0" w:line="108" w:lineRule="exact"/>
        <w:rPr>
          <w:sz w:val="20"/>
          <w:szCs w:val="20"/>
          <w:color w:val="auto"/>
        </w:rPr>
      </w:pPr>
    </w:p>
    <w:p>
      <w:pPr>
        <w:ind w:right="240"/>
        <w:spacing w:after="0" w:line="327" w:lineRule="auto"/>
        <w:rPr>
          <w:sz w:val="20"/>
          <w:szCs w:val="20"/>
          <w:color w:val="auto"/>
        </w:rPr>
      </w:pPr>
      <w:r>
        <w:rPr>
          <w:rFonts w:ascii="Arial" w:cs="Arial" w:eastAsia="Arial" w:hAnsi="Arial"/>
          <w:sz w:val="16"/>
          <w:szCs w:val="16"/>
          <w:color w:val="auto"/>
        </w:rPr>
        <w:t>The following table presents our results of operations and reconciliation of net loss attributable to shareholders to Adjusted Net Loss for the Offshore Energy segment for the three and nine months ended September 30, 2017 and September 30, 2016:</w:t>
      </w:r>
    </w:p>
    <w:p>
      <w:pPr>
        <w:spacing w:after="0" w:line="82"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3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900" w:type="dxa"/>
            <w:vAlign w:val="bottom"/>
            <w:gridSpan w:val="5"/>
          </w:tcPr>
          <w:p>
            <w:pPr>
              <w:jc w:val="center"/>
              <w:ind w:right="280"/>
              <w:spacing w:after="0"/>
              <w:rPr>
                <w:sz w:val="20"/>
                <w:szCs w:val="20"/>
                <w:color w:val="auto"/>
              </w:rPr>
            </w:pPr>
            <w:r>
              <w:rPr>
                <w:rFonts w:ascii="Arial" w:cs="Arial" w:eastAsia="Arial" w:hAnsi="Arial"/>
                <w:sz w:val="14"/>
                <w:szCs w:val="14"/>
                <w:b w:val="1"/>
                <w:bCs w:val="1"/>
                <w:color w:val="auto"/>
              </w:rPr>
              <w:t>Three Months Ended</w:t>
            </w:r>
          </w:p>
        </w:tc>
        <w:tc>
          <w:tcPr>
            <w:tcW w:w="1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00" w:type="dxa"/>
            <w:vAlign w:val="bottom"/>
            <w:gridSpan w:val="5"/>
          </w:tcPr>
          <w:p>
            <w:pPr>
              <w:ind w:left="100"/>
              <w:spacing w:after="0"/>
              <w:rPr>
                <w:sz w:val="20"/>
                <w:szCs w:val="20"/>
                <w:color w:val="auto"/>
              </w:rPr>
            </w:pPr>
            <w:r>
              <w:rPr>
                <w:rFonts w:ascii="Arial" w:cs="Arial" w:eastAsia="Arial" w:hAnsi="Arial"/>
                <w:sz w:val="14"/>
                <w:szCs w:val="14"/>
                <w:b w:val="1"/>
                <w:bCs w:val="1"/>
                <w:color w:val="auto"/>
              </w:rPr>
              <w:t>Nine Months Ended</w:t>
            </w:r>
          </w:p>
        </w:tc>
        <w:tc>
          <w:tcPr>
            <w:tcW w:w="1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2"/>
        </w:trPr>
        <w:tc>
          <w:tcPr>
            <w:tcW w:w="53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900" w:type="dxa"/>
            <w:vAlign w:val="bottom"/>
            <w:gridSpan w:val="5"/>
          </w:tcPr>
          <w:p>
            <w:pPr>
              <w:jc w:val="center"/>
              <w:ind w:right="280"/>
              <w:spacing w:after="0"/>
              <w:rPr>
                <w:sz w:val="20"/>
                <w:szCs w:val="20"/>
                <w:color w:val="auto"/>
              </w:rPr>
            </w:pPr>
            <w:r>
              <w:rPr>
                <w:rFonts w:ascii="Arial" w:cs="Arial" w:eastAsia="Arial" w:hAnsi="Arial"/>
                <w:sz w:val="14"/>
                <w:szCs w:val="14"/>
                <w:b w:val="1"/>
                <w:bCs w:val="1"/>
                <w:color w:val="auto"/>
              </w:rPr>
              <w:t>September 30,</w:t>
            </w: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0" w:type="dxa"/>
            <w:vAlign w:val="bottom"/>
            <w:gridSpan w:val="5"/>
          </w:tcPr>
          <w:p>
            <w:pPr>
              <w:ind w:left="280"/>
              <w:spacing w:after="0"/>
              <w:rPr>
                <w:sz w:val="20"/>
                <w:szCs w:val="20"/>
                <w:color w:val="auto"/>
              </w:rPr>
            </w:pPr>
            <w:r>
              <w:rPr>
                <w:rFonts w:ascii="Arial" w:cs="Arial" w:eastAsia="Arial" w:hAnsi="Arial"/>
                <w:sz w:val="14"/>
                <w:szCs w:val="14"/>
                <w:b w:val="1"/>
                <w:bCs w:val="1"/>
                <w:color w:val="auto"/>
              </w:rPr>
              <w:t>September 30,</w:t>
            </w: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64"/>
        </w:trPr>
        <w:tc>
          <w:tcPr>
            <w:tcW w:w="5380" w:type="dxa"/>
            <w:vAlign w:val="bottom"/>
          </w:tcPr>
          <w:p>
            <w:pPr>
              <w:ind w:left="40"/>
              <w:spacing w:after="0"/>
              <w:rPr>
                <w:sz w:val="20"/>
                <w:szCs w:val="20"/>
                <w:color w:val="auto"/>
              </w:rPr>
            </w:pPr>
            <w:r>
              <w:rPr>
                <w:rFonts w:ascii="Arial" w:cs="Arial" w:eastAsia="Arial" w:hAnsi="Arial"/>
                <w:sz w:val="14"/>
                <w:szCs w:val="14"/>
                <w:i w:val="1"/>
                <w:iCs w:val="1"/>
                <w:color w:val="auto"/>
              </w:rPr>
              <w:t>(Dollar amounts in thousands)</w:t>
            </w:r>
          </w:p>
        </w:tc>
        <w:tc>
          <w:tcPr>
            <w:tcW w:w="200" w:type="dxa"/>
            <w:vAlign w:val="bottom"/>
            <w:tcBorders>
              <w:top w:val="single" w:sz="8" w:color="auto"/>
              <w:bottom w:val="single" w:sz="8" w:color="auto"/>
            </w:tcBorders>
          </w:tcPr>
          <w:p>
            <w:pPr>
              <w:spacing w:after="0"/>
              <w:rPr>
                <w:sz w:val="22"/>
                <w:szCs w:val="22"/>
                <w:color w:val="auto"/>
              </w:rPr>
            </w:pPr>
          </w:p>
        </w:tc>
        <w:tc>
          <w:tcPr>
            <w:tcW w:w="740" w:type="dxa"/>
            <w:vAlign w:val="bottom"/>
            <w:tcBorders>
              <w:top w:val="single" w:sz="8" w:color="auto"/>
              <w:bottom w:val="single" w:sz="8" w:color="auto"/>
            </w:tcBorders>
          </w:tcPr>
          <w:p>
            <w:pPr>
              <w:jc w:val="right"/>
              <w:ind w:right="248"/>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top w:val="single" w:sz="8" w:color="auto"/>
              <w:bottom w:val="single" w:sz="8" w:color="auto"/>
            </w:tcBorders>
          </w:tcPr>
          <w:p>
            <w:pPr>
              <w:spacing w:after="0"/>
              <w:rPr>
                <w:sz w:val="22"/>
                <w:szCs w:val="22"/>
                <w:color w:val="auto"/>
              </w:rPr>
            </w:pPr>
          </w:p>
        </w:tc>
        <w:tc>
          <w:tcPr>
            <w:tcW w:w="200" w:type="dxa"/>
            <w:vAlign w:val="bottom"/>
            <w:tcBorders>
              <w:top w:val="single" w:sz="8" w:color="auto"/>
              <w:bottom w:val="single" w:sz="8" w:color="auto"/>
            </w:tcBorders>
          </w:tcPr>
          <w:p>
            <w:pPr>
              <w:spacing w:after="0"/>
              <w:rPr>
                <w:sz w:val="22"/>
                <w:szCs w:val="22"/>
                <w:color w:val="auto"/>
              </w:rPr>
            </w:pPr>
          </w:p>
        </w:tc>
        <w:tc>
          <w:tcPr>
            <w:tcW w:w="720" w:type="dxa"/>
            <w:vAlign w:val="bottom"/>
            <w:tcBorders>
              <w:top w:val="single" w:sz="8" w:color="auto"/>
              <w:bottom w:val="single" w:sz="8" w:color="auto"/>
            </w:tcBorders>
          </w:tcPr>
          <w:p>
            <w:pPr>
              <w:jc w:val="right"/>
              <w:ind w:right="228"/>
              <w:spacing w:after="0"/>
              <w:rPr>
                <w:sz w:val="20"/>
                <w:szCs w:val="20"/>
                <w:color w:val="auto"/>
              </w:rPr>
            </w:pPr>
            <w:r>
              <w:rPr>
                <w:rFonts w:ascii="Arial" w:cs="Arial" w:eastAsia="Arial" w:hAnsi="Arial"/>
                <w:sz w:val="14"/>
                <w:szCs w:val="14"/>
                <w:b w:val="1"/>
                <w:bCs w:val="1"/>
                <w:color w:val="auto"/>
              </w:rPr>
              <w:t>2016</w:t>
            </w:r>
          </w:p>
        </w:tc>
        <w:tc>
          <w:tcPr>
            <w:tcW w:w="120" w:type="dxa"/>
            <w:vAlign w:val="bottom"/>
            <w:tcBorders>
              <w:bottom w:val="single" w:sz="8" w:color="auto"/>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gridSpan w:val="2"/>
          </w:tcPr>
          <w:p>
            <w:pPr>
              <w:ind w:left="60"/>
              <w:spacing w:after="0"/>
              <w:rPr>
                <w:sz w:val="20"/>
                <w:szCs w:val="20"/>
                <w:color w:val="auto"/>
              </w:rPr>
            </w:pPr>
            <w:r>
              <w:rPr>
                <w:rFonts w:ascii="Arial" w:cs="Arial" w:eastAsia="Arial" w:hAnsi="Arial"/>
                <w:sz w:val="14"/>
                <w:szCs w:val="14"/>
                <w:b w:val="1"/>
                <w:bCs w:val="1"/>
                <w:color w:val="auto"/>
              </w:rPr>
              <w:t>Change</w:t>
            </w:r>
          </w:p>
        </w:tc>
        <w:tc>
          <w:tcPr>
            <w:tcW w:w="200" w:type="dxa"/>
            <w:vAlign w:val="bottom"/>
            <w:tcBorders>
              <w:top w:val="single" w:sz="8" w:color="auto"/>
              <w:bottom w:val="single" w:sz="8" w:color="auto"/>
            </w:tcBorders>
          </w:tcPr>
          <w:p>
            <w:pPr>
              <w:spacing w:after="0"/>
              <w:rPr>
                <w:sz w:val="22"/>
                <w:szCs w:val="22"/>
                <w:color w:val="auto"/>
              </w:rPr>
            </w:pPr>
          </w:p>
        </w:tc>
        <w:tc>
          <w:tcPr>
            <w:tcW w:w="700" w:type="dxa"/>
            <w:vAlign w:val="bottom"/>
            <w:tcBorders>
              <w:top w:val="single" w:sz="8" w:color="auto"/>
              <w:bottom w:val="single" w:sz="8" w:color="auto"/>
            </w:tcBorders>
          </w:tcPr>
          <w:p>
            <w:pPr>
              <w:ind w:left="100"/>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top w:val="single" w:sz="8" w:color="auto"/>
              <w:bottom w:val="single" w:sz="8" w:color="auto"/>
            </w:tcBorders>
          </w:tcPr>
          <w:p>
            <w:pPr>
              <w:spacing w:after="0"/>
              <w:rPr>
                <w:sz w:val="22"/>
                <w:szCs w:val="22"/>
                <w:color w:val="auto"/>
              </w:rPr>
            </w:pPr>
          </w:p>
        </w:tc>
        <w:tc>
          <w:tcPr>
            <w:tcW w:w="200" w:type="dxa"/>
            <w:vAlign w:val="bottom"/>
            <w:tcBorders>
              <w:top w:val="single" w:sz="8" w:color="auto"/>
              <w:bottom w:val="single" w:sz="8" w:color="auto"/>
            </w:tcBorders>
          </w:tcPr>
          <w:p>
            <w:pPr>
              <w:spacing w:after="0"/>
              <w:rPr>
                <w:sz w:val="22"/>
                <w:szCs w:val="22"/>
                <w:color w:val="auto"/>
              </w:rPr>
            </w:pPr>
          </w:p>
        </w:tc>
        <w:tc>
          <w:tcPr>
            <w:tcW w:w="700" w:type="dxa"/>
            <w:vAlign w:val="bottom"/>
            <w:tcBorders>
              <w:top w:val="single" w:sz="8" w:color="auto"/>
              <w:bottom w:val="single" w:sz="8" w:color="auto"/>
            </w:tcBorders>
          </w:tcPr>
          <w:p>
            <w:pPr>
              <w:jc w:val="right"/>
              <w:ind w:right="208"/>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auto"/>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265"/>
        </w:trPr>
        <w:tc>
          <w:tcPr>
            <w:tcW w:w="5380" w:type="dxa"/>
            <w:vAlign w:val="bottom"/>
          </w:tcPr>
          <w:p>
            <w:pPr>
              <w:ind w:left="40"/>
              <w:spacing w:after="0"/>
              <w:rPr>
                <w:sz w:val="20"/>
                <w:szCs w:val="20"/>
                <w:color w:val="auto"/>
              </w:rPr>
            </w:pPr>
            <w:r>
              <w:rPr>
                <w:rFonts w:ascii="Arial" w:cs="Arial" w:eastAsia="Arial" w:hAnsi="Arial"/>
                <w:sz w:val="14"/>
                <w:szCs w:val="14"/>
                <w:b w:val="1"/>
                <w:bCs w:val="1"/>
                <w:color w:val="auto"/>
              </w:rPr>
              <w:t>Revenues</w:t>
            </w:r>
          </w:p>
        </w:tc>
        <w:tc>
          <w:tcPr>
            <w:tcW w:w="2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1"/>
        </w:trPr>
        <w:tc>
          <w:tcPr>
            <w:tcW w:w="538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Equipment leasing revenues</w:t>
            </w:r>
          </w:p>
        </w:tc>
        <w:tc>
          <w:tcPr>
            <w:tcW w:w="200" w:type="dxa"/>
            <w:vAlign w:val="bottom"/>
            <w:shd w:val="clear" w:color="auto" w:fill="CCEEFF"/>
          </w:tcPr>
          <w:p>
            <w:pPr>
              <w:spacing w:after="0"/>
              <w:rPr>
                <w:sz w:val="23"/>
                <w:szCs w:val="23"/>
                <w:color w:val="auto"/>
              </w:rPr>
            </w:pPr>
          </w:p>
        </w:tc>
        <w:tc>
          <w:tcPr>
            <w:tcW w:w="7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7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7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7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7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74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9"/>
        </w:trPr>
        <w:tc>
          <w:tcPr>
            <w:tcW w:w="5380" w:type="dxa"/>
            <w:vAlign w:val="bottom"/>
          </w:tcPr>
          <w:p>
            <w:pPr>
              <w:ind w:left="40"/>
              <w:spacing w:after="0"/>
              <w:rPr>
                <w:sz w:val="20"/>
                <w:szCs w:val="20"/>
                <w:color w:val="auto"/>
              </w:rPr>
            </w:pPr>
            <w:r>
              <w:rPr>
                <w:rFonts w:ascii="Arial" w:cs="Arial" w:eastAsia="Arial" w:hAnsi="Arial"/>
                <w:sz w:val="14"/>
                <w:szCs w:val="14"/>
                <w:color w:val="auto"/>
              </w:rPr>
              <w:t>Lease income</w:t>
            </w:r>
          </w:p>
        </w:tc>
        <w:tc>
          <w:tcPr>
            <w:tcW w:w="200" w:type="dxa"/>
            <w:vAlign w:val="bottom"/>
          </w:tcPr>
          <w:p>
            <w:pPr>
              <w:jc w:val="right"/>
              <w:ind w:right="8"/>
              <w:spacing w:after="0"/>
              <w:rPr>
                <w:sz w:val="20"/>
                <w:szCs w:val="20"/>
                <w:color w:val="auto"/>
              </w:rPr>
            </w:pPr>
            <w:r>
              <w:rPr>
                <w:rFonts w:ascii="Arial" w:cs="Arial" w:eastAsia="Arial" w:hAnsi="Arial"/>
                <w:sz w:val="14"/>
                <w:szCs w:val="14"/>
                <w:b w:val="1"/>
                <w:bCs w:val="1"/>
                <w:color w:val="auto"/>
              </w:rPr>
              <w:t>$</w:t>
            </w:r>
          </w:p>
        </w:tc>
        <w:tc>
          <w:tcPr>
            <w:tcW w:w="740" w:type="dxa"/>
            <w:vAlign w:val="bottom"/>
          </w:tcPr>
          <w:p>
            <w:pPr>
              <w:jc w:val="right"/>
              <w:ind w:right="48"/>
              <w:spacing w:after="0"/>
              <w:rPr>
                <w:sz w:val="20"/>
                <w:szCs w:val="20"/>
                <w:color w:val="auto"/>
              </w:rPr>
            </w:pPr>
            <w:r>
              <w:rPr>
                <w:rFonts w:ascii="Arial" w:cs="Arial" w:eastAsia="Arial" w:hAnsi="Arial"/>
                <w:sz w:val="14"/>
                <w:szCs w:val="14"/>
                <w:b w:val="1"/>
                <w:bCs w:val="1"/>
                <w:color w:val="auto"/>
              </w:rPr>
              <w:t>3,800</w:t>
            </w:r>
          </w:p>
        </w:tc>
        <w:tc>
          <w:tcPr>
            <w:tcW w:w="120" w:type="dxa"/>
            <w:vAlign w:val="bottom"/>
          </w:tcPr>
          <w:p>
            <w:pPr>
              <w:spacing w:after="0"/>
              <w:rPr>
                <w:sz w:val="23"/>
                <w:szCs w:val="23"/>
                <w:color w:val="auto"/>
              </w:rPr>
            </w:pP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720" w:type="dxa"/>
            <w:vAlign w:val="bottom"/>
          </w:tcPr>
          <w:p>
            <w:pPr>
              <w:jc w:val="right"/>
              <w:ind w:right="48"/>
              <w:spacing w:after="0"/>
              <w:rPr>
                <w:sz w:val="20"/>
                <w:szCs w:val="20"/>
                <w:color w:val="auto"/>
              </w:rPr>
            </w:pPr>
            <w:r>
              <w:rPr>
                <w:rFonts w:ascii="Arial" w:cs="Arial" w:eastAsia="Arial" w:hAnsi="Arial"/>
                <w:sz w:val="14"/>
                <w:szCs w:val="14"/>
                <w:color w:val="auto"/>
              </w:rPr>
              <w:t>2,561</w:t>
            </w:r>
          </w:p>
        </w:tc>
        <w:tc>
          <w:tcPr>
            <w:tcW w:w="120" w:type="dxa"/>
            <w:vAlign w:val="bottom"/>
          </w:tcPr>
          <w:p>
            <w:pPr>
              <w:spacing w:after="0"/>
              <w:rPr>
                <w:sz w:val="23"/>
                <w:szCs w:val="23"/>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780" w:type="dxa"/>
            <w:vAlign w:val="bottom"/>
          </w:tcPr>
          <w:p>
            <w:pPr>
              <w:jc w:val="right"/>
              <w:ind w:right="48"/>
              <w:spacing w:after="0"/>
              <w:rPr>
                <w:sz w:val="20"/>
                <w:szCs w:val="20"/>
                <w:color w:val="auto"/>
              </w:rPr>
            </w:pPr>
            <w:r>
              <w:rPr>
                <w:rFonts w:ascii="Arial" w:cs="Arial" w:eastAsia="Arial" w:hAnsi="Arial"/>
                <w:sz w:val="14"/>
                <w:szCs w:val="14"/>
                <w:color w:val="auto"/>
              </w:rPr>
              <w:t>1,239</w:t>
            </w:r>
          </w:p>
        </w:tc>
        <w:tc>
          <w:tcPr>
            <w:tcW w:w="100" w:type="dxa"/>
            <w:vAlign w:val="bottom"/>
          </w:tcPr>
          <w:p>
            <w:pPr>
              <w:spacing w:after="0"/>
              <w:rPr>
                <w:sz w:val="23"/>
                <w:szCs w:val="23"/>
                <w:color w:val="auto"/>
              </w:rPr>
            </w:pPr>
          </w:p>
        </w:tc>
        <w:tc>
          <w:tcPr>
            <w:tcW w:w="200" w:type="dxa"/>
            <w:vAlign w:val="bottom"/>
          </w:tcPr>
          <w:p>
            <w:pPr>
              <w:jc w:val="right"/>
              <w:ind w:right="8"/>
              <w:spacing w:after="0"/>
              <w:rPr>
                <w:sz w:val="20"/>
                <w:szCs w:val="20"/>
                <w:color w:val="auto"/>
              </w:rPr>
            </w:pPr>
            <w:r>
              <w:rPr>
                <w:rFonts w:ascii="Arial" w:cs="Arial" w:eastAsia="Arial" w:hAnsi="Arial"/>
                <w:sz w:val="14"/>
                <w:szCs w:val="14"/>
                <w:b w:val="1"/>
                <w:bCs w:val="1"/>
                <w:color w:val="auto"/>
              </w:rPr>
              <w:t>$</w:t>
            </w:r>
          </w:p>
        </w:tc>
        <w:tc>
          <w:tcPr>
            <w:tcW w:w="700" w:type="dxa"/>
            <w:vAlign w:val="bottom"/>
          </w:tcPr>
          <w:p>
            <w:pPr>
              <w:jc w:val="right"/>
              <w:ind w:right="28"/>
              <w:spacing w:after="0"/>
              <w:rPr>
                <w:sz w:val="20"/>
                <w:szCs w:val="20"/>
                <w:color w:val="auto"/>
              </w:rPr>
            </w:pPr>
            <w:r>
              <w:rPr>
                <w:rFonts w:ascii="Arial" w:cs="Arial" w:eastAsia="Arial" w:hAnsi="Arial"/>
                <w:sz w:val="14"/>
                <w:szCs w:val="14"/>
                <w:b w:val="1"/>
                <w:bCs w:val="1"/>
                <w:color w:val="auto"/>
              </w:rPr>
              <w:t>7,295</w:t>
            </w:r>
          </w:p>
        </w:tc>
        <w:tc>
          <w:tcPr>
            <w:tcW w:w="100" w:type="dxa"/>
            <w:vAlign w:val="bottom"/>
          </w:tcPr>
          <w:p>
            <w:pPr>
              <w:spacing w:after="0"/>
              <w:rPr>
                <w:sz w:val="23"/>
                <w:szCs w:val="23"/>
                <w:color w:val="auto"/>
              </w:rPr>
            </w:pPr>
          </w:p>
        </w:tc>
        <w:tc>
          <w:tcPr>
            <w:tcW w:w="20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700" w:type="dxa"/>
            <w:vAlign w:val="bottom"/>
          </w:tcPr>
          <w:p>
            <w:pPr>
              <w:jc w:val="right"/>
              <w:ind w:right="28"/>
              <w:spacing w:after="0"/>
              <w:rPr>
                <w:sz w:val="20"/>
                <w:szCs w:val="20"/>
                <w:color w:val="auto"/>
              </w:rPr>
            </w:pPr>
            <w:r>
              <w:rPr>
                <w:rFonts w:ascii="Arial" w:cs="Arial" w:eastAsia="Arial" w:hAnsi="Arial"/>
                <w:sz w:val="14"/>
                <w:szCs w:val="14"/>
                <w:color w:val="auto"/>
              </w:rPr>
              <w:t>3,216</w:t>
            </w:r>
          </w:p>
        </w:tc>
        <w:tc>
          <w:tcPr>
            <w:tcW w:w="100" w:type="dxa"/>
            <w:vAlign w:val="bottom"/>
          </w:tcPr>
          <w:p>
            <w:pPr>
              <w:spacing w:after="0"/>
              <w:rPr>
                <w:sz w:val="23"/>
                <w:szCs w:val="23"/>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740" w:type="dxa"/>
            <w:vAlign w:val="bottom"/>
          </w:tcPr>
          <w:p>
            <w:pPr>
              <w:jc w:val="right"/>
              <w:ind w:right="28"/>
              <w:spacing w:after="0"/>
              <w:rPr>
                <w:sz w:val="20"/>
                <w:szCs w:val="20"/>
                <w:color w:val="auto"/>
              </w:rPr>
            </w:pPr>
            <w:r>
              <w:rPr>
                <w:rFonts w:ascii="Arial" w:cs="Arial" w:eastAsia="Arial" w:hAnsi="Arial"/>
                <w:sz w:val="14"/>
                <w:szCs w:val="14"/>
                <w:color w:val="auto"/>
              </w:rPr>
              <w:t>4,079</w:t>
            </w:r>
          </w:p>
        </w:tc>
        <w:tc>
          <w:tcPr>
            <w:tcW w:w="0" w:type="dxa"/>
            <w:vAlign w:val="bottom"/>
          </w:tcPr>
          <w:p>
            <w:pPr>
              <w:spacing w:after="0"/>
              <w:rPr>
                <w:sz w:val="1"/>
                <w:szCs w:val="1"/>
                <w:color w:val="auto"/>
              </w:rPr>
            </w:pPr>
          </w:p>
        </w:tc>
      </w:tr>
      <w:tr>
        <w:trPr>
          <w:trHeight w:val="271"/>
        </w:trPr>
        <w:tc>
          <w:tcPr>
            <w:tcW w:w="5380" w:type="dxa"/>
            <w:vAlign w:val="bottom"/>
            <w:shd w:val="clear" w:color="auto" w:fill="CCEEFF"/>
          </w:tcPr>
          <w:p>
            <w:pPr>
              <w:ind w:left="40"/>
              <w:spacing w:after="0"/>
              <w:rPr>
                <w:sz w:val="20"/>
                <w:szCs w:val="20"/>
                <w:color w:val="auto"/>
              </w:rPr>
            </w:pPr>
            <w:r>
              <w:rPr>
                <w:rFonts w:ascii="Arial" w:cs="Arial" w:eastAsia="Arial" w:hAnsi="Arial"/>
                <w:sz w:val="14"/>
                <w:szCs w:val="14"/>
                <w:color w:val="auto"/>
              </w:rPr>
              <w:t>Finance lease income</w:t>
            </w:r>
          </w:p>
        </w:tc>
        <w:tc>
          <w:tcPr>
            <w:tcW w:w="200" w:type="dxa"/>
            <w:vAlign w:val="bottom"/>
            <w:shd w:val="clear" w:color="auto" w:fill="CCEEFF"/>
          </w:tcPr>
          <w:p>
            <w:pPr>
              <w:spacing w:after="0"/>
              <w:rPr>
                <w:sz w:val="23"/>
                <w:szCs w:val="23"/>
                <w:color w:val="auto"/>
              </w:rPr>
            </w:pPr>
          </w:p>
        </w:tc>
        <w:tc>
          <w:tcPr>
            <w:tcW w:w="74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385</w:t>
            </w: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7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403</w:t>
            </w: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7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(18)</w:t>
            </w: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70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1,156</w:t>
            </w: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7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1,212</w:t>
            </w: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(56)</w:t>
            </w:r>
          </w:p>
        </w:tc>
        <w:tc>
          <w:tcPr>
            <w:tcW w:w="0" w:type="dxa"/>
            <w:vAlign w:val="bottom"/>
          </w:tcPr>
          <w:p>
            <w:pPr>
              <w:spacing w:after="0"/>
              <w:rPr>
                <w:sz w:val="1"/>
                <w:szCs w:val="1"/>
                <w:color w:val="auto"/>
              </w:rPr>
            </w:pPr>
          </w:p>
        </w:tc>
      </w:tr>
      <w:tr>
        <w:trPr>
          <w:trHeight w:val="269"/>
        </w:trPr>
        <w:tc>
          <w:tcPr>
            <w:tcW w:w="538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Other revenue</w:t>
            </w:r>
          </w:p>
        </w:tc>
        <w:tc>
          <w:tcPr>
            <w:tcW w:w="200" w:type="dxa"/>
            <w:vAlign w:val="bottom"/>
            <w:tcBorders>
              <w:bottom w:val="single" w:sz="8" w:color="auto"/>
            </w:tcBorders>
          </w:tcPr>
          <w:p>
            <w:pPr>
              <w:spacing w:after="0"/>
              <w:rPr>
                <w:sz w:val="23"/>
                <w:szCs w:val="23"/>
                <w:color w:val="auto"/>
              </w:rPr>
            </w:pPr>
          </w:p>
        </w:tc>
        <w:tc>
          <w:tcPr>
            <w:tcW w:w="7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1,932</w:t>
            </w:r>
          </w:p>
        </w:tc>
        <w:tc>
          <w:tcPr>
            <w:tcW w:w="120" w:type="dxa"/>
            <w:vAlign w:val="bottom"/>
            <w:tcBorders>
              <w:bottom w:val="single" w:sz="8" w:color="CCEEFF"/>
            </w:tcBorders>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7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5</w:t>
            </w:r>
          </w:p>
        </w:tc>
        <w:tc>
          <w:tcPr>
            <w:tcW w:w="120" w:type="dxa"/>
            <w:vAlign w:val="bottom"/>
            <w:tcBorders>
              <w:bottom w:val="single" w:sz="8" w:color="CCEEFF"/>
            </w:tcBorders>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7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1,927</w:t>
            </w:r>
          </w:p>
        </w:tc>
        <w:tc>
          <w:tcPr>
            <w:tcW w:w="100" w:type="dxa"/>
            <w:vAlign w:val="bottom"/>
            <w:tcBorders>
              <w:bottom w:val="single" w:sz="8" w:color="CCEEFF"/>
            </w:tcBorders>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7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2,504</w:t>
            </w:r>
          </w:p>
        </w:tc>
        <w:tc>
          <w:tcPr>
            <w:tcW w:w="100" w:type="dxa"/>
            <w:vAlign w:val="bottom"/>
            <w:tcBorders>
              <w:bottom w:val="single" w:sz="8" w:color="CCEEFF"/>
            </w:tcBorders>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7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5</w:t>
            </w:r>
          </w:p>
        </w:tc>
        <w:tc>
          <w:tcPr>
            <w:tcW w:w="100" w:type="dxa"/>
            <w:vAlign w:val="bottom"/>
            <w:tcBorders>
              <w:bottom w:val="single" w:sz="8" w:color="CCEEFF"/>
            </w:tcBorders>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7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2,499</w:t>
            </w:r>
          </w:p>
        </w:tc>
        <w:tc>
          <w:tcPr>
            <w:tcW w:w="0" w:type="dxa"/>
            <w:vAlign w:val="bottom"/>
          </w:tcPr>
          <w:p>
            <w:pPr>
              <w:spacing w:after="0"/>
              <w:rPr>
                <w:sz w:val="1"/>
                <w:szCs w:val="1"/>
                <w:color w:val="auto"/>
              </w:rPr>
            </w:pPr>
          </w:p>
        </w:tc>
      </w:tr>
      <w:tr>
        <w:trPr>
          <w:trHeight w:val="250"/>
        </w:trPr>
        <w:tc>
          <w:tcPr>
            <w:tcW w:w="538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Total revenues</w:t>
            </w:r>
          </w:p>
        </w:tc>
        <w:tc>
          <w:tcPr>
            <w:tcW w:w="200" w:type="dxa"/>
            <w:vAlign w:val="bottom"/>
            <w:tcBorders>
              <w:bottom w:val="single" w:sz="8" w:color="auto"/>
            </w:tcBorders>
            <w:shd w:val="clear" w:color="auto" w:fill="CCEEFF"/>
          </w:tcPr>
          <w:p>
            <w:pPr>
              <w:spacing w:after="0"/>
              <w:rPr>
                <w:sz w:val="21"/>
                <w:szCs w:val="21"/>
                <w:color w:val="auto"/>
              </w:rPr>
            </w:pPr>
          </w:p>
        </w:tc>
        <w:tc>
          <w:tcPr>
            <w:tcW w:w="74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6,117</w:t>
            </w:r>
          </w:p>
        </w:tc>
        <w:tc>
          <w:tcPr>
            <w:tcW w:w="120" w:type="dxa"/>
            <w:vAlign w:val="bottom"/>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7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2,969</w:t>
            </w:r>
          </w:p>
        </w:tc>
        <w:tc>
          <w:tcPr>
            <w:tcW w:w="120" w:type="dxa"/>
            <w:vAlign w:val="bottom"/>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78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3,148</w:t>
            </w:r>
          </w:p>
        </w:tc>
        <w:tc>
          <w:tcPr>
            <w:tcW w:w="100" w:type="dxa"/>
            <w:vAlign w:val="bottom"/>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7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10,955</w:t>
            </w:r>
          </w:p>
        </w:tc>
        <w:tc>
          <w:tcPr>
            <w:tcW w:w="100" w:type="dxa"/>
            <w:vAlign w:val="bottom"/>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7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4,433</w:t>
            </w:r>
          </w:p>
        </w:tc>
        <w:tc>
          <w:tcPr>
            <w:tcW w:w="100" w:type="dxa"/>
            <w:vAlign w:val="bottom"/>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7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6,522</w:t>
            </w:r>
          </w:p>
        </w:tc>
        <w:tc>
          <w:tcPr>
            <w:tcW w:w="0" w:type="dxa"/>
            <w:vAlign w:val="bottom"/>
          </w:tcPr>
          <w:p>
            <w:pPr>
              <w:spacing w:after="0"/>
              <w:rPr>
                <w:sz w:val="1"/>
                <w:szCs w:val="1"/>
                <w:color w:val="auto"/>
              </w:rPr>
            </w:pPr>
          </w:p>
        </w:tc>
      </w:tr>
      <w:tr>
        <w:trPr>
          <w:trHeight w:val="292"/>
        </w:trPr>
        <w:tc>
          <w:tcPr>
            <w:tcW w:w="53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538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Expenses</w:t>
            </w:r>
          </w:p>
        </w:tc>
        <w:tc>
          <w:tcPr>
            <w:tcW w:w="200" w:type="dxa"/>
            <w:vAlign w:val="bottom"/>
            <w:shd w:val="clear" w:color="auto" w:fill="CCEEFF"/>
          </w:tcPr>
          <w:p>
            <w:pPr>
              <w:spacing w:after="0"/>
              <w:rPr>
                <w:sz w:val="23"/>
                <w:szCs w:val="23"/>
                <w:color w:val="auto"/>
              </w:rPr>
            </w:pPr>
          </w:p>
        </w:tc>
        <w:tc>
          <w:tcPr>
            <w:tcW w:w="7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7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7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7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7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74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9"/>
        </w:trPr>
        <w:tc>
          <w:tcPr>
            <w:tcW w:w="5380" w:type="dxa"/>
            <w:vAlign w:val="bottom"/>
          </w:tcPr>
          <w:p>
            <w:pPr>
              <w:ind w:left="40"/>
              <w:spacing w:after="0"/>
              <w:rPr>
                <w:sz w:val="20"/>
                <w:szCs w:val="20"/>
                <w:color w:val="auto"/>
              </w:rPr>
            </w:pPr>
            <w:r>
              <w:rPr>
                <w:rFonts w:ascii="Arial" w:cs="Arial" w:eastAsia="Arial" w:hAnsi="Arial"/>
                <w:sz w:val="14"/>
                <w:szCs w:val="14"/>
                <w:color w:val="auto"/>
              </w:rPr>
              <w:t>Operating expenses</w:t>
            </w:r>
          </w:p>
        </w:tc>
        <w:tc>
          <w:tcPr>
            <w:tcW w:w="200" w:type="dxa"/>
            <w:vAlign w:val="bottom"/>
          </w:tcPr>
          <w:p>
            <w:pPr>
              <w:spacing w:after="0"/>
              <w:rPr>
                <w:sz w:val="23"/>
                <w:szCs w:val="23"/>
                <w:color w:val="auto"/>
              </w:rPr>
            </w:pPr>
          </w:p>
        </w:tc>
        <w:tc>
          <w:tcPr>
            <w:tcW w:w="740" w:type="dxa"/>
            <w:vAlign w:val="bottom"/>
          </w:tcPr>
          <w:p>
            <w:pPr>
              <w:jc w:val="right"/>
              <w:ind w:right="48"/>
              <w:spacing w:after="0"/>
              <w:rPr>
                <w:sz w:val="20"/>
                <w:szCs w:val="20"/>
                <w:color w:val="auto"/>
              </w:rPr>
            </w:pPr>
            <w:r>
              <w:rPr>
                <w:rFonts w:ascii="Arial" w:cs="Arial" w:eastAsia="Arial" w:hAnsi="Arial"/>
                <w:sz w:val="14"/>
                <w:szCs w:val="14"/>
                <w:b w:val="1"/>
                <w:bCs w:val="1"/>
                <w:color w:val="auto"/>
              </w:rPr>
              <w:t>5,103</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20" w:type="dxa"/>
            <w:vAlign w:val="bottom"/>
          </w:tcPr>
          <w:p>
            <w:pPr>
              <w:jc w:val="right"/>
              <w:ind w:right="48"/>
              <w:spacing w:after="0"/>
              <w:rPr>
                <w:sz w:val="20"/>
                <w:szCs w:val="20"/>
                <w:color w:val="auto"/>
              </w:rPr>
            </w:pPr>
            <w:r>
              <w:rPr>
                <w:rFonts w:ascii="Arial" w:cs="Arial" w:eastAsia="Arial" w:hAnsi="Arial"/>
                <w:sz w:val="14"/>
                <w:szCs w:val="14"/>
                <w:color w:val="auto"/>
              </w:rPr>
              <w:t>2,408</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80" w:type="dxa"/>
            <w:vAlign w:val="bottom"/>
          </w:tcPr>
          <w:p>
            <w:pPr>
              <w:jc w:val="right"/>
              <w:ind w:right="48"/>
              <w:spacing w:after="0"/>
              <w:rPr>
                <w:sz w:val="20"/>
                <w:szCs w:val="20"/>
                <w:color w:val="auto"/>
              </w:rPr>
            </w:pPr>
            <w:r>
              <w:rPr>
                <w:rFonts w:ascii="Arial" w:cs="Arial" w:eastAsia="Arial" w:hAnsi="Arial"/>
                <w:sz w:val="14"/>
                <w:szCs w:val="14"/>
                <w:color w:val="auto"/>
              </w:rPr>
              <w:t>2,695</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00" w:type="dxa"/>
            <w:vAlign w:val="bottom"/>
          </w:tcPr>
          <w:p>
            <w:pPr>
              <w:jc w:val="right"/>
              <w:ind w:right="28"/>
              <w:spacing w:after="0"/>
              <w:rPr>
                <w:sz w:val="20"/>
                <w:szCs w:val="20"/>
                <w:color w:val="auto"/>
              </w:rPr>
            </w:pPr>
            <w:r>
              <w:rPr>
                <w:rFonts w:ascii="Arial" w:cs="Arial" w:eastAsia="Arial" w:hAnsi="Arial"/>
                <w:sz w:val="14"/>
                <w:szCs w:val="14"/>
                <w:b w:val="1"/>
                <w:bCs w:val="1"/>
                <w:color w:val="auto"/>
              </w:rPr>
              <w:t>12,661</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00" w:type="dxa"/>
            <w:vAlign w:val="bottom"/>
          </w:tcPr>
          <w:p>
            <w:pPr>
              <w:jc w:val="right"/>
              <w:ind w:right="28"/>
              <w:spacing w:after="0"/>
              <w:rPr>
                <w:sz w:val="20"/>
                <w:szCs w:val="20"/>
                <w:color w:val="auto"/>
              </w:rPr>
            </w:pPr>
            <w:r>
              <w:rPr>
                <w:rFonts w:ascii="Arial" w:cs="Arial" w:eastAsia="Arial" w:hAnsi="Arial"/>
                <w:sz w:val="14"/>
                <w:szCs w:val="14"/>
                <w:color w:val="auto"/>
              </w:rPr>
              <w:t>8,410</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40" w:type="dxa"/>
            <w:vAlign w:val="bottom"/>
          </w:tcPr>
          <w:p>
            <w:pPr>
              <w:jc w:val="right"/>
              <w:ind w:right="28"/>
              <w:spacing w:after="0"/>
              <w:rPr>
                <w:sz w:val="20"/>
                <w:szCs w:val="20"/>
                <w:color w:val="auto"/>
              </w:rPr>
            </w:pPr>
            <w:r>
              <w:rPr>
                <w:rFonts w:ascii="Arial" w:cs="Arial" w:eastAsia="Arial" w:hAnsi="Arial"/>
                <w:sz w:val="14"/>
                <w:szCs w:val="14"/>
                <w:color w:val="auto"/>
              </w:rPr>
              <w:t>4,251</w:t>
            </w:r>
          </w:p>
        </w:tc>
        <w:tc>
          <w:tcPr>
            <w:tcW w:w="0" w:type="dxa"/>
            <w:vAlign w:val="bottom"/>
          </w:tcPr>
          <w:p>
            <w:pPr>
              <w:spacing w:after="0"/>
              <w:rPr>
                <w:sz w:val="1"/>
                <w:szCs w:val="1"/>
                <w:color w:val="auto"/>
              </w:rPr>
            </w:pPr>
          </w:p>
        </w:tc>
      </w:tr>
      <w:tr>
        <w:trPr>
          <w:trHeight w:val="271"/>
        </w:trPr>
        <w:tc>
          <w:tcPr>
            <w:tcW w:w="5380" w:type="dxa"/>
            <w:vAlign w:val="bottom"/>
            <w:shd w:val="clear" w:color="auto" w:fill="CCEEFF"/>
          </w:tcPr>
          <w:p>
            <w:pPr>
              <w:ind w:left="40"/>
              <w:spacing w:after="0"/>
              <w:rPr>
                <w:sz w:val="20"/>
                <w:szCs w:val="20"/>
                <w:color w:val="auto"/>
              </w:rPr>
            </w:pPr>
            <w:r>
              <w:rPr>
                <w:rFonts w:ascii="Arial" w:cs="Arial" w:eastAsia="Arial" w:hAnsi="Arial"/>
                <w:sz w:val="14"/>
                <w:szCs w:val="14"/>
                <w:color w:val="auto"/>
              </w:rPr>
              <w:t>Depreciation and amortization</w:t>
            </w:r>
          </w:p>
        </w:tc>
        <w:tc>
          <w:tcPr>
            <w:tcW w:w="200" w:type="dxa"/>
            <w:vAlign w:val="bottom"/>
            <w:shd w:val="clear" w:color="auto" w:fill="CCEEFF"/>
          </w:tcPr>
          <w:p>
            <w:pPr>
              <w:spacing w:after="0"/>
              <w:rPr>
                <w:sz w:val="23"/>
                <w:szCs w:val="23"/>
                <w:color w:val="auto"/>
              </w:rPr>
            </w:pPr>
          </w:p>
        </w:tc>
        <w:tc>
          <w:tcPr>
            <w:tcW w:w="74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1,607</w:t>
            </w: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7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1,669</w:t>
            </w: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7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(62)</w:t>
            </w: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70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4,820</w:t>
            </w: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7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4,927</w:t>
            </w: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(107)</w:t>
            </w:r>
          </w:p>
        </w:tc>
        <w:tc>
          <w:tcPr>
            <w:tcW w:w="0" w:type="dxa"/>
            <w:vAlign w:val="bottom"/>
          </w:tcPr>
          <w:p>
            <w:pPr>
              <w:spacing w:after="0"/>
              <w:rPr>
                <w:sz w:val="1"/>
                <w:szCs w:val="1"/>
                <w:color w:val="auto"/>
              </w:rPr>
            </w:pPr>
          </w:p>
        </w:tc>
      </w:tr>
      <w:tr>
        <w:trPr>
          <w:trHeight w:val="269"/>
        </w:trPr>
        <w:tc>
          <w:tcPr>
            <w:tcW w:w="538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Interest expense</w:t>
            </w:r>
          </w:p>
        </w:tc>
        <w:tc>
          <w:tcPr>
            <w:tcW w:w="200" w:type="dxa"/>
            <w:vAlign w:val="bottom"/>
            <w:tcBorders>
              <w:bottom w:val="single" w:sz="8" w:color="auto"/>
            </w:tcBorders>
          </w:tcPr>
          <w:p>
            <w:pPr>
              <w:spacing w:after="0"/>
              <w:rPr>
                <w:sz w:val="23"/>
                <w:szCs w:val="23"/>
                <w:color w:val="auto"/>
              </w:rPr>
            </w:pPr>
          </w:p>
        </w:tc>
        <w:tc>
          <w:tcPr>
            <w:tcW w:w="7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946</w:t>
            </w:r>
          </w:p>
        </w:tc>
        <w:tc>
          <w:tcPr>
            <w:tcW w:w="120" w:type="dxa"/>
            <w:vAlign w:val="bottom"/>
            <w:tcBorders>
              <w:bottom w:val="single" w:sz="8" w:color="CCEEFF"/>
            </w:tcBorders>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7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934</w:t>
            </w:r>
          </w:p>
        </w:tc>
        <w:tc>
          <w:tcPr>
            <w:tcW w:w="120" w:type="dxa"/>
            <w:vAlign w:val="bottom"/>
            <w:tcBorders>
              <w:bottom w:val="single" w:sz="8" w:color="CCEEFF"/>
            </w:tcBorders>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7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12</w:t>
            </w:r>
          </w:p>
        </w:tc>
        <w:tc>
          <w:tcPr>
            <w:tcW w:w="100" w:type="dxa"/>
            <w:vAlign w:val="bottom"/>
            <w:tcBorders>
              <w:bottom w:val="single" w:sz="8" w:color="CCEEFF"/>
            </w:tcBorders>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7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2,800</w:t>
            </w:r>
          </w:p>
        </w:tc>
        <w:tc>
          <w:tcPr>
            <w:tcW w:w="100" w:type="dxa"/>
            <w:vAlign w:val="bottom"/>
            <w:tcBorders>
              <w:bottom w:val="single" w:sz="8" w:color="CCEEFF"/>
            </w:tcBorders>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7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2,805</w:t>
            </w:r>
          </w:p>
        </w:tc>
        <w:tc>
          <w:tcPr>
            <w:tcW w:w="100" w:type="dxa"/>
            <w:vAlign w:val="bottom"/>
            <w:tcBorders>
              <w:bottom w:val="single" w:sz="8" w:color="CCEEFF"/>
            </w:tcBorders>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w:t>
            </w:r>
          </w:p>
        </w:tc>
        <w:tc>
          <w:tcPr>
            <w:tcW w:w="0" w:type="dxa"/>
            <w:vAlign w:val="bottom"/>
          </w:tcPr>
          <w:p>
            <w:pPr>
              <w:spacing w:after="0"/>
              <w:rPr>
                <w:sz w:val="1"/>
                <w:szCs w:val="1"/>
                <w:color w:val="auto"/>
              </w:rPr>
            </w:pPr>
          </w:p>
        </w:tc>
      </w:tr>
      <w:tr>
        <w:trPr>
          <w:trHeight w:val="250"/>
        </w:trPr>
        <w:tc>
          <w:tcPr>
            <w:tcW w:w="538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Total expenses</w:t>
            </w:r>
          </w:p>
        </w:tc>
        <w:tc>
          <w:tcPr>
            <w:tcW w:w="200" w:type="dxa"/>
            <w:vAlign w:val="bottom"/>
            <w:tcBorders>
              <w:bottom w:val="single" w:sz="8" w:color="auto"/>
            </w:tcBorders>
            <w:shd w:val="clear" w:color="auto" w:fill="CCEEFF"/>
          </w:tcPr>
          <w:p>
            <w:pPr>
              <w:spacing w:after="0"/>
              <w:rPr>
                <w:sz w:val="21"/>
                <w:szCs w:val="21"/>
                <w:color w:val="auto"/>
              </w:rPr>
            </w:pPr>
          </w:p>
        </w:tc>
        <w:tc>
          <w:tcPr>
            <w:tcW w:w="74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7,656</w:t>
            </w:r>
          </w:p>
        </w:tc>
        <w:tc>
          <w:tcPr>
            <w:tcW w:w="120" w:type="dxa"/>
            <w:vAlign w:val="bottom"/>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7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5,011</w:t>
            </w:r>
          </w:p>
        </w:tc>
        <w:tc>
          <w:tcPr>
            <w:tcW w:w="120" w:type="dxa"/>
            <w:vAlign w:val="bottom"/>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78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2,645</w:t>
            </w:r>
          </w:p>
        </w:tc>
        <w:tc>
          <w:tcPr>
            <w:tcW w:w="100" w:type="dxa"/>
            <w:vAlign w:val="bottom"/>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7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20,281</w:t>
            </w:r>
          </w:p>
        </w:tc>
        <w:tc>
          <w:tcPr>
            <w:tcW w:w="100" w:type="dxa"/>
            <w:vAlign w:val="bottom"/>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7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16,142</w:t>
            </w:r>
          </w:p>
        </w:tc>
        <w:tc>
          <w:tcPr>
            <w:tcW w:w="100" w:type="dxa"/>
            <w:vAlign w:val="bottom"/>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7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4,139</w:t>
            </w:r>
          </w:p>
        </w:tc>
        <w:tc>
          <w:tcPr>
            <w:tcW w:w="0" w:type="dxa"/>
            <w:vAlign w:val="bottom"/>
          </w:tcPr>
          <w:p>
            <w:pPr>
              <w:spacing w:after="0"/>
              <w:rPr>
                <w:sz w:val="1"/>
                <w:szCs w:val="1"/>
                <w:color w:val="auto"/>
              </w:rPr>
            </w:pPr>
          </w:p>
        </w:tc>
      </w:tr>
      <w:tr>
        <w:trPr>
          <w:trHeight w:val="292"/>
        </w:trPr>
        <w:tc>
          <w:tcPr>
            <w:tcW w:w="53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538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Other income (expense)</w:t>
            </w:r>
          </w:p>
        </w:tc>
        <w:tc>
          <w:tcPr>
            <w:tcW w:w="200" w:type="dxa"/>
            <w:vAlign w:val="bottom"/>
            <w:shd w:val="clear" w:color="auto" w:fill="CCEEFF"/>
          </w:tcPr>
          <w:p>
            <w:pPr>
              <w:spacing w:after="0"/>
              <w:rPr>
                <w:sz w:val="23"/>
                <w:szCs w:val="23"/>
                <w:color w:val="auto"/>
              </w:rPr>
            </w:pPr>
          </w:p>
        </w:tc>
        <w:tc>
          <w:tcPr>
            <w:tcW w:w="7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7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7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7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7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74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9"/>
        </w:trPr>
        <w:tc>
          <w:tcPr>
            <w:tcW w:w="5380" w:type="dxa"/>
            <w:vAlign w:val="bottom"/>
          </w:tcPr>
          <w:p>
            <w:pPr>
              <w:ind w:left="40"/>
              <w:spacing w:after="0"/>
              <w:rPr>
                <w:sz w:val="20"/>
                <w:szCs w:val="20"/>
                <w:color w:val="auto"/>
              </w:rPr>
            </w:pPr>
            <w:r>
              <w:rPr>
                <w:rFonts w:ascii="Arial" w:cs="Arial" w:eastAsia="Arial" w:hAnsi="Arial"/>
                <w:sz w:val="14"/>
                <w:szCs w:val="14"/>
                <w:color w:val="auto"/>
              </w:rPr>
              <w:t>Asset impairment</w:t>
            </w:r>
          </w:p>
        </w:tc>
        <w:tc>
          <w:tcPr>
            <w:tcW w:w="200" w:type="dxa"/>
            <w:vAlign w:val="bottom"/>
          </w:tcPr>
          <w:p>
            <w:pPr>
              <w:spacing w:after="0"/>
              <w:rPr>
                <w:sz w:val="23"/>
                <w:szCs w:val="23"/>
                <w:color w:val="auto"/>
              </w:rPr>
            </w:pPr>
          </w:p>
        </w:tc>
        <w:tc>
          <w:tcPr>
            <w:tcW w:w="86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rPr>
              <w:t>—</w:t>
            </w:r>
          </w:p>
        </w:tc>
        <w:tc>
          <w:tcPr>
            <w:tcW w:w="200" w:type="dxa"/>
            <w:vAlign w:val="bottom"/>
          </w:tcPr>
          <w:p>
            <w:pPr>
              <w:spacing w:after="0"/>
              <w:rPr>
                <w:sz w:val="23"/>
                <w:szCs w:val="23"/>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3"/>
                <w:szCs w:val="23"/>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3"/>
                <w:szCs w:val="23"/>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rPr>
              <w:t>—</w:t>
            </w:r>
          </w:p>
        </w:tc>
        <w:tc>
          <w:tcPr>
            <w:tcW w:w="200" w:type="dxa"/>
            <w:vAlign w:val="bottom"/>
          </w:tcPr>
          <w:p>
            <w:pPr>
              <w:spacing w:after="0"/>
              <w:rPr>
                <w:sz w:val="23"/>
                <w:szCs w:val="23"/>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(7,450)</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40" w:type="dxa"/>
            <w:vAlign w:val="bottom"/>
          </w:tcPr>
          <w:p>
            <w:pPr>
              <w:jc w:val="right"/>
              <w:ind w:right="28"/>
              <w:spacing w:after="0"/>
              <w:rPr>
                <w:sz w:val="20"/>
                <w:szCs w:val="20"/>
                <w:color w:val="auto"/>
              </w:rPr>
            </w:pPr>
            <w:r>
              <w:rPr>
                <w:rFonts w:ascii="Arial" w:cs="Arial" w:eastAsia="Arial" w:hAnsi="Arial"/>
                <w:sz w:val="14"/>
                <w:szCs w:val="14"/>
                <w:color w:val="auto"/>
              </w:rPr>
              <w:t>7,450</w:t>
            </w:r>
          </w:p>
        </w:tc>
        <w:tc>
          <w:tcPr>
            <w:tcW w:w="0" w:type="dxa"/>
            <w:vAlign w:val="bottom"/>
          </w:tcPr>
          <w:p>
            <w:pPr>
              <w:spacing w:after="0"/>
              <w:rPr>
                <w:sz w:val="1"/>
                <w:szCs w:val="1"/>
                <w:color w:val="auto"/>
              </w:rPr>
            </w:pPr>
          </w:p>
        </w:tc>
      </w:tr>
      <w:tr>
        <w:trPr>
          <w:trHeight w:val="271"/>
        </w:trPr>
        <w:tc>
          <w:tcPr>
            <w:tcW w:w="5380" w:type="dxa"/>
            <w:vAlign w:val="bottom"/>
            <w:shd w:val="clear" w:color="auto" w:fill="CCEEFF"/>
          </w:tcPr>
          <w:p>
            <w:pPr>
              <w:ind w:left="40"/>
              <w:spacing w:after="0"/>
              <w:rPr>
                <w:sz w:val="20"/>
                <w:szCs w:val="20"/>
                <w:color w:val="auto"/>
              </w:rPr>
            </w:pPr>
            <w:r>
              <w:rPr>
                <w:rFonts w:ascii="Arial" w:cs="Arial" w:eastAsia="Arial" w:hAnsi="Arial"/>
                <w:sz w:val="14"/>
                <w:szCs w:val="14"/>
                <w:color w:val="auto"/>
              </w:rPr>
              <w:t>Interest income</w:t>
            </w:r>
          </w:p>
        </w:tc>
        <w:tc>
          <w:tcPr>
            <w:tcW w:w="200" w:type="dxa"/>
            <w:vAlign w:val="bottom"/>
            <w:shd w:val="clear" w:color="auto" w:fill="CCEEFF"/>
          </w:tcPr>
          <w:p>
            <w:pPr>
              <w:spacing w:after="0"/>
              <w:rPr>
                <w:sz w:val="23"/>
                <w:szCs w:val="23"/>
                <w:color w:val="auto"/>
              </w:rPr>
            </w:pPr>
          </w:p>
        </w:tc>
        <w:tc>
          <w:tcPr>
            <w:tcW w:w="74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4</w:t>
            </w: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7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w:t>
            </w: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23"/>
                <w:szCs w:val="23"/>
                <w:color w:val="auto"/>
              </w:rPr>
            </w:pPr>
          </w:p>
        </w:tc>
        <w:tc>
          <w:tcPr>
            <w:tcW w:w="70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11</w:t>
            </w: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7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9</w:t>
            </w: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7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w:t>
            </w:r>
          </w:p>
        </w:tc>
        <w:tc>
          <w:tcPr>
            <w:tcW w:w="0" w:type="dxa"/>
            <w:vAlign w:val="bottom"/>
          </w:tcPr>
          <w:p>
            <w:pPr>
              <w:spacing w:after="0"/>
              <w:rPr>
                <w:sz w:val="1"/>
                <w:szCs w:val="1"/>
                <w:color w:val="auto"/>
              </w:rPr>
            </w:pPr>
          </w:p>
        </w:tc>
      </w:tr>
      <w:tr>
        <w:trPr>
          <w:trHeight w:val="269"/>
        </w:trPr>
        <w:tc>
          <w:tcPr>
            <w:tcW w:w="5380" w:type="dxa"/>
            <w:vAlign w:val="bottom"/>
          </w:tcPr>
          <w:p>
            <w:pPr>
              <w:ind w:left="40"/>
              <w:spacing w:after="0"/>
              <w:rPr>
                <w:sz w:val="20"/>
                <w:szCs w:val="20"/>
                <w:color w:val="auto"/>
              </w:rPr>
            </w:pPr>
            <w:r>
              <w:rPr>
                <w:rFonts w:ascii="Arial" w:cs="Arial" w:eastAsia="Arial" w:hAnsi="Arial"/>
                <w:sz w:val="14"/>
                <w:szCs w:val="14"/>
                <w:color w:val="auto"/>
              </w:rPr>
              <w:t>Other income</w:t>
            </w:r>
          </w:p>
        </w:tc>
        <w:tc>
          <w:tcPr>
            <w:tcW w:w="200" w:type="dxa"/>
            <w:vAlign w:val="bottom"/>
          </w:tcPr>
          <w:p>
            <w:pPr>
              <w:spacing w:after="0"/>
              <w:rPr>
                <w:sz w:val="23"/>
                <w:szCs w:val="23"/>
                <w:color w:val="auto"/>
              </w:rPr>
            </w:pPr>
          </w:p>
        </w:tc>
        <w:tc>
          <w:tcPr>
            <w:tcW w:w="740" w:type="dxa"/>
            <w:vAlign w:val="bottom"/>
          </w:tcPr>
          <w:p>
            <w:pPr>
              <w:jc w:val="right"/>
              <w:ind w:right="48"/>
              <w:spacing w:after="0"/>
              <w:rPr>
                <w:sz w:val="20"/>
                <w:szCs w:val="20"/>
                <w:color w:val="auto"/>
              </w:rPr>
            </w:pPr>
            <w:r>
              <w:rPr>
                <w:rFonts w:ascii="Arial" w:cs="Arial" w:eastAsia="Arial" w:hAnsi="Arial"/>
                <w:sz w:val="14"/>
                <w:szCs w:val="14"/>
                <w:b w:val="1"/>
                <w:bCs w:val="1"/>
                <w:color w:val="auto"/>
              </w:rPr>
              <w:t>1,093</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3"/>
                <w:szCs w:val="23"/>
                <w:color w:val="auto"/>
              </w:rPr>
            </w:pPr>
          </w:p>
        </w:tc>
        <w:tc>
          <w:tcPr>
            <w:tcW w:w="780" w:type="dxa"/>
            <w:vAlign w:val="bottom"/>
          </w:tcPr>
          <w:p>
            <w:pPr>
              <w:jc w:val="right"/>
              <w:ind w:right="48"/>
              <w:spacing w:after="0"/>
              <w:rPr>
                <w:sz w:val="20"/>
                <w:szCs w:val="20"/>
                <w:color w:val="auto"/>
              </w:rPr>
            </w:pPr>
            <w:r>
              <w:rPr>
                <w:rFonts w:ascii="Arial" w:cs="Arial" w:eastAsia="Arial" w:hAnsi="Arial"/>
                <w:sz w:val="14"/>
                <w:szCs w:val="14"/>
                <w:color w:val="auto"/>
              </w:rPr>
              <w:t>1,093</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00" w:type="dxa"/>
            <w:vAlign w:val="bottom"/>
          </w:tcPr>
          <w:p>
            <w:pPr>
              <w:jc w:val="right"/>
              <w:ind w:right="28"/>
              <w:spacing w:after="0"/>
              <w:rPr>
                <w:sz w:val="20"/>
                <w:szCs w:val="20"/>
                <w:color w:val="auto"/>
              </w:rPr>
            </w:pPr>
            <w:r>
              <w:rPr>
                <w:rFonts w:ascii="Arial" w:cs="Arial" w:eastAsia="Arial" w:hAnsi="Arial"/>
                <w:sz w:val="14"/>
                <w:szCs w:val="14"/>
                <w:b w:val="1"/>
                <w:bCs w:val="1"/>
                <w:color w:val="auto"/>
              </w:rPr>
              <w:t>1,093</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3"/>
                <w:szCs w:val="23"/>
                <w:color w:val="auto"/>
              </w:rPr>
            </w:pPr>
          </w:p>
        </w:tc>
        <w:tc>
          <w:tcPr>
            <w:tcW w:w="740" w:type="dxa"/>
            <w:vAlign w:val="bottom"/>
          </w:tcPr>
          <w:p>
            <w:pPr>
              <w:jc w:val="right"/>
              <w:ind w:right="28"/>
              <w:spacing w:after="0"/>
              <w:rPr>
                <w:sz w:val="20"/>
                <w:szCs w:val="20"/>
                <w:color w:val="auto"/>
              </w:rPr>
            </w:pPr>
            <w:r>
              <w:rPr>
                <w:rFonts w:ascii="Arial" w:cs="Arial" w:eastAsia="Arial" w:hAnsi="Arial"/>
                <w:sz w:val="14"/>
                <w:szCs w:val="14"/>
                <w:color w:val="auto"/>
              </w:rPr>
              <w:t>1,093</w:t>
            </w:r>
          </w:p>
        </w:tc>
        <w:tc>
          <w:tcPr>
            <w:tcW w:w="0" w:type="dxa"/>
            <w:vAlign w:val="bottom"/>
          </w:tcPr>
          <w:p>
            <w:pPr>
              <w:spacing w:after="0"/>
              <w:rPr>
                <w:sz w:val="1"/>
                <w:szCs w:val="1"/>
                <w:color w:val="auto"/>
              </w:rPr>
            </w:pPr>
          </w:p>
        </w:tc>
      </w:tr>
      <w:tr>
        <w:trPr>
          <w:trHeight w:val="250"/>
        </w:trPr>
        <w:tc>
          <w:tcPr>
            <w:tcW w:w="538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4"/>
                <w:szCs w:val="14"/>
                <w:b w:val="1"/>
                <w:bCs w:val="1"/>
                <w:color w:val="auto"/>
              </w:rPr>
              <w:t>Total other income (expense)</w:t>
            </w:r>
          </w:p>
        </w:tc>
        <w:tc>
          <w:tcPr>
            <w:tcW w:w="200" w:type="dxa"/>
            <w:vAlign w:val="bottom"/>
            <w:tcBorders>
              <w:top w:val="single" w:sz="8" w:color="auto"/>
              <w:bottom w:val="single" w:sz="8" w:color="auto"/>
            </w:tcBorders>
            <w:shd w:val="clear" w:color="auto" w:fill="CCEEFF"/>
          </w:tcPr>
          <w:p>
            <w:pPr>
              <w:spacing w:after="0"/>
              <w:rPr>
                <w:sz w:val="21"/>
                <w:szCs w:val="21"/>
                <w:color w:val="auto"/>
              </w:rPr>
            </w:pPr>
          </w:p>
        </w:tc>
        <w:tc>
          <w:tcPr>
            <w:tcW w:w="74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1,097</w:t>
            </w:r>
          </w:p>
        </w:tc>
        <w:tc>
          <w:tcPr>
            <w:tcW w:w="120" w:type="dxa"/>
            <w:vAlign w:val="bottom"/>
            <w:tcBorders>
              <w:top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spacing w:after="0"/>
              <w:rPr>
                <w:sz w:val="21"/>
                <w:szCs w:val="21"/>
                <w:color w:val="auto"/>
              </w:rPr>
            </w:pPr>
          </w:p>
        </w:tc>
        <w:tc>
          <w:tcPr>
            <w:tcW w:w="72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4</w:t>
            </w:r>
          </w:p>
        </w:tc>
        <w:tc>
          <w:tcPr>
            <w:tcW w:w="120" w:type="dxa"/>
            <w:vAlign w:val="bottom"/>
            <w:tcBorders>
              <w:top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spacing w:after="0"/>
              <w:rPr>
                <w:sz w:val="21"/>
                <w:szCs w:val="21"/>
                <w:color w:val="auto"/>
              </w:rPr>
            </w:pPr>
          </w:p>
        </w:tc>
        <w:tc>
          <w:tcPr>
            <w:tcW w:w="78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1,093</w:t>
            </w:r>
          </w:p>
        </w:tc>
        <w:tc>
          <w:tcPr>
            <w:tcW w:w="100" w:type="dxa"/>
            <w:vAlign w:val="bottom"/>
            <w:tcBorders>
              <w:top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spacing w:after="0"/>
              <w:rPr>
                <w:sz w:val="21"/>
                <w:szCs w:val="21"/>
                <w:color w:val="auto"/>
              </w:rPr>
            </w:pPr>
          </w:p>
        </w:tc>
        <w:tc>
          <w:tcPr>
            <w:tcW w:w="70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1,104</w:t>
            </w:r>
          </w:p>
        </w:tc>
        <w:tc>
          <w:tcPr>
            <w:tcW w:w="100" w:type="dxa"/>
            <w:vAlign w:val="bottom"/>
            <w:tcBorders>
              <w:top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spacing w:after="0"/>
              <w:rPr>
                <w:sz w:val="21"/>
                <w:szCs w:val="21"/>
                <w:color w:val="auto"/>
              </w:rPr>
            </w:pP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(7,441)</w:t>
            </w:r>
          </w:p>
        </w:tc>
        <w:tc>
          <w:tcPr>
            <w:tcW w:w="100" w:type="dxa"/>
            <w:vAlign w:val="bottom"/>
            <w:tcBorders>
              <w:top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spacing w:after="0"/>
              <w:rPr>
                <w:sz w:val="21"/>
                <w:szCs w:val="21"/>
                <w:color w:val="auto"/>
              </w:rPr>
            </w:pPr>
          </w:p>
        </w:tc>
        <w:tc>
          <w:tcPr>
            <w:tcW w:w="74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8,545</w:t>
            </w:r>
          </w:p>
        </w:tc>
        <w:tc>
          <w:tcPr>
            <w:tcW w:w="0" w:type="dxa"/>
            <w:vAlign w:val="bottom"/>
          </w:tcPr>
          <w:p>
            <w:pPr>
              <w:spacing w:after="0"/>
              <w:rPr>
                <w:sz w:val="1"/>
                <w:szCs w:val="1"/>
                <w:color w:val="auto"/>
              </w:rPr>
            </w:pPr>
          </w:p>
        </w:tc>
      </w:tr>
      <w:tr>
        <w:trPr>
          <w:trHeight w:val="250"/>
        </w:trPr>
        <w:tc>
          <w:tcPr>
            <w:tcW w:w="5380" w:type="dxa"/>
            <w:vAlign w:val="bottom"/>
          </w:tcPr>
          <w:p>
            <w:pPr>
              <w:ind w:left="40"/>
              <w:spacing w:after="0"/>
              <w:rPr>
                <w:sz w:val="20"/>
                <w:szCs w:val="20"/>
                <w:color w:val="auto"/>
              </w:rPr>
            </w:pPr>
            <w:r>
              <w:rPr>
                <w:rFonts w:ascii="Arial" w:cs="Arial" w:eastAsia="Arial" w:hAnsi="Arial"/>
                <w:sz w:val="14"/>
                <w:szCs w:val="14"/>
                <w:b w:val="1"/>
                <w:bCs w:val="1"/>
                <w:color w:val="auto"/>
              </w:rPr>
              <w:t>Loss before income taxes</w:t>
            </w:r>
          </w:p>
        </w:tc>
        <w:tc>
          <w:tcPr>
            <w:tcW w:w="200" w:type="dxa"/>
            <w:vAlign w:val="bottom"/>
          </w:tcPr>
          <w:p>
            <w:pPr>
              <w:spacing w:after="0"/>
              <w:rPr>
                <w:sz w:val="21"/>
                <w:szCs w:val="21"/>
                <w:color w:val="auto"/>
              </w:rPr>
            </w:pPr>
          </w:p>
        </w:tc>
        <w:tc>
          <w:tcPr>
            <w:tcW w:w="740" w:type="dxa"/>
            <w:vAlign w:val="bottom"/>
          </w:tcPr>
          <w:p>
            <w:pPr>
              <w:jc w:val="right"/>
              <w:ind w:right="8"/>
              <w:spacing w:after="0"/>
              <w:rPr>
                <w:sz w:val="20"/>
                <w:szCs w:val="20"/>
                <w:color w:val="auto"/>
              </w:rPr>
            </w:pPr>
            <w:r>
              <w:rPr>
                <w:rFonts w:ascii="Arial" w:cs="Arial" w:eastAsia="Arial" w:hAnsi="Arial"/>
                <w:sz w:val="14"/>
                <w:szCs w:val="14"/>
                <w:b w:val="1"/>
                <w:bCs w:val="1"/>
                <w:color w:val="auto"/>
              </w:rPr>
              <w:t>(442)</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(2,038)</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80" w:type="dxa"/>
            <w:vAlign w:val="bottom"/>
          </w:tcPr>
          <w:p>
            <w:pPr>
              <w:jc w:val="right"/>
              <w:ind w:right="48"/>
              <w:spacing w:after="0"/>
              <w:rPr>
                <w:sz w:val="20"/>
                <w:szCs w:val="20"/>
                <w:color w:val="auto"/>
              </w:rPr>
            </w:pPr>
            <w:r>
              <w:rPr>
                <w:rFonts w:ascii="Arial" w:cs="Arial" w:eastAsia="Arial" w:hAnsi="Arial"/>
                <w:sz w:val="14"/>
                <w:szCs w:val="14"/>
                <w:color w:val="auto"/>
              </w:rPr>
              <w:t>1,596</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4"/>
                <w:szCs w:val="14"/>
                <w:b w:val="1"/>
                <w:bCs w:val="1"/>
                <w:color w:val="auto"/>
              </w:rPr>
              <w:t>(8,222)</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(19,150)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40" w:type="dxa"/>
            <w:vAlign w:val="bottom"/>
          </w:tcPr>
          <w:p>
            <w:pPr>
              <w:jc w:val="right"/>
              <w:ind w:right="28"/>
              <w:spacing w:after="0"/>
              <w:rPr>
                <w:sz w:val="20"/>
                <w:szCs w:val="20"/>
                <w:color w:val="auto"/>
              </w:rPr>
            </w:pPr>
            <w:r>
              <w:rPr>
                <w:rFonts w:ascii="Arial" w:cs="Arial" w:eastAsia="Arial" w:hAnsi="Arial"/>
                <w:sz w:val="14"/>
                <w:szCs w:val="14"/>
                <w:color w:val="auto"/>
              </w:rPr>
              <w:t>10,928</w:t>
            </w:r>
          </w:p>
        </w:tc>
        <w:tc>
          <w:tcPr>
            <w:tcW w:w="0" w:type="dxa"/>
            <w:vAlign w:val="bottom"/>
          </w:tcPr>
          <w:p>
            <w:pPr>
              <w:spacing w:after="0"/>
              <w:rPr>
                <w:sz w:val="1"/>
                <w:szCs w:val="1"/>
                <w:color w:val="auto"/>
              </w:rPr>
            </w:pPr>
          </w:p>
        </w:tc>
      </w:tr>
      <w:tr>
        <w:trPr>
          <w:trHeight w:val="270"/>
        </w:trPr>
        <w:tc>
          <w:tcPr>
            <w:tcW w:w="5380" w:type="dxa"/>
            <w:vAlign w:val="bottom"/>
            <w:shd w:val="clear" w:color="auto" w:fill="CCEEFF"/>
          </w:tcPr>
          <w:p>
            <w:pPr>
              <w:ind w:left="40"/>
              <w:spacing w:after="0"/>
              <w:rPr>
                <w:sz w:val="20"/>
                <w:szCs w:val="20"/>
                <w:color w:val="auto"/>
              </w:rPr>
            </w:pPr>
            <w:r>
              <w:rPr>
                <w:rFonts w:ascii="Arial" w:cs="Arial" w:eastAsia="Arial" w:hAnsi="Arial"/>
                <w:sz w:val="14"/>
                <w:szCs w:val="14"/>
                <w:color w:val="auto"/>
              </w:rPr>
              <w:t>Benefit from income taxes</w:t>
            </w:r>
          </w:p>
        </w:tc>
        <w:tc>
          <w:tcPr>
            <w:tcW w:w="200" w:type="dxa"/>
            <w:vAlign w:val="bottom"/>
            <w:shd w:val="clear" w:color="auto" w:fill="CCEEFF"/>
          </w:tcPr>
          <w:p>
            <w:pPr>
              <w:spacing w:after="0"/>
              <w:rPr>
                <w:sz w:val="23"/>
                <w:szCs w:val="23"/>
                <w:color w:val="auto"/>
              </w:rPr>
            </w:pPr>
          </w:p>
        </w:tc>
        <w:tc>
          <w:tcPr>
            <w:tcW w:w="740" w:type="dxa"/>
            <w:vAlign w:val="bottom"/>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(5)</w:t>
            </w: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3"/>
                <w:szCs w:val="23"/>
                <w:color w:val="auto"/>
              </w:rPr>
            </w:pPr>
          </w:p>
        </w:tc>
        <w:tc>
          <w:tcPr>
            <w:tcW w:w="7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(5)</w:t>
            </w: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b w:val="1"/>
                <w:bCs w:val="1"/>
                <w:color w:val="auto"/>
              </w:rPr>
              <w:t>—</w:t>
            </w:r>
          </w:p>
        </w:tc>
        <w:tc>
          <w:tcPr>
            <w:tcW w:w="200" w:type="dxa"/>
            <w:vAlign w:val="bottom"/>
            <w:shd w:val="clear" w:color="auto" w:fill="CCEEFF"/>
          </w:tcPr>
          <w:p>
            <w:pPr>
              <w:spacing w:after="0"/>
              <w:rPr>
                <w:sz w:val="23"/>
                <w:szCs w:val="23"/>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3"/>
                <w:szCs w:val="23"/>
                <w:color w:val="auto"/>
              </w:rPr>
            </w:pPr>
          </w:p>
        </w:tc>
        <w:tc>
          <w:tcPr>
            <w:tcW w:w="7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50"/>
        </w:trPr>
        <w:tc>
          <w:tcPr>
            <w:tcW w:w="538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Net loss</w:t>
            </w:r>
          </w:p>
        </w:tc>
        <w:tc>
          <w:tcPr>
            <w:tcW w:w="200" w:type="dxa"/>
            <w:vAlign w:val="bottom"/>
            <w:tcBorders>
              <w:top w:val="single" w:sz="8" w:color="auto"/>
              <w:bottom w:val="single" w:sz="8" w:color="auto"/>
            </w:tcBorders>
          </w:tcPr>
          <w:p>
            <w:pPr>
              <w:spacing w:after="0"/>
              <w:rPr>
                <w:sz w:val="21"/>
                <w:szCs w:val="21"/>
                <w:color w:val="auto"/>
              </w:rPr>
            </w:pPr>
          </w:p>
        </w:tc>
        <w:tc>
          <w:tcPr>
            <w:tcW w:w="74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(437)</w:t>
            </w:r>
          </w:p>
        </w:tc>
        <w:tc>
          <w:tcPr>
            <w:tcW w:w="120" w:type="dxa"/>
            <w:vAlign w:val="bottom"/>
            <w:tcBorders>
              <w:bottom w:val="single" w:sz="8" w:color="CCEEFF"/>
            </w:tcBorders>
          </w:tcPr>
          <w:p>
            <w:pPr>
              <w:spacing w:after="0"/>
              <w:rPr>
                <w:sz w:val="21"/>
                <w:szCs w:val="21"/>
                <w:color w:val="auto"/>
              </w:rPr>
            </w:pPr>
          </w:p>
        </w:tc>
        <w:tc>
          <w:tcPr>
            <w:tcW w:w="200" w:type="dxa"/>
            <w:vAlign w:val="bottom"/>
            <w:tcBorders>
              <w:top w:val="single" w:sz="8" w:color="auto"/>
              <w:bottom w:val="single" w:sz="8" w:color="auto"/>
            </w:tcBorders>
          </w:tcPr>
          <w:p>
            <w:pPr>
              <w:spacing w:after="0"/>
              <w:rPr>
                <w:sz w:val="21"/>
                <w:szCs w:val="21"/>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(2,038)</w:t>
            </w:r>
          </w:p>
        </w:tc>
        <w:tc>
          <w:tcPr>
            <w:tcW w:w="120" w:type="dxa"/>
            <w:vAlign w:val="bottom"/>
            <w:tcBorders>
              <w:bottom w:val="single" w:sz="8" w:color="CCEEFF"/>
            </w:tcBorders>
          </w:tcPr>
          <w:p>
            <w:pPr>
              <w:spacing w:after="0"/>
              <w:rPr>
                <w:sz w:val="21"/>
                <w:szCs w:val="21"/>
                <w:color w:val="auto"/>
              </w:rPr>
            </w:pPr>
          </w:p>
        </w:tc>
        <w:tc>
          <w:tcPr>
            <w:tcW w:w="160" w:type="dxa"/>
            <w:vAlign w:val="bottom"/>
            <w:tcBorders>
              <w:top w:val="single" w:sz="8" w:color="auto"/>
              <w:bottom w:val="single" w:sz="8" w:color="auto"/>
            </w:tcBorders>
          </w:tcPr>
          <w:p>
            <w:pPr>
              <w:spacing w:after="0"/>
              <w:rPr>
                <w:sz w:val="21"/>
                <w:szCs w:val="21"/>
                <w:color w:val="auto"/>
              </w:rPr>
            </w:pPr>
          </w:p>
        </w:tc>
        <w:tc>
          <w:tcPr>
            <w:tcW w:w="78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1,601</w:t>
            </w:r>
          </w:p>
        </w:tc>
        <w:tc>
          <w:tcPr>
            <w:tcW w:w="100" w:type="dxa"/>
            <w:vAlign w:val="bottom"/>
            <w:tcBorders>
              <w:bottom w:val="single" w:sz="8" w:color="CCEEFF"/>
            </w:tcBorders>
          </w:tcPr>
          <w:p>
            <w:pPr>
              <w:spacing w:after="0"/>
              <w:rPr>
                <w:sz w:val="21"/>
                <w:szCs w:val="21"/>
                <w:color w:val="auto"/>
              </w:rPr>
            </w:pPr>
          </w:p>
        </w:tc>
        <w:tc>
          <w:tcPr>
            <w:tcW w:w="200" w:type="dxa"/>
            <w:vAlign w:val="bottom"/>
            <w:tcBorders>
              <w:top w:val="single" w:sz="8" w:color="auto"/>
              <w:bottom w:val="single" w:sz="8" w:color="auto"/>
            </w:tcBorders>
          </w:tcPr>
          <w:p>
            <w:pPr>
              <w:spacing w:after="0"/>
              <w:rPr>
                <w:sz w:val="21"/>
                <w:szCs w:val="21"/>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(8,222)</w:t>
            </w:r>
          </w:p>
        </w:tc>
        <w:tc>
          <w:tcPr>
            <w:tcW w:w="100" w:type="dxa"/>
            <w:vAlign w:val="bottom"/>
            <w:tcBorders>
              <w:bottom w:val="single" w:sz="8" w:color="CCEEFF"/>
            </w:tcBorders>
          </w:tcPr>
          <w:p>
            <w:pPr>
              <w:spacing w:after="0"/>
              <w:rPr>
                <w:sz w:val="21"/>
                <w:szCs w:val="21"/>
                <w:color w:val="auto"/>
              </w:rPr>
            </w:pPr>
          </w:p>
        </w:tc>
        <w:tc>
          <w:tcPr>
            <w:tcW w:w="200" w:type="dxa"/>
            <w:vAlign w:val="bottom"/>
            <w:tcBorders>
              <w:top w:val="single" w:sz="8" w:color="auto"/>
              <w:bottom w:val="single" w:sz="8" w:color="auto"/>
            </w:tcBorders>
          </w:tcPr>
          <w:p>
            <w:pPr>
              <w:spacing w:after="0"/>
              <w:rPr>
                <w:sz w:val="21"/>
                <w:szCs w:val="21"/>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(19,150)</w:t>
            </w:r>
          </w:p>
        </w:tc>
        <w:tc>
          <w:tcPr>
            <w:tcW w:w="100" w:type="dxa"/>
            <w:vAlign w:val="bottom"/>
            <w:tcBorders>
              <w:bottom w:val="single" w:sz="8" w:color="CCEEFF"/>
            </w:tcBorders>
          </w:tcPr>
          <w:p>
            <w:pPr>
              <w:spacing w:after="0"/>
              <w:rPr>
                <w:sz w:val="21"/>
                <w:szCs w:val="21"/>
                <w:color w:val="auto"/>
              </w:rPr>
            </w:pPr>
          </w:p>
        </w:tc>
        <w:tc>
          <w:tcPr>
            <w:tcW w:w="160" w:type="dxa"/>
            <w:vAlign w:val="bottom"/>
            <w:tcBorders>
              <w:top w:val="single" w:sz="8" w:color="auto"/>
              <w:bottom w:val="single" w:sz="8" w:color="auto"/>
            </w:tcBorders>
          </w:tcPr>
          <w:p>
            <w:pPr>
              <w:spacing w:after="0"/>
              <w:rPr>
                <w:sz w:val="21"/>
                <w:szCs w:val="21"/>
                <w:color w:val="auto"/>
              </w:rPr>
            </w:pPr>
          </w:p>
        </w:tc>
        <w:tc>
          <w:tcPr>
            <w:tcW w:w="74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10,928</w:t>
            </w:r>
          </w:p>
        </w:tc>
        <w:tc>
          <w:tcPr>
            <w:tcW w:w="0" w:type="dxa"/>
            <w:vAlign w:val="bottom"/>
          </w:tcPr>
          <w:p>
            <w:pPr>
              <w:spacing w:after="0"/>
              <w:rPr>
                <w:sz w:val="1"/>
                <w:szCs w:val="1"/>
                <w:color w:val="auto"/>
              </w:rPr>
            </w:pPr>
          </w:p>
        </w:tc>
      </w:tr>
      <w:tr>
        <w:trPr>
          <w:trHeight w:val="250"/>
        </w:trPr>
        <w:tc>
          <w:tcPr>
            <w:tcW w:w="5380" w:type="dxa"/>
            <w:vAlign w:val="bottom"/>
            <w:shd w:val="clear" w:color="auto" w:fill="CCEEFF"/>
          </w:tcPr>
          <w:p>
            <w:pPr>
              <w:ind w:left="40"/>
              <w:spacing w:after="0"/>
              <w:rPr>
                <w:sz w:val="20"/>
                <w:szCs w:val="20"/>
                <w:color w:val="auto"/>
              </w:rPr>
            </w:pPr>
            <w:r>
              <w:rPr>
                <w:rFonts w:ascii="Arial" w:cs="Arial" w:eastAsia="Arial" w:hAnsi="Arial"/>
                <w:sz w:val="14"/>
                <w:szCs w:val="14"/>
                <w:color w:val="auto"/>
              </w:rPr>
              <w:t>Less: Net loss attributable to non-controlling interest in consolidated subsidiaries</w:t>
            </w:r>
          </w:p>
        </w:tc>
        <w:tc>
          <w:tcPr>
            <w:tcW w:w="200" w:type="dxa"/>
            <w:vAlign w:val="bottom"/>
            <w:tcBorders>
              <w:bottom w:val="single" w:sz="8" w:color="auto"/>
            </w:tcBorders>
            <w:shd w:val="clear" w:color="auto" w:fill="CCEEFF"/>
          </w:tcPr>
          <w:p>
            <w:pPr>
              <w:spacing w:after="0"/>
              <w:rPr>
                <w:sz w:val="21"/>
                <w:szCs w:val="21"/>
                <w:color w:val="auto"/>
              </w:rPr>
            </w:pPr>
          </w:p>
        </w:tc>
        <w:tc>
          <w:tcPr>
            <w:tcW w:w="74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(62)</w:t>
            </w:r>
          </w:p>
        </w:tc>
        <w:tc>
          <w:tcPr>
            <w:tcW w:w="120" w:type="dxa"/>
            <w:vAlign w:val="bottom"/>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(131)</w:t>
            </w:r>
          </w:p>
        </w:tc>
        <w:tc>
          <w:tcPr>
            <w:tcW w:w="120" w:type="dxa"/>
            <w:vAlign w:val="bottom"/>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78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69</w:t>
            </w:r>
          </w:p>
        </w:tc>
        <w:tc>
          <w:tcPr>
            <w:tcW w:w="100" w:type="dxa"/>
            <w:vAlign w:val="bottom"/>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(526)</w:t>
            </w:r>
          </w:p>
        </w:tc>
        <w:tc>
          <w:tcPr>
            <w:tcW w:w="100" w:type="dxa"/>
            <w:vAlign w:val="bottom"/>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(4,289)</w:t>
            </w:r>
          </w:p>
        </w:tc>
        <w:tc>
          <w:tcPr>
            <w:tcW w:w="100" w:type="dxa"/>
            <w:vAlign w:val="bottom"/>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7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3,763</w:t>
            </w:r>
          </w:p>
        </w:tc>
        <w:tc>
          <w:tcPr>
            <w:tcW w:w="0" w:type="dxa"/>
            <w:vAlign w:val="bottom"/>
          </w:tcPr>
          <w:p>
            <w:pPr>
              <w:spacing w:after="0"/>
              <w:rPr>
                <w:sz w:val="1"/>
                <w:szCs w:val="1"/>
                <w:color w:val="auto"/>
              </w:rPr>
            </w:pPr>
          </w:p>
        </w:tc>
      </w:tr>
      <w:tr>
        <w:trPr>
          <w:trHeight w:val="250"/>
        </w:trPr>
        <w:tc>
          <w:tcPr>
            <w:tcW w:w="538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Net loss attributable to shareholders</w:t>
            </w:r>
          </w:p>
        </w:tc>
        <w:tc>
          <w:tcPr>
            <w:tcW w:w="2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w:t>
            </w:r>
          </w:p>
        </w:tc>
        <w:tc>
          <w:tcPr>
            <w:tcW w:w="7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(375)</w:t>
            </w:r>
          </w:p>
        </w:tc>
        <w:tc>
          <w:tcPr>
            <w:tcW w:w="12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(1,907)</w:t>
            </w:r>
          </w:p>
        </w:tc>
        <w:tc>
          <w:tcPr>
            <w:tcW w:w="12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1,532</w:t>
            </w:r>
          </w:p>
        </w:tc>
        <w:tc>
          <w:tcPr>
            <w:tcW w:w="10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(7,696)</w:t>
            </w:r>
          </w:p>
        </w:tc>
        <w:tc>
          <w:tcPr>
            <w:tcW w:w="10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(14,861)</w:t>
            </w:r>
          </w:p>
        </w:tc>
        <w:tc>
          <w:tcPr>
            <w:tcW w:w="10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7,165</w:t>
            </w:r>
          </w:p>
        </w:tc>
        <w:tc>
          <w:tcPr>
            <w:tcW w:w="0" w:type="dxa"/>
            <w:vAlign w:val="bottom"/>
          </w:tcPr>
          <w:p>
            <w:pPr>
              <w:spacing w:after="0"/>
              <w:rPr>
                <w:sz w:val="1"/>
                <w:szCs w:val="1"/>
                <w:color w:val="auto"/>
              </w:rPr>
            </w:pPr>
          </w:p>
        </w:tc>
      </w:tr>
      <w:tr>
        <w:trPr>
          <w:trHeight w:val="251"/>
        </w:trPr>
        <w:tc>
          <w:tcPr>
            <w:tcW w:w="5380" w:type="dxa"/>
            <w:vAlign w:val="bottom"/>
            <w:shd w:val="clear" w:color="auto" w:fill="CCEEFF"/>
          </w:tcPr>
          <w:p>
            <w:pPr>
              <w:ind w:left="40"/>
              <w:spacing w:after="0"/>
              <w:rPr>
                <w:sz w:val="20"/>
                <w:szCs w:val="20"/>
                <w:color w:val="auto"/>
              </w:rPr>
            </w:pPr>
            <w:r>
              <w:rPr>
                <w:rFonts w:ascii="Arial" w:cs="Arial" w:eastAsia="Arial" w:hAnsi="Arial"/>
                <w:sz w:val="14"/>
                <w:szCs w:val="14"/>
                <w:color w:val="auto"/>
              </w:rPr>
              <w:t>Add: Benefit from income taxes</w:t>
            </w:r>
          </w:p>
        </w:tc>
        <w:tc>
          <w:tcPr>
            <w:tcW w:w="200" w:type="dxa"/>
            <w:vAlign w:val="bottom"/>
            <w:shd w:val="clear" w:color="auto" w:fill="CCEEFF"/>
          </w:tcPr>
          <w:p>
            <w:pPr>
              <w:spacing w:after="0"/>
              <w:rPr>
                <w:sz w:val="21"/>
                <w:szCs w:val="21"/>
                <w:color w:val="auto"/>
              </w:rPr>
            </w:pPr>
          </w:p>
        </w:tc>
        <w:tc>
          <w:tcPr>
            <w:tcW w:w="740" w:type="dxa"/>
            <w:vAlign w:val="bottom"/>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(5)</w:t>
            </w:r>
          </w:p>
        </w:tc>
        <w:tc>
          <w:tcPr>
            <w:tcW w:w="1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1"/>
                <w:szCs w:val="21"/>
                <w:color w:val="auto"/>
              </w:rPr>
            </w:pPr>
          </w:p>
        </w:tc>
        <w:tc>
          <w:tcPr>
            <w:tcW w:w="7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(5)</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b w:val="1"/>
                <w:bCs w:val="1"/>
                <w:color w:val="auto"/>
              </w:rPr>
              <w:t>—</w:t>
            </w:r>
          </w:p>
        </w:tc>
        <w:tc>
          <w:tcPr>
            <w:tcW w:w="200" w:type="dxa"/>
            <w:vAlign w:val="bottom"/>
            <w:shd w:val="clear" w:color="auto" w:fill="CCEEFF"/>
          </w:tcPr>
          <w:p>
            <w:pPr>
              <w:spacing w:after="0"/>
              <w:rPr>
                <w:sz w:val="21"/>
                <w:szCs w:val="21"/>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1"/>
                <w:szCs w:val="21"/>
                <w:color w:val="auto"/>
              </w:rPr>
            </w:pPr>
          </w:p>
        </w:tc>
        <w:tc>
          <w:tcPr>
            <w:tcW w:w="7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69"/>
        </w:trPr>
        <w:tc>
          <w:tcPr>
            <w:tcW w:w="5380" w:type="dxa"/>
            <w:vAlign w:val="bottom"/>
          </w:tcPr>
          <w:p>
            <w:pPr>
              <w:ind w:left="40"/>
              <w:spacing w:after="0"/>
              <w:rPr>
                <w:sz w:val="20"/>
                <w:szCs w:val="20"/>
                <w:color w:val="auto"/>
              </w:rPr>
            </w:pPr>
            <w:r>
              <w:rPr>
                <w:rFonts w:ascii="Arial" w:cs="Arial" w:eastAsia="Arial" w:hAnsi="Arial"/>
                <w:sz w:val="14"/>
                <w:szCs w:val="14"/>
                <w:color w:val="auto"/>
              </w:rPr>
              <w:t>Add: Equity-based compensation expense</w:t>
            </w:r>
          </w:p>
        </w:tc>
        <w:tc>
          <w:tcPr>
            <w:tcW w:w="200" w:type="dxa"/>
            <w:vAlign w:val="bottom"/>
          </w:tcPr>
          <w:p>
            <w:pPr>
              <w:spacing w:after="0"/>
              <w:rPr>
                <w:sz w:val="23"/>
                <w:szCs w:val="23"/>
                <w:color w:val="auto"/>
              </w:rPr>
            </w:pPr>
          </w:p>
        </w:tc>
        <w:tc>
          <w:tcPr>
            <w:tcW w:w="86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rPr>
              <w:t>—</w:t>
            </w:r>
          </w:p>
        </w:tc>
        <w:tc>
          <w:tcPr>
            <w:tcW w:w="200" w:type="dxa"/>
            <w:vAlign w:val="bottom"/>
          </w:tcPr>
          <w:p>
            <w:pPr>
              <w:spacing w:after="0"/>
              <w:rPr>
                <w:sz w:val="23"/>
                <w:szCs w:val="23"/>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3"/>
                <w:szCs w:val="23"/>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3"/>
                <w:szCs w:val="23"/>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rPr>
              <w:t>—</w:t>
            </w:r>
          </w:p>
        </w:tc>
        <w:tc>
          <w:tcPr>
            <w:tcW w:w="200" w:type="dxa"/>
            <w:vAlign w:val="bottom"/>
          </w:tcPr>
          <w:p>
            <w:pPr>
              <w:spacing w:after="0"/>
              <w:rPr>
                <w:sz w:val="23"/>
                <w:szCs w:val="23"/>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3"/>
                <w:szCs w:val="23"/>
                <w:color w:val="auto"/>
              </w:rPr>
            </w:pPr>
          </w:p>
        </w:tc>
        <w:tc>
          <w:tcPr>
            <w:tcW w:w="74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1"/>
        </w:trPr>
        <w:tc>
          <w:tcPr>
            <w:tcW w:w="5380" w:type="dxa"/>
            <w:vAlign w:val="bottom"/>
            <w:shd w:val="clear" w:color="auto" w:fill="CCEEFF"/>
          </w:tcPr>
          <w:p>
            <w:pPr>
              <w:ind w:left="40"/>
              <w:spacing w:after="0"/>
              <w:rPr>
                <w:sz w:val="20"/>
                <w:szCs w:val="20"/>
                <w:color w:val="auto"/>
              </w:rPr>
            </w:pPr>
            <w:r>
              <w:rPr>
                <w:rFonts w:ascii="Arial" w:cs="Arial" w:eastAsia="Arial" w:hAnsi="Arial"/>
                <w:sz w:val="14"/>
                <w:szCs w:val="14"/>
                <w:color w:val="auto"/>
              </w:rPr>
              <w:t>Add: Acquisition and transaction expenses</w:t>
            </w:r>
          </w:p>
        </w:tc>
        <w:tc>
          <w:tcPr>
            <w:tcW w:w="200" w:type="dxa"/>
            <w:vAlign w:val="bottom"/>
            <w:shd w:val="clear" w:color="auto" w:fill="CCEEFF"/>
          </w:tcPr>
          <w:p>
            <w:pPr>
              <w:spacing w:after="0"/>
              <w:rPr>
                <w:sz w:val="23"/>
                <w:szCs w:val="23"/>
                <w:color w:val="auto"/>
              </w:rPr>
            </w:pPr>
          </w:p>
        </w:tc>
        <w:tc>
          <w:tcPr>
            <w:tcW w:w="86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b w:val="1"/>
                <w:bCs w:val="1"/>
                <w:color w:val="auto"/>
              </w:rPr>
              <w:t>—</w:t>
            </w:r>
          </w:p>
        </w:tc>
        <w:tc>
          <w:tcPr>
            <w:tcW w:w="200" w:type="dxa"/>
            <w:vAlign w:val="bottom"/>
            <w:shd w:val="clear" w:color="auto" w:fill="CCEEFF"/>
          </w:tcPr>
          <w:p>
            <w:pPr>
              <w:spacing w:after="0"/>
              <w:rPr>
                <w:sz w:val="23"/>
                <w:szCs w:val="23"/>
                <w:color w:val="auto"/>
              </w:rPr>
            </w:pP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3"/>
                <w:szCs w:val="23"/>
                <w:color w:val="auto"/>
              </w:rPr>
            </w:pP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23"/>
                <w:szCs w:val="23"/>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b w:val="1"/>
                <w:bCs w:val="1"/>
                <w:color w:val="auto"/>
              </w:rPr>
              <w:t>—</w:t>
            </w:r>
          </w:p>
        </w:tc>
        <w:tc>
          <w:tcPr>
            <w:tcW w:w="200" w:type="dxa"/>
            <w:vAlign w:val="bottom"/>
            <w:shd w:val="clear" w:color="auto" w:fill="CCEEFF"/>
          </w:tcPr>
          <w:p>
            <w:pPr>
              <w:spacing w:after="0"/>
              <w:rPr>
                <w:sz w:val="23"/>
                <w:szCs w:val="23"/>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3"/>
                <w:szCs w:val="23"/>
                <w:color w:val="auto"/>
              </w:rPr>
            </w:pPr>
          </w:p>
        </w:tc>
        <w:tc>
          <w:tcPr>
            <w:tcW w:w="7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6"/>
        </w:trPr>
        <w:tc>
          <w:tcPr>
            <w:tcW w:w="5380" w:type="dxa"/>
            <w:vAlign w:val="bottom"/>
          </w:tcPr>
          <w:p>
            <w:pPr>
              <w:ind w:left="40"/>
              <w:spacing w:after="0"/>
              <w:rPr>
                <w:sz w:val="20"/>
                <w:szCs w:val="20"/>
                <w:color w:val="auto"/>
              </w:rPr>
            </w:pPr>
            <w:r>
              <w:rPr>
                <w:rFonts w:ascii="Arial" w:cs="Arial" w:eastAsia="Arial" w:hAnsi="Arial"/>
                <w:sz w:val="14"/>
                <w:szCs w:val="14"/>
                <w:color w:val="auto"/>
              </w:rPr>
              <w:t>Add: Losses on the modification or extinguishment of debt and capital lease</w:t>
            </w:r>
          </w:p>
        </w:tc>
        <w:tc>
          <w:tcPr>
            <w:tcW w:w="200" w:type="dxa"/>
            <w:vAlign w:val="bottom"/>
          </w:tcPr>
          <w:p>
            <w:pPr>
              <w:spacing w:after="0"/>
              <w:rPr>
                <w:sz w:val="15"/>
                <w:szCs w:val="15"/>
                <w:color w:val="auto"/>
              </w:rPr>
            </w:pPr>
          </w:p>
        </w:tc>
        <w:tc>
          <w:tcPr>
            <w:tcW w:w="860" w:type="dxa"/>
            <w:vAlign w:val="bottom"/>
            <w:gridSpan w:val="2"/>
            <w:vMerge w:val="restart"/>
          </w:tcPr>
          <w:p>
            <w:pPr>
              <w:jc w:val="right"/>
              <w:ind w:right="240"/>
              <w:spacing w:after="0"/>
              <w:rPr>
                <w:sz w:val="20"/>
                <w:szCs w:val="20"/>
                <w:color w:val="auto"/>
              </w:rPr>
            </w:pPr>
            <w:r>
              <w:rPr>
                <w:rFonts w:ascii="Arial" w:cs="Arial" w:eastAsia="Arial" w:hAnsi="Arial"/>
                <w:sz w:val="14"/>
                <w:szCs w:val="14"/>
                <w:b w:val="1"/>
                <w:bCs w:val="1"/>
                <w:color w:val="auto"/>
              </w:rPr>
              <w:t>—</w:t>
            </w:r>
          </w:p>
        </w:tc>
        <w:tc>
          <w:tcPr>
            <w:tcW w:w="2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0" w:type="dxa"/>
            <w:vAlign w:val="bottom"/>
            <w:gridSpan w:val="2"/>
            <w:vMerge w:val="restart"/>
          </w:tcPr>
          <w:p>
            <w:pPr>
              <w:jc w:val="right"/>
              <w:ind w:right="200"/>
              <w:spacing w:after="0"/>
              <w:rPr>
                <w:sz w:val="20"/>
                <w:szCs w:val="20"/>
                <w:color w:val="auto"/>
              </w:rPr>
            </w:pPr>
            <w:r>
              <w:rPr>
                <w:rFonts w:ascii="Arial" w:cs="Arial" w:eastAsia="Arial" w:hAnsi="Arial"/>
                <w:sz w:val="14"/>
                <w:szCs w:val="14"/>
                <w:b w:val="1"/>
                <w:bCs w:val="1"/>
                <w:color w:val="auto"/>
              </w:rPr>
              <w:t>—</w:t>
            </w:r>
          </w:p>
        </w:tc>
        <w:tc>
          <w:tcPr>
            <w:tcW w:w="2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1"/>
        </w:trPr>
        <w:tc>
          <w:tcPr>
            <w:tcW w:w="5380" w:type="dxa"/>
            <w:vAlign w:val="bottom"/>
          </w:tcPr>
          <w:p>
            <w:pPr>
              <w:ind w:left="40"/>
              <w:spacing w:after="0"/>
              <w:rPr>
                <w:sz w:val="20"/>
                <w:szCs w:val="20"/>
                <w:color w:val="auto"/>
              </w:rPr>
            </w:pPr>
            <w:r>
              <w:rPr>
                <w:rFonts w:ascii="Arial" w:cs="Arial" w:eastAsia="Arial" w:hAnsi="Arial"/>
                <w:sz w:val="14"/>
                <w:szCs w:val="14"/>
                <w:color w:val="auto"/>
              </w:rPr>
              <w:t>obligations</w:t>
            </w:r>
          </w:p>
        </w:tc>
        <w:tc>
          <w:tcPr>
            <w:tcW w:w="200" w:type="dxa"/>
            <w:vAlign w:val="bottom"/>
          </w:tcPr>
          <w:p>
            <w:pPr>
              <w:spacing w:after="0"/>
              <w:rPr>
                <w:sz w:val="17"/>
                <w:szCs w:val="17"/>
                <w:color w:val="auto"/>
              </w:rPr>
            </w:pPr>
          </w:p>
        </w:tc>
        <w:tc>
          <w:tcPr>
            <w:tcW w:w="860" w:type="dxa"/>
            <w:vAlign w:val="bottom"/>
            <w:gridSpan w:val="2"/>
            <w:vMerge w:val="continue"/>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7"/>
                <w:szCs w:val="17"/>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7"/>
                <w:szCs w:val="17"/>
                <w:color w:val="auto"/>
              </w:rPr>
            </w:pPr>
          </w:p>
        </w:tc>
        <w:tc>
          <w:tcPr>
            <w:tcW w:w="800" w:type="dxa"/>
            <w:vAlign w:val="bottom"/>
            <w:gridSpan w:val="2"/>
            <w:vMerge w:val="continue"/>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7"/>
                <w:szCs w:val="17"/>
                <w:color w:val="auto"/>
              </w:rPr>
            </w:pPr>
          </w:p>
        </w:tc>
        <w:tc>
          <w:tcPr>
            <w:tcW w:w="74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1"/>
        </w:trPr>
        <w:tc>
          <w:tcPr>
            <w:tcW w:w="5380" w:type="dxa"/>
            <w:vAlign w:val="bottom"/>
            <w:shd w:val="clear" w:color="auto" w:fill="CCEEFF"/>
          </w:tcPr>
          <w:p>
            <w:pPr>
              <w:ind w:left="40"/>
              <w:spacing w:after="0"/>
              <w:rPr>
                <w:sz w:val="20"/>
                <w:szCs w:val="20"/>
                <w:color w:val="auto"/>
              </w:rPr>
            </w:pPr>
            <w:r>
              <w:rPr>
                <w:rFonts w:ascii="Arial" w:cs="Arial" w:eastAsia="Arial" w:hAnsi="Arial"/>
                <w:sz w:val="14"/>
                <w:szCs w:val="14"/>
                <w:color w:val="auto"/>
              </w:rPr>
              <w:t>Add: Changes in fair value of non-hedge derivative instruments</w:t>
            </w:r>
          </w:p>
        </w:tc>
        <w:tc>
          <w:tcPr>
            <w:tcW w:w="200" w:type="dxa"/>
            <w:vAlign w:val="bottom"/>
            <w:shd w:val="clear" w:color="auto" w:fill="CCEEFF"/>
          </w:tcPr>
          <w:p>
            <w:pPr>
              <w:spacing w:after="0"/>
              <w:rPr>
                <w:sz w:val="23"/>
                <w:szCs w:val="23"/>
                <w:color w:val="auto"/>
              </w:rPr>
            </w:pPr>
          </w:p>
        </w:tc>
        <w:tc>
          <w:tcPr>
            <w:tcW w:w="86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b w:val="1"/>
                <w:bCs w:val="1"/>
                <w:color w:val="auto"/>
              </w:rPr>
              <w:t>—</w:t>
            </w:r>
          </w:p>
        </w:tc>
        <w:tc>
          <w:tcPr>
            <w:tcW w:w="200" w:type="dxa"/>
            <w:vAlign w:val="bottom"/>
            <w:shd w:val="clear" w:color="auto" w:fill="CCEEFF"/>
          </w:tcPr>
          <w:p>
            <w:pPr>
              <w:spacing w:after="0"/>
              <w:rPr>
                <w:sz w:val="23"/>
                <w:szCs w:val="23"/>
                <w:color w:val="auto"/>
              </w:rPr>
            </w:pP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3"/>
                <w:szCs w:val="23"/>
                <w:color w:val="auto"/>
              </w:rPr>
            </w:pP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23"/>
                <w:szCs w:val="23"/>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b w:val="1"/>
                <w:bCs w:val="1"/>
                <w:color w:val="auto"/>
              </w:rPr>
              <w:t>—</w:t>
            </w:r>
          </w:p>
        </w:tc>
        <w:tc>
          <w:tcPr>
            <w:tcW w:w="200" w:type="dxa"/>
            <w:vAlign w:val="bottom"/>
            <w:shd w:val="clear" w:color="auto" w:fill="CCEEFF"/>
          </w:tcPr>
          <w:p>
            <w:pPr>
              <w:spacing w:after="0"/>
              <w:rPr>
                <w:sz w:val="23"/>
                <w:szCs w:val="23"/>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3"/>
                <w:szCs w:val="23"/>
                <w:color w:val="auto"/>
              </w:rPr>
            </w:pPr>
          </w:p>
        </w:tc>
        <w:tc>
          <w:tcPr>
            <w:tcW w:w="7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69"/>
        </w:trPr>
        <w:tc>
          <w:tcPr>
            <w:tcW w:w="5380" w:type="dxa"/>
            <w:vAlign w:val="bottom"/>
          </w:tcPr>
          <w:p>
            <w:pPr>
              <w:ind w:left="40"/>
              <w:spacing w:after="0"/>
              <w:rPr>
                <w:sz w:val="20"/>
                <w:szCs w:val="20"/>
                <w:color w:val="auto"/>
              </w:rPr>
            </w:pPr>
            <w:r>
              <w:rPr>
                <w:rFonts w:ascii="Arial" w:cs="Arial" w:eastAsia="Arial" w:hAnsi="Arial"/>
                <w:sz w:val="14"/>
                <w:szCs w:val="14"/>
                <w:color w:val="auto"/>
              </w:rPr>
              <w:t>Add: Asset impairment charges</w:t>
            </w:r>
          </w:p>
        </w:tc>
        <w:tc>
          <w:tcPr>
            <w:tcW w:w="200" w:type="dxa"/>
            <w:vAlign w:val="bottom"/>
          </w:tcPr>
          <w:p>
            <w:pPr>
              <w:spacing w:after="0"/>
              <w:rPr>
                <w:sz w:val="23"/>
                <w:szCs w:val="23"/>
                <w:color w:val="auto"/>
              </w:rPr>
            </w:pPr>
          </w:p>
        </w:tc>
        <w:tc>
          <w:tcPr>
            <w:tcW w:w="86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rPr>
              <w:t>—</w:t>
            </w:r>
          </w:p>
        </w:tc>
        <w:tc>
          <w:tcPr>
            <w:tcW w:w="200" w:type="dxa"/>
            <w:vAlign w:val="bottom"/>
          </w:tcPr>
          <w:p>
            <w:pPr>
              <w:spacing w:after="0"/>
              <w:rPr>
                <w:sz w:val="23"/>
                <w:szCs w:val="23"/>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3"/>
                <w:szCs w:val="23"/>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3"/>
                <w:szCs w:val="23"/>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rPr>
              <w:t>—</w:t>
            </w:r>
          </w:p>
        </w:tc>
        <w:tc>
          <w:tcPr>
            <w:tcW w:w="200" w:type="dxa"/>
            <w:vAlign w:val="bottom"/>
          </w:tcPr>
          <w:p>
            <w:pPr>
              <w:spacing w:after="0"/>
              <w:rPr>
                <w:sz w:val="23"/>
                <w:szCs w:val="23"/>
                <w:color w:val="auto"/>
              </w:rPr>
            </w:pPr>
          </w:p>
        </w:tc>
        <w:tc>
          <w:tcPr>
            <w:tcW w:w="700" w:type="dxa"/>
            <w:vAlign w:val="bottom"/>
          </w:tcPr>
          <w:p>
            <w:pPr>
              <w:jc w:val="right"/>
              <w:ind w:right="28"/>
              <w:spacing w:after="0"/>
              <w:rPr>
                <w:sz w:val="20"/>
                <w:szCs w:val="20"/>
                <w:color w:val="auto"/>
              </w:rPr>
            </w:pPr>
            <w:r>
              <w:rPr>
                <w:rFonts w:ascii="Arial" w:cs="Arial" w:eastAsia="Arial" w:hAnsi="Arial"/>
                <w:sz w:val="14"/>
                <w:szCs w:val="14"/>
                <w:color w:val="auto"/>
              </w:rPr>
              <w:t>7,450</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(7,450)</w:t>
            </w:r>
          </w:p>
        </w:tc>
        <w:tc>
          <w:tcPr>
            <w:tcW w:w="0" w:type="dxa"/>
            <w:vAlign w:val="bottom"/>
          </w:tcPr>
          <w:p>
            <w:pPr>
              <w:spacing w:after="0"/>
              <w:rPr>
                <w:sz w:val="1"/>
                <w:szCs w:val="1"/>
                <w:color w:val="auto"/>
              </w:rPr>
            </w:pPr>
          </w:p>
        </w:tc>
      </w:tr>
      <w:tr>
        <w:trPr>
          <w:trHeight w:val="271"/>
        </w:trPr>
        <w:tc>
          <w:tcPr>
            <w:tcW w:w="5380" w:type="dxa"/>
            <w:vAlign w:val="bottom"/>
            <w:shd w:val="clear" w:color="auto" w:fill="CCEEFF"/>
          </w:tcPr>
          <w:p>
            <w:pPr>
              <w:ind w:left="40"/>
              <w:spacing w:after="0"/>
              <w:rPr>
                <w:sz w:val="20"/>
                <w:szCs w:val="20"/>
                <w:color w:val="auto"/>
              </w:rPr>
            </w:pPr>
            <w:r>
              <w:rPr>
                <w:rFonts w:ascii="Arial" w:cs="Arial" w:eastAsia="Arial" w:hAnsi="Arial"/>
                <w:sz w:val="14"/>
                <w:szCs w:val="14"/>
                <w:color w:val="auto"/>
              </w:rPr>
              <w:t>Add: Pro-rata share of Adjusted Net Income from unconsolidated entities</w:t>
            </w:r>
          </w:p>
        </w:tc>
        <w:tc>
          <w:tcPr>
            <w:tcW w:w="200" w:type="dxa"/>
            <w:vAlign w:val="bottom"/>
            <w:shd w:val="clear" w:color="auto" w:fill="CCEEFF"/>
          </w:tcPr>
          <w:p>
            <w:pPr>
              <w:spacing w:after="0"/>
              <w:rPr>
                <w:sz w:val="23"/>
                <w:szCs w:val="23"/>
                <w:color w:val="auto"/>
              </w:rPr>
            </w:pPr>
          </w:p>
        </w:tc>
        <w:tc>
          <w:tcPr>
            <w:tcW w:w="86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b w:val="1"/>
                <w:bCs w:val="1"/>
                <w:color w:val="auto"/>
              </w:rPr>
              <w:t>—</w:t>
            </w:r>
          </w:p>
        </w:tc>
        <w:tc>
          <w:tcPr>
            <w:tcW w:w="200" w:type="dxa"/>
            <w:vAlign w:val="bottom"/>
            <w:shd w:val="clear" w:color="auto" w:fill="CCEEFF"/>
          </w:tcPr>
          <w:p>
            <w:pPr>
              <w:spacing w:after="0"/>
              <w:rPr>
                <w:sz w:val="23"/>
                <w:szCs w:val="23"/>
                <w:color w:val="auto"/>
              </w:rPr>
            </w:pP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3"/>
                <w:szCs w:val="23"/>
                <w:color w:val="auto"/>
              </w:rPr>
            </w:pP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23"/>
                <w:szCs w:val="23"/>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b w:val="1"/>
                <w:bCs w:val="1"/>
                <w:color w:val="auto"/>
              </w:rPr>
              <w:t>—</w:t>
            </w:r>
          </w:p>
        </w:tc>
        <w:tc>
          <w:tcPr>
            <w:tcW w:w="200" w:type="dxa"/>
            <w:vAlign w:val="bottom"/>
            <w:shd w:val="clear" w:color="auto" w:fill="CCEEFF"/>
          </w:tcPr>
          <w:p>
            <w:pPr>
              <w:spacing w:after="0"/>
              <w:rPr>
                <w:sz w:val="23"/>
                <w:szCs w:val="23"/>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3"/>
                <w:szCs w:val="23"/>
                <w:color w:val="auto"/>
              </w:rPr>
            </w:pPr>
          </w:p>
        </w:tc>
        <w:tc>
          <w:tcPr>
            <w:tcW w:w="7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69"/>
        </w:trPr>
        <w:tc>
          <w:tcPr>
            <w:tcW w:w="5380" w:type="dxa"/>
            <w:vAlign w:val="bottom"/>
          </w:tcPr>
          <w:p>
            <w:pPr>
              <w:ind w:left="40"/>
              <w:spacing w:after="0"/>
              <w:rPr>
                <w:sz w:val="20"/>
                <w:szCs w:val="20"/>
                <w:color w:val="auto"/>
              </w:rPr>
            </w:pPr>
            <w:r>
              <w:rPr>
                <w:rFonts w:ascii="Arial" w:cs="Arial" w:eastAsia="Arial" w:hAnsi="Arial"/>
                <w:sz w:val="14"/>
                <w:szCs w:val="14"/>
                <w:color w:val="auto"/>
              </w:rPr>
              <w:t>Add: Incentive allocations</w:t>
            </w:r>
          </w:p>
        </w:tc>
        <w:tc>
          <w:tcPr>
            <w:tcW w:w="200" w:type="dxa"/>
            <w:vAlign w:val="bottom"/>
          </w:tcPr>
          <w:p>
            <w:pPr>
              <w:spacing w:after="0"/>
              <w:rPr>
                <w:sz w:val="23"/>
                <w:szCs w:val="23"/>
                <w:color w:val="auto"/>
              </w:rPr>
            </w:pPr>
          </w:p>
        </w:tc>
        <w:tc>
          <w:tcPr>
            <w:tcW w:w="86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rPr>
              <w:t>—</w:t>
            </w:r>
          </w:p>
        </w:tc>
        <w:tc>
          <w:tcPr>
            <w:tcW w:w="200" w:type="dxa"/>
            <w:vAlign w:val="bottom"/>
          </w:tcPr>
          <w:p>
            <w:pPr>
              <w:spacing w:after="0"/>
              <w:rPr>
                <w:sz w:val="23"/>
                <w:szCs w:val="23"/>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3"/>
                <w:szCs w:val="23"/>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3"/>
                <w:szCs w:val="23"/>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rPr>
              <w:t>—</w:t>
            </w:r>
          </w:p>
        </w:tc>
        <w:tc>
          <w:tcPr>
            <w:tcW w:w="200" w:type="dxa"/>
            <w:vAlign w:val="bottom"/>
          </w:tcPr>
          <w:p>
            <w:pPr>
              <w:spacing w:after="0"/>
              <w:rPr>
                <w:sz w:val="23"/>
                <w:szCs w:val="23"/>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3"/>
                <w:szCs w:val="23"/>
                <w:color w:val="auto"/>
              </w:rPr>
            </w:pPr>
          </w:p>
        </w:tc>
        <w:tc>
          <w:tcPr>
            <w:tcW w:w="74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1"/>
        </w:trPr>
        <w:tc>
          <w:tcPr>
            <w:tcW w:w="5380" w:type="dxa"/>
            <w:vAlign w:val="bottom"/>
            <w:shd w:val="clear" w:color="auto" w:fill="CCEEFF"/>
          </w:tcPr>
          <w:p>
            <w:pPr>
              <w:ind w:left="40"/>
              <w:spacing w:after="0"/>
              <w:rPr>
                <w:sz w:val="20"/>
                <w:szCs w:val="20"/>
                <w:color w:val="auto"/>
              </w:rPr>
            </w:pPr>
            <w:r>
              <w:rPr>
                <w:rFonts w:ascii="Arial" w:cs="Arial" w:eastAsia="Arial" w:hAnsi="Arial"/>
                <w:sz w:val="14"/>
                <w:szCs w:val="14"/>
                <w:color w:val="auto"/>
              </w:rPr>
              <w:t>Less: Cash payments for income taxes</w:t>
            </w:r>
          </w:p>
        </w:tc>
        <w:tc>
          <w:tcPr>
            <w:tcW w:w="200" w:type="dxa"/>
            <w:vAlign w:val="bottom"/>
            <w:shd w:val="clear" w:color="auto" w:fill="CCEEFF"/>
          </w:tcPr>
          <w:p>
            <w:pPr>
              <w:spacing w:after="0"/>
              <w:rPr>
                <w:sz w:val="23"/>
                <w:szCs w:val="23"/>
                <w:color w:val="auto"/>
              </w:rPr>
            </w:pPr>
          </w:p>
        </w:tc>
        <w:tc>
          <w:tcPr>
            <w:tcW w:w="86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b w:val="1"/>
                <w:bCs w:val="1"/>
                <w:color w:val="auto"/>
              </w:rPr>
              <w:t>—</w:t>
            </w:r>
          </w:p>
        </w:tc>
        <w:tc>
          <w:tcPr>
            <w:tcW w:w="200" w:type="dxa"/>
            <w:vAlign w:val="bottom"/>
            <w:shd w:val="clear" w:color="auto" w:fill="CCEEFF"/>
          </w:tcPr>
          <w:p>
            <w:pPr>
              <w:spacing w:after="0"/>
              <w:rPr>
                <w:sz w:val="23"/>
                <w:szCs w:val="23"/>
                <w:color w:val="auto"/>
              </w:rPr>
            </w:pP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3"/>
                <w:szCs w:val="23"/>
                <w:color w:val="auto"/>
              </w:rPr>
            </w:pP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23"/>
                <w:szCs w:val="23"/>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b w:val="1"/>
                <w:bCs w:val="1"/>
                <w:color w:val="auto"/>
              </w:rPr>
              <w:t>—</w:t>
            </w:r>
          </w:p>
        </w:tc>
        <w:tc>
          <w:tcPr>
            <w:tcW w:w="200" w:type="dxa"/>
            <w:vAlign w:val="bottom"/>
            <w:shd w:val="clear" w:color="auto" w:fill="CCEEFF"/>
          </w:tcPr>
          <w:p>
            <w:pPr>
              <w:spacing w:after="0"/>
              <w:rPr>
                <w:sz w:val="23"/>
                <w:szCs w:val="23"/>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3"/>
                <w:szCs w:val="23"/>
                <w:color w:val="auto"/>
              </w:rPr>
            </w:pPr>
          </w:p>
        </w:tc>
        <w:tc>
          <w:tcPr>
            <w:tcW w:w="7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69"/>
        </w:trPr>
        <w:tc>
          <w:tcPr>
            <w:tcW w:w="5380" w:type="dxa"/>
            <w:vAlign w:val="bottom"/>
          </w:tcPr>
          <w:p>
            <w:pPr>
              <w:ind w:left="40"/>
              <w:spacing w:after="0"/>
              <w:rPr>
                <w:sz w:val="20"/>
                <w:szCs w:val="20"/>
                <w:color w:val="auto"/>
              </w:rPr>
            </w:pPr>
            <w:r>
              <w:rPr>
                <w:rFonts w:ascii="Arial" w:cs="Arial" w:eastAsia="Arial" w:hAnsi="Arial"/>
                <w:sz w:val="14"/>
                <w:szCs w:val="14"/>
                <w:color w:val="auto"/>
              </w:rPr>
              <w:t>Less: Equity in earnings of unconsolidated entities</w:t>
            </w:r>
          </w:p>
        </w:tc>
        <w:tc>
          <w:tcPr>
            <w:tcW w:w="200" w:type="dxa"/>
            <w:vAlign w:val="bottom"/>
          </w:tcPr>
          <w:p>
            <w:pPr>
              <w:spacing w:after="0"/>
              <w:rPr>
                <w:sz w:val="23"/>
                <w:szCs w:val="23"/>
                <w:color w:val="auto"/>
              </w:rPr>
            </w:pPr>
          </w:p>
        </w:tc>
        <w:tc>
          <w:tcPr>
            <w:tcW w:w="86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rPr>
              <w:t>—</w:t>
            </w:r>
          </w:p>
        </w:tc>
        <w:tc>
          <w:tcPr>
            <w:tcW w:w="200" w:type="dxa"/>
            <w:vAlign w:val="bottom"/>
          </w:tcPr>
          <w:p>
            <w:pPr>
              <w:spacing w:after="0"/>
              <w:rPr>
                <w:sz w:val="23"/>
                <w:szCs w:val="23"/>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3"/>
                <w:szCs w:val="23"/>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3"/>
                <w:szCs w:val="23"/>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rPr>
              <w:t>—</w:t>
            </w:r>
          </w:p>
        </w:tc>
        <w:tc>
          <w:tcPr>
            <w:tcW w:w="200" w:type="dxa"/>
            <w:vAlign w:val="bottom"/>
          </w:tcPr>
          <w:p>
            <w:pPr>
              <w:spacing w:after="0"/>
              <w:rPr>
                <w:sz w:val="23"/>
                <w:szCs w:val="23"/>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3"/>
                <w:szCs w:val="23"/>
                <w:color w:val="auto"/>
              </w:rPr>
            </w:pPr>
          </w:p>
        </w:tc>
        <w:tc>
          <w:tcPr>
            <w:tcW w:w="74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1"/>
        </w:trPr>
        <w:tc>
          <w:tcPr>
            <w:tcW w:w="5380" w:type="dxa"/>
            <w:vAlign w:val="bottom"/>
            <w:shd w:val="clear" w:color="auto" w:fill="CCEEFF"/>
          </w:tcPr>
          <w:p>
            <w:pPr>
              <w:ind w:left="40"/>
              <w:spacing w:after="0"/>
              <w:rPr>
                <w:sz w:val="20"/>
                <w:szCs w:val="20"/>
                <w:color w:val="auto"/>
              </w:rPr>
            </w:pPr>
            <w:r>
              <w:rPr>
                <w:rFonts w:ascii="Arial" w:cs="Arial" w:eastAsia="Arial" w:hAnsi="Arial"/>
                <w:sz w:val="14"/>
                <w:szCs w:val="14"/>
                <w:color w:val="auto"/>
              </w:rPr>
              <w:t xml:space="preserve">Less: Non-controlling share of Adjusted Net Income </w:t>
            </w:r>
            <w:r>
              <w:rPr>
                <w:rFonts w:ascii="Arial" w:cs="Arial" w:eastAsia="Arial" w:hAnsi="Arial"/>
                <w:sz w:val="17"/>
                <w:szCs w:val="17"/>
                <w:color w:val="auto"/>
                <w:vertAlign w:val="superscript"/>
              </w:rPr>
              <w:t>(1)</w:t>
            </w:r>
          </w:p>
        </w:tc>
        <w:tc>
          <w:tcPr>
            <w:tcW w:w="200" w:type="dxa"/>
            <w:vAlign w:val="bottom"/>
            <w:shd w:val="clear" w:color="auto" w:fill="CCEEFF"/>
          </w:tcPr>
          <w:p>
            <w:pPr>
              <w:spacing w:after="0"/>
              <w:rPr>
                <w:sz w:val="23"/>
                <w:szCs w:val="23"/>
                <w:color w:val="auto"/>
              </w:rPr>
            </w:pPr>
          </w:p>
        </w:tc>
        <w:tc>
          <w:tcPr>
            <w:tcW w:w="86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b w:val="1"/>
                <w:bCs w:val="1"/>
                <w:color w:val="auto"/>
              </w:rPr>
              <w:t>—</w:t>
            </w:r>
          </w:p>
        </w:tc>
        <w:tc>
          <w:tcPr>
            <w:tcW w:w="200" w:type="dxa"/>
            <w:vAlign w:val="bottom"/>
            <w:shd w:val="clear" w:color="auto" w:fill="CCEEFF"/>
          </w:tcPr>
          <w:p>
            <w:pPr>
              <w:spacing w:after="0"/>
              <w:rPr>
                <w:sz w:val="23"/>
                <w:szCs w:val="23"/>
                <w:color w:val="auto"/>
              </w:rPr>
            </w:pP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3"/>
                <w:szCs w:val="23"/>
                <w:color w:val="auto"/>
              </w:rPr>
            </w:pP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23"/>
                <w:szCs w:val="23"/>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b w:val="1"/>
                <w:bCs w:val="1"/>
                <w:color w:val="auto"/>
              </w:rPr>
              <w:t>—</w:t>
            </w:r>
          </w:p>
        </w:tc>
        <w:tc>
          <w:tcPr>
            <w:tcW w:w="200" w:type="dxa"/>
            <w:vAlign w:val="bottom"/>
            <w:shd w:val="clear" w:color="auto" w:fill="CCEEFF"/>
          </w:tcPr>
          <w:p>
            <w:pPr>
              <w:spacing w:after="0"/>
              <w:rPr>
                <w:sz w:val="23"/>
                <w:szCs w:val="23"/>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(3,725)</w:t>
            </w: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7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3,725</w:t>
            </w:r>
          </w:p>
        </w:tc>
        <w:tc>
          <w:tcPr>
            <w:tcW w:w="0" w:type="dxa"/>
            <w:vAlign w:val="bottom"/>
          </w:tcPr>
          <w:p>
            <w:pPr>
              <w:spacing w:after="0"/>
              <w:rPr>
                <w:sz w:val="1"/>
                <w:szCs w:val="1"/>
                <w:color w:val="auto"/>
              </w:rPr>
            </w:pPr>
          </w:p>
        </w:tc>
      </w:tr>
      <w:tr>
        <w:trPr>
          <w:trHeight w:val="237"/>
        </w:trPr>
        <w:tc>
          <w:tcPr>
            <w:tcW w:w="5380" w:type="dxa"/>
            <w:vAlign w:val="bottom"/>
          </w:tcPr>
          <w:p>
            <w:pPr>
              <w:ind w:left="40"/>
              <w:spacing w:after="0"/>
              <w:rPr>
                <w:sz w:val="20"/>
                <w:szCs w:val="20"/>
                <w:color w:val="auto"/>
              </w:rPr>
            </w:pPr>
            <w:r>
              <w:rPr>
                <w:rFonts w:ascii="Arial" w:cs="Arial" w:eastAsia="Arial" w:hAnsi="Arial"/>
                <w:sz w:val="14"/>
                <w:szCs w:val="14"/>
                <w:b w:val="1"/>
                <w:bCs w:val="1"/>
                <w:color w:val="auto"/>
              </w:rPr>
              <w:t>Adjusted Net Loss</w:t>
            </w:r>
          </w:p>
        </w:tc>
        <w:tc>
          <w:tcPr>
            <w:tcW w:w="20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w:t>
            </w:r>
          </w:p>
        </w:tc>
        <w:tc>
          <w:tcPr>
            <w:tcW w:w="74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(380)</w:t>
            </w:r>
          </w:p>
        </w:tc>
        <w:tc>
          <w:tcPr>
            <w:tcW w:w="120" w:type="dxa"/>
            <w:vAlign w:val="bottom"/>
          </w:tcPr>
          <w:p>
            <w:pPr>
              <w:spacing w:after="0"/>
              <w:rPr>
                <w:sz w:val="20"/>
                <w:szCs w:val="20"/>
                <w:color w:val="auto"/>
              </w:rPr>
            </w:pPr>
          </w:p>
        </w:tc>
        <w:tc>
          <w:tcPr>
            <w:tcW w:w="20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(1,907)</w:t>
            </w:r>
          </w:p>
        </w:tc>
        <w:tc>
          <w:tcPr>
            <w:tcW w:w="120" w:type="dxa"/>
            <w:vAlign w:val="bottom"/>
          </w:tcPr>
          <w:p>
            <w:pPr>
              <w:spacing w:after="0"/>
              <w:rPr>
                <w:sz w:val="20"/>
                <w:szCs w:val="20"/>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8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1,527</w:t>
            </w:r>
          </w:p>
        </w:tc>
        <w:tc>
          <w:tcPr>
            <w:tcW w:w="100" w:type="dxa"/>
            <w:vAlign w:val="bottom"/>
          </w:tcPr>
          <w:p>
            <w:pPr>
              <w:spacing w:after="0"/>
              <w:rPr>
                <w:sz w:val="20"/>
                <w:szCs w:val="20"/>
                <w:color w:val="auto"/>
              </w:rPr>
            </w:pPr>
          </w:p>
        </w:tc>
        <w:tc>
          <w:tcPr>
            <w:tcW w:w="20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(7,696)</w:t>
            </w:r>
          </w:p>
        </w:tc>
        <w:tc>
          <w:tcPr>
            <w:tcW w:w="100" w:type="dxa"/>
            <w:vAlign w:val="bottom"/>
          </w:tcPr>
          <w:p>
            <w:pPr>
              <w:spacing w:after="0"/>
              <w:rPr>
                <w:sz w:val="20"/>
                <w:szCs w:val="20"/>
                <w:color w:val="auto"/>
              </w:rPr>
            </w:pPr>
          </w:p>
        </w:tc>
        <w:tc>
          <w:tcPr>
            <w:tcW w:w="20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(11,136)</w:t>
            </w:r>
          </w:p>
        </w:tc>
        <w:tc>
          <w:tcPr>
            <w:tcW w:w="100" w:type="dxa"/>
            <w:vAlign w:val="bottom"/>
          </w:tcPr>
          <w:p>
            <w:pPr>
              <w:spacing w:after="0"/>
              <w:rPr>
                <w:sz w:val="20"/>
                <w:szCs w:val="20"/>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4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3,440</w:t>
            </w:r>
          </w:p>
        </w:tc>
        <w:tc>
          <w:tcPr>
            <w:tcW w:w="0" w:type="dxa"/>
            <w:vAlign w:val="bottom"/>
          </w:tcPr>
          <w:p>
            <w:pPr>
              <w:spacing w:after="0"/>
              <w:rPr>
                <w:sz w:val="1"/>
                <w:szCs w:val="1"/>
                <w:color w:val="auto"/>
              </w:rPr>
            </w:pPr>
          </w:p>
        </w:tc>
      </w:tr>
      <w:tr>
        <w:trPr>
          <w:trHeight w:val="20"/>
        </w:trPr>
        <w:tc>
          <w:tcPr>
            <w:tcW w:w="53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15" w:lineRule="exact"/>
        <w:rPr>
          <w:sz w:val="20"/>
          <w:szCs w:val="20"/>
          <w:color w:val="auto"/>
        </w:rPr>
      </w:pPr>
    </w:p>
    <w:p>
      <w:pPr>
        <w:ind w:left="180" w:hanging="172"/>
        <w:spacing w:after="0"/>
        <w:tabs>
          <w:tab w:leader="none" w:pos="180" w:val="left"/>
        </w:tabs>
        <w:numPr>
          <w:ilvl w:val="0"/>
          <w:numId w:val="17"/>
        </w:numPr>
        <w:rPr>
          <w:rFonts w:ascii="Arial" w:cs="Arial" w:eastAsia="Arial" w:hAnsi="Arial"/>
          <w:sz w:val="21"/>
          <w:szCs w:val="21"/>
          <w:color w:val="auto"/>
          <w:vertAlign w:val="superscript"/>
        </w:rPr>
      </w:pPr>
      <w:r>
        <w:rPr>
          <w:rFonts w:ascii="Arial" w:cs="Arial" w:eastAsia="Arial" w:hAnsi="Arial"/>
          <w:sz w:val="14"/>
          <w:szCs w:val="14"/>
          <w:color w:val="auto"/>
        </w:rPr>
        <w:t>Non-controlling share of Adjusted Net Loss is comprised of asset impairment of $0 and $3,725 for the nine months ended September 30, 2017 and 2016, respectively.</w:t>
      </w:r>
    </w:p>
    <w:p>
      <w:pPr>
        <w:spacing w:after="0" w:line="219" w:lineRule="exact"/>
        <w:rPr>
          <w:rFonts w:ascii="Arial" w:cs="Arial" w:eastAsia="Arial" w:hAnsi="Arial"/>
          <w:sz w:val="21"/>
          <w:szCs w:val="21"/>
          <w:color w:val="auto"/>
          <w:vertAlign w:val="superscript"/>
        </w:rPr>
      </w:pPr>
    </w:p>
    <w:p>
      <w:pPr>
        <w:ind w:left="5620"/>
        <w:spacing w:after="0"/>
        <w:rPr>
          <w:rFonts w:ascii="Arial" w:cs="Arial" w:eastAsia="Arial" w:hAnsi="Arial"/>
          <w:sz w:val="21"/>
          <w:szCs w:val="21"/>
          <w:color w:val="auto"/>
          <w:vertAlign w:val="superscript"/>
        </w:rPr>
      </w:pPr>
      <w:r>
        <w:rPr>
          <w:rFonts w:ascii="Arial" w:cs="Arial" w:eastAsia="Arial" w:hAnsi="Arial"/>
          <w:sz w:val="16"/>
          <w:szCs w:val="16"/>
          <w:color w:val="auto"/>
        </w:rPr>
        <w:t>53</w:t>
      </w:r>
    </w:p>
    <w:p>
      <w:pPr>
        <w:sectPr>
          <w:pgSz w:w="11900" w:h="16838" w:orient="portrait"/>
          <w:cols w:equalWidth="0" w:num="1">
            <w:col w:w="11420"/>
          </w:cols>
          <w:pgMar w:left="240" w:top="527" w:right="239" w:bottom="1440" w:gutter="0" w:footer="0" w:header="0"/>
        </w:sectPr>
      </w:pPr>
    </w:p>
    <w:bookmarkStart w:id="53" w:name="page54"/>
    <w:bookmarkEnd w:id="53"/>
    <w:p>
      <w:pPr>
        <w:ind w:right="320"/>
        <w:spacing w:after="0" w:line="291" w:lineRule="auto"/>
        <w:rPr>
          <w:sz w:val="20"/>
          <w:szCs w:val="20"/>
          <w:color w:val="auto"/>
        </w:rPr>
      </w:pPr>
      <w:r>
        <w:rPr>
          <w:rFonts w:ascii="Arial" w:cs="Arial" w:eastAsia="Arial" w:hAnsi="Arial"/>
          <w:sz w:val="16"/>
          <w:szCs w:val="16"/>
          <w:color w:val="auto"/>
        </w:rPr>
        <w:t>The following table sets forth a reconciliation of net loss attributable to shareholders to Adjusted EBITDA for the Offshore Energy segment for the three and nine months ended September 30, 2017 and September 30, 2016:</w:t>
      </w: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3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900" w:type="dxa"/>
            <w:vAlign w:val="bottom"/>
            <w:gridSpan w:val="5"/>
          </w:tcPr>
          <w:p>
            <w:pPr>
              <w:jc w:val="center"/>
              <w:ind w:right="280"/>
              <w:spacing w:after="0"/>
              <w:rPr>
                <w:sz w:val="20"/>
                <w:szCs w:val="20"/>
                <w:color w:val="auto"/>
              </w:rPr>
            </w:pPr>
            <w:r>
              <w:rPr>
                <w:rFonts w:ascii="Arial" w:cs="Arial" w:eastAsia="Arial" w:hAnsi="Arial"/>
                <w:sz w:val="14"/>
                <w:szCs w:val="14"/>
                <w:b w:val="1"/>
                <w:bCs w:val="1"/>
                <w:color w:val="auto"/>
              </w:rPr>
              <w:t>Three Months Ended</w:t>
            </w:r>
          </w:p>
        </w:tc>
        <w:tc>
          <w:tcPr>
            <w:tcW w:w="1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00" w:type="dxa"/>
            <w:vAlign w:val="bottom"/>
            <w:gridSpan w:val="5"/>
          </w:tcPr>
          <w:p>
            <w:pPr>
              <w:ind w:left="100"/>
              <w:spacing w:after="0"/>
              <w:rPr>
                <w:sz w:val="20"/>
                <w:szCs w:val="20"/>
                <w:color w:val="auto"/>
              </w:rPr>
            </w:pPr>
            <w:r>
              <w:rPr>
                <w:rFonts w:ascii="Arial" w:cs="Arial" w:eastAsia="Arial" w:hAnsi="Arial"/>
                <w:sz w:val="14"/>
                <w:szCs w:val="14"/>
                <w:b w:val="1"/>
                <w:bCs w:val="1"/>
                <w:color w:val="auto"/>
              </w:rPr>
              <w:t>Nine Months Ended</w:t>
            </w:r>
          </w:p>
        </w:tc>
        <w:tc>
          <w:tcPr>
            <w:tcW w:w="1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53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900" w:type="dxa"/>
            <w:vAlign w:val="bottom"/>
            <w:gridSpan w:val="5"/>
          </w:tcPr>
          <w:p>
            <w:pPr>
              <w:jc w:val="center"/>
              <w:ind w:right="280"/>
              <w:spacing w:after="0"/>
              <w:rPr>
                <w:sz w:val="20"/>
                <w:szCs w:val="20"/>
                <w:color w:val="auto"/>
              </w:rPr>
            </w:pPr>
            <w:r>
              <w:rPr>
                <w:rFonts w:ascii="Arial" w:cs="Arial" w:eastAsia="Arial" w:hAnsi="Arial"/>
                <w:sz w:val="14"/>
                <w:szCs w:val="14"/>
                <w:b w:val="1"/>
                <w:bCs w:val="1"/>
                <w:color w:val="auto"/>
              </w:rPr>
              <w:t>September 30,</w:t>
            </w: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0" w:type="dxa"/>
            <w:vAlign w:val="bottom"/>
            <w:gridSpan w:val="5"/>
          </w:tcPr>
          <w:p>
            <w:pPr>
              <w:ind w:left="280"/>
              <w:spacing w:after="0"/>
              <w:rPr>
                <w:sz w:val="20"/>
                <w:szCs w:val="20"/>
                <w:color w:val="auto"/>
              </w:rPr>
            </w:pPr>
            <w:r>
              <w:rPr>
                <w:rFonts w:ascii="Arial" w:cs="Arial" w:eastAsia="Arial" w:hAnsi="Arial"/>
                <w:sz w:val="14"/>
                <w:szCs w:val="14"/>
                <w:b w:val="1"/>
                <w:bCs w:val="1"/>
                <w:color w:val="auto"/>
              </w:rPr>
              <w:t>September 30,</w:t>
            </w: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63"/>
        </w:trPr>
        <w:tc>
          <w:tcPr>
            <w:tcW w:w="5380" w:type="dxa"/>
            <w:vAlign w:val="bottom"/>
          </w:tcPr>
          <w:p>
            <w:pPr>
              <w:spacing w:after="0"/>
              <w:rPr>
                <w:sz w:val="22"/>
                <w:szCs w:val="22"/>
                <w:color w:val="auto"/>
              </w:rPr>
            </w:pPr>
          </w:p>
        </w:tc>
        <w:tc>
          <w:tcPr>
            <w:tcW w:w="200" w:type="dxa"/>
            <w:vAlign w:val="bottom"/>
            <w:tcBorders>
              <w:top w:val="single" w:sz="8" w:color="auto"/>
              <w:bottom w:val="single" w:sz="8" w:color="auto"/>
            </w:tcBorders>
          </w:tcPr>
          <w:p>
            <w:pPr>
              <w:spacing w:after="0"/>
              <w:rPr>
                <w:sz w:val="22"/>
                <w:szCs w:val="22"/>
                <w:color w:val="auto"/>
              </w:rPr>
            </w:pPr>
          </w:p>
        </w:tc>
        <w:tc>
          <w:tcPr>
            <w:tcW w:w="740" w:type="dxa"/>
            <w:vAlign w:val="bottom"/>
            <w:tcBorders>
              <w:top w:val="single" w:sz="8" w:color="auto"/>
              <w:bottom w:val="single" w:sz="8" w:color="auto"/>
            </w:tcBorders>
          </w:tcPr>
          <w:p>
            <w:pPr>
              <w:jc w:val="right"/>
              <w:ind w:right="248"/>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top w:val="single" w:sz="8" w:color="auto"/>
              <w:bottom w:val="single" w:sz="8" w:color="auto"/>
            </w:tcBorders>
          </w:tcPr>
          <w:p>
            <w:pPr>
              <w:spacing w:after="0"/>
              <w:rPr>
                <w:sz w:val="22"/>
                <w:szCs w:val="22"/>
                <w:color w:val="auto"/>
              </w:rPr>
            </w:pPr>
          </w:p>
        </w:tc>
        <w:tc>
          <w:tcPr>
            <w:tcW w:w="200" w:type="dxa"/>
            <w:vAlign w:val="bottom"/>
            <w:tcBorders>
              <w:top w:val="single" w:sz="8" w:color="auto"/>
              <w:bottom w:val="single" w:sz="8" w:color="auto"/>
            </w:tcBorders>
          </w:tcPr>
          <w:p>
            <w:pPr>
              <w:spacing w:after="0"/>
              <w:rPr>
                <w:sz w:val="22"/>
                <w:szCs w:val="22"/>
                <w:color w:val="auto"/>
              </w:rPr>
            </w:pPr>
          </w:p>
        </w:tc>
        <w:tc>
          <w:tcPr>
            <w:tcW w:w="720" w:type="dxa"/>
            <w:vAlign w:val="bottom"/>
            <w:tcBorders>
              <w:top w:val="single" w:sz="8" w:color="auto"/>
              <w:bottom w:val="single" w:sz="8" w:color="auto"/>
            </w:tcBorders>
          </w:tcPr>
          <w:p>
            <w:pPr>
              <w:jc w:val="right"/>
              <w:ind w:right="228"/>
              <w:spacing w:after="0"/>
              <w:rPr>
                <w:sz w:val="20"/>
                <w:szCs w:val="20"/>
                <w:color w:val="auto"/>
              </w:rPr>
            </w:pPr>
            <w:r>
              <w:rPr>
                <w:rFonts w:ascii="Arial" w:cs="Arial" w:eastAsia="Arial" w:hAnsi="Arial"/>
                <w:sz w:val="14"/>
                <w:szCs w:val="14"/>
                <w:b w:val="1"/>
                <w:bCs w:val="1"/>
                <w:color w:val="auto"/>
              </w:rPr>
              <w:t>2016</w:t>
            </w:r>
          </w:p>
        </w:tc>
        <w:tc>
          <w:tcPr>
            <w:tcW w:w="120" w:type="dxa"/>
            <w:vAlign w:val="bottom"/>
            <w:tcBorders>
              <w:bottom w:val="single" w:sz="8" w:color="auto"/>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gridSpan w:val="2"/>
          </w:tcPr>
          <w:p>
            <w:pPr>
              <w:ind w:left="60"/>
              <w:spacing w:after="0"/>
              <w:rPr>
                <w:sz w:val="20"/>
                <w:szCs w:val="20"/>
                <w:color w:val="auto"/>
              </w:rPr>
            </w:pPr>
            <w:r>
              <w:rPr>
                <w:rFonts w:ascii="Arial" w:cs="Arial" w:eastAsia="Arial" w:hAnsi="Arial"/>
                <w:sz w:val="14"/>
                <w:szCs w:val="14"/>
                <w:b w:val="1"/>
                <w:bCs w:val="1"/>
                <w:color w:val="auto"/>
              </w:rPr>
              <w:t>Change</w:t>
            </w:r>
          </w:p>
        </w:tc>
        <w:tc>
          <w:tcPr>
            <w:tcW w:w="200" w:type="dxa"/>
            <w:vAlign w:val="bottom"/>
            <w:tcBorders>
              <w:top w:val="single" w:sz="8" w:color="auto"/>
              <w:bottom w:val="single" w:sz="8" w:color="auto"/>
            </w:tcBorders>
          </w:tcPr>
          <w:p>
            <w:pPr>
              <w:spacing w:after="0"/>
              <w:rPr>
                <w:sz w:val="22"/>
                <w:szCs w:val="22"/>
                <w:color w:val="auto"/>
              </w:rPr>
            </w:pPr>
          </w:p>
        </w:tc>
        <w:tc>
          <w:tcPr>
            <w:tcW w:w="700" w:type="dxa"/>
            <w:vAlign w:val="bottom"/>
            <w:tcBorders>
              <w:top w:val="single" w:sz="8" w:color="auto"/>
              <w:bottom w:val="single" w:sz="8" w:color="auto"/>
            </w:tcBorders>
          </w:tcPr>
          <w:p>
            <w:pPr>
              <w:ind w:left="100"/>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top w:val="single" w:sz="8" w:color="auto"/>
              <w:bottom w:val="single" w:sz="8" w:color="auto"/>
            </w:tcBorders>
          </w:tcPr>
          <w:p>
            <w:pPr>
              <w:spacing w:after="0"/>
              <w:rPr>
                <w:sz w:val="22"/>
                <w:szCs w:val="22"/>
                <w:color w:val="auto"/>
              </w:rPr>
            </w:pPr>
          </w:p>
        </w:tc>
        <w:tc>
          <w:tcPr>
            <w:tcW w:w="200" w:type="dxa"/>
            <w:vAlign w:val="bottom"/>
            <w:tcBorders>
              <w:top w:val="single" w:sz="8" w:color="auto"/>
              <w:bottom w:val="single" w:sz="8" w:color="auto"/>
            </w:tcBorders>
          </w:tcPr>
          <w:p>
            <w:pPr>
              <w:spacing w:after="0"/>
              <w:rPr>
                <w:sz w:val="22"/>
                <w:szCs w:val="22"/>
                <w:color w:val="auto"/>
              </w:rPr>
            </w:pPr>
          </w:p>
        </w:tc>
        <w:tc>
          <w:tcPr>
            <w:tcW w:w="700" w:type="dxa"/>
            <w:vAlign w:val="bottom"/>
            <w:tcBorders>
              <w:top w:val="single" w:sz="8" w:color="auto"/>
              <w:bottom w:val="single" w:sz="8" w:color="auto"/>
            </w:tcBorders>
          </w:tcPr>
          <w:p>
            <w:pPr>
              <w:jc w:val="right"/>
              <w:ind w:right="208"/>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auto"/>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90"/>
        </w:trPr>
        <w:tc>
          <w:tcPr>
            <w:tcW w:w="5380" w:type="dxa"/>
            <w:vAlign w:val="bottom"/>
          </w:tcPr>
          <w:p>
            <w:pPr>
              <w:ind w:left="40"/>
              <w:spacing w:after="0"/>
              <w:rPr>
                <w:sz w:val="20"/>
                <w:szCs w:val="20"/>
                <w:color w:val="auto"/>
              </w:rPr>
            </w:pPr>
            <w:r>
              <w:rPr>
                <w:rFonts w:ascii="Arial" w:cs="Arial" w:eastAsia="Arial" w:hAnsi="Arial"/>
                <w:sz w:val="14"/>
                <w:szCs w:val="14"/>
                <w:i w:val="1"/>
                <w:iCs w:val="1"/>
                <w:color w:val="auto"/>
              </w:rPr>
              <w:t>(Dollar amounts in thousands)</w:t>
            </w:r>
          </w:p>
        </w:tc>
        <w:tc>
          <w:tcPr>
            <w:tcW w:w="2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
        </w:trPr>
        <w:tc>
          <w:tcPr>
            <w:tcW w:w="53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0"/>
        </w:trPr>
        <w:tc>
          <w:tcPr>
            <w:tcW w:w="538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Net loss attributable to shareholders</w:t>
            </w:r>
          </w:p>
        </w:tc>
        <w:tc>
          <w:tcPr>
            <w:tcW w:w="200" w:type="dxa"/>
            <w:vAlign w:val="bottom"/>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w:t>
            </w:r>
          </w:p>
        </w:tc>
        <w:tc>
          <w:tcPr>
            <w:tcW w:w="740" w:type="dxa"/>
            <w:vAlign w:val="bottom"/>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(375)</w:t>
            </w: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(1,907)</w:t>
            </w: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1,532</w:t>
            </w: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(7,696)</w:t>
            </w: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(14,861)</w:t>
            </w: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7,165</w:t>
            </w:r>
          </w:p>
        </w:tc>
        <w:tc>
          <w:tcPr>
            <w:tcW w:w="0" w:type="dxa"/>
            <w:vAlign w:val="bottom"/>
          </w:tcPr>
          <w:p>
            <w:pPr>
              <w:spacing w:after="0"/>
              <w:rPr>
                <w:sz w:val="1"/>
                <w:szCs w:val="1"/>
                <w:color w:val="auto"/>
              </w:rPr>
            </w:pPr>
          </w:p>
        </w:tc>
      </w:tr>
      <w:tr>
        <w:trPr>
          <w:trHeight w:val="269"/>
        </w:trPr>
        <w:tc>
          <w:tcPr>
            <w:tcW w:w="5380" w:type="dxa"/>
            <w:vAlign w:val="bottom"/>
          </w:tcPr>
          <w:p>
            <w:pPr>
              <w:ind w:left="40"/>
              <w:spacing w:after="0"/>
              <w:rPr>
                <w:sz w:val="20"/>
                <w:szCs w:val="20"/>
                <w:color w:val="auto"/>
              </w:rPr>
            </w:pPr>
            <w:r>
              <w:rPr>
                <w:rFonts w:ascii="Arial" w:cs="Arial" w:eastAsia="Arial" w:hAnsi="Arial"/>
                <w:sz w:val="14"/>
                <w:szCs w:val="14"/>
                <w:color w:val="auto"/>
              </w:rPr>
              <w:t>Add: Benefit from income taxes</w:t>
            </w:r>
          </w:p>
        </w:tc>
        <w:tc>
          <w:tcPr>
            <w:tcW w:w="200" w:type="dxa"/>
            <w:vAlign w:val="bottom"/>
          </w:tcPr>
          <w:p>
            <w:pPr>
              <w:spacing w:after="0"/>
              <w:rPr>
                <w:sz w:val="23"/>
                <w:szCs w:val="23"/>
                <w:color w:val="auto"/>
              </w:rPr>
            </w:pPr>
          </w:p>
        </w:tc>
        <w:tc>
          <w:tcPr>
            <w:tcW w:w="740" w:type="dxa"/>
            <w:vAlign w:val="bottom"/>
          </w:tcPr>
          <w:p>
            <w:pPr>
              <w:jc w:val="right"/>
              <w:ind w:right="8"/>
              <w:spacing w:after="0"/>
              <w:rPr>
                <w:sz w:val="20"/>
                <w:szCs w:val="20"/>
                <w:color w:val="auto"/>
              </w:rPr>
            </w:pPr>
            <w:r>
              <w:rPr>
                <w:rFonts w:ascii="Arial" w:cs="Arial" w:eastAsia="Arial" w:hAnsi="Arial"/>
                <w:sz w:val="14"/>
                <w:szCs w:val="14"/>
                <w:b w:val="1"/>
                <w:bCs w:val="1"/>
                <w:color w:val="auto"/>
              </w:rPr>
              <w:t>(5)</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3"/>
                <w:szCs w:val="23"/>
                <w:color w:val="auto"/>
              </w:rPr>
            </w:pPr>
          </w:p>
        </w:tc>
        <w:tc>
          <w:tcPr>
            <w:tcW w:w="780" w:type="dxa"/>
            <w:vAlign w:val="bottom"/>
          </w:tcPr>
          <w:p>
            <w:pPr>
              <w:jc w:val="right"/>
              <w:ind w:right="8"/>
              <w:spacing w:after="0"/>
              <w:rPr>
                <w:sz w:val="20"/>
                <w:szCs w:val="20"/>
                <w:color w:val="auto"/>
              </w:rPr>
            </w:pPr>
            <w:r>
              <w:rPr>
                <w:rFonts w:ascii="Arial" w:cs="Arial" w:eastAsia="Arial" w:hAnsi="Arial"/>
                <w:sz w:val="14"/>
                <w:szCs w:val="14"/>
                <w:color w:val="auto"/>
              </w:rPr>
              <w:t>(5)</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rPr>
              <w:t>—</w:t>
            </w:r>
          </w:p>
        </w:tc>
        <w:tc>
          <w:tcPr>
            <w:tcW w:w="200" w:type="dxa"/>
            <w:vAlign w:val="bottom"/>
          </w:tcPr>
          <w:p>
            <w:pPr>
              <w:spacing w:after="0"/>
              <w:rPr>
                <w:sz w:val="23"/>
                <w:szCs w:val="23"/>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3"/>
                <w:szCs w:val="23"/>
                <w:color w:val="auto"/>
              </w:rPr>
            </w:pPr>
          </w:p>
        </w:tc>
        <w:tc>
          <w:tcPr>
            <w:tcW w:w="74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1"/>
        </w:trPr>
        <w:tc>
          <w:tcPr>
            <w:tcW w:w="5380" w:type="dxa"/>
            <w:vAlign w:val="bottom"/>
            <w:shd w:val="clear" w:color="auto" w:fill="CCEEFF"/>
          </w:tcPr>
          <w:p>
            <w:pPr>
              <w:ind w:left="40"/>
              <w:spacing w:after="0"/>
              <w:rPr>
                <w:sz w:val="20"/>
                <w:szCs w:val="20"/>
                <w:color w:val="auto"/>
              </w:rPr>
            </w:pPr>
            <w:r>
              <w:rPr>
                <w:rFonts w:ascii="Arial" w:cs="Arial" w:eastAsia="Arial" w:hAnsi="Arial"/>
                <w:sz w:val="14"/>
                <w:szCs w:val="14"/>
                <w:color w:val="auto"/>
              </w:rPr>
              <w:t>Add: Equity-based compensation expense</w:t>
            </w:r>
          </w:p>
        </w:tc>
        <w:tc>
          <w:tcPr>
            <w:tcW w:w="200" w:type="dxa"/>
            <w:vAlign w:val="bottom"/>
            <w:shd w:val="clear" w:color="auto" w:fill="CCEEFF"/>
          </w:tcPr>
          <w:p>
            <w:pPr>
              <w:spacing w:after="0"/>
              <w:rPr>
                <w:sz w:val="23"/>
                <w:szCs w:val="23"/>
                <w:color w:val="auto"/>
              </w:rPr>
            </w:pPr>
          </w:p>
        </w:tc>
        <w:tc>
          <w:tcPr>
            <w:tcW w:w="86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b w:val="1"/>
                <w:bCs w:val="1"/>
                <w:color w:val="auto"/>
              </w:rPr>
              <w:t>—</w:t>
            </w:r>
          </w:p>
        </w:tc>
        <w:tc>
          <w:tcPr>
            <w:tcW w:w="200" w:type="dxa"/>
            <w:vAlign w:val="bottom"/>
            <w:shd w:val="clear" w:color="auto" w:fill="CCEEFF"/>
          </w:tcPr>
          <w:p>
            <w:pPr>
              <w:spacing w:after="0"/>
              <w:rPr>
                <w:sz w:val="23"/>
                <w:szCs w:val="23"/>
                <w:color w:val="auto"/>
              </w:rPr>
            </w:pP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3"/>
                <w:szCs w:val="23"/>
                <w:color w:val="auto"/>
              </w:rPr>
            </w:pP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23"/>
                <w:szCs w:val="23"/>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b w:val="1"/>
                <w:bCs w:val="1"/>
                <w:color w:val="auto"/>
              </w:rPr>
              <w:t>—</w:t>
            </w:r>
          </w:p>
        </w:tc>
        <w:tc>
          <w:tcPr>
            <w:tcW w:w="200" w:type="dxa"/>
            <w:vAlign w:val="bottom"/>
            <w:shd w:val="clear" w:color="auto" w:fill="CCEEFF"/>
          </w:tcPr>
          <w:p>
            <w:pPr>
              <w:spacing w:after="0"/>
              <w:rPr>
                <w:sz w:val="23"/>
                <w:szCs w:val="23"/>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3"/>
                <w:szCs w:val="23"/>
                <w:color w:val="auto"/>
              </w:rPr>
            </w:pPr>
          </w:p>
        </w:tc>
        <w:tc>
          <w:tcPr>
            <w:tcW w:w="7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69"/>
        </w:trPr>
        <w:tc>
          <w:tcPr>
            <w:tcW w:w="5380" w:type="dxa"/>
            <w:vAlign w:val="bottom"/>
          </w:tcPr>
          <w:p>
            <w:pPr>
              <w:ind w:left="40"/>
              <w:spacing w:after="0"/>
              <w:rPr>
                <w:sz w:val="20"/>
                <w:szCs w:val="20"/>
                <w:color w:val="auto"/>
              </w:rPr>
            </w:pPr>
            <w:r>
              <w:rPr>
                <w:rFonts w:ascii="Arial" w:cs="Arial" w:eastAsia="Arial" w:hAnsi="Arial"/>
                <w:sz w:val="14"/>
                <w:szCs w:val="14"/>
                <w:color w:val="auto"/>
              </w:rPr>
              <w:t>Add: Acquisition and transaction expenses</w:t>
            </w:r>
          </w:p>
        </w:tc>
        <w:tc>
          <w:tcPr>
            <w:tcW w:w="200" w:type="dxa"/>
            <w:vAlign w:val="bottom"/>
          </w:tcPr>
          <w:p>
            <w:pPr>
              <w:spacing w:after="0"/>
              <w:rPr>
                <w:sz w:val="23"/>
                <w:szCs w:val="23"/>
                <w:color w:val="auto"/>
              </w:rPr>
            </w:pPr>
          </w:p>
        </w:tc>
        <w:tc>
          <w:tcPr>
            <w:tcW w:w="86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rPr>
              <w:t>—</w:t>
            </w:r>
          </w:p>
        </w:tc>
        <w:tc>
          <w:tcPr>
            <w:tcW w:w="200" w:type="dxa"/>
            <w:vAlign w:val="bottom"/>
          </w:tcPr>
          <w:p>
            <w:pPr>
              <w:spacing w:after="0"/>
              <w:rPr>
                <w:sz w:val="23"/>
                <w:szCs w:val="23"/>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3"/>
                <w:szCs w:val="23"/>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3"/>
                <w:szCs w:val="23"/>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rPr>
              <w:t>—</w:t>
            </w:r>
          </w:p>
        </w:tc>
        <w:tc>
          <w:tcPr>
            <w:tcW w:w="200" w:type="dxa"/>
            <w:vAlign w:val="bottom"/>
          </w:tcPr>
          <w:p>
            <w:pPr>
              <w:spacing w:after="0"/>
              <w:rPr>
                <w:sz w:val="23"/>
                <w:szCs w:val="23"/>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3"/>
                <w:szCs w:val="23"/>
                <w:color w:val="auto"/>
              </w:rPr>
            </w:pPr>
          </w:p>
        </w:tc>
        <w:tc>
          <w:tcPr>
            <w:tcW w:w="74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7"/>
        </w:trPr>
        <w:tc>
          <w:tcPr>
            <w:tcW w:w="5380" w:type="dxa"/>
            <w:vAlign w:val="bottom"/>
            <w:shd w:val="clear" w:color="auto" w:fill="CCEEFF"/>
          </w:tcPr>
          <w:p>
            <w:pPr>
              <w:ind w:left="40"/>
              <w:spacing w:after="0"/>
              <w:rPr>
                <w:sz w:val="20"/>
                <w:szCs w:val="20"/>
                <w:color w:val="auto"/>
              </w:rPr>
            </w:pPr>
            <w:r>
              <w:rPr>
                <w:rFonts w:ascii="Arial" w:cs="Arial" w:eastAsia="Arial" w:hAnsi="Arial"/>
                <w:sz w:val="14"/>
                <w:szCs w:val="14"/>
                <w:color w:val="auto"/>
              </w:rPr>
              <w:t>Add: Losses on the modification or extinguishment of debt and capital lease</w:t>
            </w:r>
          </w:p>
        </w:tc>
        <w:tc>
          <w:tcPr>
            <w:tcW w:w="200" w:type="dxa"/>
            <w:vAlign w:val="bottom"/>
            <w:shd w:val="clear" w:color="auto" w:fill="CCEEFF"/>
          </w:tcPr>
          <w:p>
            <w:pPr>
              <w:spacing w:after="0"/>
              <w:rPr>
                <w:sz w:val="15"/>
                <w:szCs w:val="15"/>
                <w:color w:val="auto"/>
              </w:rPr>
            </w:pPr>
          </w:p>
        </w:tc>
        <w:tc>
          <w:tcPr>
            <w:tcW w:w="86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4"/>
                <w:szCs w:val="14"/>
                <w:b w:val="1"/>
                <w:bCs w:val="1"/>
                <w:color w:val="auto"/>
              </w:rPr>
              <w:t>—</w:t>
            </w:r>
          </w:p>
        </w:tc>
        <w:tc>
          <w:tcPr>
            <w:tcW w:w="20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0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4"/>
                <w:szCs w:val="14"/>
                <w:b w:val="1"/>
                <w:bCs w:val="1"/>
                <w:color w:val="auto"/>
              </w:rPr>
              <w:t>—</w:t>
            </w:r>
          </w:p>
        </w:tc>
        <w:tc>
          <w:tcPr>
            <w:tcW w:w="20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2"/>
        </w:trPr>
        <w:tc>
          <w:tcPr>
            <w:tcW w:w="5380" w:type="dxa"/>
            <w:vAlign w:val="bottom"/>
            <w:shd w:val="clear" w:color="auto" w:fill="CCEEFF"/>
          </w:tcPr>
          <w:p>
            <w:pPr>
              <w:ind w:left="40"/>
              <w:spacing w:after="0"/>
              <w:rPr>
                <w:sz w:val="20"/>
                <w:szCs w:val="20"/>
                <w:color w:val="auto"/>
              </w:rPr>
            </w:pPr>
            <w:r>
              <w:rPr>
                <w:rFonts w:ascii="Arial" w:cs="Arial" w:eastAsia="Arial" w:hAnsi="Arial"/>
                <w:sz w:val="14"/>
                <w:szCs w:val="14"/>
                <w:color w:val="auto"/>
              </w:rPr>
              <w:t>obligations</w:t>
            </w:r>
          </w:p>
        </w:tc>
        <w:tc>
          <w:tcPr>
            <w:tcW w:w="200" w:type="dxa"/>
            <w:vAlign w:val="bottom"/>
            <w:shd w:val="clear" w:color="auto" w:fill="CCEEFF"/>
          </w:tcPr>
          <w:p>
            <w:pPr>
              <w:spacing w:after="0"/>
              <w:rPr>
                <w:sz w:val="17"/>
                <w:szCs w:val="17"/>
                <w:color w:val="auto"/>
              </w:rPr>
            </w:pPr>
          </w:p>
        </w:tc>
        <w:tc>
          <w:tcPr>
            <w:tcW w:w="860" w:type="dxa"/>
            <w:vAlign w:val="bottom"/>
            <w:gridSpan w:val="2"/>
            <w:vMerge w:val="continue"/>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7"/>
                <w:szCs w:val="17"/>
                <w:color w:val="auto"/>
              </w:rPr>
            </w:pPr>
          </w:p>
        </w:tc>
        <w:tc>
          <w:tcPr>
            <w:tcW w:w="800" w:type="dxa"/>
            <w:vAlign w:val="bottom"/>
            <w:gridSpan w:val="2"/>
            <w:vMerge w:val="continue"/>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7"/>
                <w:szCs w:val="17"/>
                <w:color w:val="auto"/>
              </w:rPr>
            </w:pPr>
          </w:p>
        </w:tc>
        <w:tc>
          <w:tcPr>
            <w:tcW w:w="7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69"/>
        </w:trPr>
        <w:tc>
          <w:tcPr>
            <w:tcW w:w="5380" w:type="dxa"/>
            <w:vAlign w:val="bottom"/>
          </w:tcPr>
          <w:p>
            <w:pPr>
              <w:ind w:left="40"/>
              <w:spacing w:after="0"/>
              <w:rPr>
                <w:sz w:val="20"/>
                <w:szCs w:val="20"/>
                <w:color w:val="auto"/>
              </w:rPr>
            </w:pPr>
            <w:r>
              <w:rPr>
                <w:rFonts w:ascii="Arial" w:cs="Arial" w:eastAsia="Arial" w:hAnsi="Arial"/>
                <w:sz w:val="14"/>
                <w:szCs w:val="14"/>
                <w:color w:val="auto"/>
              </w:rPr>
              <w:t>Add: Changes in fair value of non-hedge derivative instruments</w:t>
            </w:r>
          </w:p>
        </w:tc>
        <w:tc>
          <w:tcPr>
            <w:tcW w:w="200" w:type="dxa"/>
            <w:vAlign w:val="bottom"/>
          </w:tcPr>
          <w:p>
            <w:pPr>
              <w:spacing w:after="0"/>
              <w:rPr>
                <w:sz w:val="23"/>
                <w:szCs w:val="23"/>
                <w:color w:val="auto"/>
              </w:rPr>
            </w:pPr>
          </w:p>
        </w:tc>
        <w:tc>
          <w:tcPr>
            <w:tcW w:w="86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rPr>
              <w:t>—</w:t>
            </w:r>
          </w:p>
        </w:tc>
        <w:tc>
          <w:tcPr>
            <w:tcW w:w="200" w:type="dxa"/>
            <w:vAlign w:val="bottom"/>
          </w:tcPr>
          <w:p>
            <w:pPr>
              <w:spacing w:after="0"/>
              <w:rPr>
                <w:sz w:val="23"/>
                <w:szCs w:val="23"/>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3"/>
                <w:szCs w:val="23"/>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3"/>
                <w:szCs w:val="23"/>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rPr>
              <w:t>—</w:t>
            </w:r>
          </w:p>
        </w:tc>
        <w:tc>
          <w:tcPr>
            <w:tcW w:w="200" w:type="dxa"/>
            <w:vAlign w:val="bottom"/>
          </w:tcPr>
          <w:p>
            <w:pPr>
              <w:spacing w:after="0"/>
              <w:rPr>
                <w:sz w:val="23"/>
                <w:szCs w:val="23"/>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3"/>
                <w:szCs w:val="23"/>
                <w:color w:val="auto"/>
              </w:rPr>
            </w:pPr>
          </w:p>
        </w:tc>
        <w:tc>
          <w:tcPr>
            <w:tcW w:w="74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1"/>
        </w:trPr>
        <w:tc>
          <w:tcPr>
            <w:tcW w:w="5380" w:type="dxa"/>
            <w:vAlign w:val="bottom"/>
            <w:shd w:val="clear" w:color="auto" w:fill="CCEEFF"/>
          </w:tcPr>
          <w:p>
            <w:pPr>
              <w:ind w:left="40"/>
              <w:spacing w:after="0"/>
              <w:rPr>
                <w:sz w:val="20"/>
                <w:szCs w:val="20"/>
                <w:color w:val="auto"/>
              </w:rPr>
            </w:pPr>
            <w:r>
              <w:rPr>
                <w:rFonts w:ascii="Arial" w:cs="Arial" w:eastAsia="Arial" w:hAnsi="Arial"/>
                <w:sz w:val="14"/>
                <w:szCs w:val="14"/>
                <w:color w:val="auto"/>
              </w:rPr>
              <w:t>Add: Asset impairment charges</w:t>
            </w:r>
          </w:p>
        </w:tc>
        <w:tc>
          <w:tcPr>
            <w:tcW w:w="200" w:type="dxa"/>
            <w:vAlign w:val="bottom"/>
            <w:shd w:val="clear" w:color="auto" w:fill="CCEEFF"/>
          </w:tcPr>
          <w:p>
            <w:pPr>
              <w:spacing w:after="0"/>
              <w:rPr>
                <w:sz w:val="23"/>
                <w:szCs w:val="23"/>
                <w:color w:val="auto"/>
              </w:rPr>
            </w:pPr>
          </w:p>
        </w:tc>
        <w:tc>
          <w:tcPr>
            <w:tcW w:w="86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b w:val="1"/>
                <w:bCs w:val="1"/>
                <w:color w:val="auto"/>
              </w:rPr>
              <w:t>—</w:t>
            </w:r>
          </w:p>
        </w:tc>
        <w:tc>
          <w:tcPr>
            <w:tcW w:w="200" w:type="dxa"/>
            <w:vAlign w:val="bottom"/>
            <w:shd w:val="clear" w:color="auto" w:fill="CCEEFF"/>
          </w:tcPr>
          <w:p>
            <w:pPr>
              <w:spacing w:after="0"/>
              <w:rPr>
                <w:sz w:val="23"/>
                <w:szCs w:val="23"/>
                <w:color w:val="auto"/>
              </w:rPr>
            </w:pP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3"/>
                <w:szCs w:val="23"/>
                <w:color w:val="auto"/>
              </w:rPr>
            </w:pP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23"/>
                <w:szCs w:val="23"/>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b w:val="1"/>
                <w:bCs w:val="1"/>
                <w:color w:val="auto"/>
              </w:rPr>
              <w:t>—</w:t>
            </w:r>
          </w:p>
        </w:tc>
        <w:tc>
          <w:tcPr>
            <w:tcW w:w="200" w:type="dxa"/>
            <w:vAlign w:val="bottom"/>
            <w:shd w:val="clear" w:color="auto" w:fill="CCEEFF"/>
          </w:tcPr>
          <w:p>
            <w:pPr>
              <w:spacing w:after="0"/>
              <w:rPr>
                <w:sz w:val="23"/>
                <w:szCs w:val="23"/>
                <w:color w:val="auto"/>
              </w:rPr>
            </w:pPr>
          </w:p>
        </w:tc>
        <w:tc>
          <w:tcPr>
            <w:tcW w:w="7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7,450</w:t>
            </w: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(7,450)</w:t>
            </w:r>
          </w:p>
        </w:tc>
        <w:tc>
          <w:tcPr>
            <w:tcW w:w="0" w:type="dxa"/>
            <w:vAlign w:val="bottom"/>
          </w:tcPr>
          <w:p>
            <w:pPr>
              <w:spacing w:after="0"/>
              <w:rPr>
                <w:sz w:val="1"/>
                <w:szCs w:val="1"/>
                <w:color w:val="auto"/>
              </w:rPr>
            </w:pPr>
          </w:p>
        </w:tc>
      </w:tr>
      <w:tr>
        <w:trPr>
          <w:trHeight w:val="269"/>
        </w:trPr>
        <w:tc>
          <w:tcPr>
            <w:tcW w:w="5380" w:type="dxa"/>
            <w:vAlign w:val="bottom"/>
          </w:tcPr>
          <w:p>
            <w:pPr>
              <w:ind w:left="40"/>
              <w:spacing w:after="0"/>
              <w:rPr>
                <w:sz w:val="20"/>
                <w:szCs w:val="20"/>
                <w:color w:val="auto"/>
              </w:rPr>
            </w:pPr>
            <w:r>
              <w:rPr>
                <w:rFonts w:ascii="Arial" w:cs="Arial" w:eastAsia="Arial" w:hAnsi="Arial"/>
                <w:sz w:val="14"/>
                <w:szCs w:val="14"/>
                <w:color w:val="auto"/>
              </w:rPr>
              <w:t>Add: Incentive allocations</w:t>
            </w:r>
          </w:p>
        </w:tc>
        <w:tc>
          <w:tcPr>
            <w:tcW w:w="200" w:type="dxa"/>
            <w:vAlign w:val="bottom"/>
          </w:tcPr>
          <w:p>
            <w:pPr>
              <w:spacing w:after="0"/>
              <w:rPr>
                <w:sz w:val="23"/>
                <w:szCs w:val="23"/>
                <w:color w:val="auto"/>
              </w:rPr>
            </w:pPr>
          </w:p>
        </w:tc>
        <w:tc>
          <w:tcPr>
            <w:tcW w:w="86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rPr>
              <w:t>—</w:t>
            </w:r>
          </w:p>
        </w:tc>
        <w:tc>
          <w:tcPr>
            <w:tcW w:w="200" w:type="dxa"/>
            <w:vAlign w:val="bottom"/>
          </w:tcPr>
          <w:p>
            <w:pPr>
              <w:spacing w:after="0"/>
              <w:rPr>
                <w:sz w:val="23"/>
                <w:szCs w:val="23"/>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3"/>
                <w:szCs w:val="23"/>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3"/>
                <w:szCs w:val="23"/>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rPr>
              <w:t>—</w:t>
            </w:r>
          </w:p>
        </w:tc>
        <w:tc>
          <w:tcPr>
            <w:tcW w:w="200" w:type="dxa"/>
            <w:vAlign w:val="bottom"/>
          </w:tcPr>
          <w:p>
            <w:pPr>
              <w:spacing w:after="0"/>
              <w:rPr>
                <w:sz w:val="23"/>
                <w:szCs w:val="23"/>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3"/>
                <w:szCs w:val="23"/>
                <w:color w:val="auto"/>
              </w:rPr>
            </w:pPr>
          </w:p>
        </w:tc>
        <w:tc>
          <w:tcPr>
            <w:tcW w:w="74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1"/>
        </w:trPr>
        <w:tc>
          <w:tcPr>
            <w:tcW w:w="5380" w:type="dxa"/>
            <w:vAlign w:val="bottom"/>
            <w:shd w:val="clear" w:color="auto" w:fill="CCEEFF"/>
          </w:tcPr>
          <w:p>
            <w:pPr>
              <w:ind w:left="40"/>
              <w:spacing w:after="0"/>
              <w:rPr>
                <w:sz w:val="20"/>
                <w:szCs w:val="20"/>
                <w:color w:val="auto"/>
              </w:rPr>
            </w:pPr>
            <w:r>
              <w:rPr>
                <w:rFonts w:ascii="Arial" w:cs="Arial" w:eastAsia="Arial" w:hAnsi="Arial"/>
                <w:sz w:val="14"/>
                <w:szCs w:val="14"/>
                <w:color w:val="auto"/>
              </w:rPr>
              <w:t>Add: Depreciation and amortization expense</w:t>
            </w:r>
          </w:p>
        </w:tc>
        <w:tc>
          <w:tcPr>
            <w:tcW w:w="200" w:type="dxa"/>
            <w:vAlign w:val="bottom"/>
            <w:shd w:val="clear" w:color="auto" w:fill="CCEEFF"/>
          </w:tcPr>
          <w:p>
            <w:pPr>
              <w:spacing w:after="0"/>
              <w:rPr>
                <w:sz w:val="23"/>
                <w:szCs w:val="23"/>
                <w:color w:val="auto"/>
              </w:rPr>
            </w:pPr>
          </w:p>
        </w:tc>
        <w:tc>
          <w:tcPr>
            <w:tcW w:w="74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1,607</w:t>
            </w: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7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1,669</w:t>
            </w: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7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(62)</w:t>
            </w: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70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4,820</w:t>
            </w: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7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4,927</w:t>
            </w: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(107)</w:t>
            </w:r>
          </w:p>
        </w:tc>
        <w:tc>
          <w:tcPr>
            <w:tcW w:w="0" w:type="dxa"/>
            <w:vAlign w:val="bottom"/>
          </w:tcPr>
          <w:p>
            <w:pPr>
              <w:spacing w:after="0"/>
              <w:rPr>
                <w:sz w:val="1"/>
                <w:szCs w:val="1"/>
                <w:color w:val="auto"/>
              </w:rPr>
            </w:pPr>
          </w:p>
        </w:tc>
      </w:tr>
      <w:tr>
        <w:trPr>
          <w:trHeight w:val="269"/>
        </w:trPr>
        <w:tc>
          <w:tcPr>
            <w:tcW w:w="5380" w:type="dxa"/>
            <w:vAlign w:val="bottom"/>
          </w:tcPr>
          <w:p>
            <w:pPr>
              <w:ind w:left="40"/>
              <w:spacing w:after="0"/>
              <w:rPr>
                <w:sz w:val="20"/>
                <w:szCs w:val="20"/>
                <w:color w:val="auto"/>
              </w:rPr>
            </w:pPr>
            <w:r>
              <w:rPr>
                <w:rFonts w:ascii="Arial" w:cs="Arial" w:eastAsia="Arial" w:hAnsi="Arial"/>
                <w:sz w:val="14"/>
                <w:szCs w:val="14"/>
                <w:color w:val="auto"/>
              </w:rPr>
              <w:t>Add: Interest expense</w:t>
            </w:r>
          </w:p>
        </w:tc>
        <w:tc>
          <w:tcPr>
            <w:tcW w:w="200" w:type="dxa"/>
            <w:vAlign w:val="bottom"/>
          </w:tcPr>
          <w:p>
            <w:pPr>
              <w:spacing w:after="0"/>
              <w:rPr>
                <w:sz w:val="23"/>
                <w:szCs w:val="23"/>
                <w:color w:val="auto"/>
              </w:rPr>
            </w:pPr>
          </w:p>
        </w:tc>
        <w:tc>
          <w:tcPr>
            <w:tcW w:w="740" w:type="dxa"/>
            <w:vAlign w:val="bottom"/>
          </w:tcPr>
          <w:p>
            <w:pPr>
              <w:jc w:val="right"/>
              <w:ind w:right="48"/>
              <w:spacing w:after="0"/>
              <w:rPr>
                <w:sz w:val="20"/>
                <w:szCs w:val="20"/>
                <w:color w:val="auto"/>
              </w:rPr>
            </w:pPr>
            <w:r>
              <w:rPr>
                <w:rFonts w:ascii="Arial" w:cs="Arial" w:eastAsia="Arial" w:hAnsi="Arial"/>
                <w:sz w:val="14"/>
                <w:szCs w:val="14"/>
                <w:b w:val="1"/>
                <w:bCs w:val="1"/>
                <w:color w:val="auto"/>
              </w:rPr>
              <w:t>946</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20" w:type="dxa"/>
            <w:vAlign w:val="bottom"/>
          </w:tcPr>
          <w:p>
            <w:pPr>
              <w:jc w:val="right"/>
              <w:ind w:right="48"/>
              <w:spacing w:after="0"/>
              <w:rPr>
                <w:sz w:val="20"/>
                <w:szCs w:val="20"/>
                <w:color w:val="auto"/>
              </w:rPr>
            </w:pPr>
            <w:r>
              <w:rPr>
                <w:rFonts w:ascii="Arial" w:cs="Arial" w:eastAsia="Arial" w:hAnsi="Arial"/>
                <w:sz w:val="14"/>
                <w:szCs w:val="14"/>
                <w:color w:val="auto"/>
              </w:rPr>
              <w:t>934</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80" w:type="dxa"/>
            <w:vAlign w:val="bottom"/>
          </w:tcPr>
          <w:p>
            <w:pPr>
              <w:jc w:val="right"/>
              <w:ind w:right="48"/>
              <w:spacing w:after="0"/>
              <w:rPr>
                <w:sz w:val="20"/>
                <w:szCs w:val="20"/>
                <w:color w:val="auto"/>
              </w:rPr>
            </w:pPr>
            <w:r>
              <w:rPr>
                <w:rFonts w:ascii="Arial" w:cs="Arial" w:eastAsia="Arial" w:hAnsi="Arial"/>
                <w:sz w:val="14"/>
                <w:szCs w:val="14"/>
                <w:color w:val="auto"/>
              </w:rPr>
              <w:t>12</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00" w:type="dxa"/>
            <w:vAlign w:val="bottom"/>
          </w:tcPr>
          <w:p>
            <w:pPr>
              <w:jc w:val="right"/>
              <w:ind w:right="28"/>
              <w:spacing w:after="0"/>
              <w:rPr>
                <w:sz w:val="20"/>
                <w:szCs w:val="20"/>
                <w:color w:val="auto"/>
              </w:rPr>
            </w:pPr>
            <w:r>
              <w:rPr>
                <w:rFonts w:ascii="Arial" w:cs="Arial" w:eastAsia="Arial" w:hAnsi="Arial"/>
                <w:sz w:val="14"/>
                <w:szCs w:val="14"/>
                <w:b w:val="1"/>
                <w:bCs w:val="1"/>
                <w:color w:val="auto"/>
              </w:rPr>
              <w:t>2,800</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00" w:type="dxa"/>
            <w:vAlign w:val="bottom"/>
          </w:tcPr>
          <w:p>
            <w:pPr>
              <w:jc w:val="right"/>
              <w:ind w:right="28"/>
              <w:spacing w:after="0"/>
              <w:rPr>
                <w:sz w:val="20"/>
                <w:szCs w:val="20"/>
                <w:color w:val="auto"/>
              </w:rPr>
            </w:pPr>
            <w:r>
              <w:rPr>
                <w:rFonts w:ascii="Arial" w:cs="Arial" w:eastAsia="Arial" w:hAnsi="Arial"/>
                <w:sz w:val="14"/>
                <w:szCs w:val="14"/>
                <w:color w:val="auto"/>
              </w:rPr>
              <w:t>2,805</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(5)</w:t>
            </w:r>
          </w:p>
        </w:tc>
        <w:tc>
          <w:tcPr>
            <w:tcW w:w="0" w:type="dxa"/>
            <w:vAlign w:val="bottom"/>
          </w:tcPr>
          <w:p>
            <w:pPr>
              <w:spacing w:after="0"/>
              <w:rPr>
                <w:sz w:val="1"/>
                <w:szCs w:val="1"/>
                <w:color w:val="auto"/>
              </w:rPr>
            </w:pPr>
          </w:p>
        </w:tc>
      </w:tr>
      <w:tr>
        <w:trPr>
          <w:trHeight w:val="271"/>
        </w:trPr>
        <w:tc>
          <w:tcPr>
            <w:tcW w:w="5380" w:type="dxa"/>
            <w:vAlign w:val="bottom"/>
            <w:shd w:val="clear" w:color="auto" w:fill="CCEEFF"/>
          </w:tcPr>
          <w:p>
            <w:pPr>
              <w:ind w:left="40"/>
              <w:spacing w:after="0"/>
              <w:rPr>
                <w:sz w:val="20"/>
                <w:szCs w:val="20"/>
                <w:color w:val="auto"/>
              </w:rPr>
            </w:pPr>
            <w:r>
              <w:rPr>
                <w:rFonts w:ascii="Arial" w:cs="Arial" w:eastAsia="Arial" w:hAnsi="Arial"/>
                <w:sz w:val="14"/>
                <w:szCs w:val="14"/>
                <w:color w:val="auto"/>
              </w:rPr>
              <w:t>Add: Pro-rata share of Adjusted EBITDA from unconsolidated entities</w:t>
            </w:r>
          </w:p>
        </w:tc>
        <w:tc>
          <w:tcPr>
            <w:tcW w:w="200" w:type="dxa"/>
            <w:vAlign w:val="bottom"/>
            <w:shd w:val="clear" w:color="auto" w:fill="CCEEFF"/>
          </w:tcPr>
          <w:p>
            <w:pPr>
              <w:spacing w:after="0"/>
              <w:rPr>
                <w:sz w:val="23"/>
                <w:szCs w:val="23"/>
                <w:color w:val="auto"/>
              </w:rPr>
            </w:pPr>
          </w:p>
        </w:tc>
        <w:tc>
          <w:tcPr>
            <w:tcW w:w="86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b w:val="1"/>
                <w:bCs w:val="1"/>
                <w:color w:val="auto"/>
              </w:rPr>
              <w:t>—</w:t>
            </w:r>
          </w:p>
        </w:tc>
        <w:tc>
          <w:tcPr>
            <w:tcW w:w="200" w:type="dxa"/>
            <w:vAlign w:val="bottom"/>
            <w:shd w:val="clear" w:color="auto" w:fill="CCEEFF"/>
          </w:tcPr>
          <w:p>
            <w:pPr>
              <w:spacing w:after="0"/>
              <w:rPr>
                <w:sz w:val="23"/>
                <w:szCs w:val="23"/>
                <w:color w:val="auto"/>
              </w:rPr>
            </w:pP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3"/>
                <w:szCs w:val="23"/>
                <w:color w:val="auto"/>
              </w:rPr>
            </w:pP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23"/>
                <w:szCs w:val="23"/>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b w:val="1"/>
                <w:bCs w:val="1"/>
                <w:color w:val="auto"/>
              </w:rPr>
              <w:t>—</w:t>
            </w:r>
          </w:p>
        </w:tc>
        <w:tc>
          <w:tcPr>
            <w:tcW w:w="200" w:type="dxa"/>
            <w:vAlign w:val="bottom"/>
            <w:shd w:val="clear" w:color="auto" w:fill="CCEEFF"/>
          </w:tcPr>
          <w:p>
            <w:pPr>
              <w:spacing w:after="0"/>
              <w:rPr>
                <w:sz w:val="23"/>
                <w:szCs w:val="23"/>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3"/>
                <w:szCs w:val="23"/>
                <w:color w:val="auto"/>
              </w:rPr>
            </w:pPr>
          </w:p>
        </w:tc>
        <w:tc>
          <w:tcPr>
            <w:tcW w:w="7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69"/>
        </w:trPr>
        <w:tc>
          <w:tcPr>
            <w:tcW w:w="5380" w:type="dxa"/>
            <w:vAlign w:val="bottom"/>
          </w:tcPr>
          <w:p>
            <w:pPr>
              <w:ind w:left="40"/>
              <w:spacing w:after="0"/>
              <w:rPr>
                <w:sz w:val="20"/>
                <w:szCs w:val="20"/>
                <w:color w:val="auto"/>
              </w:rPr>
            </w:pPr>
            <w:r>
              <w:rPr>
                <w:rFonts w:ascii="Arial" w:cs="Arial" w:eastAsia="Arial" w:hAnsi="Arial"/>
                <w:sz w:val="14"/>
                <w:szCs w:val="14"/>
                <w:color w:val="auto"/>
              </w:rPr>
              <w:t>Less: Equity in earnings of unconsolidated entities</w:t>
            </w:r>
          </w:p>
        </w:tc>
        <w:tc>
          <w:tcPr>
            <w:tcW w:w="200" w:type="dxa"/>
            <w:vAlign w:val="bottom"/>
          </w:tcPr>
          <w:p>
            <w:pPr>
              <w:spacing w:after="0"/>
              <w:rPr>
                <w:sz w:val="23"/>
                <w:szCs w:val="23"/>
                <w:color w:val="auto"/>
              </w:rPr>
            </w:pPr>
          </w:p>
        </w:tc>
        <w:tc>
          <w:tcPr>
            <w:tcW w:w="86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rPr>
              <w:t>—</w:t>
            </w:r>
          </w:p>
        </w:tc>
        <w:tc>
          <w:tcPr>
            <w:tcW w:w="200" w:type="dxa"/>
            <w:vAlign w:val="bottom"/>
          </w:tcPr>
          <w:p>
            <w:pPr>
              <w:spacing w:after="0"/>
              <w:rPr>
                <w:sz w:val="23"/>
                <w:szCs w:val="23"/>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3"/>
                <w:szCs w:val="23"/>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3"/>
                <w:szCs w:val="23"/>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rPr>
              <w:t>—</w:t>
            </w:r>
          </w:p>
        </w:tc>
        <w:tc>
          <w:tcPr>
            <w:tcW w:w="200" w:type="dxa"/>
            <w:vAlign w:val="bottom"/>
          </w:tcPr>
          <w:p>
            <w:pPr>
              <w:spacing w:after="0"/>
              <w:rPr>
                <w:sz w:val="23"/>
                <w:szCs w:val="23"/>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3"/>
                <w:szCs w:val="23"/>
                <w:color w:val="auto"/>
              </w:rPr>
            </w:pPr>
          </w:p>
        </w:tc>
        <w:tc>
          <w:tcPr>
            <w:tcW w:w="74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1"/>
        </w:trPr>
        <w:tc>
          <w:tcPr>
            <w:tcW w:w="5380" w:type="dxa"/>
            <w:vAlign w:val="bottom"/>
            <w:shd w:val="clear" w:color="auto" w:fill="CCEEFF"/>
          </w:tcPr>
          <w:p>
            <w:pPr>
              <w:ind w:left="40"/>
              <w:spacing w:after="0"/>
              <w:rPr>
                <w:sz w:val="20"/>
                <w:szCs w:val="20"/>
                <w:color w:val="auto"/>
              </w:rPr>
            </w:pPr>
            <w:r>
              <w:rPr>
                <w:rFonts w:ascii="Arial" w:cs="Arial" w:eastAsia="Arial" w:hAnsi="Arial"/>
                <w:sz w:val="14"/>
                <w:szCs w:val="14"/>
                <w:color w:val="auto"/>
              </w:rPr>
              <w:t xml:space="preserve">Less: Non-controlling share of Adjusted EBITDA </w:t>
            </w:r>
            <w:r>
              <w:rPr>
                <w:rFonts w:ascii="Arial" w:cs="Arial" w:eastAsia="Arial" w:hAnsi="Arial"/>
                <w:sz w:val="17"/>
                <w:szCs w:val="17"/>
                <w:color w:val="auto"/>
                <w:vertAlign w:val="superscript"/>
              </w:rPr>
              <w:t>(2)</w:t>
            </w:r>
          </w:p>
        </w:tc>
        <w:tc>
          <w:tcPr>
            <w:tcW w:w="200" w:type="dxa"/>
            <w:vAlign w:val="bottom"/>
            <w:tcBorders>
              <w:bottom w:val="single" w:sz="8" w:color="auto"/>
            </w:tcBorders>
            <w:shd w:val="clear" w:color="auto" w:fill="CCEEFF"/>
          </w:tcPr>
          <w:p>
            <w:pPr>
              <w:spacing w:after="0"/>
              <w:rPr>
                <w:sz w:val="23"/>
                <w:szCs w:val="23"/>
                <w:color w:val="auto"/>
              </w:rPr>
            </w:pPr>
          </w:p>
        </w:tc>
        <w:tc>
          <w:tcPr>
            <w:tcW w:w="74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(61)</w:t>
            </w:r>
          </w:p>
        </w:tc>
        <w:tc>
          <w:tcPr>
            <w:tcW w:w="12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(91)</w:t>
            </w:r>
          </w:p>
        </w:tc>
        <w:tc>
          <w:tcPr>
            <w:tcW w:w="12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78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30</w:t>
            </w:r>
          </w:p>
        </w:tc>
        <w:tc>
          <w:tcPr>
            <w:tcW w:w="10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(247)</w:t>
            </w:r>
          </w:p>
        </w:tc>
        <w:tc>
          <w:tcPr>
            <w:tcW w:w="10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(3,992)</w:t>
            </w:r>
          </w:p>
        </w:tc>
        <w:tc>
          <w:tcPr>
            <w:tcW w:w="10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7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3,745</w:t>
            </w:r>
          </w:p>
        </w:tc>
        <w:tc>
          <w:tcPr>
            <w:tcW w:w="0" w:type="dxa"/>
            <w:vAlign w:val="bottom"/>
          </w:tcPr>
          <w:p>
            <w:pPr>
              <w:spacing w:after="0"/>
              <w:rPr>
                <w:sz w:val="1"/>
                <w:szCs w:val="1"/>
                <w:color w:val="auto"/>
              </w:rPr>
            </w:pPr>
          </w:p>
        </w:tc>
      </w:tr>
      <w:tr>
        <w:trPr>
          <w:trHeight w:val="237"/>
        </w:trPr>
        <w:tc>
          <w:tcPr>
            <w:tcW w:w="5380" w:type="dxa"/>
            <w:vAlign w:val="bottom"/>
          </w:tcPr>
          <w:p>
            <w:pPr>
              <w:ind w:left="40"/>
              <w:spacing w:after="0"/>
              <w:rPr>
                <w:sz w:val="20"/>
                <w:szCs w:val="20"/>
                <w:color w:val="auto"/>
              </w:rPr>
            </w:pPr>
            <w:r>
              <w:rPr>
                <w:rFonts w:ascii="Arial" w:cs="Arial" w:eastAsia="Arial" w:hAnsi="Arial"/>
                <w:sz w:val="14"/>
                <w:szCs w:val="14"/>
                <w:b w:val="1"/>
                <w:bCs w:val="1"/>
                <w:color w:val="auto"/>
              </w:rPr>
              <w:t>Adjusted EBITDA (non-GAAP)</w:t>
            </w:r>
          </w:p>
        </w:tc>
        <w:tc>
          <w:tcPr>
            <w:tcW w:w="2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w:t>
            </w:r>
          </w:p>
        </w:tc>
        <w:tc>
          <w:tcPr>
            <w:tcW w:w="7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2,112</w:t>
            </w:r>
          </w:p>
        </w:tc>
        <w:tc>
          <w:tcPr>
            <w:tcW w:w="120" w:type="dxa"/>
            <w:vAlign w:val="bottom"/>
          </w:tcPr>
          <w:p>
            <w:pPr>
              <w:spacing w:after="0"/>
              <w:rPr>
                <w:sz w:val="20"/>
                <w:szCs w:val="20"/>
                <w:color w:val="auto"/>
              </w:rPr>
            </w:pPr>
          </w:p>
        </w:tc>
        <w:tc>
          <w:tcPr>
            <w:tcW w:w="2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605</w:t>
            </w:r>
          </w:p>
        </w:tc>
        <w:tc>
          <w:tcPr>
            <w:tcW w:w="120" w:type="dxa"/>
            <w:vAlign w:val="bottom"/>
          </w:tcPr>
          <w:p>
            <w:pPr>
              <w:spacing w:after="0"/>
              <w:rPr>
                <w:sz w:val="20"/>
                <w:szCs w:val="20"/>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1,507</w:t>
            </w:r>
          </w:p>
        </w:tc>
        <w:tc>
          <w:tcPr>
            <w:tcW w:w="100" w:type="dxa"/>
            <w:vAlign w:val="bottom"/>
          </w:tcPr>
          <w:p>
            <w:pPr>
              <w:spacing w:after="0"/>
              <w:rPr>
                <w:sz w:val="20"/>
                <w:szCs w:val="20"/>
                <w:color w:val="auto"/>
              </w:rPr>
            </w:pPr>
          </w:p>
        </w:tc>
        <w:tc>
          <w:tcPr>
            <w:tcW w:w="2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(323)</w:t>
            </w:r>
          </w:p>
        </w:tc>
        <w:tc>
          <w:tcPr>
            <w:tcW w:w="100" w:type="dxa"/>
            <w:vAlign w:val="bottom"/>
          </w:tcPr>
          <w:p>
            <w:pPr>
              <w:spacing w:after="0"/>
              <w:rPr>
                <w:sz w:val="20"/>
                <w:szCs w:val="20"/>
                <w:color w:val="auto"/>
              </w:rPr>
            </w:pPr>
          </w:p>
        </w:tc>
        <w:tc>
          <w:tcPr>
            <w:tcW w:w="2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(3,671)</w:t>
            </w:r>
          </w:p>
        </w:tc>
        <w:tc>
          <w:tcPr>
            <w:tcW w:w="100" w:type="dxa"/>
            <w:vAlign w:val="bottom"/>
          </w:tcPr>
          <w:p>
            <w:pPr>
              <w:spacing w:after="0"/>
              <w:rPr>
                <w:sz w:val="20"/>
                <w:szCs w:val="20"/>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3,348</w:t>
            </w:r>
          </w:p>
        </w:tc>
        <w:tc>
          <w:tcPr>
            <w:tcW w:w="0" w:type="dxa"/>
            <w:vAlign w:val="bottom"/>
          </w:tcPr>
          <w:p>
            <w:pPr>
              <w:spacing w:after="0"/>
              <w:rPr>
                <w:sz w:val="1"/>
                <w:szCs w:val="1"/>
                <w:color w:val="auto"/>
              </w:rPr>
            </w:pPr>
          </w:p>
        </w:tc>
      </w:tr>
      <w:tr>
        <w:trPr>
          <w:trHeight w:val="20"/>
        </w:trPr>
        <w:tc>
          <w:tcPr>
            <w:tcW w:w="53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4" w:lineRule="exact"/>
        <w:rPr>
          <w:sz w:val="20"/>
          <w:szCs w:val="20"/>
          <w:color w:val="auto"/>
        </w:rPr>
      </w:pPr>
    </w:p>
    <w:p>
      <w:pPr>
        <w:spacing w:after="0"/>
        <w:rPr>
          <w:sz w:val="20"/>
          <w:szCs w:val="20"/>
          <w:color w:val="auto"/>
        </w:rPr>
      </w:pPr>
      <w:r>
        <w:rPr>
          <w:rFonts w:ascii="Arial" w:cs="Arial" w:eastAsia="Arial" w:hAnsi="Arial"/>
          <w:sz w:val="16"/>
          <w:szCs w:val="16"/>
          <w:color w:val="auto"/>
        </w:rPr>
        <w:t>________________________________________________________</w:t>
      </w:r>
    </w:p>
    <w:p>
      <w:pPr>
        <w:spacing w:after="0" w:line="172" w:lineRule="exact"/>
        <w:rPr>
          <w:sz w:val="20"/>
          <w:szCs w:val="20"/>
          <w:color w:val="auto"/>
        </w:rPr>
      </w:pPr>
    </w:p>
    <w:p>
      <w:pPr>
        <w:ind w:left="500" w:hanging="492"/>
        <w:spacing w:after="0"/>
        <w:tabs>
          <w:tab w:leader="none" w:pos="149" w:val="left"/>
        </w:tabs>
        <w:numPr>
          <w:ilvl w:val="0"/>
          <w:numId w:val="18"/>
        </w:numPr>
        <w:rPr>
          <w:rFonts w:ascii="Arial" w:cs="Arial" w:eastAsia="Arial" w:hAnsi="Arial"/>
          <w:sz w:val="17"/>
          <w:szCs w:val="17"/>
          <w:color w:val="auto"/>
          <w:vertAlign w:val="superscript"/>
        </w:rPr>
      </w:pPr>
      <w:r>
        <w:rPr>
          <w:rFonts w:ascii="Arial" w:cs="Arial" w:eastAsia="Arial" w:hAnsi="Arial"/>
          <w:sz w:val="14"/>
          <w:szCs w:val="14"/>
          <w:color w:val="auto"/>
        </w:rPr>
        <w:t>Non-controlling share of Adjusted EBITDA is comprised of the following items for the three months ended September 30, 2017 and 2016: (i) depreciation expense of $42 and $62, and (ii) interest expense of $19 and $29, respectively. Non-controlling share of Adjusted EBITDA is comprised of the following items for the nine months ended September 30, 2017 and 2016: (i) depreciation expense of $165 and $183, (ii) interest expense of $82 and $84, and (iii) asset impairment of $0 and $3,725, respectively.</w:t>
      </w:r>
    </w:p>
    <w:p>
      <w:pPr>
        <w:spacing w:after="0" w:line="126"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00497F"/>
        </w:rPr>
        <w:t>Revenues</w:t>
      </w:r>
    </w:p>
    <w:p>
      <w:pPr>
        <w:spacing w:after="0" w:line="167" w:lineRule="exact"/>
        <w:rPr>
          <w:sz w:val="20"/>
          <w:szCs w:val="20"/>
          <w:color w:val="auto"/>
        </w:rPr>
      </w:pPr>
    </w:p>
    <w:p>
      <w:pPr>
        <w:jc w:val="both"/>
        <w:spacing w:after="0" w:line="255" w:lineRule="auto"/>
        <w:rPr>
          <w:sz w:val="20"/>
          <w:szCs w:val="20"/>
          <w:color w:val="auto"/>
        </w:rPr>
      </w:pPr>
      <w:r>
        <w:rPr>
          <w:rFonts w:ascii="Arial" w:cs="Arial" w:eastAsia="Arial" w:hAnsi="Arial"/>
          <w:sz w:val="16"/>
          <w:szCs w:val="16"/>
          <w:color w:val="auto"/>
        </w:rPr>
        <w:t>Total revenues in the Offshore Energy segment increased $3,148 and $6,522 in the three and nine months ended September 30, 2017 compared to the three and nine months ended September 30, 2016, respectively, primarily due to higher lease income and other revenue. Other revenue increased $1,927 and $2,499 in the three and nine months ended September 30, 2017 compared to the three and nine months ended September 30, 2016, respectively, relate to the crew and insurance reimbursement income for the offshore construction vessel. In the three and nine months ended September 30, 2017 both the offshore construction vessel and the ROV support vessel were on hire compared to the prior year periods when both the offshore construction vessel and ROV support vessel were subject to short term charter arrangements.</w:t>
      </w:r>
    </w:p>
    <w:p>
      <w:pPr>
        <w:spacing w:after="0" w:line="12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00497F"/>
        </w:rPr>
        <w:t>Expenses</w:t>
      </w:r>
    </w:p>
    <w:p>
      <w:pPr>
        <w:spacing w:after="0" w:line="167"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Total expenses in the Offshore Energy segment increased $2,645 in the three months ended September 30, 2017 compared to the prior period primarily due to increases in operating expenses.</w:t>
      </w:r>
    </w:p>
    <w:p>
      <w:pPr>
        <w:spacing w:after="0" w:line="94"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Operating expenses increased $2,695 in the three months ended September 30, 2017 compared to the prior year. The increase reflected higher (i) project costs of $673, (ii) mobilization costs of $524 (iii) crew costs of $516 (iv) legal fees of $403 and (vi) other operating expenses of $579.</w:t>
      </w:r>
    </w:p>
    <w:p>
      <w:pPr>
        <w:spacing w:after="0" w:line="94" w:lineRule="exact"/>
        <w:rPr>
          <w:sz w:val="20"/>
          <w:szCs w:val="20"/>
          <w:color w:val="auto"/>
        </w:rPr>
      </w:pPr>
    </w:p>
    <w:p>
      <w:pPr>
        <w:jc w:val="both"/>
        <w:ind w:right="20"/>
        <w:spacing w:after="0" w:line="291" w:lineRule="auto"/>
        <w:rPr>
          <w:sz w:val="20"/>
          <w:szCs w:val="20"/>
          <w:color w:val="auto"/>
        </w:rPr>
      </w:pPr>
      <w:r>
        <w:rPr>
          <w:rFonts w:ascii="Arial" w:cs="Arial" w:eastAsia="Arial" w:hAnsi="Arial"/>
          <w:sz w:val="16"/>
          <w:szCs w:val="16"/>
          <w:color w:val="auto"/>
        </w:rPr>
        <w:t>During the three months ended September 30, 2017, there was $1,195 and $412 of depreciation expense related to the construction support vessel and ROV support vessel, respectively, flat compared to the prior period.</w:t>
      </w:r>
    </w:p>
    <w:p>
      <w:pPr>
        <w:spacing w:after="0" w:line="94"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During the three months ended September 30, 2017, there was $916 and $30 of interest expense primarily related to financing for the construction support vessel and ROV support vessel, respectively, flat compared to the prior period.</w:t>
      </w:r>
    </w:p>
    <w:p>
      <w:pPr>
        <w:spacing w:after="0" w:line="94" w:lineRule="exact"/>
        <w:rPr>
          <w:sz w:val="20"/>
          <w:szCs w:val="20"/>
          <w:color w:val="auto"/>
        </w:rPr>
      </w:pPr>
    </w:p>
    <w:p>
      <w:pPr>
        <w:jc w:val="both"/>
        <w:ind w:right="20"/>
        <w:spacing w:after="0" w:line="265" w:lineRule="auto"/>
        <w:rPr>
          <w:sz w:val="20"/>
          <w:szCs w:val="20"/>
          <w:color w:val="auto"/>
        </w:rPr>
      </w:pPr>
      <w:r>
        <w:rPr>
          <w:rFonts w:ascii="Arial" w:cs="Arial" w:eastAsia="Arial" w:hAnsi="Arial"/>
          <w:sz w:val="16"/>
          <w:szCs w:val="16"/>
          <w:color w:val="auto"/>
        </w:rPr>
        <w:t>For the nine months ended September 30, 2017, total expenses increased $4,139 compared to the prior period primarily due to increases in operating expenses.</w:t>
      </w: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54</w:t>
      </w:r>
    </w:p>
    <w:p>
      <w:pPr>
        <w:sectPr>
          <w:pgSz w:w="11900" w:h="16838" w:orient="portrait"/>
          <w:cols w:equalWidth="0" w:num="1">
            <w:col w:w="11420"/>
          </w:cols>
          <w:pgMar w:left="240" w:top="878" w:right="239" w:bottom="1440" w:gutter="0" w:footer="0" w:header="0"/>
        </w:sectPr>
      </w:pPr>
    </w:p>
    <w:bookmarkStart w:id="54" w:name="page55"/>
    <w:bookmarkEnd w:id="54"/>
    <w:p>
      <w:pPr>
        <w:jc w:val="both"/>
        <w:ind w:right="20"/>
        <w:spacing w:after="0" w:line="291" w:lineRule="auto"/>
        <w:rPr>
          <w:sz w:val="20"/>
          <w:szCs w:val="20"/>
          <w:color w:val="auto"/>
        </w:rPr>
      </w:pPr>
      <w:r>
        <w:rPr>
          <w:rFonts w:ascii="Arial" w:cs="Arial" w:eastAsia="Arial" w:hAnsi="Arial"/>
          <w:sz w:val="16"/>
          <w:szCs w:val="16"/>
          <w:color w:val="auto"/>
        </w:rPr>
        <w:t>Operating expenses increased $4,251 in the nine months ended September 30, 2017 compared to the prior period reflecting higher (i) legal fees of $1,839, (ii) crew costs of $1,370 (iii) project costs of $927 and (iv) other operating expenses of $115.</w:t>
      </w:r>
    </w:p>
    <w:p>
      <w:pPr>
        <w:spacing w:after="0" w:line="94" w:lineRule="exact"/>
        <w:rPr>
          <w:sz w:val="20"/>
          <w:szCs w:val="20"/>
          <w:color w:val="auto"/>
        </w:rPr>
      </w:pPr>
    </w:p>
    <w:p>
      <w:pPr>
        <w:jc w:val="both"/>
        <w:ind w:right="20"/>
        <w:spacing w:after="0" w:line="291" w:lineRule="auto"/>
        <w:rPr>
          <w:sz w:val="20"/>
          <w:szCs w:val="20"/>
          <w:color w:val="auto"/>
        </w:rPr>
      </w:pPr>
      <w:r>
        <w:rPr>
          <w:rFonts w:ascii="Arial" w:cs="Arial" w:eastAsia="Arial" w:hAnsi="Arial"/>
          <w:sz w:val="16"/>
          <w:szCs w:val="16"/>
          <w:color w:val="auto"/>
        </w:rPr>
        <w:t>During the nine months ended September 30, 2017, there was $3,586 and $1,234 of depreciation expense related to the construction support vessel and ROV support vessel, respectively, flat compared to the prior period.</w:t>
      </w:r>
    </w:p>
    <w:p>
      <w:pPr>
        <w:spacing w:after="0" w:line="94" w:lineRule="exact"/>
        <w:rPr>
          <w:sz w:val="20"/>
          <w:szCs w:val="20"/>
          <w:color w:val="auto"/>
        </w:rPr>
      </w:pPr>
    </w:p>
    <w:p>
      <w:pPr>
        <w:jc w:val="both"/>
        <w:ind w:right="40"/>
        <w:spacing w:after="0" w:line="291" w:lineRule="auto"/>
        <w:rPr>
          <w:sz w:val="20"/>
          <w:szCs w:val="20"/>
          <w:color w:val="auto"/>
        </w:rPr>
      </w:pPr>
      <w:r>
        <w:rPr>
          <w:rFonts w:ascii="Arial" w:cs="Arial" w:eastAsia="Arial" w:hAnsi="Arial"/>
          <w:sz w:val="16"/>
          <w:szCs w:val="16"/>
          <w:color w:val="auto"/>
        </w:rPr>
        <w:t>During the nine months ended September 30, 2017, there was $2,708 and $92 of interest expense primarily related to financing for the construction support vessel and ROV support vessel, respectively, flat compared to the prior period.</w:t>
      </w:r>
    </w:p>
    <w:p>
      <w:pPr>
        <w:spacing w:after="0" w:line="9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00497F"/>
        </w:rPr>
        <w:t>Other Income</w:t>
      </w:r>
    </w:p>
    <w:p>
      <w:pPr>
        <w:spacing w:after="0" w:line="167" w:lineRule="exact"/>
        <w:rPr>
          <w:sz w:val="20"/>
          <w:szCs w:val="20"/>
          <w:color w:val="auto"/>
        </w:rPr>
      </w:pPr>
    </w:p>
    <w:p>
      <w:pPr>
        <w:jc w:val="both"/>
        <w:ind w:right="20"/>
        <w:spacing w:after="0" w:line="261" w:lineRule="auto"/>
        <w:rPr>
          <w:sz w:val="20"/>
          <w:szCs w:val="20"/>
          <w:color w:val="auto"/>
        </w:rPr>
      </w:pPr>
      <w:r>
        <w:rPr>
          <w:rFonts w:ascii="Arial" w:cs="Arial" w:eastAsia="Arial" w:hAnsi="Arial"/>
          <w:sz w:val="16"/>
          <w:szCs w:val="16"/>
          <w:color w:val="auto"/>
        </w:rPr>
        <w:t>Other Income in the Offshore Energy segment increased $1,093 and $8,545 in the three and nine months ended September 30, 2017 as compared to the three and nine months ended September 30, 2016, respectively, primarily due to transfer of interests from the non-controlling interest holder to the Company as settlement for a note receivable, resulting in a gain of $1,093 in the third quarter of 2017. Also, contributing to the change in the nine months ended was the net impact of the asset impairment recorded in the second quarter of 2016.</w:t>
      </w:r>
    </w:p>
    <w:p>
      <w:pPr>
        <w:spacing w:after="0" w:line="11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00497F"/>
        </w:rPr>
        <w:t>Adjusted Net Loss</w:t>
      </w:r>
    </w:p>
    <w:p>
      <w:pPr>
        <w:spacing w:after="0" w:line="167" w:lineRule="exact"/>
        <w:rPr>
          <w:sz w:val="20"/>
          <w:szCs w:val="20"/>
          <w:color w:val="auto"/>
        </w:rPr>
      </w:pPr>
    </w:p>
    <w:p>
      <w:pPr>
        <w:jc w:val="both"/>
        <w:ind w:right="20"/>
        <w:spacing w:after="0" w:line="264" w:lineRule="auto"/>
        <w:rPr>
          <w:sz w:val="20"/>
          <w:szCs w:val="20"/>
          <w:color w:val="auto"/>
        </w:rPr>
      </w:pPr>
      <w:r>
        <w:rPr>
          <w:rFonts w:ascii="Arial" w:cs="Arial" w:eastAsia="Arial" w:hAnsi="Arial"/>
          <w:sz w:val="16"/>
          <w:szCs w:val="16"/>
          <w:color w:val="auto"/>
        </w:rPr>
        <w:t>Adjusted Net Loss decreased $1,527 and $3,440 in the three and nine months ended September 30, 2017 compared to the three and nine months ended September 30, 2016, respectively. The decrease in both periods is primarily due to the changes to net loss attributable to shareholders described above, with the addition of the net impact of the impairment recorded in the second quarter of 2016 contributing to the decrease in the nine months ended September 30, 2017.</w:t>
      </w: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00497F"/>
        </w:rPr>
        <w:t>Adjusted EBITDA (Non-GAAP)</w:t>
      </w:r>
    </w:p>
    <w:p>
      <w:pPr>
        <w:spacing w:after="0" w:line="167" w:lineRule="exact"/>
        <w:rPr>
          <w:sz w:val="20"/>
          <w:szCs w:val="20"/>
          <w:color w:val="auto"/>
        </w:rPr>
      </w:pPr>
    </w:p>
    <w:p>
      <w:pPr>
        <w:jc w:val="both"/>
        <w:ind w:right="20"/>
        <w:spacing w:after="0" w:line="255" w:lineRule="auto"/>
        <w:rPr>
          <w:sz w:val="20"/>
          <w:szCs w:val="20"/>
          <w:color w:val="auto"/>
        </w:rPr>
      </w:pPr>
      <w:r>
        <w:rPr>
          <w:rFonts w:ascii="Arial" w:cs="Arial" w:eastAsia="Arial" w:hAnsi="Arial"/>
          <w:sz w:val="16"/>
          <w:szCs w:val="16"/>
          <w:color w:val="auto"/>
        </w:rPr>
        <w:t>Adjusted EBITDA increased $1,507 and $3,348 in the three and nine months ended September 30, 2017, compared to the three and nine months ended September 30, 2016, respectively. The increase in both periods is primarily due to lower net loss attributable to shareholders of $1,532 and $7,165 in the three and nine months ended September 30, 2017, respectively, compared to the three months ended September 30, 2017. The increase in both periods was partially offset by a decrease in depreciation and amortization expense of $62 and $107 in the three and nine months ended September 30, 2017, respectively. The increase in the nine months ended September 30, 2017 was also partially offset by the asset impairment charge recorded during 2016, there was no asset impairment in 2017.</w:t>
      </w:r>
    </w:p>
    <w:p>
      <w:pPr>
        <w:spacing w:after="0" w:line="176" w:lineRule="exact"/>
        <w:rPr>
          <w:sz w:val="20"/>
          <w:szCs w:val="20"/>
          <w:color w:val="auto"/>
        </w:rPr>
      </w:pPr>
    </w:p>
    <w:p>
      <w:pPr>
        <w:spacing w:after="0"/>
        <w:rPr>
          <w:sz w:val="20"/>
          <w:szCs w:val="20"/>
          <w:color w:val="auto"/>
        </w:rPr>
      </w:pPr>
      <w:r>
        <w:rPr>
          <w:rFonts w:ascii="Arial" w:cs="Arial" w:eastAsia="Arial" w:hAnsi="Arial"/>
          <w:sz w:val="16"/>
          <w:szCs w:val="16"/>
          <w:b w:val="1"/>
          <w:bCs w:val="1"/>
          <w:color w:val="00497F"/>
        </w:rPr>
        <w:t>Shipping Containers Segment</w:t>
      </w:r>
    </w:p>
    <w:p>
      <w:pPr>
        <w:spacing w:after="0" w:line="169" w:lineRule="exact"/>
        <w:rPr>
          <w:sz w:val="20"/>
          <w:szCs w:val="20"/>
          <w:color w:val="auto"/>
        </w:rPr>
      </w:pPr>
    </w:p>
    <w:p>
      <w:pPr>
        <w:jc w:val="both"/>
        <w:ind w:right="20"/>
        <w:spacing w:after="0" w:line="291" w:lineRule="auto"/>
        <w:rPr>
          <w:sz w:val="20"/>
          <w:szCs w:val="20"/>
          <w:color w:val="auto"/>
        </w:rPr>
      </w:pPr>
      <w:r>
        <w:rPr>
          <w:rFonts w:ascii="Arial" w:cs="Arial" w:eastAsia="Arial" w:hAnsi="Arial"/>
          <w:sz w:val="16"/>
          <w:szCs w:val="16"/>
          <w:color w:val="auto"/>
        </w:rPr>
        <w:t>In our Shipping Containers segment, we own, through a joint venture, interest in approximately 36,000 maritime shipping containers and related equipment through one portfolio. The chart below describes the assets in our Shipping Containers segment as of September 30,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156845</wp:posOffset>
            </wp:positionV>
            <wp:extent cx="7254875" cy="84899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54875" cy="848995"/>
                    </a:xfrm>
                    <a:prstGeom prst="rect">
                      <a:avLst/>
                    </a:prstGeom>
                    <a:noFill/>
                  </pic:spPr>
                </pic:pic>
              </a:graphicData>
            </a:graphic>
          </wp:anchor>
        </w:drawing>
      </w:r>
    </w:p>
    <w:p>
      <w:pPr>
        <w:spacing w:after="0" w:line="241" w:lineRule="exact"/>
        <w:rPr>
          <w:sz w:val="20"/>
          <w:szCs w:val="20"/>
          <w:color w:val="auto"/>
        </w:rPr>
      </w:pPr>
    </w:p>
    <w:p>
      <w:pPr>
        <w:ind w:left="180"/>
        <w:spacing w:after="0"/>
        <w:rPr>
          <w:sz w:val="20"/>
          <w:szCs w:val="20"/>
          <w:color w:val="auto"/>
        </w:rPr>
      </w:pPr>
      <w:r>
        <w:rPr>
          <w:rFonts w:ascii="Arial" w:cs="Arial" w:eastAsia="Arial" w:hAnsi="Arial"/>
          <w:sz w:val="14"/>
          <w:szCs w:val="14"/>
          <w:color w:val="FFFFFF"/>
        </w:rPr>
        <w:t>Shipping Containers Assets</w:t>
      </w:r>
    </w:p>
    <w:p>
      <w:pPr>
        <w:spacing w:after="0" w:line="33"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2320" w:type="dxa"/>
            <w:vAlign w:val="bottom"/>
            <w:tcBorders>
              <w:top w:val="single" w:sz="8" w:color="auto"/>
              <w:bottom w:val="single" w:sz="8" w:color="auto"/>
              <w:right w:val="single" w:sz="8" w:color="auto"/>
            </w:tcBorders>
            <w:shd w:val="clear" w:color="auto" w:fill="D8D8D8"/>
          </w:tcPr>
          <w:p>
            <w:pPr>
              <w:jc w:val="right"/>
              <w:ind w:right="648"/>
              <w:spacing w:after="0"/>
              <w:rPr>
                <w:sz w:val="20"/>
                <w:szCs w:val="20"/>
                <w:color w:val="auto"/>
              </w:rPr>
            </w:pPr>
            <w:r>
              <w:rPr>
                <w:rFonts w:ascii="Arial" w:cs="Arial" w:eastAsia="Arial" w:hAnsi="Arial"/>
                <w:sz w:val="14"/>
                <w:szCs w:val="14"/>
                <w:color w:val="auto"/>
              </w:rPr>
              <w:t>Number of Containers</w:t>
            </w:r>
          </w:p>
        </w:tc>
        <w:tc>
          <w:tcPr>
            <w:tcW w:w="1720" w:type="dxa"/>
            <w:vAlign w:val="bottom"/>
            <w:tcBorders>
              <w:top w:val="single" w:sz="8" w:color="auto"/>
              <w:bottom w:val="single" w:sz="8" w:color="auto"/>
              <w:right w:val="single" w:sz="8" w:color="auto"/>
            </w:tcBorders>
            <w:shd w:val="clear" w:color="auto" w:fill="D8D8D8"/>
          </w:tcPr>
          <w:p>
            <w:pPr>
              <w:ind w:left="700"/>
              <w:spacing w:after="0"/>
              <w:rPr>
                <w:sz w:val="20"/>
                <w:szCs w:val="20"/>
                <w:color w:val="auto"/>
              </w:rPr>
            </w:pPr>
            <w:r>
              <w:rPr>
                <w:rFonts w:ascii="Arial" w:cs="Arial" w:eastAsia="Arial" w:hAnsi="Arial"/>
                <w:sz w:val="14"/>
                <w:szCs w:val="14"/>
                <w:color w:val="auto"/>
              </w:rPr>
              <w:t>Type</w:t>
            </w:r>
          </w:p>
        </w:tc>
        <w:tc>
          <w:tcPr>
            <w:tcW w:w="1720" w:type="dxa"/>
            <w:vAlign w:val="bottom"/>
            <w:tcBorders>
              <w:top w:val="single" w:sz="8" w:color="auto"/>
              <w:bottom w:val="single" w:sz="8" w:color="auto"/>
              <w:right w:val="single" w:sz="8" w:color="auto"/>
            </w:tcBorders>
            <w:shd w:val="clear" w:color="auto" w:fill="D8D8D8"/>
          </w:tcPr>
          <w:p>
            <w:pPr>
              <w:jc w:val="center"/>
              <w:spacing w:after="0"/>
              <w:rPr>
                <w:sz w:val="20"/>
                <w:szCs w:val="20"/>
                <w:color w:val="auto"/>
              </w:rPr>
            </w:pPr>
            <w:r>
              <w:rPr>
                <w:rFonts w:ascii="Arial" w:cs="Arial" w:eastAsia="Arial" w:hAnsi="Arial"/>
                <w:sz w:val="14"/>
                <w:szCs w:val="14"/>
                <w:color w:val="auto"/>
              </w:rPr>
              <w:t>Average Age</w:t>
            </w:r>
          </w:p>
        </w:tc>
        <w:tc>
          <w:tcPr>
            <w:tcW w:w="1700" w:type="dxa"/>
            <w:vAlign w:val="bottom"/>
            <w:tcBorders>
              <w:top w:val="single" w:sz="8" w:color="auto"/>
              <w:bottom w:val="single" w:sz="8" w:color="auto"/>
              <w:right w:val="single" w:sz="8" w:color="auto"/>
            </w:tcBorders>
            <w:shd w:val="clear" w:color="auto" w:fill="D8D8D8"/>
          </w:tcPr>
          <w:p>
            <w:pPr>
              <w:jc w:val="center"/>
              <w:spacing w:after="0"/>
              <w:rPr>
                <w:sz w:val="20"/>
                <w:szCs w:val="20"/>
                <w:color w:val="auto"/>
              </w:rPr>
            </w:pPr>
            <w:r>
              <w:rPr>
                <w:rFonts w:ascii="Arial" w:cs="Arial" w:eastAsia="Arial" w:hAnsi="Arial"/>
                <w:sz w:val="14"/>
                <w:szCs w:val="14"/>
                <w:color w:val="auto"/>
              </w:rPr>
              <w:t>Lease Type</w:t>
            </w:r>
          </w:p>
        </w:tc>
        <w:tc>
          <w:tcPr>
            <w:tcW w:w="1700" w:type="dxa"/>
            <w:vAlign w:val="bottom"/>
            <w:tcBorders>
              <w:top w:val="single" w:sz="8" w:color="auto"/>
              <w:bottom w:val="single" w:sz="8" w:color="auto"/>
              <w:right w:val="single" w:sz="8" w:color="auto"/>
            </w:tcBorders>
            <w:shd w:val="clear" w:color="auto" w:fill="D8D8D8"/>
          </w:tcPr>
          <w:p>
            <w:pPr>
              <w:jc w:val="center"/>
              <w:spacing w:after="0"/>
              <w:rPr>
                <w:sz w:val="20"/>
                <w:szCs w:val="20"/>
                <w:color w:val="auto"/>
              </w:rPr>
            </w:pPr>
            <w:r>
              <w:rPr>
                <w:rFonts w:ascii="Arial" w:cs="Arial" w:eastAsia="Arial" w:hAnsi="Arial"/>
                <w:sz w:val="14"/>
                <w:szCs w:val="14"/>
                <w:color w:val="auto"/>
              </w:rPr>
              <w:t>Customer Mix</w:t>
            </w:r>
          </w:p>
        </w:tc>
        <w:tc>
          <w:tcPr>
            <w:tcW w:w="2260" w:type="dxa"/>
            <w:vAlign w:val="bottom"/>
            <w:tcBorders>
              <w:top w:val="single" w:sz="8" w:color="auto"/>
              <w:bottom w:val="single" w:sz="8" w:color="auto"/>
            </w:tcBorders>
            <w:shd w:val="clear" w:color="auto" w:fill="D8D8D8"/>
          </w:tcPr>
          <w:p>
            <w:pPr>
              <w:jc w:val="center"/>
              <w:spacing w:after="0"/>
              <w:rPr>
                <w:sz w:val="20"/>
                <w:szCs w:val="20"/>
                <w:color w:val="auto"/>
              </w:rPr>
            </w:pPr>
            <w:r>
              <w:rPr>
                <w:rFonts w:ascii="Arial" w:cs="Arial" w:eastAsia="Arial" w:hAnsi="Arial"/>
                <w:sz w:val="14"/>
                <w:szCs w:val="14"/>
                <w:color w:val="auto"/>
              </w:rPr>
              <w:t>Economic Interest (%)</w:t>
            </w:r>
          </w:p>
        </w:tc>
        <w:tc>
          <w:tcPr>
            <w:tcW w:w="20" w:type="dxa"/>
            <w:vAlign w:val="bottom"/>
            <w:tcBorders>
              <w:top w:val="single" w:sz="8" w:color="auto"/>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73"/>
        </w:trPr>
        <w:tc>
          <w:tcPr>
            <w:tcW w:w="2320" w:type="dxa"/>
            <w:vAlign w:val="bottom"/>
            <w:tcBorders>
              <w:right w:val="single" w:sz="8" w:color="auto"/>
            </w:tcBorders>
          </w:tcPr>
          <w:p>
            <w:pPr>
              <w:spacing w:after="0"/>
              <w:rPr>
                <w:sz w:val="15"/>
                <w:szCs w:val="15"/>
                <w:color w:val="auto"/>
              </w:rPr>
            </w:pPr>
          </w:p>
        </w:tc>
        <w:tc>
          <w:tcPr>
            <w:tcW w:w="172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20’ Dry</w:t>
            </w:r>
          </w:p>
        </w:tc>
        <w:tc>
          <w:tcPr>
            <w:tcW w:w="1720" w:type="dxa"/>
            <w:vAlign w:val="bottom"/>
            <w:tcBorders>
              <w:right w:val="single" w:sz="8" w:color="auto"/>
            </w:tcBorders>
          </w:tcPr>
          <w:p>
            <w:pPr>
              <w:spacing w:after="0"/>
              <w:rPr>
                <w:sz w:val="15"/>
                <w:szCs w:val="15"/>
                <w:color w:val="auto"/>
              </w:rPr>
            </w:pPr>
          </w:p>
        </w:tc>
        <w:tc>
          <w:tcPr>
            <w:tcW w:w="1700" w:type="dxa"/>
            <w:vAlign w:val="bottom"/>
            <w:tcBorders>
              <w:right w:val="single" w:sz="8" w:color="auto"/>
            </w:tcBorders>
          </w:tcPr>
          <w:p>
            <w:pPr>
              <w:spacing w:after="0"/>
              <w:rPr>
                <w:sz w:val="15"/>
                <w:szCs w:val="15"/>
                <w:color w:val="auto"/>
              </w:rPr>
            </w:pPr>
          </w:p>
        </w:tc>
        <w:tc>
          <w:tcPr>
            <w:tcW w:w="1700" w:type="dxa"/>
            <w:vAlign w:val="bottom"/>
            <w:tcBorders>
              <w:right w:val="single" w:sz="8" w:color="auto"/>
            </w:tcBorders>
          </w:tcPr>
          <w:p>
            <w:pPr>
              <w:spacing w:after="0"/>
              <w:rPr>
                <w:sz w:val="15"/>
                <w:szCs w:val="15"/>
                <w:color w:val="auto"/>
              </w:rPr>
            </w:pPr>
          </w:p>
        </w:tc>
        <w:tc>
          <w:tcPr>
            <w:tcW w:w="22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2320" w:type="dxa"/>
            <w:vAlign w:val="bottom"/>
            <w:tcBorders>
              <w:right w:val="single" w:sz="8" w:color="auto"/>
            </w:tcBorders>
          </w:tcPr>
          <w:p>
            <w:pPr>
              <w:spacing w:after="0"/>
              <w:rPr>
                <w:sz w:val="14"/>
                <w:szCs w:val="14"/>
                <w:color w:val="auto"/>
              </w:rPr>
            </w:pPr>
          </w:p>
        </w:tc>
        <w:tc>
          <w:tcPr>
            <w:tcW w:w="172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20’ Reefer</w:t>
            </w:r>
          </w:p>
        </w:tc>
        <w:tc>
          <w:tcPr>
            <w:tcW w:w="1720" w:type="dxa"/>
            <w:vAlign w:val="bottom"/>
            <w:tcBorders>
              <w:right w:val="single" w:sz="8" w:color="auto"/>
            </w:tcBorders>
          </w:tcPr>
          <w:p>
            <w:pPr>
              <w:spacing w:after="0"/>
              <w:rPr>
                <w:sz w:val="14"/>
                <w:szCs w:val="14"/>
                <w:color w:val="auto"/>
              </w:rPr>
            </w:pPr>
          </w:p>
        </w:tc>
        <w:tc>
          <w:tcPr>
            <w:tcW w:w="17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color w:val="auto"/>
              </w:rPr>
              <w:t>Direct Finance</w:t>
            </w:r>
          </w:p>
        </w:tc>
        <w:tc>
          <w:tcPr>
            <w:tcW w:w="1700" w:type="dxa"/>
            <w:vAlign w:val="bottom"/>
            <w:tcBorders>
              <w:right w:val="single" w:sz="8" w:color="auto"/>
            </w:tcBorders>
          </w:tcPr>
          <w:p>
            <w:pPr>
              <w:spacing w:after="0"/>
              <w:rPr>
                <w:sz w:val="14"/>
                <w:szCs w:val="14"/>
                <w:color w:val="auto"/>
              </w:rPr>
            </w:pPr>
          </w:p>
        </w:tc>
        <w:tc>
          <w:tcPr>
            <w:tcW w:w="22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1"/>
        </w:trPr>
        <w:tc>
          <w:tcPr>
            <w:tcW w:w="2320" w:type="dxa"/>
            <w:vAlign w:val="bottom"/>
            <w:tcBorders>
              <w:right w:val="single" w:sz="8" w:color="auto"/>
            </w:tcBorders>
            <w:vMerge w:val="restart"/>
          </w:tcPr>
          <w:p>
            <w:pPr>
              <w:jc w:val="right"/>
              <w:ind w:right="1768"/>
              <w:spacing w:after="0"/>
              <w:rPr>
                <w:sz w:val="20"/>
                <w:szCs w:val="20"/>
                <w:color w:val="auto"/>
              </w:rPr>
            </w:pPr>
            <w:r>
              <w:rPr>
                <w:rFonts w:ascii="Arial" w:cs="Arial" w:eastAsia="Arial" w:hAnsi="Arial"/>
                <w:sz w:val="14"/>
                <w:szCs w:val="14"/>
                <w:color w:val="auto"/>
              </w:rPr>
              <w:t>36,000</w:t>
            </w:r>
          </w:p>
        </w:tc>
        <w:tc>
          <w:tcPr>
            <w:tcW w:w="1720" w:type="dxa"/>
            <w:vAlign w:val="bottom"/>
            <w:tcBorders>
              <w:right w:val="single" w:sz="8" w:color="auto"/>
            </w:tcBorders>
            <w:vMerge w:val="restart"/>
          </w:tcPr>
          <w:p>
            <w:pPr>
              <w:ind w:left="20"/>
              <w:spacing w:after="0"/>
              <w:rPr>
                <w:sz w:val="20"/>
                <w:szCs w:val="20"/>
                <w:color w:val="auto"/>
              </w:rPr>
            </w:pPr>
            <w:r>
              <w:rPr>
                <w:rFonts w:ascii="Arial" w:cs="Arial" w:eastAsia="Arial" w:hAnsi="Arial"/>
                <w:sz w:val="14"/>
                <w:szCs w:val="14"/>
                <w:color w:val="auto"/>
              </w:rPr>
              <w:t>40’ Dry</w:t>
            </w:r>
          </w:p>
        </w:tc>
        <w:tc>
          <w:tcPr>
            <w:tcW w:w="17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color w:val="auto"/>
                <w:w w:val="99"/>
              </w:rPr>
              <w:t>~9 Years</w:t>
            </w:r>
          </w:p>
        </w:tc>
        <w:tc>
          <w:tcPr>
            <w:tcW w:w="1700" w:type="dxa"/>
            <w:vAlign w:val="bottom"/>
            <w:tcBorders>
              <w:right w:val="single" w:sz="8" w:color="auto"/>
            </w:tcBorders>
            <w:vMerge w:val="continue"/>
          </w:tcPr>
          <w:p>
            <w:pPr>
              <w:spacing w:after="0"/>
              <w:rPr>
                <w:sz w:val="7"/>
                <w:szCs w:val="7"/>
                <w:color w:val="auto"/>
              </w:rPr>
            </w:pPr>
          </w:p>
        </w:tc>
        <w:tc>
          <w:tcPr>
            <w:tcW w:w="17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color w:val="auto"/>
              </w:rPr>
              <w:t>5 Customers</w:t>
            </w:r>
          </w:p>
        </w:tc>
        <w:tc>
          <w:tcPr>
            <w:tcW w:w="2260" w:type="dxa"/>
            <w:vAlign w:val="bottom"/>
            <w:vMerge w:val="restart"/>
          </w:tcPr>
          <w:p>
            <w:pPr>
              <w:jc w:val="right"/>
              <w:ind w:right="928"/>
              <w:spacing w:after="0"/>
              <w:rPr>
                <w:sz w:val="20"/>
                <w:szCs w:val="20"/>
                <w:color w:val="auto"/>
              </w:rPr>
            </w:pPr>
            <w:r>
              <w:rPr>
                <w:rFonts w:ascii="Arial" w:cs="Arial" w:eastAsia="Arial" w:hAnsi="Arial"/>
                <w:sz w:val="14"/>
                <w:szCs w:val="14"/>
                <w:color w:val="auto"/>
              </w:rPr>
              <w:t>51%</w:t>
            </w: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81"/>
        </w:trPr>
        <w:tc>
          <w:tcPr>
            <w:tcW w:w="2320" w:type="dxa"/>
            <w:vAlign w:val="bottom"/>
            <w:tcBorders>
              <w:right w:val="single" w:sz="8" w:color="auto"/>
            </w:tcBorders>
            <w:vMerge w:val="continue"/>
          </w:tcPr>
          <w:p>
            <w:pPr>
              <w:spacing w:after="0"/>
              <w:rPr>
                <w:sz w:val="7"/>
                <w:szCs w:val="7"/>
                <w:color w:val="auto"/>
              </w:rPr>
            </w:pPr>
          </w:p>
        </w:tc>
        <w:tc>
          <w:tcPr>
            <w:tcW w:w="1720" w:type="dxa"/>
            <w:vAlign w:val="bottom"/>
            <w:tcBorders>
              <w:right w:val="single" w:sz="8" w:color="auto"/>
            </w:tcBorders>
            <w:vMerge w:val="continue"/>
          </w:tcPr>
          <w:p>
            <w:pPr>
              <w:spacing w:after="0"/>
              <w:rPr>
                <w:sz w:val="7"/>
                <w:szCs w:val="7"/>
                <w:color w:val="auto"/>
              </w:rPr>
            </w:pPr>
          </w:p>
        </w:tc>
        <w:tc>
          <w:tcPr>
            <w:tcW w:w="1720" w:type="dxa"/>
            <w:vAlign w:val="bottom"/>
            <w:tcBorders>
              <w:right w:val="single" w:sz="8" w:color="auto"/>
            </w:tcBorders>
            <w:vMerge w:val="continue"/>
          </w:tcPr>
          <w:p>
            <w:pPr>
              <w:spacing w:after="0"/>
              <w:rPr>
                <w:sz w:val="7"/>
                <w:szCs w:val="7"/>
                <w:color w:val="auto"/>
              </w:rPr>
            </w:pPr>
          </w:p>
        </w:tc>
        <w:tc>
          <w:tcPr>
            <w:tcW w:w="17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color w:val="auto"/>
              </w:rPr>
              <w:t>Lease/Operating Lease</w:t>
            </w:r>
          </w:p>
        </w:tc>
        <w:tc>
          <w:tcPr>
            <w:tcW w:w="1700" w:type="dxa"/>
            <w:vAlign w:val="bottom"/>
            <w:tcBorders>
              <w:right w:val="single" w:sz="8" w:color="auto"/>
            </w:tcBorders>
            <w:vMerge w:val="continue"/>
          </w:tcPr>
          <w:p>
            <w:pPr>
              <w:spacing w:after="0"/>
              <w:rPr>
                <w:sz w:val="7"/>
                <w:szCs w:val="7"/>
                <w:color w:val="auto"/>
              </w:rPr>
            </w:pPr>
          </w:p>
        </w:tc>
        <w:tc>
          <w:tcPr>
            <w:tcW w:w="2260" w:type="dxa"/>
            <w:vAlign w:val="bottom"/>
            <w:vMerge w:val="continue"/>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13"/>
        </w:trPr>
        <w:tc>
          <w:tcPr>
            <w:tcW w:w="2320" w:type="dxa"/>
            <w:vAlign w:val="bottom"/>
            <w:tcBorders>
              <w:right w:val="single" w:sz="8" w:color="auto"/>
            </w:tcBorders>
          </w:tcPr>
          <w:p>
            <w:pPr>
              <w:spacing w:after="0"/>
              <w:rPr>
                <w:sz w:val="9"/>
                <w:szCs w:val="9"/>
                <w:color w:val="auto"/>
              </w:rPr>
            </w:pPr>
          </w:p>
        </w:tc>
        <w:tc>
          <w:tcPr>
            <w:tcW w:w="1720" w:type="dxa"/>
            <w:vAlign w:val="bottom"/>
            <w:tcBorders>
              <w:right w:val="single" w:sz="8" w:color="auto"/>
            </w:tcBorders>
            <w:vMerge w:val="restart"/>
          </w:tcPr>
          <w:p>
            <w:pPr>
              <w:ind w:left="20"/>
              <w:spacing w:after="0"/>
              <w:rPr>
                <w:sz w:val="20"/>
                <w:szCs w:val="20"/>
                <w:color w:val="auto"/>
              </w:rPr>
            </w:pPr>
            <w:r>
              <w:rPr>
                <w:rFonts w:ascii="Arial" w:cs="Arial" w:eastAsia="Arial" w:hAnsi="Arial"/>
                <w:sz w:val="14"/>
                <w:szCs w:val="14"/>
                <w:color w:val="auto"/>
              </w:rPr>
              <w:t>40’ HC Dry</w:t>
            </w:r>
          </w:p>
        </w:tc>
        <w:tc>
          <w:tcPr>
            <w:tcW w:w="1720" w:type="dxa"/>
            <w:vAlign w:val="bottom"/>
            <w:tcBorders>
              <w:right w:val="single" w:sz="8" w:color="auto"/>
            </w:tcBorders>
          </w:tcPr>
          <w:p>
            <w:pPr>
              <w:spacing w:after="0"/>
              <w:rPr>
                <w:sz w:val="9"/>
                <w:szCs w:val="9"/>
                <w:color w:val="auto"/>
              </w:rPr>
            </w:pPr>
          </w:p>
        </w:tc>
        <w:tc>
          <w:tcPr>
            <w:tcW w:w="1700" w:type="dxa"/>
            <w:vAlign w:val="bottom"/>
            <w:tcBorders>
              <w:right w:val="single" w:sz="8" w:color="auto"/>
            </w:tcBorders>
            <w:vMerge w:val="continue"/>
          </w:tcPr>
          <w:p>
            <w:pPr>
              <w:spacing w:after="0"/>
              <w:rPr>
                <w:sz w:val="9"/>
                <w:szCs w:val="9"/>
                <w:color w:val="auto"/>
              </w:rPr>
            </w:pPr>
          </w:p>
        </w:tc>
        <w:tc>
          <w:tcPr>
            <w:tcW w:w="1700" w:type="dxa"/>
            <w:vAlign w:val="bottom"/>
            <w:tcBorders>
              <w:right w:val="single" w:sz="8" w:color="auto"/>
            </w:tcBorders>
          </w:tcPr>
          <w:p>
            <w:pPr>
              <w:spacing w:after="0"/>
              <w:rPr>
                <w:sz w:val="9"/>
                <w:szCs w:val="9"/>
                <w:color w:val="auto"/>
              </w:rPr>
            </w:pPr>
          </w:p>
        </w:tc>
        <w:tc>
          <w:tcPr>
            <w:tcW w:w="226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49"/>
        </w:trPr>
        <w:tc>
          <w:tcPr>
            <w:tcW w:w="2320" w:type="dxa"/>
            <w:vAlign w:val="bottom"/>
            <w:tcBorders>
              <w:right w:val="single" w:sz="8" w:color="auto"/>
            </w:tcBorders>
          </w:tcPr>
          <w:p>
            <w:pPr>
              <w:spacing w:after="0"/>
              <w:rPr>
                <w:sz w:val="4"/>
                <w:szCs w:val="4"/>
                <w:color w:val="auto"/>
              </w:rPr>
            </w:pPr>
          </w:p>
        </w:tc>
        <w:tc>
          <w:tcPr>
            <w:tcW w:w="1720" w:type="dxa"/>
            <w:vAlign w:val="bottom"/>
            <w:tcBorders>
              <w:right w:val="single" w:sz="8" w:color="auto"/>
            </w:tcBorders>
            <w:vMerge w:val="continue"/>
          </w:tcPr>
          <w:p>
            <w:pPr>
              <w:spacing w:after="0"/>
              <w:rPr>
                <w:sz w:val="4"/>
                <w:szCs w:val="4"/>
                <w:color w:val="auto"/>
              </w:rPr>
            </w:pPr>
          </w:p>
        </w:tc>
        <w:tc>
          <w:tcPr>
            <w:tcW w:w="1720" w:type="dxa"/>
            <w:vAlign w:val="bottom"/>
            <w:tcBorders>
              <w:right w:val="single" w:sz="8" w:color="auto"/>
            </w:tcBorders>
          </w:tcPr>
          <w:p>
            <w:pPr>
              <w:spacing w:after="0"/>
              <w:rPr>
                <w:sz w:val="4"/>
                <w:szCs w:val="4"/>
                <w:color w:val="auto"/>
              </w:rPr>
            </w:pPr>
          </w:p>
        </w:tc>
        <w:tc>
          <w:tcPr>
            <w:tcW w:w="1700" w:type="dxa"/>
            <w:vAlign w:val="bottom"/>
            <w:tcBorders>
              <w:right w:val="single" w:sz="8" w:color="auto"/>
            </w:tcBorders>
          </w:tcPr>
          <w:p>
            <w:pPr>
              <w:spacing w:after="0"/>
              <w:rPr>
                <w:sz w:val="4"/>
                <w:szCs w:val="4"/>
                <w:color w:val="auto"/>
              </w:rPr>
            </w:pPr>
          </w:p>
        </w:tc>
        <w:tc>
          <w:tcPr>
            <w:tcW w:w="1700" w:type="dxa"/>
            <w:vAlign w:val="bottom"/>
            <w:tcBorders>
              <w:right w:val="single" w:sz="8" w:color="auto"/>
            </w:tcBorders>
          </w:tcPr>
          <w:p>
            <w:pPr>
              <w:spacing w:after="0"/>
              <w:rPr>
                <w:sz w:val="4"/>
                <w:szCs w:val="4"/>
                <w:color w:val="auto"/>
              </w:rPr>
            </w:pPr>
          </w:p>
        </w:tc>
        <w:tc>
          <w:tcPr>
            <w:tcW w:w="226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98"/>
        </w:trPr>
        <w:tc>
          <w:tcPr>
            <w:tcW w:w="2320" w:type="dxa"/>
            <w:vAlign w:val="bottom"/>
            <w:tcBorders>
              <w:bottom w:val="single" w:sz="8" w:color="auto"/>
              <w:right w:val="single" w:sz="8" w:color="auto"/>
            </w:tcBorders>
          </w:tcPr>
          <w:p>
            <w:pPr>
              <w:spacing w:after="0"/>
              <w:rPr>
                <w:sz w:val="17"/>
                <w:szCs w:val="17"/>
                <w:color w:val="auto"/>
              </w:rPr>
            </w:pPr>
          </w:p>
        </w:tc>
        <w:tc>
          <w:tcPr>
            <w:tcW w:w="17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40’ HC Reefer</w:t>
            </w:r>
          </w:p>
        </w:tc>
        <w:tc>
          <w:tcPr>
            <w:tcW w:w="1720" w:type="dxa"/>
            <w:vAlign w:val="bottom"/>
            <w:tcBorders>
              <w:bottom w:val="single" w:sz="8" w:color="auto"/>
              <w:right w:val="single" w:sz="8" w:color="auto"/>
            </w:tcBorders>
          </w:tcPr>
          <w:p>
            <w:pPr>
              <w:spacing w:after="0"/>
              <w:rPr>
                <w:sz w:val="17"/>
                <w:szCs w:val="17"/>
                <w:color w:val="auto"/>
              </w:rPr>
            </w:pPr>
          </w:p>
        </w:tc>
        <w:tc>
          <w:tcPr>
            <w:tcW w:w="1700" w:type="dxa"/>
            <w:vAlign w:val="bottom"/>
            <w:tcBorders>
              <w:bottom w:val="single" w:sz="8" w:color="auto"/>
              <w:right w:val="single" w:sz="8" w:color="auto"/>
            </w:tcBorders>
          </w:tcPr>
          <w:p>
            <w:pPr>
              <w:spacing w:after="0"/>
              <w:rPr>
                <w:sz w:val="17"/>
                <w:szCs w:val="17"/>
                <w:color w:val="auto"/>
              </w:rPr>
            </w:pPr>
          </w:p>
        </w:tc>
        <w:tc>
          <w:tcPr>
            <w:tcW w:w="1700" w:type="dxa"/>
            <w:vAlign w:val="bottom"/>
            <w:tcBorders>
              <w:bottom w:val="single" w:sz="8" w:color="auto"/>
              <w:right w:val="single" w:sz="8" w:color="auto"/>
            </w:tcBorders>
          </w:tcPr>
          <w:p>
            <w:pPr>
              <w:spacing w:after="0"/>
              <w:rPr>
                <w:sz w:val="17"/>
                <w:szCs w:val="17"/>
                <w:color w:val="auto"/>
              </w:rPr>
            </w:pPr>
          </w:p>
        </w:tc>
        <w:tc>
          <w:tcPr>
            <w:tcW w:w="226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bl>
    <w:p>
      <w:pPr>
        <w:spacing w:after="0" w:line="225"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55</w:t>
      </w:r>
    </w:p>
    <w:p>
      <w:pPr>
        <w:sectPr>
          <w:pgSz w:w="11900" w:h="16838" w:orient="portrait"/>
          <w:cols w:equalWidth="0" w:num="1">
            <w:col w:w="11440"/>
          </w:cols>
          <w:pgMar w:left="240" w:top="527" w:right="219" w:bottom="1440" w:gutter="0" w:footer="0" w:header="0"/>
        </w:sectPr>
      </w:pPr>
    </w:p>
    <w:bookmarkStart w:id="55" w:name="page56"/>
    <w:bookmarkEnd w:id="55"/>
    <w:p>
      <w:pPr>
        <w:spacing w:after="0"/>
        <w:rPr>
          <w:sz w:val="20"/>
          <w:szCs w:val="20"/>
          <w:color w:val="auto"/>
        </w:rPr>
      </w:pPr>
      <w:r>
        <w:rPr>
          <w:rFonts w:ascii="Arial" w:cs="Arial" w:eastAsia="Arial" w:hAnsi="Arial"/>
          <w:sz w:val="16"/>
          <w:szCs w:val="16"/>
          <w:color w:val="auto"/>
        </w:rPr>
        <w:t>The following table presents our results of operations and reconciliation of Net (loss) income attributable to shareholders to Adjusted Net (Loss) Income for the</w:t>
      </w:r>
    </w:p>
    <w:p>
      <w:pPr>
        <w:spacing w:after="0" w:line="25" w:lineRule="exact"/>
        <w:rPr>
          <w:sz w:val="20"/>
          <w:szCs w:val="20"/>
          <w:color w:val="auto"/>
        </w:rPr>
      </w:pPr>
    </w:p>
    <w:p>
      <w:pPr>
        <w:spacing w:after="0"/>
        <w:rPr>
          <w:sz w:val="20"/>
          <w:szCs w:val="20"/>
          <w:color w:val="auto"/>
        </w:rPr>
      </w:pPr>
      <w:r>
        <w:rPr>
          <w:rFonts w:ascii="Arial" w:cs="Arial" w:eastAsia="Arial" w:hAnsi="Arial"/>
          <w:sz w:val="16"/>
          <w:szCs w:val="16"/>
          <w:color w:val="auto"/>
        </w:rPr>
        <w:t>Shipping Containers segment for the three and nine months ended September 30, 2017 and September 30, 2016:</w:t>
      </w:r>
    </w:p>
    <w:p>
      <w:pPr>
        <w:spacing w:after="0" w:line="312"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3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900" w:type="dxa"/>
            <w:vAlign w:val="bottom"/>
            <w:gridSpan w:val="5"/>
          </w:tcPr>
          <w:p>
            <w:pPr>
              <w:jc w:val="center"/>
              <w:ind w:right="280"/>
              <w:spacing w:after="0"/>
              <w:rPr>
                <w:sz w:val="20"/>
                <w:szCs w:val="20"/>
                <w:color w:val="auto"/>
              </w:rPr>
            </w:pPr>
            <w:r>
              <w:rPr>
                <w:rFonts w:ascii="Arial" w:cs="Arial" w:eastAsia="Arial" w:hAnsi="Arial"/>
                <w:sz w:val="14"/>
                <w:szCs w:val="14"/>
                <w:b w:val="1"/>
                <w:bCs w:val="1"/>
                <w:color w:val="auto"/>
              </w:rPr>
              <w:t>Three Months Ended</w:t>
            </w:r>
          </w:p>
        </w:tc>
        <w:tc>
          <w:tcPr>
            <w:tcW w:w="1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00" w:type="dxa"/>
            <w:vAlign w:val="bottom"/>
            <w:gridSpan w:val="5"/>
          </w:tcPr>
          <w:p>
            <w:pPr>
              <w:ind w:left="80"/>
              <w:spacing w:after="0"/>
              <w:rPr>
                <w:sz w:val="20"/>
                <w:szCs w:val="20"/>
                <w:color w:val="auto"/>
              </w:rPr>
            </w:pPr>
            <w:r>
              <w:rPr>
                <w:rFonts w:ascii="Arial" w:cs="Arial" w:eastAsia="Arial" w:hAnsi="Arial"/>
                <w:sz w:val="14"/>
                <w:szCs w:val="14"/>
                <w:b w:val="1"/>
                <w:bCs w:val="1"/>
                <w:color w:val="auto"/>
              </w:rPr>
              <w:t>Nine Months Ended</w:t>
            </w: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2"/>
        </w:trPr>
        <w:tc>
          <w:tcPr>
            <w:tcW w:w="53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900" w:type="dxa"/>
            <w:vAlign w:val="bottom"/>
            <w:gridSpan w:val="5"/>
          </w:tcPr>
          <w:p>
            <w:pPr>
              <w:jc w:val="center"/>
              <w:ind w:right="280"/>
              <w:spacing w:after="0"/>
              <w:rPr>
                <w:sz w:val="20"/>
                <w:szCs w:val="20"/>
                <w:color w:val="auto"/>
              </w:rPr>
            </w:pPr>
            <w:r>
              <w:rPr>
                <w:rFonts w:ascii="Arial" w:cs="Arial" w:eastAsia="Arial" w:hAnsi="Arial"/>
                <w:sz w:val="14"/>
                <w:szCs w:val="14"/>
                <w:b w:val="1"/>
                <w:bCs w:val="1"/>
                <w:color w:val="auto"/>
              </w:rPr>
              <w:t>September 30,</w:t>
            </w:r>
          </w:p>
        </w:tc>
        <w:tc>
          <w:tcPr>
            <w:tcW w:w="1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0" w:type="dxa"/>
            <w:vAlign w:val="bottom"/>
            <w:gridSpan w:val="5"/>
          </w:tcPr>
          <w:p>
            <w:pPr>
              <w:ind w:left="260"/>
              <w:spacing w:after="0"/>
              <w:rPr>
                <w:sz w:val="20"/>
                <w:szCs w:val="20"/>
                <w:color w:val="auto"/>
              </w:rPr>
            </w:pPr>
            <w:r>
              <w:rPr>
                <w:rFonts w:ascii="Arial" w:cs="Arial" w:eastAsia="Arial" w:hAnsi="Arial"/>
                <w:sz w:val="14"/>
                <w:szCs w:val="14"/>
                <w:b w:val="1"/>
                <w:bCs w:val="1"/>
                <w:color w:val="auto"/>
              </w:rPr>
              <w:t>September 30,</w:t>
            </w: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64"/>
        </w:trPr>
        <w:tc>
          <w:tcPr>
            <w:tcW w:w="5340" w:type="dxa"/>
            <w:vAlign w:val="bottom"/>
          </w:tcPr>
          <w:p>
            <w:pPr>
              <w:ind w:left="40"/>
              <w:spacing w:after="0"/>
              <w:rPr>
                <w:sz w:val="20"/>
                <w:szCs w:val="20"/>
                <w:color w:val="auto"/>
              </w:rPr>
            </w:pPr>
            <w:r>
              <w:rPr>
                <w:rFonts w:ascii="Arial" w:cs="Arial" w:eastAsia="Arial" w:hAnsi="Arial"/>
                <w:sz w:val="14"/>
                <w:szCs w:val="14"/>
                <w:i w:val="1"/>
                <w:iCs w:val="1"/>
                <w:color w:val="auto"/>
              </w:rPr>
              <w:t>(Dollar amounts in thousands)</w:t>
            </w:r>
          </w:p>
        </w:tc>
        <w:tc>
          <w:tcPr>
            <w:tcW w:w="200" w:type="dxa"/>
            <w:vAlign w:val="bottom"/>
            <w:tcBorders>
              <w:top w:val="single" w:sz="8" w:color="auto"/>
              <w:bottom w:val="single" w:sz="8" w:color="auto"/>
            </w:tcBorders>
          </w:tcPr>
          <w:p>
            <w:pPr>
              <w:spacing w:after="0"/>
              <w:rPr>
                <w:sz w:val="22"/>
                <w:szCs w:val="22"/>
                <w:color w:val="auto"/>
              </w:rPr>
            </w:pPr>
          </w:p>
        </w:tc>
        <w:tc>
          <w:tcPr>
            <w:tcW w:w="740" w:type="dxa"/>
            <w:vAlign w:val="bottom"/>
            <w:tcBorders>
              <w:top w:val="single" w:sz="8" w:color="auto"/>
              <w:bottom w:val="single" w:sz="8" w:color="auto"/>
            </w:tcBorders>
          </w:tcPr>
          <w:p>
            <w:pPr>
              <w:jc w:val="right"/>
              <w:ind w:right="248"/>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top w:val="single" w:sz="8" w:color="auto"/>
              <w:bottom w:val="single" w:sz="8" w:color="auto"/>
            </w:tcBorders>
          </w:tcPr>
          <w:p>
            <w:pPr>
              <w:spacing w:after="0"/>
              <w:rPr>
                <w:sz w:val="22"/>
                <w:szCs w:val="22"/>
                <w:color w:val="auto"/>
              </w:rPr>
            </w:pPr>
          </w:p>
        </w:tc>
        <w:tc>
          <w:tcPr>
            <w:tcW w:w="200" w:type="dxa"/>
            <w:vAlign w:val="bottom"/>
            <w:tcBorders>
              <w:top w:val="single" w:sz="8" w:color="auto"/>
              <w:bottom w:val="single" w:sz="8" w:color="auto"/>
            </w:tcBorders>
          </w:tcPr>
          <w:p>
            <w:pPr>
              <w:spacing w:after="0"/>
              <w:rPr>
                <w:sz w:val="22"/>
                <w:szCs w:val="22"/>
                <w:color w:val="auto"/>
              </w:rPr>
            </w:pPr>
          </w:p>
        </w:tc>
        <w:tc>
          <w:tcPr>
            <w:tcW w:w="720" w:type="dxa"/>
            <w:vAlign w:val="bottom"/>
            <w:tcBorders>
              <w:top w:val="single" w:sz="8" w:color="auto"/>
              <w:bottom w:val="single" w:sz="8" w:color="auto"/>
            </w:tcBorders>
          </w:tcPr>
          <w:p>
            <w:pPr>
              <w:jc w:val="right"/>
              <w:ind w:right="228"/>
              <w:spacing w:after="0"/>
              <w:rPr>
                <w:sz w:val="20"/>
                <w:szCs w:val="20"/>
                <w:color w:val="auto"/>
              </w:rPr>
            </w:pPr>
            <w:r>
              <w:rPr>
                <w:rFonts w:ascii="Arial" w:cs="Arial" w:eastAsia="Arial" w:hAnsi="Arial"/>
                <w:sz w:val="14"/>
                <w:szCs w:val="14"/>
                <w:b w:val="1"/>
                <w:bCs w:val="1"/>
                <w:color w:val="auto"/>
              </w:rPr>
              <w:t>2016</w:t>
            </w:r>
          </w:p>
        </w:tc>
        <w:tc>
          <w:tcPr>
            <w:tcW w:w="120" w:type="dxa"/>
            <w:vAlign w:val="bottom"/>
            <w:tcBorders>
              <w:bottom w:val="single" w:sz="8" w:color="auto"/>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rPr>
              <w:t>Change</w:t>
            </w:r>
          </w:p>
        </w:tc>
        <w:tc>
          <w:tcPr>
            <w:tcW w:w="200" w:type="dxa"/>
            <w:vAlign w:val="bottom"/>
            <w:tcBorders>
              <w:top w:val="single" w:sz="8" w:color="auto"/>
              <w:bottom w:val="single" w:sz="8" w:color="auto"/>
            </w:tcBorders>
          </w:tcPr>
          <w:p>
            <w:pPr>
              <w:spacing w:after="0"/>
              <w:rPr>
                <w:sz w:val="22"/>
                <w:szCs w:val="22"/>
                <w:color w:val="auto"/>
              </w:rPr>
            </w:pPr>
          </w:p>
        </w:tc>
        <w:tc>
          <w:tcPr>
            <w:tcW w:w="700" w:type="dxa"/>
            <w:vAlign w:val="bottom"/>
            <w:tcBorders>
              <w:top w:val="single" w:sz="8" w:color="auto"/>
              <w:bottom w:val="single" w:sz="8" w:color="auto"/>
            </w:tcBorders>
          </w:tcPr>
          <w:p>
            <w:pPr>
              <w:ind w:left="80"/>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top w:val="single" w:sz="8" w:color="auto"/>
              <w:bottom w:val="single" w:sz="8" w:color="auto"/>
            </w:tcBorders>
          </w:tcPr>
          <w:p>
            <w:pPr>
              <w:spacing w:after="0"/>
              <w:rPr>
                <w:sz w:val="22"/>
                <w:szCs w:val="22"/>
                <w:color w:val="auto"/>
              </w:rPr>
            </w:pPr>
          </w:p>
        </w:tc>
        <w:tc>
          <w:tcPr>
            <w:tcW w:w="200" w:type="dxa"/>
            <w:vAlign w:val="bottom"/>
            <w:tcBorders>
              <w:top w:val="single" w:sz="8" w:color="auto"/>
              <w:bottom w:val="single" w:sz="8" w:color="auto"/>
            </w:tcBorders>
          </w:tcPr>
          <w:p>
            <w:pPr>
              <w:spacing w:after="0"/>
              <w:rPr>
                <w:sz w:val="22"/>
                <w:szCs w:val="22"/>
                <w:color w:val="auto"/>
              </w:rPr>
            </w:pPr>
          </w:p>
        </w:tc>
        <w:tc>
          <w:tcPr>
            <w:tcW w:w="700" w:type="dxa"/>
            <w:vAlign w:val="bottom"/>
            <w:tcBorders>
              <w:top w:val="single" w:sz="8" w:color="auto"/>
              <w:bottom w:val="single" w:sz="8" w:color="auto"/>
            </w:tcBorders>
          </w:tcPr>
          <w:p>
            <w:pPr>
              <w:jc w:val="right"/>
              <w:ind w:right="228"/>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auto"/>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265"/>
        </w:trPr>
        <w:tc>
          <w:tcPr>
            <w:tcW w:w="5340" w:type="dxa"/>
            <w:vAlign w:val="bottom"/>
          </w:tcPr>
          <w:p>
            <w:pPr>
              <w:ind w:left="40"/>
              <w:spacing w:after="0"/>
              <w:rPr>
                <w:sz w:val="20"/>
                <w:szCs w:val="20"/>
                <w:color w:val="auto"/>
              </w:rPr>
            </w:pPr>
            <w:r>
              <w:rPr>
                <w:rFonts w:ascii="Arial" w:cs="Arial" w:eastAsia="Arial" w:hAnsi="Arial"/>
                <w:sz w:val="14"/>
                <w:szCs w:val="14"/>
                <w:b w:val="1"/>
                <w:bCs w:val="1"/>
                <w:color w:val="auto"/>
              </w:rPr>
              <w:t>Revenues</w:t>
            </w:r>
          </w:p>
        </w:tc>
        <w:tc>
          <w:tcPr>
            <w:tcW w:w="2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1"/>
        </w:trPr>
        <w:tc>
          <w:tcPr>
            <w:tcW w:w="534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Equipment leasing revenues</w:t>
            </w:r>
          </w:p>
        </w:tc>
        <w:tc>
          <w:tcPr>
            <w:tcW w:w="200" w:type="dxa"/>
            <w:vAlign w:val="bottom"/>
            <w:shd w:val="clear" w:color="auto" w:fill="CCEEFF"/>
          </w:tcPr>
          <w:p>
            <w:pPr>
              <w:spacing w:after="0"/>
              <w:rPr>
                <w:sz w:val="23"/>
                <w:szCs w:val="23"/>
                <w:color w:val="auto"/>
              </w:rPr>
            </w:pPr>
          </w:p>
        </w:tc>
        <w:tc>
          <w:tcPr>
            <w:tcW w:w="7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7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7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7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7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76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9"/>
        </w:trPr>
        <w:tc>
          <w:tcPr>
            <w:tcW w:w="5340" w:type="dxa"/>
            <w:vAlign w:val="bottom"/>
          </w:tcPr>
          <w:p>
            <w:pPr>
              <w:ind w:left="40"/>
              <w:spacing w:after="0"/>
              <w:rPr>
                <w:sz w:val="20"/>
                <w:szCs w:val="20"/>
                <w:color w:val="auto"/>
              </w:rPr>
            </w:pPr>
            <w:r>
              <w:rPr>
                <w:rFonts w:ascii="Arial" w:cs="Arial" w:eastAsia="Arial" w:hAnsi="Arial"/>
                <w:sz w:val="14"/>
                <w:szCs w:val="14"/>
                <w:color w:val="auto"/>
              </w:rPr>
              <w:t>Finance lease income</w:t>
            </w:r>
          </w:p>
        </w:tc>
        <w:tc>
          <w:tcPr>
            <w:tcW w:w="200" w:type="dxa"/>
            <w:vAlign w:val="bottom"/>
          </w:tcPr>
          <w:p>
            <w:pPr>
              <w:jc w:val="right"/>
              <w:ind w:right="28"/>
              <w:spacing w:after="0"/>
              <w:rPr>
                <w:sz w:val="20"/>
                <w:szCs w:val="20"/>
                <w:color w:val="auto"/>
              </w:rPr>
            </w:pPr>
            <w:r>
              <w:rPr>
                <w:rFonts w:ascii="Arial" w:cs="Arial" w:eastAsia="Arial" w:hAnsi="Arial"/>
                <w:sz w:val="14"/>
                <w:szCs w:val="14"/>
                <w:b w:val="1"/>
                <w:bCs w:val="1"/>
                <w:color w:val="auto"/>
              </w:rPr>
              <w:t>$</w:t>
            </w:r>
          </w:p>
        </w:tc>
        <w:tc>
          <w:tcPr>
            <w:tcW w:w="86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rPr>
              <w:t>—</w:t>
            </w: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8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8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00" w:type="dxa"/>
            <w:vAlign w:val="bottom"/>
          </w:tcPr>
          <w:p>
            <w:pPr>
              <w:jc w:val="right"/>
              <w:ind w:right="28"/>
              <w:spacing w:after="0"/>
              <w:rPr>
                <w:sz w:val="20"/>
                <w:szCs w:val="20"/>
                <w:color w:val="auto"/>
              </w:rPr>
            </w:pPr>
            <w:r>
              <w:rPr>
                <w:rFonts w:ascii="Arial" w:cs="Arial" w:eastAsia="Arial" w:hAnsi="Arial"/>
                <w:sz w:val="14"/>
                <w:szCs w:val="14"/>
                <w:b w:val="1"/>
                <w:bCs w:val="1"/>
                <w:color w:val="auto"/>
              </w:rPr>
              <w:t>$</w:t>
            </w:r>
          </w:p>
        </w:tc>
        <w:tc>
          <w:tcPr>
            <w:tcW w:w="80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rPr>
              <w:t>—</w:t>
            </w: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700" w:type="dxa"/>
            <w:vAlign w:val="bottom"/>
          </w:tcPr>
          <w:p>
            <w:pPr>
              <w:jc w:val="right"/>
              <w:ind w:right="48"/>
              <w:spacing w:after="0"/>
              <w:rPr>
                <w:sz w:val="20"/>
                <w:szCs w:val="20"/>
                <w:color w:val="auto"/>
              </w:rPr>
            </w:pPr>
            <w:r>
              <w:rPr>
                <w:rFonts w:ascii="Arial" w:cs="Arial" w:eastAsia="Arial" w:hAnsi="Arial"/>
                <w:sz w:val="14"/>
                <w:szCs w:val="14"/>
                <w:color w:val="auto"/>
              </w:rPr>
              <w:t>1,112</w:t>
            </w:r>
          </w:p>
        </w:tc>
        <w:tc>
          <w:tcPr>
            <w:tcW w:w="100" w:type="dxa"/>
            <w:vAlign w:val="bottom"/>
          </w:tcPr>
          <w:p>
            <w:pPr>
              <w:spacing w:after="0"/>
              <w:rPr>
                <w:sz w:val="23"/>
                <w:szCs w:val="23"/>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760" w:type="dxa"/>
            <w:vAlign w:val="bottom"/>
          </w:tcPr>
          <w:p>
            <w:pPr>
              <w:jc w:val="right"/>
              <w:spacing w:after="0"/>
              <w:rPr>
                <w:sz w:val="20"/>
                <w:szCs w:val="20"/>
                <w:color w:val="auto"/>
              </w:rPr>
            </w:pPr>
            <w:r>
              <w:rPr>
                <w:rFonts w:ascii="Arial" w:cs="Arial" w:eastAsia="Arial" w:hAnsi="Arial"/>
                <w:sz w:val="14"/>
                <w:szCs w:val="14"/>
                <w:color w:val="auto"/>
              </w:rPr>
              <w:t>(1,112)</w:t>
            </w:r>
          </w:p>
        </w:tc>
        <w:tc>
          <w:tcPr>
            <w:tcW w:w="0" w:type="dxa"/>
            <w:vAlign w:val="bottom"/>
          </w:tcPr>
          <w:p>
            <w:pPr>
              <w:spacing w:after="0"/>
              <w:rPr>
                <w:sz w:val="1"/>
                <w:szCs w:val="1"/>
                <w:color w:val="auto"/>
              </w:rPr>
            </w:pPr>
          </w:p>
        </w:tc>
      </w:tr>
      <w:tr>
        <w:trPr>
          <w:trHeight w:val="270"/>
        </w:trPr>
        <w:tc>
          <w:tcPr>
            <w:tcW w:w="5340" w:type="dxa"/>
            <w:vAlign w:val="bottom"/>
            <w:shd w:val="clear" w:color="auto" w:fill="CCEEFF"/>
          </w:tcPr>
          <w:p>
            <w:pPr>
              <w:ind w:left="40"/>
              <w:spacing w:after="0"/>
              <w:rPr>
                <w:sz w:val="20"/>
                <w:szCs w:val="20"/>
                <w:color w:val="auto"/>
              </w:rPr>
            </w:pPr>
            <w:r>
              <w:rPr>
                <w:rFonts w:ascii="Arial" w:cs="Arial" w:eastAsia="Arial" w:hAnsi="Arial"/>
                <w:sz w:val="14"/>
                <w:szCs w:val="14"/>
                <w:color w:val="auto"/>
              </w:rPr>
              <w:t>Other revenue</w:t>
            </w:r>
          </w:p>
        </w:tc>
        <w:tc>
          <w:tcPr>
            <w:tcW w:w="200" w:type="dxa"/>
            <w:vAlign w:val="bottom"/>
            <w:tcBorders>
              <w:bottom w:val="single" w:sz="8" w:color="auto"/>
            </w:tcBorders>
            <w:shd w:val="clear" w:color="auto" w:fill="CCEEFF"/>
          </w:tcPr>
          <w:p>
            <w:pPr>
              <w:spacing w:after="0"/>
              <w:rPr>
                <w:sz w:val="23"/>
                <w:szCs w:val="23"/>
                <w:color w:val="auto"/>
              </w:rPr>
            </w:pPr>
          </w:p>
        </w:tc>
        <w:tc>
          <w:tcPr>
            <w:tcW w:w="74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25</w:t>
            </w:r>
          </w:p>
        </w:tc>
        <w:tc>
          <w:tcPr>
            <w:tcW w:w="12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7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25</w:t>
            </w:r>
          </w:p>
        </w:tc>
        <w:tc>
          <w:tcPr>
            <w:tcW w:w="12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76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7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75</w:t>
            </w:r>
          </w:p>
        </w:tc>
        <w:tc>
          <w:tcPr>
            <w:tcW w:w="10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7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75</w:t>
            </w:r>
          </w:p>
        </w:tc>
        <w:tc>
          <w:tcPr>
            <w:tcW w:w="10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76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50"/>
        </w:trPr>
        <w:tc>
          <w:tcPr>
            <w:tcW w:w="5340" w:type="dxa"/>
            <w:vAlign w:val="bottom"/>
          </w:tcPr>
          <w:p>
            <w:pPr>
              <w:ind w:left="40"/>
              <w:spacing w:after="0"/>
              <w:rPr>
                <w:sz w:val="20"/>
                <w:szCs w:val="20"/>
                <w:color w:val="auto"/>
              </w:rPr>
            </w:pPr>
            <w:r>
              <w:rPr>
                <w:rFonts w:ascii="Arial" w:cs="Arial" w:eastAsia="Arial" w:hAnsi="Arial"/>
                <w:sz w:val="14"/>
                <w:szCs w:val="14"/>
                <w:b w:val="1"/>
                <w:bCs w:val="1"/>
                <w:color w:val="auto"/>
              </w:rPr>
              <w:t>Total revenues</w:t>
            </w:r>
          </w:p>
        </w:tc>
        <w:tc>
          <w:tcPr>
            <w:tcW w:w="200" w:type="dxa"/>
            <w:vAlign w:val="bottom"/>
          </w:tcPr>
          <w:p>
            <w:pPr>
              <w:spacing w:after="0"/>
              <w:rPr>
                <w:sz w:val="21"/>
                <w:szCs w:val="21"/>
                <w:color w:val="auto"/>
              </w:rPr>
            </w:pPr>
          </w:p>
        </w:tc>
        <w:tc>
          <w:tcPr>
            <w:tcW w:w="740" w:type="dxa"/>
            <w:vAlign w:val="bottom"/>
          </w:tcPr>
          <w:p>
            <w:pPr>
              <w:jc w:val="right"/>
              <w:ind w:right="48"/>
              <w:spacing w:after="0"/>
              <w:rPr>
                <w:sz w:val="20"/>
                <w:szCs w:val="20"/>
                <w:color w:val="auto"/>
              </w:rPr>
            </w:pPr>
            <w:r>
              <w:rPr>
                <w:rFonts w:ascii="Arial" w:cs="Arial" w:eastAsia="Arial" w:hAnsi="Arial"/>
                <w:sz w:val="14"/>
                <w:szCs w:val="14"/>
                <w:b w:val="1"/>
                <w:bCs w:val="1"/>
                <w:color w:val="auto"/>
              </w:rPr>
              <w:t>25</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20" w:type="dxa"/>
            <w:vAlign w:val="bottom"/>
          </w:tcPr>
          <w:p>
            <w:pPr>
              <w:jc w:val="right"/>
              <w:ind w:right="48"/>
              <w:spacing w:after="0"/>
              <w:rPr>
                <w:sz w:val="20"/>
                <w:szCs w:val="20"/>
                <w:color w:val="auto"/>
              </w:rPr>
            </w:pPr>
            <w:r>
              <w:rPr>
                <w:rFonts w:ascii="Arial" w:cs="Arial" w:eastAsia="Arial" w:hAnsi="Arial"/>
                <w:sz w:val="14"/>
                <w:szCs w:val="14"/>
                <w:color w:val="auto"/>
              </w:rPr>
              <w:t>25</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1"/>
                <w:szCs w:val="21"/>
                <w:color w:val="auto"/>
              </w:rPr>
            </w:pPr>
          </w:p>
        </w:tc>
        <w:tc>
          <w:tcPr>
            <w:tcW w:w="700" w:type="dxa"/>
            <w:vAlign w:val="bottom"/>
          </w:tcPr>
          <w:p>
            <w:pPr>
              <w:jc w:val="right"/>
              <w:ind w:right="48"/>
              <w:spacing w:after="0"/>
              <w:rPr>
                <w:sz w:val="20"/>
                <w:szCs w:val="20"/>
                <w:color w:val="auto"/>
              </w:rPr>
            </w:pPr>
            <w:r>
              <w:rPr>
                <w:rFonts w:ascii="Arial" w:cs="Arial" w:eastAsia="Arial" w:hAnsi="Arial"/>
                <w:sz w:val="14"/>
                <w:szCs w:val="14"/>
                <w:b w:val="1"/>
                <w:bCs w:val="1"/>
                <w:color w:val="auto"/>
              </w:rPr>
              <w:t>75</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00" w:type="dxa"/>
            <w:vAlign w:val="bottom"/>
          </w:tcPr>
          <w:p>
            <w:pPr>
              <w:jc w:val="right"/>
              <w:ind w:right="48"/>
              <w:spacing w:after="0"/>
              <w:rPr>
                <w:sz w:val="20"/>
                <w:szCs w:val="20"/>
                <w:color w:val="auto"/>
              </w:rPr>
            </w:pPr>
            <w:r>
              <w:rPr>
                <w:rFonts w:ascii="Arial" w:cs="Arial" w:eastAsia="Arial" w:hAnsi="Arial"/>
                <w:sz w:val="14"/>
                <w:szCs w:val="14"/>
                <w:color w:val="auto"/>
              </w:rPr>
              <w:t>1,187</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(1,112)</w:t>
            </w:r>
          </w:p>
        </w:tc>
        <w:tc>
          <w:tcPr>
            <w:tcW w:w="0" w:type="dxa"/>
            <w:vAlign w:val="bottom"/>
          </w:tcPr>
          <w:p>
            <w:pPr>
              <w:spacing w:after="0"/>
              <w:rPr>
                <w:sz w:val="1"/>
                <w:szCs w:val="1"/>
                <w:color w:val="auto"/>
              </w:rPr>
            </w:pPr>
          </w:p>
        </w:tc>
      </w:tr>
      <w:tr>
        <w:trPr>
          <w:trHeight w:val="292"/>
        </w:trPr>
        <w:tc>
          <w:tcPr>
            <w:tcW w:w="5340" w:type="dxa"/>
            <w:vAlign w:val="bottom"/>
            <w:tcBorders>
              <w:top w:val="single" w:sz="8" w:color="CCEEFF"/>
            </w:tcBorders>
            <w:shd w:val="clear" w:color="auto" w:fill="CCEEFF"/>
          </w:tcPr>
          <w:p>
            <w:pPr>
              <w:spacing w:after="0"/>
              <w:rPr>
                <w:sz w:val="24"/>
                <w:szCs w:val="24"/>
                <w:color w:val="auto"/>
              </w:rPr>
            </w:pPr>
          </w:p>
        </w:tc>
        <w:tc>
          <w:tcPr>
            <w:tcW w:w="200" w:type="dxa"/>
            <w:vAlign w:val="bottom"/>
            <w:tcBorders>
              <w:top w:val="single" w:sz="8" w:color="auto"/>
            </w:tcBorders>
            <w:shd w:val="clear" w:color="auto" w:fill="CCEEFF"/>
          </w:tcPr>
          <w:p>
            <w:pPr>
              <w:spacing w:after="0"/>
              <w:rPr>
                <w:sz w:val="24"/>
                <w:szCs w:val="24"/>
                <w:color w:val="auto"/>
              </w:rPr>
            </w:pPr>
          </w:p>
        </w:tc>
        <w:tc>
          <w:tcPr>
            <w:tcW w:w="740" w:type="dxa"/>
            <w:vAlign w:val="bottom"/>
            <w:tcBorders>
              <w:top w:val="single" w:sz="8" w:color="auto"/>
            </w:tcBorders>
            <w:shd w:val="clear" w:color="auto" w:fill="CCEEFF"/>
          </w:tcPr>
          <w:p>
            <w:pPr>
              <w:spacing w:after="0"/>
              <w:rPr>
                <w:sz w:val="24"/>
                <w:szCs w:val="24"/>
                <w:color w:val="auto"/>
              </w:rPr>
            </w:pPr>
          </w:p>
        </w:tc>
        <w:tc>
          <w:tcPr>
            <w:tcW w:w="120" w:type="dxa"/>
            <w:vAlign w:val="bottom"/>
            <w:tcBorders>
              <w:top w:val="single" w:sz="8" w:color="CCEEFF"/>
            </w:tcBorders>
            <w:shd w:val="clear" w:color="auto" w:fill="CCEEFF"/>
          </w:tcPr>
          <w:p>
            <w:pPr>
              <w:spacing w:after="0"/>
              <w:rPr>
                <w:sz w:val="24"/>
                <w:szCs w:val="24"/>
                <w:color w:val="auto"/>
              </w:rPr>
            </w:pPr>
          </w:p>
        </w:tc>
        <w:tc>
          <w:tcPr>
            <w:tcW w:w="200" w:type="dxa"/>
            <w:vAlign w:val="bottom"/>
            <w:tcBorders>
              <w:top w:val="single" w:sz="8" w:color="auto"/>
            </w:tcBorders>
            <w:shd w:val="clear" w:color="auto" w:fill="CCEEFF"/>
          </w:tcPr>
          <w:p>
            <w:pPr>
              <w:spacing w:after="0"/>
              <w:rPr>
                <w:sz w:val="24"/>
                <w:szCs w:val="24"/>
                <w:color w:val="auto"/>
              </w:rPr>
            </w:pPr>
          </w:p>
        </w:tc>
        <w:tc>
          <w:tcPr>
            <w:tcW w:w="720" w:type="dxa"/>
            <w:vAlign w:val="bottom"/>
            <w:tcBorders>
              <w:top w:val="single" w:sz="8" w:color="auto"/>
            </w:tcBorders>
            <w:shd w:val="clear" w:color="auto" w:fill="CCEEFF"/>
          </w:tcPr>
          <w:p>
            <w:pPr>
              <w:spacing w:after="0"/>
              <w:rPr>
                <w:sz w:val="24"/>
                <w:szCs w:val="24"/>
                <w:color w:val="auto"/>
              </w:rPr>
            </w:pPr>
          </w:p>
        </w:tc>
        <w:tc>
          <w:tcPr>
            <w:tcW w:w="120" w:type="dxa"/>
            <w:vAlign w:val="bottom"/>
            <w:tcBorders>
              <w:top w:val="single" w:sz="8" w:color="CCEEFF"/>
            </w:tcBorders>
            <w:shd w:val="clear" w:color="auto" w:fill="CCEEFF"/>
          </w:tcPr>
          <w:p>
            <w:pPr>
              <w:spacing w:after="0"/>
              <w:rPr>
                <w:sz w:val="24"/>
                <w:szCs w:val="24"/>
                <w:color w:val="auto"/>
              </w:rPr>
            </w:pPr>
          </w:p>
        </w:tc>
        <w:tc>
          <w:tcPr>
            <w:tcW w:w="160" w:type="dxa"/>
            <w:vAlign w:val="bottom"/>
            <w:tcBorders>
              <w:top w:val="single" w:sz="8" w:color="auto"/>
            </w:tcBorders>
            <w:shd w:val="clear" w:color="auto" w:fill="CCEEFF"/>
          </w:tcPr>
          <w:p>
            <w:pPr>
              <w:spacing w:after="0"/>
              <w:rPr>
                <w:sz w:val="24"/>
                <w:szCs w:val="24"/>
                <w:color w:val="auto"/>
              </w:rPr>
            </w:pPr>
          </w:p>
        </w:tc>
        <w:tc>
          <w:tcPr>
            <w:tcW w:w="760" w:type="dxa"/>
            <w:vAlign w:val="bottom"/>
            <w:tcBorders>
              <w:top w:val="single" w:sz="8" w:color="auto"/>
            </w:tcBorders>
            <w:shd w:val="clear" w:color="auto" w:fill="CCEEFF"/>
          </w:tcPr>
          <w:p>
            <w:pPr>
              <w:spacing w:after="0"/>
              <w:rPr>
                <w:sz w:val="24"/>
                <w:szCs w:val="24"/>
                <w:color w:val="auto"/>
              </w:rPr>
            </w:pPr>
          </w:p>
        </w:tc>
        <w:tc>
          <w:tcPr>
            <w:tcW w:w="100" w:type="dxa"/>
            <w:vAlign w:val="bottom"/>
            <w:tcBorders>
              <w:top w:val="single" w:sz="8" w:color="CCEEFF"/>
            </w:tcBorders>
            <w:shd w:val="clear" w:color="auto" w:fill="CCEEFF"/>
          </w:tcPr>
          <w:p>
            <w:pPr>
              <w:spacing w:after="0"/>
              <w:rPr>
                <w:sz w:val="24"/>
                <w:szCs w:val="24"/>
                <w:color w:val="auto"/>
              </w:rPr>
            </w:pPr>
          </w:p>
        </w:tc>
        <w:tc>
          <w:tcPr>
            <w:tcW w:w="200" w:type="dxa"/>
            <w:vAlign w:val="bottom"/>
            <w:tcBorders>
              <w:top w:val="single" w:sz="8" w:color="auto"/>
            </w:tcBorders>
            <w:shd w:val="clear" w:color="auto" w:fill="CCEEFF"/>
          </w:tcPr>
          <w:p>
            <w:pPr>
              <w:spacing w:after="0"/>
              <w:rPr>
                <w:sz w:val="24"/>
                <w:szCs w:val="24"/>
                <w:color w:val="auto"/>
              </w:rPr>
            </w:pPr>
          </w:p>
        </w:tc>
        <w:tc>
          <w:tcPr>
            <w:tcW w:w="700" w:type="dxa"/>
            <w:vAlign w:val="bottom"/>
            <w:tcBorders>
              <w:top w:val="single" w:sz="8" w:color="auto"/>
            </w:tcBorders>
            <w:shd w:val="clear" w:color="auto" w:fill="CCEEFF"/>
          </w:tcPr>
          <w:p>
            <w:pPr>
              <w:spacing w:after="0"/>
              <w:rPr>
                <w:sz w:val="24"/>
                <w:szCs w:val="24"/>
                <w:color w:val="auto"/>
              </w:rPr>
            </w:pPr>
          </w:p>
        </w:tc>
        <w:tc>
          <w:tcPr>
            <w:tcW w:w="100" w:type="dxa"/>
            <w:vAlign w:val="bottom"/>
            <w:tcBorders>
              <w:top w:val="single" w:sz="8" w:color="CCEEFF"/>
            </w:tcBorders>
            <w:shd w:val="clear" w:color="auto" w:fill="CCEEFF"/>
          </w:tcPr>
          <w:p>
            <w:pPr>
              <w:spacing w:after="0"/>
              <w:rPr>
                <w:sz w:val="24"/>
                <w:szCs w:val="24"/>
                <w:color w:val="auto"/>
              </w:rPr>
            </w:pPr>
          </w:p>
        </w:tc>
        <w:tc>
          <w:tcPr>
            <w:tcW w:w="200" w:type="dxa"/>
            <w:vAlign w:val="bottom"/>
            <w:tcBorders>
              <w:top w:val="single" w:sz="8" w:color="auto"/>
            </w:tcBorders>
            <w:shd w:val="clear" w:color="auto" w:fill="CCEEFF"/>
          </w:tcPr>
          <w:p>
            <w:pPr>
              <w:spacing w:after="0"/>
              <w:rPr>
                <w:sz w:val="24"/>
                <w:szCs w:val="24"/>
                <w:color w:val="auto"/>
              </w:rPr>
            </w:pPr>
          </w:p>
        </w:tc>
        <w:tc>
          <w:tcPr>
            <w:tcW w:w="700" w:type="dxa"/>
            <w:vAlign w:val="bottom"/>
            <w:tcBorders>
              <w:top w:val="single" w:sz="8" w:color="auto"/>
            </w:tcBorders>
            <w:shd w:val="clear" w:color="auto" w:fill="CCEEFF"/>
          </w:tcPr>
          <w:p>
            <w:pPr>
              <w:spacing w:after="0"/>
              <w:rPr>
                <w:sz w:val="24"/>
                <w:szCs w:val="24"/>
                <w:color w:val="auto"/>
              </w:rPr>
            </w:pPr>
          </w:p>
        </w:tc>
        <w:tc>
          <w:tcPr>
            <w:tcW w:w="100" w:type="dxa"/>
            <w:vAlign w:val="bottom"/>
            <w:tcBorders>
              <w:top w:val="single" w:sz="8" w:color="CCEEFF"/>
            </w:tcBorders>
            <w:shd w:val="clear" w:color="auto" w:fill="CCEEFF"/>
          </w:tcPr>
          <w:p>
            <w:pPr>
              <w:spacing w:after="0"/>
              <w:rPr>
                <w:sz w:val="24"/>
                <w:szCs w:val="24"/>
                <w:color w:val="auto"/>
              </w:rPr>
            </w:pPr>
          </w:p>
        </w:tc>
        <w:tc>
          <w:tcPr>
            <w:tcW w:w="140" w:type="dxa"/>
            <w:vAlign w:val="bottom"/>
            <w:tcBorders>
              <w:top w:val="single" w:sz="8" w:color="auto"/>
            </w:tcBorders>
            <w:shd w:val="clear" w:color="auto" w:fill="CCEEFF"/>
          </w:tcPr>
          <w:p>
            <w:pPr>
              <w:spacing w:after="0"/>
              <w:rPr>
                <w:sz w:val="24"/>
                <w:szCs w:val="24"/>
                <w:color w:val="auto"/>
              </w:rPr>
            </w:pPr>
          </w:p>
        </w:tc>
        <w:tc>
          <w:tcPr>
            <w:tcW w:w="760" w:type="dxa"/>
            <w:vAlign w:val="bottom"/>
            <w:tcBorders>
              <w:top w:val="single" w:sz="8" w:color="auto"/>
            </w:tcBorders>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9"/>
        </w:trPr>
        <w:tc>
          <w:tcPr>
            <w:tcW w:w="5340" w:type="dxa"/>
            <w:vAlign w:val="bottom"/>
          </w:tcPr>
          <w:p>
            <w:pPr>
              <w:ind w:left="40"/>
              <w:spacing w:after="0"/>
              <w:rPr>
                <w:sz w:val="20"/>
                <w:szCs w:val="20"/>
                <w:color w:val="auto"/>
              </w:rPr>
            </w:pPr>
            <w:r>
              <w:rPr>
                <w:rFonts w:ascii="Arial" w:cs="Arial" w:eastAsia="Arial" w:hAnsi="Arial"/>
                <w:sz w:val="14"/>
                <w:szCs w:val="14"/>
                <w:b w:val="1"/>
                <w:bCs w:val="1"/>
                <w:color w:val="auto"/>
              </w:rPr>
              <w:t>Expenses</w:t>
            </w:r>
          </w:p>
        </w:tc>
        <w:tc>
          <w:tcPr>
            <w:tcW w:w="2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1"/>
        </w:trPr>
        <w:tc>
          <w:tcPr>
            <w:tcW w:w="5340" w:type="dxa"/>
            <w:vAlign w:val="bottom"/>
            <w:shd w:val="clear" w:color="auto" w:fill="CCEEFF"/>
          </w:tcPr>
          <w:p>
            <w:pPr>
              <w:ind w:left="40"/>
              <w:spacing w:after="0"/>
              <w:rPr>
                <w:sz w:val="20"/>
                <w:szCs w:val="20"/>
                <w:color w:val="auto"/>
              </w:rPr>
            </w:pPr>
            <w:r>
              <w:rPr>
                <w:rFonts w:ascii="Arial" w:cs="Arial" w:eastAsia="Arial" w:hAnsi="Arial"/>
                <w:sz w:val="14"/>
                <w:szCs w:val="14"/>
                <w:color w:val="auto"/>
              </w:rPr>
              <w:t>Operating expenses</w:t>
            </w:r>
          </w:p>
        </w:tc>
        <w:tc>
          <w:tcPr>
            <w:tcW w:w="200" w:type="dxa"/>
            <w:vAlign w:val="bottom"/>
            <w:shd w:val="clear" w:color="auto" w:fill="CCEEFF"/>
          </w:tcPr>
          <w:p>
            <w:pPr>
              <w:spacing w:after="0"/>
              <w:rPr>
                <w:sz w:val="23"/>
                <w:szCs w:val="23"/>
                <w:color w:val="auto"/>
              </w:rPr>
            </w:pPr>
          </w:p>
        </w:tc>
        <w:tc>
          <w:tcPr>
            <w:tcW w:w="74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8</w:t>
            </w: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7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w:t>
            </w: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7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7</w:t>
            </w: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70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8</w:t>
            </w: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7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43</w:t>
            </w: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(35)</w:t>
            </w:r>
          </w:p>
        </w:tc>
        <w:tc>
          <w:tcPr>
            <w:tcW w:w="0" w:type="dxa"/>
            <w:vAlign w:val="bottom"/>
          </w:tcPr>
          <w:p>
            <w:pPr>
              <w:spacing w:after="0"/>
              <w:rPr>
                <w:sz w:val="1"/>
                <w:szCs w:val="1"/>
                <w:color w:val="auto"/>
              </w:rPr>
            </w:pPr>
          </w:p>
        </w:tc>
      </w:tr>
      <w:tr>
        <w:trPr>
          <w:trHeight w:val="269"/>
        </w:trPr>
        <w:tc>
          <w:tcPr>
            <w:tcW w:w="5340" w:type="dxa"/>
            <w:vAlign w:val="bottom"/>
          </w:tcPr>
          <w:p>
            <w:pPr>
              <w:ind w:left="40"/>
              <w:spacing w:after="0"/>
              <w:rPr>
                <w:sz w:val="20"/>
                <w:szCs w:val="20"/>
                <w:color w:val="auto"/>
              </w:rPr>
            </w:pPr>
            <w:r>
              <w:rPr>
                <w:rFonts w:ascii="Arial" w:cs="Arial" w:eastAsia="Arial" w:hAnsi="Arial"/>
                <w:sz w:val="14"/>
                <w:szCs w:val="14"/>
                <w:color w:val="auto"/>
              </w:rPr>
              <w:t>Interest expense</w:t>
            </w:r>
          </w:p>
        </w:tc>
        <w:tc>
          <w:tcPr>
            <w:tcW w:w="200" w:type="dxa"/>
            <w:vAlign w:val="bottom"/>
          </w:tcPr>
          <w:p>
            <w:pPr>
              <w:spacing w:after="0"/>
              <w:rPr>
                <w:sz w:val="23"/>
                <w:szCs w:val="23"/>
                <w:color w:val="auto"/>
              </w:rPr>
            </w:pPr>
          </w:p>
        </w:tc>
        <w:tc>
          <w:tcPr>
            <w:tcW w:w="86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rPr>
              <w:t>—</w:t>
            </w:r>
          </w:p>
        </w:tc>
        <w:tc>
          <w:tcPr>
            <w:tcW w:w="200" w:type="dxa"/>
            <w:vAlign w:val="bottom"/>
          </w:tcPr>
          <w:p>
            <w:pPr>
              <w:spacing w:after="0"/>
              <w:rPr>
                <w:sz w:val="23"/>
                <w:szCs w:val="23"/>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3"/>
                <w:szCs w:val="23"/>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3"/>
                <w:szCs w:val="23"/>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rPr>
              <w:t>—</w:t>
            </w:r>
          </w:p>
        </w:tc>
        <w:tc>
          <w:tcPr>
            <w:tcW w:w="200" w:type="dxa"/>
            <w:vAlign w:val="bottom"/>
          </w:tcPr>
          <w:p>
            <w:pPr>
              <w:spacing w:after="0"/>
              <w:rPr>
                <w:sz w:val="23"/>
                <w:szCs w:val="23"/>
                <w:color w:val="auto"/>
              </w:rPr>
            </w:pPr>
          </w:p>
        </w:tc>
        <w:tc>
          <w:tcPr>
            <w:tcW w:w="700" w:type="dxa"/>
            <w:vAlign w:val="bottom"/>
          </w:tcPr>
          <w:p>
            <w:pPr>
              <w:jc w:val="right"/>
              <w:ind w:right="48"/>
              <w:spacing w:after="0"/>
              <w:rPr>
                <w:sz w:val="20"/>
                <w:szCs w:val="20"/>
                <w:color w:val="auto"/>
              </w:rPr>
            </w:pPr>
            <w:r>
              <w:rPr>
                <w:rFonts w:ascii="Arial" w:cs="Arial" w:eastAsia="Arial" w:hAnsi="Arial"/>
                <w:sz w:val="14"/>
                <w:szCs w:val="14"/>
                <w:color w:val="auto"/>
              </w:rPr>
              <w:t>410</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(410)</w:t>
            </w:r>
          </w:p>
        </w:tc>
        <w:tc>
          <w:tcPr>
            <w:tcW w:w="0" w:type="dxa"/>
            <w:vAlign w:val="bottom"/>
          </w:tcPr>
          <w:p>
            <w:pPr>
              <w:spacing w:after="0"/>
              <w:rPr>
                <w:sz w:val="1"/>
                <w:szCs w:val="1"/>
                <w:color w:val="auto"/>
              </w:rPr>
            </w:pPr>
          </w:p>
        </w:tc>
      </w:tr>
      <w:tr>
        <w:trPr>
          <w:trHeight w:val="250"/>
        </w:trPr>
        <w:tc>
          <w:tcPr>
            <w:tcW w:w="534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4"/>
                <w:szCs w:val="14"/>
                <w:b w:val="1"/>
                <w:bCs w:val="1"/>
                <w:color w:val="auto"/>
              </w:rPr>
              <w:t>Total expenses</w:t>
            </w:r>
          </w:p>
        </w:tc>
        <w:tc>
          <w:tcPr>
            <w:tcW w:w="200" w:type="dxa"/>
            <w:vAlign w:val="bottom"/>
            <w:tcBorders>
              <w:top w:val="single" w:sz="8" w:color="auto"/>
              <w:bottom w:val="single" w:sz="8" w:color="auto"/>
            </w:tcBorders>
            <w:shd w:val="clear" w:color="auto" w:fill="CCEEFF"/>
          </w:tcPr>
          <w:p>
            <w:pPr>
              <w:spacing w:after="0"/>
              <w:rPr>
                <w:sz w:val="21"/>
                <w:szCs w:val="21"/>
                <w:color w:val="auto"/>
              </w:rPr>
            </w:pPr>
          </w:p>
        </w:tc>
        <w:tc>
          <w:tcPr>
            <w:tcW w:w="74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8</w:t>
            </w:r>
          </w:p>
        </w:tc>
        <w:tc>
          <w:tcPr>
            <w:tcW w:w="120" w:type="dxa"/>
            <w:vAlign w:val="bottom"/>
            <w:tcBorders>
              <w:top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spacing w:after="0"/>
              <w:rPr>
                <w:sz w:val="21"/>
                <w:szCs w:val="21"/>
                <w:color w:val="auto"/>
              </w:rPr>
            </w:pPr>
          </w:p>
        </w:tc>
        <w:tc>
          <w:tcPr>
            <w:tcW w:w="72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w:t>
            </w:r>
          </w:p>
        </w:tc>
        <w:tc>
          <w:tcPr>
            <w:tcW w:w="120" w:type="dxa"/>
            <w:vAlign w:val="bottom"/>
            <w:tcBorders>
              <w:top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spacing w:after="0"/>
              <w:rPr>
                <w:sz w:val="21"/>
                <w:szCs w:val="21"/>
                <w:color w:val="auto"/>
              </w:rPr>
            </w:pPr>
          </w:p>
        </w:tc>
        <w:tc>
          <w:tcPr>
            <w:tcW w:w="76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7</w:t>
            </w:r>
          </w:p>
        </w:tc>
        <w:tc>
          <w:tcPr>
            <w:tcW w:w="100" w:type="dxa"/>
            <w:vAlign w:val="bottom"/>
            <w:tcBorders>
              <w:top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spacing w:after="0"/>
              <w:rPr>
                <w:sz w:val="21"/>
                <w:szCs w:val="21"/>
                <w:color w:val="auto"/>
              </w:rPr>
            </w:pPr>
          </w:p>
        </w:tc>
        <w:tc>
          <w:tcPr>
            <w:tcW w:w="70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8</w:t>
            </w:r>
          </w:p>
        </w:tc>
        <w:tc>
          <w:tcPr>
            <w:tcW w:w="100" w:type="dxa"/>
            <w:vAlign w:val="bottom"/>
            <w:tcBorders>
              <w:top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spacing w:after="0"/>
              <w:rPr>
                <w:sz w:val="21"/>
                <w:szCs w:val="21"/>
                <w:color w:val="auto"/>
              </w:rPr>
            </w:pPr>
          </w:p>
        </w:tc>
        <w:tc>
          <w:tcPr>
            <w:tcW w:w="70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453</w:t>
            </w:r>
          </w:p>
        </w:tc>
        <w:tc>
          <w:tcPr>
            <w:tcW w:w="100" w:type="dxa"/>
            <w:vAlign w:val="bottom"/>
            <w:tcBorders>
              <w:top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spacing w:after="0"/>
              <w:rPr>
                <w:sz w:val="21"/>
                <w:szCs w:val="21"/>
                <w:color w:val="auto"/>
              </w:rPr>
            </w:pP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(445)</w:t>
            </w:r>
          </w:p>
        </w:tc>
        <w:tc>
          <w:tcPr>
            <w:tcW w:w="0" w:type="dxa"/>
            <w:vAlign w:val="bottom"/>
          </w:tcPr>
          <w:p>
            <w:pPr>
              <w:spacing w:after="0"/>
              <w:rPr>
                <w:sz w:val="1"/>
                <w:szCs w:val="1"/>
                <w:color w:val="auto"/>
              </w:rPr>
            </w:pPr>
          </w:p>
        </w:tc>
      </w:tr>
      <w:tr>
        <w:trPr>
          <w:trHeight w:val="292"/>
        </w:trPr>
        <w:tc>
          <w:tcPr>
            <w:tcW w:w="5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534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Other (expense) income</w:t>
            </w:r>
          </w:p>
        </w:tc>
        <w:tc>
          <w:tcPr>
            <w:tcW w:w="200" w:type="dxa"/>
            <w:vAlign w:val="bottom"/>
            <w:shd w:val="clear" w:color="auto" w:fill="CCEEFF"/>
          </w:tcPr>
          <w:p>
            <w:pPr>
              <w:spacing w:after="0"/>
              <w:rPr>
                <w:sz w:val="23"/>
                <w:szCs w:val="23"/>
                <w:color w:val="auto"/>
              </w:rPr>
            </w:pPr>
          </w:p>
        </w:tc>
        <w:tc>
          <w:tcPr>
            <w:tcW w:w="7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7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7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7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7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76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9"/>
        </w:trPr>
        <w:tc>
          <w:tcPr>
            <w:tcW w:w="5340" w:type="dxa"/>
            <w:vAlign w:val="bottom"/>
          </w:tcPr>
          <w:p>
            <w:pPr>
              <w:ind w:left="40"/>
              <w:spacing w:after="0"/>
              <w:rPr>
                <w:sz w:val="20"/>
                <w:szCs w:val="20"/>
                <w:color w:val="auto"/>
              </w:rPr>
            </w:pPr>
            <w:r>
              <w:rPr>
                <w:rFonts w:ascii="Arial" w:cs="Arial" w:eastAsia="Arial" w:hAnsi="Arial"/>
                <w:sz w:val="14"/>
                <w:szCs w:val="14"/>
                <w:color w:val="auto"/>
              </w:rPr>
              <w:t>Equity in earnings / (losses) of unconsolidated entities</w:t>
            </w:r>
          </w:p>
        </w:tc>
        <w:tc>
          <w:tcPr>
            <w:tcW w:w="200" w:type="dxa"/>
            <w:vAlign w:val="bottom"/>
          </w:tcPr>
          <w:p>
            <w:pPr>
              <w:spacing w:after="0"/>
              <w:rPr>
                <w:sz w:val="23"/>
                <w:szCs w:val="23"/>
                <w:color w:val="auto"/>
              </w:rPr>
            </w:pPr>
          </w:p>
        </w:tc>
        <w:tc>
          <w:tcPr>
            <w:tcW w:w="740" w:type="dxa"/>
            <w:vAlign w:val="bottom"/>
          </w:tcPr>
          <w:p>
            <w:pPr>
              <w:jc w:val="right"/>
              <w:ind w:right="48"/>
              <w:spacing w:after="0"/>
              <w:rPr>
                <w:sz w:val="20"/>
                <w:szCs w:val="20"/>
                <w:color w:val="auto"/>
              </w:rPr>
            </w:pPr>
            <w:r>
              <w:rPr>
                <w:rFonts w:ascii="Arial" w:cs="Arial" w:eastAsia="Arial" w:hAnsi="Arial"/>
                <w:sz w:val="14"/>
                <w:szCs w:val="14"/>
                <w:b w:val="1"/>
                <w:bCs w:val="1"/>
                <w:color w:val="auto"/>
              </w:rPr>
              <w:t>359</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(1,161)</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60" w:type="dxa"/>
            <w:vAlign w:val="bottom"/>
          </w:tcPr>
          <w:p>
            <w:pPr>
              <w:jc w:val="right"/>
              <w:ind w:right="48"/>
              <w:spacing w:after="0"/>
              <w:rPr>
                <w:sz w:val="20"/>
                <w:szCs w:val="20"/>
                <w:color w:val="auto"/>
              </w:rPr>
            </w:pPr>
            <w:r>
              <w:rPr>
                <w:rFonts w:ascii="Arial" w:cs="Arial" w:eastAsia="Arial" w:hAnsi="Arial"/>
                <w:sz w:val="14"/>
                <w:szCs w:val="14"/>
                <w:color w:val="auto"/>
              </w:rPr>
              <w:t>1,520</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00" w:type="dxa"/>
            <w:vAlign w:val="bottom"/>
          </w:tcPr>
          <w:p>
            <w:pPr>
              <w:jc w:val="right"/>
              <w:spacing w:after="0"/>
              <w:rPr>
                <w:sz w:val="20"/>
                <w:szCs w:val="20"/>
                <w:color w:val="auto"/>
              </w:rPr>
            </w:pPr>
            <w:r>
              <w:rPr>
                <w:rFonts w:ascii="Arial" w:cs="Arial" w:eastAsia="Arial" w:hAnsi="Arial"/>
                <w:sz w:val="14"/>
                <w:szCs w:val="14"/>
                <w:b w:val="1"/>
                <w:bCs w:val="1"/>
                <w:color w:val="auto"/>
              </w:rPr>
              <w:t>(316)</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(1,335)</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60" w:type="dxa"/>
            <w:vAlign w:val="bottom"/>
          </w:tcPr>
          <w:p>
            <w:pPr>
              <w:jc w:val="right"/>
              <w:ind w:right="48"/>
              <w:spacing w:after="0"/>
              <w:rPr>
                <w:sz w:val="20"/>
                <w:szCs w:val="20"/>
                <w:color w:val="auto"/>
              </w:rPr>
            </w:pPr>
            <w:r>
              <w:rPr>
                <w:rFonts w:ascii="Arial" w:cs="Arial" w:eastAsia="Arial" w:hAnsi="Arial"/>
                <w:sz w:val="14"/>
                <w:szCs w:val="14"/>
                <w:color w:val="auto"/>
              </w:rPr>
              <w:t>1,019</w:t>
            </w:r>
          </w:p>
        </w:tc>
        <w:tc>
          <w:tcPr>
            <w:tcW w:w="0" w:type="dxa"/>
            <w:vAlign w:val="bottom"/>
          </w:tcPr>
          <w:p>
            <w:pPr>
              <w:spacing w:after="0"/>
              <w:rPr>
                <w:sz w:val="1"/>
                <w:szCs w:val="1"/>
                <w:color w:val="auto"/>
              </w:rPr>
            </w:pPr>
          </w:p>
        </w:tc>
      </w:tr>
      <w:tr>
        <w:trPr>
          <w:trHeight w:val="271"/>
        </w:trPr>
        <w:tc>
          <w:tcPr>
            <w:tcW w:w="5340" w:type="dxa"/>
            <w:vAlign w:val="bottom"/>
            <w:shd w:val="clear" w:color="auto" w:fill="CCEEFF"/>
          </w:tcPr>
          <w:p>
            <w:pPr>
              <w:ind w:left="40"/>
              <w:spacing w:after="0"/>
              <w:rPr>
                <w:sz w:val="20"/>
                <w:szCs w:val="20"/>
                <w:color w:val="auto"/>
              </w:rPr>
            </w:pPr>
            <w:r>
              <w:rPr>
                <w:rFonts w:ascii="Arial" w:cs="Arial" w:eastAsia="Arial" w:hAnsi="Arial"/>
                <w:sz w:val="14"/>
                <w:szCs w:val="14"/>
                <w:color w:val="auto"/>
              </w:rPr>
              <w:t>Gain on sale of finance leases, net</w:t>
            </w:r>
          </w:p>
        </w:tc>
        <w:tc>
          <w:tcPr>
            <w:tcW w:w="200" w:type="dxa"/>
            <w:vAlign w:val="bottom"/>
            <w:shd w:val="clear" w:color="auto" w:fill="CCEEFF"/>
          </w:tcPr>
          <w:p>
            <w:pPr>
              <w:spacing w:after="0"/>
              <w:rPr>
                <w:sz w:val="23"/>
                <w:szCs w:val="23"/>
                <w:color w:val="auto"/>
              </w:rPr>
            </w:pPr>
          </w:p>
        </w:tc>
        <w:tc>
          <w:tcPr>
            <w:tcW w:w="86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b w:val="1"/>
                <w:bCs w:val="1"/>
                <w:color w:val="auto"/>
              </w:rPr>
              <w:t>—</w:t>
            </w:r>
          </w:p>
        </w:tc>
        <w:tc>
          <w:tcPr>
            <w:tcW w:w="200" w:type="dxa"/>
            <w:vAlign w:val="bottom"/>
            <w:shd w:val="clear" w:color="auto" w:fill="CCEEFF"/>
          </w:tcPr>
          <w:p>
            <w:pPr>
              <w:spacing w:after="0"/>
              <w:rPr>
                <w:sz w:val="23"/>
                <w:szCs w:val="23"/>
                <w:color w:val="auto"/>
              </w:rPr>
            </w:pP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3"/>
                <w:szCs w:val="23"/>
                <w:color w:val="auto"/>
              </w:rPr>
            </w:pP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23"/>
                <w:szCs w:val="23"/>
                <w:color w:val="auto"/>
              </w:rPr>
            </w:pP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b w:val="1"/>
                <w:bCs w:val="1"/>
                <w:color w:val="auto"/>
              </w:rPr>
              <w:t>—</w:t>
            </w:r>
          </w:p>
        </w:tc>
        <w:tc>
          <w:tcPr>
            <w:tcW w:w="200" w:type="dxa"/>
            <w:vAlign w:val="bottom"/>
            <w:shd w:val="clear" w:color="auto" w:fill="CCEEFF"/>
          </w:tcPr>
          <w:p>
            <w:pPr>
              <w:spacing w:after="0"/>
              <w:rPr>
                <w:sz w:val="23"/>
                <w:szCs w:val="23"/>
                <w:color w:val="auto"/>
              </w:rPr>
            </w:pPr>
          </w:p>
        </w:tc>
        <w:tc>
          <w:tcPr>
            <w:tcW w:w="7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304</w:t>
            </w: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(304)</w:t>
            </w:r>
          </w:p>
        </w:tc>
        <w:tc>
          <w:tcPr>
            <w:tcW w:w="0" w:type="dxa"/>
            <w:vAlign w:val="bottom"/>
          </w:tcPr>
          <w:p>
            <w:pPr>
              <w:spacing w:after="0"/>
              <w:rPr>
                <w:sz w:val="1"/>
                <w:szCs w:val="1"/>
                <w:color w:val="auto"/>
              </w:rPr>
            </w:pPr>
          </w:p>
        </w:tc>
      </w:tr>
      <w:tr>
        <w:trPr>
          <w:trHeight w:val="269"/>
        </w:trPr>
        <w:tc>
          <w:tcPr>
            <w:tcW w:w="5340" w:type="dxa"/>
            <w:vAlign w:val="bottom"/>
          </w:tcPr>
          <w:p>
            <w:pPr>
              <w:ind w:left="40"/>
              <w:spacing w:after="0"/>
              <w:rPr>
                <w:sz w:val="20"/>
                <w:szCs w:val="20"/>
                <w:color w:val="auto"/>
              </w:rPr>
            </w:pPr>
            <w:r>
              <w:rPr>
                <w:rFonts w:ascii="Arial" w:cs="Arial" w:eastAsia="Arial" w:hAnsi="Arial"/>
                <w:sz w:val="14"/>
                <w:szCs w:val="14"/>
                <w:color w:val="auto"/>
              </w:rPr>
              <w:t>Other expense</w:t>
            </w:r>
          </w:p>
        </w:tc>
        <w:tc>
          <w:tcPr>
            <w:tcW w:w="200" w:type="dxa"/>
            <w:vAlign w:val="bottom"/>
          </w:tcPr>
          <w:p>
            <w:pPr>
              <w:spacing w:after="0"/>
              <w:rPr>
                <w:sz w:val="23"/>
                <w:szCs w:val="23"/>
                <w:color w:val="auto"/>
              </w:rPr>
            </w:pPr>
          </w:p>
        </w:tc>
        <w:tc>
          <w:tcPr>
            <w:tcW w:w="86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rPr>
              <w:t>—</w:t>
            </w:r>
          </w:p>
        </w:tc>
        <w:tc>
          <w:tcPr>
            <w:tcW w:w="200" w:type="dxa"/>
            <w:vAlign w:val="bottom"/>
          </w:tcPr>
          <w:p>
            <w:pPr>
              <w:spacing w:after="0"/>
              <w:rPr>
                <w:sz w:val="23"/>
                <w:szCs w:val="23"/>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3"/>
                <w:szCs w:val="23"/>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3"/>
                <w:szCs w:val="23"/>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rPr>
              <w:t>—</w:t>
            </w:r>
          </w:p>
        </w:tc>
        <w:tc>
          <w:tcPr>
            <w:tcW w:w="200" w:type="dxa"/>
            <w:vAlign w:val="bottom"/>
          </w:tcPr>
          <w:p>
            <w:pPr>
              <w:spacing w:after="0"/>
              <w:rPr>
                <w:sz w:val="23"/>
                <w:szCs w:val="23"/>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(2)</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60" w:type="dxa"/>
            <w:vAlign w:val="bottom"/>
          </w:tcPr>
          <w:p>
            <w:pPr>
              <w:jc w:val="right"/>
              <w:ind w:right="48"/>
              <w:spacing w:after="0"/>
              <w:rPr>
                <w:sz w:val="20"/>
                <w:szCs w:val="20"/>
                <w:color w:val="auto"/>
              </w:rPr>
            </w:pPr>
            <w:r>
              <w:rPr>
                <w:rFonts w:ascii="Arial" w:cs="Arial" w:eastAsia="Arial" w:hAnsi="Arial"/>
                <w:sz w:val="14"/>
                <w:szCs w:val="14"/>
                <w:color w:val="auto"/>
              </w:rPr>
              <w:t>2</w:t>
            </w:r>
          </w:p>
        </w:tc>
        <w:tc>
          <w:tcPr>
            <w:tcW w:w="0" w:type="dxa"/>
            <w:vAlign w:val="bottom"/>
          </w:tcPr>
          <w:p>
            <w:pPr>
              <w:spacing w:after="0"/>
              <w:rPr>
                <w:sz w:val="1"/>
                <w:szCs w:val="1"/>
                <w:color w:val="auto"/>
              </w:rPr>
            </w:pPr>
          </w:p>
        </w:tc>
      </w:tr>
      <w:tr>
        <w:trPr>
          <w:trHeight w:val="250"/>
        </w:trPr>
        <w:tc>
          <w:tcPr>
            <w:tcW w:w="534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4"/>
                <w:szCs w:val="14"/>
                <w:b w:val="1"/>
                <w:bCs w:val="1"/>
                <w:color w:val="auto"/>
              </w:rPr>
              <w:t>Total other income (expense)</w:t>
            </w:r>
          </w:p>
        </w:tc>
        <w:tc>
          <w:tcPr>
            <w:tcW w:w="200" w:type="dxa"/>
            <w:vAlign w:val="bottom"/>
            <w:tcBorders>
              <w:top w:val="single" w:sz="8" w:color="auto"/>
              <w:bottom w:val="single" w:sz="8" w:color="auto"/>
            </w:tcBorders>
            <w:shd w:val="clear" w:color="auto" w:fill="CCEEFF"/>
          </w:tcPr>
          <w:p>
            <w:pPr>
              <w:spacing w:after="0"/>
              <w:rPr>
                <w:sz w:val="21"/>
                <w:szCs w:val="21"/>
                <w:color w:val="auto"/>
              </w:rPr>
            </w:pPr>
          </w:p>
        </w:tc>
        <w:tc>
          <w:tcPr>
            <w:tcW w:w="74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359</w:t>
            </w:r>
          </w:p>
        </w:tc>
        <w:tc>
          <w:tcPr>
            <w:tcW w:w="120" w:type="dxa"/>
            <w:vAlign w:val="bottom"/>
            <w:tcBorders>
              <w:top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spacing w:after="0"/>
              <w:rPr>
                <w:sz w:val="21"/>
                <w:szCs w:val="21"/>
                <w:color w:val="auto"/>
              </w:rPr>
            </w:pP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(1,161)</w:t>
            </w:r>
          </w:p>
        </w:tc>
        <w:tc>
          <w:tcPr>
            <w:tcW w:w="120" w:type="dxa"/>
            <w:vAlign w:val="bottom"/>
            <w:tcBorders>
              <w:top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spacing w:after="0"/>
              <w:rPr>
                <w:sz w:val="21"/>
                <w:szCs w:val="21"/>
                <w:color w:val="auto"/>
              </w:rPr>
            </w:pPr>
          </w:p>
        </w:tc>
        <w:tc>
          <w:tcPr>
            <w:tcW w:w="76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1,520</w:t>
            </w:r>
          </w:p>
        </w:tc>
        <w:tc>
          <w:tcPr>
            <w:tcW w:w="100" w:type="dxa"/>
            <w:vAlign w:val="bottom"/>
            <w:tcBorders>
              <w:top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spacing w:after="0"/>
              <w:rPr>
                <w:sz w:val="21"/>
                <w:szCs w:val="21"/>
                <w:color w:val="auto"/>
              </w:rPr>
            </w:pP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(316)</w:t>
            </w:r>
          </w:p>
        </w:tc>
        <w:tc>
          <w:tcPr>
            <w:tcW w:w="100" w:type="dxa"/>
            <w:vAlign w:val="bottom"/>
            <w:tcBorders>
              <w:top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spacing w:after="0"/>
              <w:rPr>
                <w:sz w:val="21"/>
                <w:szCs w:val="21"/>
                <w:color w:val="auto"/>
              </w:rPr>
            </w:pP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(1,033)</w:t>
            </w:r>
          </w:p>
        </w:tc>
        <w:tc>
          <w:tcPr>
            <w:tcW w:w="100" w:type="dxa"/>
            <w:vAlign w:val="bottom"/>
            <w:tcBorders>
              <w:top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spacing w:after="0"/>
              <w:rPr>
                <w:sz w:val="21"/>
                <w:szCs w:val="21"/>
                <w:color w:val="auto"/>
              </w:rPr>
            </w:pPr>
          </w:p>
        </w:tc>
        <w:tc>
          <w:tcPr>
            <w:tcW w:w="76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717</w:t>
            </w:r>
          </w:p>
        </w:tc>
        <w:tc>
          <w:tcPr>
            <w:tcW w:w="0" w:type="dxa"/>
            <w:vAlign w:val="bottom"/>
          </w:tcPr>
          <w:p>
            <w:pPr>
              <w:spacing w:after="0"/>
              <w:rPr>
                <w:sz w:val="1"/>
                <w:szCs w:val="1"/>
                <w:color w:val="auto"/>
              </w:rPr>
            </w:pPr>
          </w:p>
        </w:tc>
      </w:tr>
      <w:tr>
        <w:trPr>
          <w:trHeight w:val="250"/>
        </w:trPr>
        <w:tc>
          <w:tcPr>
            <w:tcW w:w="5340" w:type="dxa"/>
            <w:vAlign w:val="bottom"/>
          </w:tcPr>
          <w:p>
            <w:pPr>
              <w:ind w:left="40"/>
              <w:spacing w:after="0"/>
              <w:rPr>
                <w:sz w:val="20"/>
                <w:szCs w:val="20"/>
                <w:color w:val="auto"/>
              </w:rPr>
            </w:pPr>
            <w:r>
              <w:rPr>
                <w:rFonts w:ascii="Arial" w:cs="Arial" w:eastAsia="Arial" w:hAnsi="Arial"/>
                <w:sz w:val="14"/>
                <w:szCs w:val="14"/>
                <w:b w:val="1"/>
                <w:bCs w:val="1"/>
                <w:color w:val="auto"/>
              </w:rPr>
              <w:t>Income (loss) before income taxes</w:t>
            </w:r>
          </w:p>
        </w:tc>
        <w:tc>
          <w:tcPr>
            <w:tcW w:w="200" w:type="dxa"/>
            <w:vAlign w:val="bottom"/>
          </w:tcPr>
          <w:p>
            <w:pPr>
              <w:spacing w:after="0"/>
              <w:rPr>
                <w:sz w:val="21"/>
                <w:szCs w:val="21"/>
                <w:color w:val="auto"/>
              </w:rPr>
            </w:pPr>
          </w:p>
        </w:tc>
        <w:tc>
          <w:tcPr>
            <w:tcW w:w="740" w:type="dxa"/>
            <w:vAlign w:val="bottom"/>
          </w:tcPr>
          <w:p>
            <w:pPr>
              <w:jc w:val="right"/>
              <w:ind w:right="48"/>
              <w:spacing w:after="0"/>
              <w:rPr>
                <w:sz w:val="20"/>
                <w:szCs w:val="20"/>
                <w:color w:val="auto"/>
              </w:rPr>
            </w:pPr>
            <w:r>
              <w:rPr>
                <w:rFonts w:ascii="Arial" w:cs="Arial" w:eastAsia="Arial" w:hAnsi="Arial"/>
                <w:sz w:val="14"/>
                <w:szCs w:val="14"/>
                <w:b w:val="1"/>
                <w:bCs w:val="1"/>
                <w:color w:val="auto"/>
              </w:rPr>
              <w:t>376</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(1,137)</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60" w:type="dxa"/>
            <w:vAlign w:val="bottom"/>
          </w:tcPr>
          <w:p>
            <w:pPr>
              <w:jc w:val="right"/>
              <w:ind w:right="48"/>
              <w:spacing w:after="0"/>
              <w:rPr>
                <w:sz w:val="20"/>
                <w:szCs w:val="20"/>
                <w:color w:val="auto"/>
              </w:rPr>
            </w:pPr>
            <w:r>
              <w:rPr>
                <w:rFonts w:ascii="Arial" w:cs="Arial" w:eastAsia="Arial" w:hAnsi="Arial"/>
                <w:sz w:val="14"/>
                <w:szCs w:val="14"/>
                <w:color w:val="auto"/>
              </w:rPr>
              <w:t>1,513</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4"/>
                <w:szCs w:val="14"/>
                <w:b w:val="1"/>
                <w:bCs w:val="1"/>
                <w:color w:val="auto"/>
              </w:rPr>
              <w:t>(249)</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(299)</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60" w:type="dxa"/>
            <w:vAlign w:val="bottom"/>
          </w:tcPr>
          <w:p>
            <w:pPr>
              <w:jc w:val="right"/>
              <w:ind w:right="48"/>
              <w:spacing w:after="0"/>
              <w:rPr>
                <w:sz w:val="20"/>
                <w:szCs w:val="20"/>
                <w:color w:val="auto"/>
              </w:rPr>
            </w:pPr>
            <w:r>
              <w:rPr>
                <w:rFonts w:ascii="Arial" w:cs="Arial" w:eastAsia="Arial" w:hAnsi="Arial"/>
                <w:sz w:val="14"/>
                <w:szCs w:val="14"/>
                <w:color w:val="auto"/>
              </w:rPr>
              <w:t>50</w:t>
            </w:r>
          </w:p>
        </w:tc>
        <w:tc>
          <w:tcPr>
            <w:tcW w:w="0" w:type="dxa"/>
            <w:vAlign w:val="bottom"/>
          </w:tcPr>
          <w:p>
            <w:pPr>
              <w:spacing w:after="0"/>
              <w:rPr>
                <w:sz w:val="1"/>
                <w:szCs w:val="1"/>
                <w:color w:val="auto"/>
              </w:rPr>
            </w:pPr>
          </w:p>
        </w:tc>
      </w:tr>
      <w:tr>
        <w:trPr>
          <w:trHeight w:val="270"/>
        </w:trPr>
        <w:tc>
          <w:tcPr>
            <w:tcW w:w="5340" w:type="dxa"/>
            <w:vAlign w:val="bottom"/>
            <w:shd w:val="clear" w:color="auto" w:fill="CCEEFF"/>
          </w:tcPr>
          <w:p>
            <w:pPr>
              <w:ind w:left="40"/>
              <w:spacing w:after="0"/>
              <w:rPr>
                <w:sz w:val="20"/>
                <w:szCs w:val="20"/>
                <w:color w:val="auto"/>
              </w:rPr>
            </w:pPr>
            <w:r>
              <w:rPr>
                <w:rFonts w:ascii="Arial" w:cs="Arial" w:eastAsia="Arial" w:hAnsi="Arial"/>
                <w:sz w:val="14"/>
                <w:szCs w:val="14"/>
                <w:color w:val="auto"/>
              </w:rPr>
              <w:t>Benefit from income taxes</w:t>
            </w:r>
          </w:p>
        </w:tc>
        <w:tc>
          <w:tcPr>
            <w:tcW w:w="200" w:type="dxa"/>
            <w:vAlign w:val="bottom"/>
            <w:tcBorders>
              <w:bottom w:val="single" w:sz="8" w:color="auto"/>
            </w:tcBorders>
            <w:shd w:val="clear" w:color="auto" w:fill="CCEEFF"/>
          </w:tcPr>
          <w:p>
            <w:pPr>
              <w:spacing w:after="0"/>
              <w:rPr>
                <w:sz w:val="23"/>
                <w:szCs w:val="23"/>
                <w:color w:val="auto"/>
              </w:rPr>
            </w:pPr>
          </w:p>
        </w:tc>
        <w:tc>
          <w:tcPr>
            <w:tcW w:w="74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(10)</w:t>
            </w:r>
          </w:p>
        </w:tc>
        <w:tc>
          <w:tcPr>
            <w:tcW w:w="12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(41)</w:t>
            </w:r>
          </w:p>
        </w:tc>
        <w:tc>
          <w:tcPr>
            <w:tcW w:w="12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76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31</w:t>
            </w:r>
          </w:p>
        </w:tc>
        <w:tc>
          <w:tcPr>
            <w:tcW w:w="10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(44)</w:t>
            </w:r>
          </w:p>
        </w:tc>
        <w:tc>
          <w:tcPr>
            <w:tcW w:w="10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(54)</w:t>
            </w:r>
          </w:p>
        </w:tc>
        <w:tc>
          <w:tcPr>
            <w:tcW w:w="10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76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10</w:t>
            </w:r>
          </w:p>
        </w:tc>
        <w:tc>
          <w:tcPr>
            <w:tcW w:w="0" w:type="dxa"/>
            <w:vAlign w:val="bottom"/>
          </w:tcPr>
          <w:p>
            <w:pPr>
              <w:spacing w:after="0"/>
              <w:rPr>
                <w:sz w:val="1"/>
                <w:szCs w:val="1"/>
                <w:color w:val="auto"/>
              </w:rPr>
            </w:pPr>
          </w:p>
        </w:tc>
      </w:tr>
      <w:tr>
        <w:trPr>
          <w:trHeight w:val="250"/>
        </w:trPr>
        <w:tc>
          <w:tcPr>
            <w:tcW w:w="534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Net (loss) income attributable to shareholders</w:t>
            </w:r>
          </w:p>
        </w:tc>
        <w:tc>
          <w:tcPr>
            <w:tcW w:w="2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w:t>
            </w:r>
          </w:p>
        </w:tc>
        <w:tc>
          <w:tcPr>
            <w:tcW w:w="7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386</w:t>
            </w:r>
          </w:p>
        </w:tc>
        <w:tc>
          <w:tcPr>
            <w:tcW w:w="12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(1,096)</w:t>
            </w:r>
          </w:p>
        </w:tc>
        <w:tc>
          <w:tcPr>
            <w:tcW w:w="12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1,482</w:t>
            </w:r>
          </w:p>
        </w:tc>
        <w:tc>
          <w:tcPr>
            <w:tcW w:w="10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(205)</w:t>
            </w:r>
          </w:p>
        </w:tc>
        <w:tc>
          <w:tcPr>
            <w:tcW w:w="10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(245)</w:t>
            </w:r>
          </w:p>
        </w:tc>
        <w:tc>
          <w:tcPr>
            <w:tcW w:w="10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40</w:t>
            </w:r>
          </w:p>
        </w:tc>
        <w:tc>
          <w:tcPr>
            <w:tcW w:w="0" w:type="dxa"/>
            <w:vAlign w:val="bottom"/>
          </w:tcPr>
          <w:p>
            <w:pPr>
              <w:spacing w:after="0"/>
              <w:rPr>
                <w:sz w:val="1"/>
                <w:szCs w:val="1"/>
                <w:color w:val="auto"/>
              </w:rPr>
            </w:pPr>
          </w:p>
        </w:tc>
      </w:tr>
      <w:tr>
        <w:trPr>
          <w:trHeight w:val="251"/>
        </w:trPr>
        <w:tc>
          <w:tcPr>
            <w:tcW w:w="5340" w:type="dxa"/>
            <w:vAlign w:val="bottom"/>
            <w:shd w:val="clear" w:color="auto" w:fill="CCEEFF"/>
          </w:tcPr>
          <w:p>
            <w:pPr>
              <w:ind w:left="40"/>
              <w:spacing w:after="0"/>
              <w:rPr>
                <w:sz w:val="20"/>
                <w:szCs w:val="20"/>
                <w:color w:val="auto"/>
              </w:rPr>
            </w:pPr>
            <w:r>
              <w:rPr>
                <w:rFonts w:ascii="Arial" w:cs="Arial" w:eastAsia="Arial" w:hAnsi="Arial"/>
                <w:sz w:val="14"/>
                <w:szCs w:val="14"/>
                <w:color w:val="auto"/>
              </w:rPr>
              <w:t>Add: Benefit from income taxes</w:t>
            </w:r>
          </w:p>
        </w:tc>
        <w:tc>
          <w:tcPr>
            <w:tcW w:w="200" w:type="dxa"/>
            <w:vAlign w:val="bottom"/>
            <w:shd w:val="clear" w:color="auto" w:fill="CCEEFF"/>
          </w:tcPr>
          <w:p>
            <w:pPr>
              <w:spacing w:after="0"/>
              <w:rPr>
                <w:sz w:val="21"/>
                <w:szCs w:val="21"/>
                <w:color w:val="auto"/>
              </w:rPr>
            </w:pPr>
          </w:p>
        </w:tc>
        <w:tc>
          <w:tcPr>
            <w:tcW w:w="740" w:type="dxa"/>
            <w:vAlign w:val="bottom"/>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(10)</w:t>
            </w:r>
          </w:p>
        </w:tc>
        <w:tc>
          <w:tcPr>
            <w:tcW w:w="1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(41)</w:t>
            </w: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7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31</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(44)</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(54)</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7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10</w:t>
            </w:r>
          </w:p>
        </w:tc>
        <w:tc>
          <w:tcPr>
            <w:tcW w:w="0" w:type="dxa"/>
            <w:vAlign w:val="bottom"/>
          </w:tcPr>
          <w:p>
            <w:pPr>
              <w:spacing w:after="0"/>
              <w:rPr>
                <w:sz w:val="1"/>
                <w:szCs w:val="1"/>
                <w:color w:val="auto"/>
              </w:rPr>
            </w:pPr>
          </w:p>
        </w:tc>
      </w:tr>
      <w:tr>
        <w:trPr>
          <w:trHeight w:val="269"/>
        </w:trPr>
        <w:tc>
          <w:tcPr>
            <w:tcW w:w="5340" w:type="dxa"/>
            <w:vAlign w:val="bottom"/>
          </w:tcPr>
          <w:p>
            <w:pPr>
              <w:ind w:left="40"/>
              <w:spacing w:after="0"/>
              <w:rPr>
                <w:sz w:val="20"/>
                <w:szCs w:val="20"/>
                <w:color w:val="auto"/>
              </w:rPr>
            </w:pPr>
            <w:r>
              <w:rPr>
                <w:rFonts w:ascii="Arial" w:cs="Arial" w:eastAsia="Arial" w:hAnsi="Arial"/>
                <w:sz w:val="14"/>
                <w:szCs w:val="14"/>
                <w:color w:val="auto"/>
              </w:rPr>
              <w:t>Add: Equity-based compensation expense</w:t>
            </w:r>
          </w:p>
        </w:tc>
        <w:tc>
          <w:tcPr>
            <w:tcW w:w="200" w:type="dxa"/>
            <w:vAlign w:val="bottom"/>
          </w:tcPr>
          <w:p>
            <w:pPr>
              <w:spacing w:after="0"/>
              <w:rPr>
                <w:sz w:val="23"/>
                <w:szCs w:val="23"/>
                <w:color w:val="auto"/>
              </w:rPr>
            </w:pPr>
          </w:p>
        </w:tc>
        <w:tc>
          <w:tcPr>
            <w:tcW w:w="86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rPr>
              <w:t>—</w:t>
            </w:r>
          </w:p>
        </w:tc>
        <w:tc>
          <w:tcPr>
            <w:tcW w:w="200" w:type="dxa"/>
            <w:vAlign w:val="bottom"/>
          </w:tcPr>
          <w:p>
            <w:pPr>
              <w:spacing w:after="0"/>
              <w:rPr>
                <w:sz w:val="23"/>
                <w:szCs w:val="23"/>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3"/>
                <w:szCs w:val="23"/>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3"/>
                <w:szCs w:val="23"/>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rPr>
              <w:t>—</w:t>
            </w:r>
          </w:p>
        </w:tc>
        <w:tc>
          <w:tcPr>
            <w:tcW w:w="200" w:type="dxa"/>
            <w:vAlign w:val="bottom"/>
          </w:tcPr>
          <w:p>
            <w:pPr>
              <w:spacing w:after="0"/>
              <w:rPr>
                <w:sz w:val="23"/>
                <w:szCs w:val="23"/>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3"/>
                <w:szCs w:val="23"/>
                <w:color w:val="auto"/>
              </w:rPr>
            </w:pPr>
          </w:p>
        </w:tc>
        <w:tc>
          <w:tcPr>
            <w:tcW w:w="76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1"/>
        </w:trPr>
        <w:tc>
          <w:tcPr>
            <w:tcW w:w="5340" w:type="dxa"/>
            <w:vAlign w:val="bottom"/>
            <w:shd w:val="clear" w:color="auto" w:fill="CCEEFF"/>
          </w:tcPr>
          <w:p>
            <w:pPr>
              <w:ind w:left="40"/>
              <w:spacing w:after="0"/>
              <w:rPr>
                <w:sz w:val="20"/>
                <w:szCs w:val="20"/>
                <w:color w:val="auto"/>
              </w:rPr>
            </w:pPr>
            <w:r>
              <w:rPr>
                <w:rFonts w:ascii="Arial" w:cs="Arial" w:eastAsia="Arial" w:hAnsi="Arial"/>
                <w:sz w:val="14"/>
                <w:szCs w:val="14"/>
                <w:color w:val="auto"/>
              </w:rPr>
              <w:t>Add: Acquisition and transaction expenses</w:t>
            </w:r>
          </w:p>
        </w:tc>
        <w:tc>
          <w:tcPr>
            <w:tcW w:w="200" w:type="dxa"/>
            <w:vAlign w:val="bottom"/>
            <w:shd w:val="clear" w:color="auto" w:fill="CCEEFF"/>
          </w:tcPr>
          <w:p>
            <w:pPr>
              <w:spacing w:after="0"/>
              <w:rPr>
                <w:sz w:val="23"/>
                <w:szCs w:val="23"/>
                <w:color w:val="auto"/>
              </w:rPr>
            </w:pPr>
          </w:p>
        </w:tc>
        <w:tc>
          <w:tcPr>
            <w:tcW w:w="86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b w:val="1"/>
                <w:bCs w:val="1"/>
                <w:color w:val="auto"/>
              </w:rPr>
              <w:t>—</w:t>
            </w:r>
          </w:p>
        </w:tc>
        <w:tc>
          <w:tcPr>
            <w:tcW w:w="200" w:type="dxa"/>
            <w:vAlign w:val="bottom"/>
            <w:shd w:val="clear" w:color="auto" w:fill="CCEEFF"/>
          </w:tcPr>
          <w:p>
            <w:pPr>
              <w:spacing w:after="0"/>
              <w:rPr>
                <w:sz w:val="23"/>
                <w:szCs w:val="23"/>
                <w:color w:val="auto"/>
              </w:rPr>
            </w:pP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3"/>
                <w:szCs w:val="23"/>
                <w:color w:val="auto"/>
              </w:rPr>
            </w:pP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23"/>
                <w:szCs w:val="23"/>
                <w:color w:val="auto"/>
              </w:rPr>
            </w:pP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b w:val="1"/>
                <w:bCs w:val="1"/>
                <w:color w:val="auto"/>
              </w:rPr>
              <w:t>—</w:t>
            </w:r>
          </w:p>
        </w:tc>
        <w:tc>
          <w:tcPr>
            <w:tcW w:w="200" w:type="dxa"/>
            <w:vAlign w:val="bottom"/>
            <w:shd w:val="clear" w:color="auto" w:fill="CCEEFF"/>
          </w:tcPr>
          <w:p>
            <w:pPr>
              <w:spacing w:after="0"/>
              <w:rPr>
                <w:sz w:val="23"/>
                <w:szCs w:val="23"/>
                <w:color w:val="auto"/>
              </w:rPr>
            </w:pP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3"/>
                <w:szCs w:val="23"/>
                <w:color w:val="auto"/>
              </w:rPr>
            </w:pPr>
          </w:p>
        </w:tc>
        <w:tc>
          <w:tcPr>
            <w:tcW w:w="7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6"/>
        </w:trPr>
        <w:tc>
          <w:tcPr>
            <w:tcW w:w="5340" w:type="dxa"/>
            <w:vAlign w:val="bottom"/>
          </w:tcPr>
          <w:p>
            <w:pPr>
              <w:ind w:left="40"/>
              <w:spacing w:after="0"/>
              <w:rPr>
                <w:sz w:val="20"/>
                <w:szCs w:val="20"/>
                <w:color w:val="auto"/>
              </w:rPr>
            </w:pPr>
            <w:r>
              <w:rPr>
                <w:rFonts w:ascii="Arial" w:cs="Arial" w:eastAsia="Arial" w:hAnsi="Arial"/>
                <w:sz w:val="14"/>
                <w:szCs w:val="14"/>
                <w:color w:val="auto"/>
              </w:rPr>
              <w:t>Add: Losses on the modification or extinguishment of debt and capital lease</w:t>
            </w:r>
          </w:p>
        </w:tc>
        <w:tc>
          <w:tcPr>
            <w:tcW w:w="200" w:type="dxa"/>
            <w:vAlign w:val="bottom"/>
          </w:tcPr>
          <w:p>
            <w:pPr>
              <w:spacing w:after="0"/>
              <w:rPr>
                <w:sz w:val="15"/>
                <w:szCs w:val="15"/>
                <w:color w:val="auto"/>
              </w:rPr>
            </w:pPr>
          </w:p>
        </w:tc>
        <w:tc>
          <w:tcPr>
            <w:tcW w:w="860" w:type="dxa"/>
            <w:vAlign w:val="bottom"/>
            <w:gridSpan w:val="2"/>
            <w:vMerge w:val="restart"/>
          </w:tcPr>
          <w:p>
            <w:pPr>
              <w:jc w:val="right"/>
              <w:ind w:right="240"/>
              <w:spacing w:after="0"/>
              <w:rPr>
                <w:sz w:val="20"/>
                <w:szCs w:val="20"/>
                <w:color w:val="auto"/>
              </w:rPr>
            </w:pPr>
            <w:r>
              <w:rPr>
                <w:rFonts w:ascii="Arial" w:cs="Arial" w:eastAsia="Arial" w:hAnsi="Arial"/>
                <w:sz w:val="14"/>
                <w:szCs w:val="14"/>
                <w:b w:val="1"/>
                <w:bCs w:val="1"/>
                <w:color w:val="auto"/>
              </w:rPr>
              <w:t>—</w:t>
            </w:r>
          </w:p>
        </w:tc>
        <w:tc>
          <w:tcPr>
            <w:tcW w:w="2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0" w:type="dxa"/>
            <w:vAlign w:val="bottom"/>
            <w:gridSpan w:val="2"/>
            <w:vMerge w:val="restart"/>
          </w:tcPr>
          <w:p>
            <w:pPr>
              <w:jc w:val="right"/>
              <w:ind w:right="220"/>
              <w:spacing w:after="0"/>
              <w:rPr>
                <w:sz w:val="20"/>
                <w:szCs w:val="20"/>
                <w:color w:val="auto"/>
              </w:rPr>
            </w:pPr>
            <w:r>
              <w:rPr>
                <w:rFonts w:ascii="Arial" w:cs="Arial" w:eastAsia="Arial" w:hAnsi="Arial"/>
                <w:sz w:val="14"/>
                <w:szCs w:val="14"/>
                <w:b w:val="1"/>
                <w:bCs w:val="1"/>
                <w:color w:val="auto"/>
              </w:rPr>
              <w:t>—</w:t>
            </w:r>
          </w:p>
        </w:tc>
        <w:tc>
          <w:tcPr>
            <w:tcW w:w="2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1"/>
        </w:trPr>
        <w:tc>
          <w:tcPr>
            <w:tcW w:w="5340" w:type="dxa"/>
            <w:vAlign w:val="bottom"/>
          </w:tcPr>
          <w:p>
            <w:pPr>
              <w:ind w:left="40"/>
              <w:spacing w:after="0"/>
              <w:rPr>
                <w:sz w:val="20"/>
                <w:szCs w:val="20"/>
                <w:color w:val="auto"/>
              </w:rPr>
            </w:pPr>
            <w:r>
              <w:rPr>
                <w:rFonts w:ascii="Arial" w:cs="Arial" w:eastAsia="Arial" w:hAnsi="Arial"/>
                <w:sz w:val="14"/>
                <w:szCs w:val="14"/>
                <w:color w:val="auto"/>
              </w:rPr>
              <w:t>obligations</w:t>
            </w:r>
          </w:p>
        </w:tc>
        <w:tc>
          <w:tcPr>
            <w:tcW w:w="200" w:type="dxa"/>
            <w:vAlign w:val="bottom"/>
          </w:tcPr>
          <w:p>
            <w:pPr>
              <w:spacing w:after="0"/>
              <w:rPr>
                <w:sz w:val="17"/>
                <w:szCs w:val="17"/>
                <w:color w:val="auto"/>
              </w:rPr>
            </w:pPr>
          </w:p>
        </w:tc>
        <w:tc>
          <w:tcPr>
            <w:tcW w:w="860" w:type="dxa"/>
            <w:vAlign w:val="bottom"/>
            <w:gridSpan w:val="2"/>
            <w:vMerge w:val="continue"/>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7"/>
                <w:szCs w:val="17"/>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7"/>
                <w:szCs w:val="17"/>
                <w:color w:val="auto"/>
              </w:rPr>
            </w:pPr>
          </w:p>
        </w:tc>
        <w:tc>
          <w:tcPr>
            <w:tcW w:w="800" w:type="dxa"/>
            <w:vAlign w:val="bottom"/>
            <w:gridSpan w:val="2"/>
            <w:vMerge w:val="continue"/>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7"/>
                <w:szCs w:val="17"/>
                <w:color w:val="auto"/>
              </w:rPr>
            </w:pPr>
          </w:p>
        </w:tc>
        <w:tc>
          <w:tcPr>
            <w:tcW w:w="76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1"/>
        </w:trPr>
        <w:tc>
          <w:tcPr>
            <w:tcW w:w="5340" w:type="dxa"/>
            <w:vAlign w:val="bottom"/>
            <w:shd w:val="clear" w:color="auto" w:fill="CCEEFF"/>
          </w:tcPr>
          <w:p>
            <w:pPr>
              <w:ind w:left="40"/>
              <w:spacing w:after="0"/>
              <w:rPr>
                <w:sz w:val="20"/>
                <w:szCs w:val="20"/>
                <w:color w:val="auto"/>
              </w:rPr>
            </w:pPr>
            <w:r>
              <w:rPr>
                <w:rFonts w:ascii="Arial" w:cs="Arial" w:eastAsia="Arial" w:hAnsi="Arial"/>
                <w:sz w:val="14"/>
                <w:szCs w:val="14"/>
                <w:color w:val="auto"/>
              </w:rPr>
              <w:t>Add: Changes in fair value of non-hedge derivative instruments</w:t>
            </w:r>
          </w:p>
        </w:tc>
        <w:tc>
          <w:tcPr>
            <w:tcW w:w="200" w:type="dxa"/>
            <w:vAlign w:val="bottom"/>
            <w:shd w:val="clear" w:color="auto" w:fill="CCEEFF"/>
          </w:tcPr>
          <w:p>
            <w:pPr>
              <w:spacing w:after="0"/>
              <w:rPr>
                <w:sz w:val="23"/>
                <w:szCs w:val="23"/>
                <w:color w:val="auto"/>
              </w:rPr>
            </w:pPr>
          </w:p>
        </w:tc>
        <w:tc>
          <w:tcPr>
            <w:tcW w:w="86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b w:val="1"/>
                <w:bCs w:val="1"/>
                <w:color w:val="auto"/>
              </w:rPr>
              <w:t>—</w:t>
            </w:r>
          </w:p>
        </w:tc>
        <w:tc>
          <w:tcPr>
            <w:tcW w:w="200" w:type="dxa"/>
            <w:vAlign w:val="bottom"/>
            <w:shd w:val="clear" w:color="auto" w:fill="CCEEFF"/>
          </w:tcPr>
          <w:p>
            <w:pPr>
              <w:spacing w:after="0"/>
              <w:rPr>
                <w:sz w:val="23"/>
                <w:szCs w:val="23"/>
                <w:color w:val="auto"/>
              </w:rPr>
            </w:pP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3"/>
                <w:szCs w:val="23"/>
                <w:color w:val="auto"/>
              </w:rPr>
            </w:pP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23"/>
                <w:szCs w:val="23"/>
                <w:color w:val="auto"/>
              </w:rPr>
            </w:pP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b w:val="1"/>
                <w:bCs w:val="1"/>
                <w:color w:val="auto"/>
              </w:rPr>
              <w:t>—</w:t>
            </w:r>
          </w:p>
        </w:tc>
        <w:tc>
          <w:tcPr>
            <w:tcW w:w="200" w:type="dxa"/>
            <w:vAlign w:val="bottom"/>
            <w:shd w:val="clear" w:color="auto" w:fill="CCEEFF"/>
          </w:tcPr>
          <w:p>
            <w:pPr>
              <w:spacing w:after="0"/>
              <w:rPr>
                <w:sz w:val="23"/>
                <w:szCs w:val="23"/>
                <w:color w:val="auto"/>
              </w:rPr>
            </w:pPr>
          </w:p>
        </w:tc>
        <w:tc>
          <w:tcPr>
            <w:tcW w:w="7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w:t>
            </w: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w:t>
            </w:r>
          </w:p>
        </w:tc>
        <w:tc>
          <w:tcPr>
            <w:tcW w:w="0" w:type="dxa"/>
            <w:vAlign w:val="bottom"/>
          </w:tcPr>
          <w:p>
            <w:pPr>
              <w:spacing w:after="0"/>
              <w:rPr>
                <w:sz w:val="1"/>
                <w:szCs w:val="1"/>
                <w:color w:val="auto"/>
              </w:rPr>
            </w:pPr>
          </w:p>
        </w:tc>
      </w:tr>
      <w:tr>
        <w:trPr>
          <w:trHeight w:val="269"/>
        </w:trPr>
        <w:tc>
          <w:tcPr>
            <w:tcW w:w="5340" w:type="dxa"/>
            <w:vAlign w:val="bottom"/>
          </w:tcPr>
          <w:p>
            <w:pPr>
              <w:ind w:left="40"/>
              <w:spacing w:after="0"/>
              <w:rPr>
                <w:sz w:val="20"/>
                <w:szCs w:val="20"/>
                <w:color w:val="auto"/>
              </w:rPr>
            </w:pPr>
            <w:r>
              <w:rPr>
                <w:rFonts w:ascii="Arial" w:cs="Arial" w:eastAsia="Arial" w:hAnsi="Arial"/>
                <w:sz w:val="14"/>
                <w:szCs w:val="14"/>
                <w:color w:val="auto"/>
              </w:rPr>
              <w:t>Add: Asset impairment charges</w:t>
            </w:r>
          </w:p>
        </w:tc>
        <w:tc>
          <w:tcPr>
            <w:tcW w:w="200" w:type="dxa"/>
            <w:vAlign w:val="bottom"/>
          </w:tcPr>
          <w:p>
            <w:pPr>
              <w:spacing w:after="0"/>
              <w:rPr>
                <w:sz w:val="23"/>
                <w:szCs w:val="23"/>
                <w:color w:val="auto"/>
              </w:rPr>
            </w:pPr>
          </w:p>
        </w:tc>
        <w:tc>
          <w:tcPr>
            <w:tcW w:w="86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rPr>
              <w:t>—</w:t>
            </w:r>
          </w:p>
        </w:tc>
        <w:tc>
          <w:tcPr>
            <w:tcW w:w="200" w:type="dxa"/>
            <w:vAlign w:val="bottom"/>
          </w:tcPr>
          <w:p>
            <w:pPr>
              <w:spacing w:after="0"/>
              <w:rPr>
                <w:sz w:val="23"/>
                <w:szCs w:val="23"/>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3"/>
                <w:szCs w:val="23"/>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3"/>
                <w:szCs w:val="23"/>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rPr>
              <w:t>—</w:t>
            </w:r>
          </w:p>
        </w:tc>
        <w:tc>
          <w:tcPr>
            <w:tcW w:w="200" w:type="dxa"/>
            <w:vAlign w:val="bottom"/>
          </w:tcPr>
          <w:p>
            <w:pPr>
              <w:spacing w:after="0"/>
              <w:rPr>
                <w:sz w:val="23"/>
                <w:szCs w:val="23"/>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3"/>
                <w:szCs w:val="23"/>
                <w:color w:val="auto"/>
              </w:rPr>
            </w:pPr>
          </w:p>
        </w:tc>
        <w:tc>
          <w:tcPr>
            <w:tcW w:w="76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1"/>
        </w:trPr>
        <w:tc>
          <w:tcPr>
            <w:tcW w:w="5340" w:type="dxa"/>
            <w:vAlign w:val="bottom"/>
            <w:shd w:val="clear" w:color="auto" w:fill="CCEEFF"/>
          </w:tcPr>
          <w:p>
            <w:pPr>
              <w:ind w:left="40"/>
              <w:spacing w:after="0"/>
              <w:rPr>
                <w:sz w:val="20"/>
                <w:szCs w:val="20"/>
                <w:color w:val="auto"/>
              </w:rPr>
            </w:pPr>
            <w:r>
              <w:rPr>
                <w:rFonts w:ascii="Arial" w:cs="Arial" w:eastAsia="Arial" w:hAnsi="Arial"/>
                <w:sz w:val="14"/>
                <w:szCs w:val="14"/>
                <w:color w:val="auto"/>
              </w:rPr>
              <w:t xml:space="preserve">Add: Pro-rata share of Adjusted Net Income (Loss) from unconsolidated entities </w:t>
            </w:r>
            <w:r>
              <w:rPr>
                <w:rFonts w:ascii="Arial" w:cs="Arial" w:eastAsia="Arial" w:hAnsi="Arial"/>
                <w:sz w:val="17"/>
                <w:szCs w:val="17"/>
                <w:color w:val="auto"/>
                <w:vertAlign w:val="superscript"/>
              </w:rPr>
              <w:t>(1)</w:t>
            </w:r>
          </w:p>
        </w:tc>
        <w:tc>
          <w:tcPr>
            <w:tcW w:w="200" w:type="dxa"/>
            <w:vAlign w:val="bottom"/>
            <w:shd w:val="clear" w:color="auto" w:fill="CCEEFF"/>
          </w:tcPr>
          <w:p>
            <w:pPr>
              <w:spacing w:after="0"/>
              <w:rPr>
                <w:sz w:val="23"/>
                <w:szCs w:val="23"/>
                <w:color w:val="auto"/>
              </w:rPr>
            </w:pPr>
          </w:p>
        </w:tc>
        <w:tc>
          <w:tcPr>
            <w:tcW w:w="74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313</w:t>
            </w: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(1,207)</w:t>
            </w: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7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1,520</w:t>
            </w: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(454)</w:t>
            </w: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(1,444)</w:t>
            </w: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7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990</w:t>
            </w:r>
          </w:p>
        </w:tc>
        <w:tc>
          <w:tcPr>
            <w:tcW w:w="0" w:type="dxa"/>
            <w:vAlign w:val="bottom"/>
          </w:tcPr>
          <w:p>
            <w:pPr>
              <w:spacing w:after="0"/>
              <w:rPr>
                <w:sz w:val="1"/>
                <w:szCs w:val="1"/>
                <w:color w:val="auto"/>
              </w:rPr>
            </w:pPr>
          </w:p>
        </w:tc>
      </w:tr>
      <w:tr>
        <w:trPr>
          <w:trHeight w:val="269"/>
        </w:trPr>
        <w:tc>
          <w:tcPr>
            <w:tcW w:w="5340" w:type="dxa"/>
            <w:vAlign w:val="bottom"/>
          </w:tcPr>
          <w:p>
            <w:pPr>
              <w:ind w:left="40"/>
              <w:spacing w:after="0"/>
              <w:rPr>
                <w:sz w:val="20"/>
                <w:szCs w:val="20"/>
                <w:color w:val="auto"/>
              </w:rPr>
            </w:pPr>
            <w:r>
              <w:rPr>
                <w:rFonts w:ascii="Arial" w:cs="Arial" w:eastAsia="Arial" w:hAnsi="Arial"/>
                <w:sz w:val="14"/>
                <w:szCs w:val="14"/>
                <w:color w:val="auto"/>
              </w:rPr>
              <w:t>Add: Incentive allocations</w:t>
            </w:r>
          </w:p>
        </w:tc>
        <w:tc>
          <w:tcPr>
            <w:tcW w:w="200" w:type="dxa"/>
            <w:vAlign w:val="bottom"/>
          </w:tcPr>
          <w:p>
            <w:pPr>
              <w:spacing w:after="0"/>
              <w:rPr>
                <w:sz w:val="23"/>
                <w:szCs w:val="23"/>
                <w:color w:val="auto"/>
              </w:rPr>
            </w:pPr>
          </w:p>
        </w:tc>
        <w:tc>
          <w:tcPr>
            <w:tcW w:w="86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rPr>
              <w:t>—</w:t>
            </w:r>
          </w:p>
        </w:tc>
        <w:tc>
          <w:tcPr>
            <w:tcW w:w="200" w:type="dxa"/>
            <w:vAlign w:val="bottom"/>
          </w:tcPr>
          <w:p>
            <w:pPr>
              <w:spacing w:after="0"/>
              <w:rPr>
                <w:sz w:val="23"/>
                <w:szCs w:val="23"/>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3"/>
                <w:szCs w:val="23"/>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3"/>
                <w:szCs w:val="23"/>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rPr>
              <w:t>—</w:t>
            </w:r>
          </w:p>
        </w:tc>
        <w:tc>
          <w:tcPr>
            <w:tcW w:w="200" w:type="dxa"/>
            <w:vAlign w:val="bottom"/>
          </w:tcPr>
          <w:p>
            <w:pPr>
              <w:spacing w:after="0"/>
              <w:rPr>
                <w:sz w:val="23"/>
                <w:szCs w:val="23"/>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3"/>
                <w:szCs w:val="23"/>
                <w:color w:val="auto"/>
              </w:rPr>
            </w:pPr>
          </w:p>
        </w:tc>
        <w:tc>
          <w:tcPr>
            <w:tcW w:w="76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1"/>
        </w:trPr>
        <w:tc>
          <w:tcPr>
            <w:tcW w:w="5340" w:type="dxa"/>
            <w:vAlign w:val="bottom"/>
            <w:shd w:val="clear" w:color="auto" w:fill="CCEEFF"/>
          </w:tcPr>
          <w:p>
            <w:pPr>
              <w:ind w:left="40"/>
              <w:spacing w:after="0"/>
              <w:rPr>
                <w:sz w:val="20"/>
                <w:szCs w:val="20"/>
                <w:color w:val="auto"/>
              </w:rPr>
            </w:pPr>
            <w:r>
              <w:rPr>
                <w:rFonts w:ascii="Arial" w:cs="Arial" w:eastAsia="Arial" w:hAnsi="Arial"/>
                <w:sz w:val="14"/>
                <w:szCs w:val="14"/>
                <w:color w:val="auto"/>
              </w:rPr>
              <w:t>Less: Cash payments for income taxes</w:t>
            </w:r>
          </w:p>
        </w:tc>
        <w:tc>
          <w:tcPr>
            <w:tcW w:w="200" w:type="dxa"/>
            <w:vAlign w:val="bottom"/>
            <w:shd w:val="clear" w:color="auto" w:fill="CCEEFF"/>
          </w:tcPr>
          <w:p>
            <w:pPr>
              <w:spacing w:after="0"/>
              <w:rPr>
                <w:sz w:val="23"/>
                <w:szCs w:val="23"/>
                <w:color w:val="auto"/>
              </w:rPr>
            </w:pPr>
          </w:p>
        </w:tc>
        <w:tc>
          <w:tcPr>
            <w:tcW w:w="86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b w:val="1"/>
                <w:bCs w:val="1"/>
                <w:color w:val="auto"/>
              </w:rPr>
              <w:t>—</w:t>
            </w:r>
          </w:p>
        </w:tc>
        <w:tc>
          <w:tcPr>
            <w:tcW w:w="200" w:type="dxa"/>
            <w:vAlign w:val="bottom"/>
            <w:shd w:val="clear" w:color="auto" w:fill="CCEEFF"/>
          </w:tcPr>
          <w:p>
            <w:pPr>
              <w:spacing w:after="0"/>
              <w:rPr>
                <w:sz w:val="23"/>
                <w:szCs w:val="23"/>
                <w:color w:val="auto"/>
              </w:rPr>
            </w:pP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3"/>
                <w:szCs w:val="23"/>
                <w:color w:val="auto"/>
              </w:rPr>
            </w:pP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23"/>
                <w:szCs w:val="23"/>
                <w:color w:val="auto"/>
              </w:rPr>
            </w:pP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b w:val="1"/>
                <w:bCs w:val="1"/>
                <w:color w:val="auto"/>
              </w:rPr>
              <w:t>—</w:t>
            </w:r>
          </w:p>
        </w:tc>
        <w:tc>
          <w:tcPr>
            <w:tcW w:w="200" w:type="dxa"/>
            <w:vAlign w:val="bottom"/>
            <w:shd w:val="clear" w:color="auto" w:fill="CCEEFF"/>
          </w:tcPr>
          <w:p>
            <w:pPr>
              <w:spacing w:after="0"/>
              <w:rPr>
                <w:sz w:val="23"/>
                <w:szCs w:val="23"/>
                <w:color w:val="auto"/>
              </w:rPr>
            </w:pP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3"/>
                <w:szCs w:val="23"/>
                <w:color w:val="auto"/>
              </w:rPr>
            </w:pPr>
          </w:p>
        </w:tc>
        <w:tc>
          <w:tcPr>
            <w:tcW w:w="7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69"/>
        </w:trPr>
        <w:tc>
          <w:tcPr>
            <w:tcW w:w="5340" w:type="dxa"/>
            <w:vAlign w:val="bottom"/>
          </w:tcPr>
          <w:p>
            <w:pPr>
              <w:ind w:left="40"/>
              <w:spacing w:after="0"/>
              <w:rPr>
                <w:sz w:val="20"/>
                <w:szCs w:val="20"/>
                <w:color w:val="auto"/>
              </w:rPr>
            </w:pPr>
            <w:r>
              <w:rPr>
                <w:rFonts w:ascii="Arial" w:cs="Arial" w:eastAsia="Arial" w:hAnsi="Arial"/>
                <w:sz w:val="14"/>
                <w:szCs w:val="14"/>
                <w:color w:val="auto"/>
              </w:rPr>
              <w:t>Less: Equity in earnings / (losses) of unconsolidated entities</w:t>
            </w:r>
          </w:p>
        </w:tc>
        <w:tc>
          <w:tcPr>
            <w:tcW w:w="200" w:type="dxa"/>
            <w:vAlign w:val="bottom"/>
          </w:tcPr>
          <w:p>
            <w:pPr>
              <w:spacing w:after="0"/>
              <w:rPr>
                <w:sz w:val="23"/>
                <w:szCs w:val="23"/>
                <w:color w:val="auto"/>
              </w:rPr>
            </w:pPr>
          </w:p>
        </w:tc>
        <w:tc>
          <w:tcPr>
            <w:tcW w:w="740" w:type="dxa"/>
            <w:vAlign w:val="bottom"/>
          </w:tcPr>
          <w:p>
            <w:pPr>
              <w:jc w:val="right"/>
              <w:ind w:right="8"/>
              <w:spacing w:after="0"/>
              <w:rPr>
                <w:sz w:val="20"/>
                <w:szCs w:val="20"/>
                <w:color w:val="auto"/>
              </w:rPr>
            </w:pPr>
            <w:r>
              <w:rPr>
                <w:rFonts w:ascii="Arial" w:cs="Arial" w:eastAsia="Arial" w:hAnsi="Arial"/>
                <w:sz w:val="14"/>
                <w:szCs w:val="14"/>
                <w:b w:val="1"/>
                <w:bCs w:val="1"/>
                <w:color w:val="auto"/>
              </w:rPr>
              <w:t>(359)</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20" w:type="dxa"/>
            <w:vAlign w:val="bottom"/>
          </w:tcPr>
          <w:p>
            <w:pPr>
              <w:jc w:val="right"/>
              <w:ind w:right="48"/>
              <w:spacing w:after="0"/>
              <w:rPr>
                <w:sz w:val="20"/>
                <w:szCs w:val="20"/>
                <w:color w:val="auto"/>
              </w:rPr>
            </w:pPr>
            <w:r>
              <w:rPr>
                <w:rFonts w:ascii="Arial" w:cs="Arial" w:eastAsia="Arial" w:hAnsi="Arial"/>
                <w:sz w:val="14"/>
                <w:szCs w:val="14"/>
                <w:color w:val="auto"/>
              </w:rPr>
              <w:t>1,161</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(1,520)</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00" w:type="dxa"/>
            <w:vAlign w:val="bottom"/>
          </w:tcPr>
          <w:p>
            <w:pPr>
              <w:jc w:val="right"/>
              <w:ind w:right="48"/>
              <w:spacing w:after="0"/>
              <w:rPr>
                <w:sz w:val="20"/>
                <w:szCs w:val="20"/>
                <w:color w:val="auto"/>
              </w:rPr>
            </w:pPr>
            <w:r>
              <w:rPr>
                <w:rFonts w:ascii="Arial" w:cs="Arial" w:eastAsia="Arial" w:hAnsi="Arial"/>
                <w:sz w:val="14"/>
                <w:szCs w:val="14"/>
                <w:b w:val="1"/>
                <w:bCs w:val="1"/>
                <w:color w:val="auto"/>
              </w:rPr>
              <w:t>316</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00" w:type="dxa"/>
            <w:vAlign w:val="bottom"/>
          </w:tcPr>
          <w:p>
            <w:pPr>
              <w:jc w:val="right"/>
              <w:ind w:right="48"/>
              <w:spacing w:after="0"/>
              <w:rPr>
                <w:sz w:val="20"/>
                <w:szCs w:val="20"/>
                <w:color w:val="auto"/>
              </w:rPr>
            </w:pPr>
            <w:r>
              <w:rPr>
                <w:rFonts w:ascii="Arial" w:cs="Arial" w:eastAsia="Arial" w:hAnsi="Arial"/>
                <w:sz w:val="14"/>
                <w:szCs w:val="14"/>
                <w:color w:val="auto"/>
              </w:rPr>
              <w:t>1,335</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(1,019)</w:t>
            </w:r>
          </w:p>
        </w:tc>
        <w:tc>
          <w:tcPr>
            <w:tcW w:w="0" w:type="dxa"/>
            <w:vAlign w:val="bottom"/>
          </w:tcPr>
          <w:p>
            <w:pPr>
              <w:spacing w:after="0"/>
              <w:rPr>
                <w:sz w:val="1"/>
                <w:szCs w:val="1"/>
                <w:color w:val="auto"/>
              </w:rPr>
            </w:pPr>
          </w:p>
        </w:tc>
      </w:tr>
      <w:tr>
        <w:trPr>
          <w:trHeight w:val="270"/>
        </w:trPr>
        <w:tc>
          <w:tcPr>
            <w:tcW w:w="5340" w:type="dxa"/>
            <w:vAlign w:val="bottom"/>
            <w:shd w:val="clear" w:color="auto" w:fill="CCEEFF"/>
          </w:tcPr>
          <w:p>
            <w:pPr>
              <w:ind w:left="40"/>
              <w:spacing w:after="0"/>
              <w:rPr>
                <w:sz w:val="20"/>
                <w:szCs w:val="20"/>
                <w:color w:val="auto"/>
              </w:rPr>
            </w:pPr>
            <w:r>
              <w:rPr>
                <w:rFonts w:ascii="Arial" w:cs="Arial" w:eastAsia="Arial" w:hAnsi="Arial"/>
                <w:sz w:val="14"/>
                <w:szCs w:val="14"/>
                <w:color w:val="auto"/>
              </w:rPr>
              <w:t>Less: Non-controlling share of Adjusted Net Income</w:t>
            </w:r>
          </w:p>
        </w:tc>
        <w:tc>
          <w:tcPr>
            <w:tcW w:w="200" w:type="dxa"/>
            <w:vAlign w:val="bottom"/>
            <w:shd w:val="clear" w:color="auto" w:fill="CCEEFF"/>
          </w:tcPr>
          <w:p>
            <w:pPr>
              <w:spacing w:after="0"/>
              <w:rPr>
                <w:sz w:val="23"/>
                <w:szCs w:val="23"/>
                <w:color w:val="auto"/>
              </w:rPr>
            </w:pPr>
          </w:p>
        </w:tc>
        <w:tc>
          <w:tcPr>
            <w:tcW w:w="86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b w:val="1"/>
                <w:bCs w:val="1"/>
                <w:color w:val="auto"/>
              </w:rPr>
              <w:t>—</w:t>
            </w:r>
          </w:p>
        </w:tc>
        <w:tc>
          <w:tcPr>
            <w:tcW w:w="200" w:type="dxa"/>
            <w:vAlign w:val="bottom"/>
            <w:shd w:val="clear" w:color="auto" w:fill="CCEEFF"/>
          </w:tcPr>
          <w:p>
            <w:pPr>
              <w:spacing w:after="0"/>
              <w:rPr>
                <w:sz w:val="23"/>
                <w:szCs w:val="23"/>
                <w:color w:val="auto"/>
              </w:rPr>
            </w:pP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3"/>
                <w:szCs w:val="23"/>
                <w:color w:val="auto"/>
              </w:rPr>
            </w:pP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23"/>
                <w:szCs w:val="23"/>
                <w:color w:val="auto"/>
              </w:rPr>
            </w:pP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b w:val="1"/>
                <w:bCs w:val="1"/>
                <w:color w:val="auto"/>
              </w:rPr>
              <w:t>—</w:t>
            </w:r>
          </w:p>
        </w:tc>
        <w:tc>
          <w:tcPr>
            <w:tcW w:w="200" w:type="dxa"/>
            <w:vAlign w:val="bottom"/>
            <w:shd w:val="clear" w:color="auto" w:fill="CCEEFF"/>
          </w:tcPr>
          <w:p>
            <w:pPr>
              <w:spacing w:after="0"/>
              <w:rPr>
                <w:sz w:val="23"/>
                <w:szCs w:val="23"/>
                <w:color w:val="auto"/>
              </w:rPr>
            </w:pP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3"/>
                <w:szCs w:val="23"/>
                <w:color w:val="auto"/>
              </w:rPr>
            </w:pPr>
          </w:p>
        </w:tc>
        <w:tc>
          <w:tcPr>
            <w:tcW w:w="7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38"/>
        </w:trPr>
        <w:tc>
          <w:tcPr>
            <w:tcW w:w="5340" w:type="dxa"/>
            <w:vAlign w:val="bottom"/>
          </w:tcPr>
          <w:p>
            <w:pPr>
              <w:ind w:left="40"/>
              <w:spacing w:after="0"/>
              <w:rPr>
                <w:sz w:val="20"/>
                <w:szCs w:val="20"/>
                <w:color w:val="auto"/>
              </w:rPr>
            </w:pPr>
            <w:r>
              <w:rPr>
                <w:rFonts w:ascii="Arial" w:cs="Arial" w:eastAsia="Arial" w:hAnsi="Arial"/>
                <w:sz w:val="14"/>
                <w:szCs w:val="14"/>
                <w:b w:val="1"/>
                <w:bCs w:val="1"/>
                <w:color w:val="auto"/>
              </w:rPr>
              <w:t>Adjusted Net Income (Loss)</w:t>
            </w:r>
          </w:p>
        </w:tc>
        <w:tc>
          <w:tcPr>
            <w:tcW w:w="20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w:t>
            </w:r>
          </w:p>
        </w:tc>
        <w:tc>
          <w:tcPr>
            <w:tcW w:w="74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330</w:t>
            </w:r>
          </w:p>
        </w:tc>
        <w:tc>
          <w:tcPr>
            <w:tcW w:w="120" w:type="dxa"/>
            <w:vAlign w:val="bottom"/>
          </w:tcPr>
          <w:p>
            <w:pPr>
              <w:spacing w:after="0"/>
              <w:rPr>
                <w:sz w:val="20"/>
                <w:szCs w:val="20"/>
                <w:color w:val="auto"/>
              </w:rPr>
            </w:pPr>
          </w:p>
        </w:tc>
        <w:tc>
          <w:tcPr>
            <w:tcW w:w="20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(1,183)</w:t>
            </w:r>
          </w:p>
        </w:tc>
        <w:tc>
          <w:tcPr>
            <w:tcW w:w="120" w:type="dxa"/>
            <w:vAlign w:val="bottom"/>
          </w:tcPr>
          <w:p>
            <w:pPr>
              <w:spacing w:after="0"/>
              <w:rPr>
                <w:sz w:val="20"/>
                <w:szCs w:val="20"/>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6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1,513</w:t>
            </w:r>
          </w:p>
        </w:tc>
        <w:tc>
          <w:tcPr>
            <w:tcW w:w="100" w:type="dxa"/>
            <w:vAlign w:val="bottom"/>
          </w:tcPr>
          <w:p>
            <w:pPr>
              <w:spacing w:after="0"/>
              <w:rPr>
                <w:sz w:val="20"/>
                <w:szCs w:val="20"/>
                <w:color w:val="auto"/>
              </w:rPr>
            </w:pPr>
          </w:p>
        </w:tc>
        <w:tc>
          <w:tcPr>
            <w:tcW w:w="20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(387)</w:t>
            </w:r>
          </w:p>
        </w:tc>
        <w:tc>
          <w:tcPr>
            <w:tcW w:w="100" w:type="dxa"/>
            <w:vAlign w:val="bottom"/>
          </w:tcPr>
          <w:p>
            <w:pPr>
              <w:spacing w:after="0"/>
              <w:rPr>
                <w:sz w:val="20"/>
                <w:szCs w:val="20"/>
                <w:color w:val="auto"/>
              </w:rPr>
            </w:pPr>
          </w:p>
        </w:tc>
        <w:tc>
          <w:tcPr>
            <w:tcW w:w="20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(405)</w:t>
            </w:r>
          </w:p>
        </w:tc>
        <w:tc>
          <w:tcPr>
            <w:tcW w:w="100" w:type="dxa"/>
            <w:vAlign w:val="bottom"/>
          </w:tcPr>
          <w:p>
            <w:pPr>
              <w:spacing w:after="0"/>
              <w:rPr>
                <w:sz w:val="20"/>
                <w:szCs w:val="20"/>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6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18</w:t>
            </w:r>
          </w:p>
        </w:tc>
        <w:tc>
          <w:tcPr>
            <w:tcW w:w="0" w:type="dxa"/>
            <w:vAlign w:val="bottom"/>
          </w:tcPr>
          <w:p>
            <w:pPr>
              <w:spacing w:after="0"/>
              <w:rPr>
                <w:sz w:val="1"/>
                <w:szCs w:val="1"/>
                <w:color w:val="auto"/>
              </w:rPr>
            </w:pPr>
          </w:p>
        </w:tc>
      </w:tr>
      <w:tr>
        <w:trPr>
          <w:trHeight w:val="20"/>
        </w:trPr>
        <w:tc>
          <w:tcPr>
            <w:tcW w:w="53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4" w:lineRule="exact"/>
        <w:rPr>
          <w:sz w:val="20"/>
          <w:szCs w:val="20"/>
          <w:color w:val="auto"/>
        </w:rPr>
      </w:pPr>
    </w:p>
    <w:p>
      <w:pPr>
        <w:spacing w:after="0"/>
        <w:rPr>
          <w:sz w:val="20"/>
          <w:szCs w:val="20"/>
          <w:color w:val="auto"/>
        </w:rPr>
      </w:pPr>
      <w:r>
        <w:rPr>
          <w:rFonts w:ascii="Arial" w:cs="Arial" w:eastAsia="Arial" w:hAnsi="Arial"/>
          <w:sz w:val="16"/>
          <w:szCs w:val="16"/>
          <w:color w:val="auto"/>
        </w:rPr>
        <w:t>________________________________________________________</w:t>
      </w:r>
    </w:p>
    <w:p>
      <w:pPr>
        <w:spacing w:after="0" w:line="172" w:lineRule="exact"/>
        <w:rPr>
          <w:sz w:val="20"/>
          <w:szCs w:val="20"/>
          <w:color w:val="auto"/>
        </w:rPr>
      </w:pPr>
    </w:p>
    <w:p>
      <w:pPr>
        <w:ind w:left="500" w:hanging="492"/>
        <w:spacing w:after="0" w:line="239" w:lineRule="auto"/>
        <w:tabs>
          <w:tab w:leader="none" w:pos="149" w:val="left"/>
        </w:tabs>
        <w:numPr>
          <w:ilvl w:val="0"/>
          <w:numId w:val="19"/>
        </w:numPr>
        <w:rPr>
          <w:rFonts w:ascii="Arial" w:cs="Arial" w:eastAsia="Arial" w:hAnsi="Arial"/>
          <w:sz w:val="17"/>
          <w:szCs w:val="17"/>
          <w:color w:val="auto"/>
          <w:vertAlign w:val="superscript"/>
        </w:rPr>
      </w:pPr>
      <w:r>
        <w:rPr>
          <w:rFonts w:ascii="Arial" w:cs="Arial" w:eastAsia="Arial" w:hAnsi="Arial"/>
          <w:sz w:val="14"/>
          <w:szCs w:val="14"/>
          <w:color w:val="auto"/>
        </w:rPr>
        <w:t>Pro-rata share of Adjusted Net Income from unconsolidated entities includes Shipping’s proportionate share of the unconsolidated entities’ net income adjusted for the excluded and included items detailed in the table above.</w:t>
      </w:r>
    </w:p>
    <w:p>
      <w:pPr>
        <w:spacing w:after="0" w:line="20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56</w:t>
      </w:r>
    </w:p>
    <w:p>
      <w:pPr>
        <w:sectPr>
          <w:pgSz w:w="11900" w:h="16838" w:orient="portrait"/>
          <w:cols w:equalWidth="0" w:num="1">
            <w:col w:w="11420"/>
          </w:cols>
          <w:pgMar w:left="240" w:top="527" w:right="239" w:bottom="1440" w:gutter="0" w:footer="0" w:header="0"/>
        </w:sectPr>
      </w:pPr>
    </w:p>
    <w:bookmarkStart w:id="56" w:name="page57"/>
    <w:bookmarkEnd w:id="56"/>
    <w:p>
      <w:pPr>
        <w:ind w:right="80"/>
        <w:spacing w:after="0" w:line="327" w:lineRule="auto"/>
        <w:rPr>
          <w:sz w:val="20"/>
          <w:szCs w:val="20"/>
          <w:color w:val="auto"/>
        </w:rPr>
      </w:pPr>
      <w:r>
        <w:rPr>
          <w:rFonts w:ascii="Arial" w:cs="Arial" w:eastAsia="Arial" w:hAnsi="Arial"/>
          <w:sz w:val="16"/>
          <w:szCs w:val="16"/>
          <w:color w:val="auto"/>
        </w:rPr>
        <w:t>The following table sets forth a reconciliation of net income (loss) attributable to shareholders to Adjusted EBITDA for the Shipping Containers segment for the three and nine months ended September 30, 2017 and September 30, 2016:</w:t>
      </w:r>
    </w:p>
    <w:p>
      <w:pPr>
        <w:spacing w:after="0" w:line="82"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3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80" w:type="dxa"/>
            <w:vAlign w:val="bottom"/>
            <w:gridSpan w:val="5"/>
          </w:tcPr>
          <w:p>
            <w:pPr>
              <w:jc w:val="center"/>
              <w:ind w:right="300"/>
              <w:spacing w:after="0"/>
              <w:rPr>
                <w:sz w:val="20"/>
                <w:szCs w:val="20"/>
                <w:color w:val="auto"/>
              </w:rPr>
            </w:pPr>
            <w:r>
              <w:rPr>
                <w:rFonts w:ascii="Arial" w:cs="Arial" w:eastAsia="Arial" w:hAnsi="Arial"/>
                <w:sz w:val="14"/>
                <w:szCs w:val="14"/>
                <w:b w:val="1"/>
                <w:bCs w:val="1"/>
                <w:color w:val="auto"/>
              </w:rPr>
              <w:t>Three Months Ended</w:t>
            </w:r>
          </w:p>
        </w:tc>
        <w:tc>
          <w:tcPr>
            <w:tcW w:w="1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780" w:type="dxa"/>
            <w:vAlign w:val="bottom"/>
            <w:gridSpan w:val="5"/>
          </w:tcPr>
          <w:p>
            <w:pPr>
              <w:ind w:left="80"/>
              <w:spacing w:after="0"/>
              <w:rPr>
                <w:sz w:val="20"/>
                <w:szCs w:val="20"/>
                <w:color w:val="auto"/>
              </w:rPr>
            </w:pPr>
            <w:r>
              <w:rPr>
                <w:rFonts w:ascii="Arial" w:cs="Arial" w:eastAsia="Arial" w:hAnsi="Arial"/>
                <w:sz w:val="14"/>
                <w:szCs w:val="14"/>
                <w:b w:val="1"/>
                <w:bCs w:val="1"/>
                <w:color w:val="auto"/>
              </w:rPr>
              <w:t>Nine Months Ended</w:t>
            </w:r>
          </w:p>
        </w:tc>
        <w:tc>
          <w:tcPr>
            <w:tcW w:w="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53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80" w:type="dxa"/>
            <w:vAlign w:val="bottom"/>
            <w:gridSpan w:val="5"/>
          </w:tcPr>
          <w:p>
            <w:pPr>
              <w:jc w:val="center"/>
              <w:ind w:right="300"/>
              <w:spacing w:after="0"/>
              <w:rPr>
                <w:sz w:val="20"/>
                <w:szCs w:val="20"/>
                <w:color w:val="auto"/>
              </w:rPr>
            </w:pPr>
            <w:r>
              <w:rPr>
                <w:rFonts w:ascii="Arial" w:cs="Arial" w:eastAsia="Arial" w:hAnsi="Arial"/>
                <w:sz w:val="14"/>
                <w:szCs w:val="14"/>
                <w:b w:val="1"/>
                <w:bCs w:val="1"/>
                <w:color w:val="auto"/>
              </w:rPr>
              <w:t>September 30,</w:t>
            </w:r>
          </w:p>
        </w:tc>
        <w:tc>
          <w:tcPr>
            <w:tcW w:w="1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780" w:type="dxa"/>
            <w:vAlign w:val="bottom"/>
            <w:gridSpan w:val="5"/>
          </w:tcPr>
          <w:p>
            <w:pPr>
              <w:ind w:left="260"/>
              <w:spacing w:after="0"/>
              <w:rPr>
                <w:sz w:val="20"/>
                <w:szCs w:val="20"/>
                <w:color w:val="auto"/>
              </w:rPr>
            </w:pPr>
            <w:r>
              <w:rPr>
                <w:rFonts w:ascii="Arial" w:cs="Arial" w:eastAsia="Arial" w:hAnsi="Arial"/>
                <w:sz w:val="14"/>
                <w:szCs w:val="14"/>
                <w:b w:val="1"/>
                <w:bCs w:val="1"/>
                <w:color w:val="auto"/>
              </w:rPr>
              <w:t>September 30,</w:t>
            </w:r>
          </w:p>
        </w:tc>
        <w:tc>
          <w:tcPr>
            <w:tcW w:w="1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64"/>
        </w:trPr>
        <w:tc>
          <w:tcPr>
            <w:tcW w:w="5300" w:type="dxa"/>
            <w:vAlign w:val="bottom"/>
          </w:tcPr>
          <w:p>
            <w:pPr>
              <w:ind w:left="40"/>
              <w:spacing w:after="0"/>
              <w:rPr>
                <w:sz w:val="20"/>
                <w:szCs w:val="20"/>
                <w:color w:val="auto"/>
              </w:rPr>
            </w:pPr>
            <w:r>
              <w:rPr>
                <w:rFonts w:ascii="Arial" w:cs="Arial" w:eastAsia="Arial" w:hAnsi="Arial"/>
                <w:sz w:val="14"/>
                <w:szCs w:val="14"/>
                <w:i w:val="1"/>
                <w:iCs w:val="1"/>
                <w:color w:val="auto"/>
              </w:rPr>
              <w:t>(Dollar amounts in thousands)</w:t>
            </w:r>
          </w:p>
        </w:tc>
        <w:tc>
          <w:tcPr>
            <w:tcW w:w="200" w:type="dxa"/>
            <w:vAlign w:val="bottom"/>
            <w:tcBorders>
              <w:top w:val="single" w:sz="8" w:color="auto"/>
            </w:tcBorders>
          </w:tcPr>
          <w:p>
            <w:pPr>
              <w:spacing w:after="0"/>
              <w:rPr>
                <w:sz w:val="22"/>
                <w:szCs w:val="22"/>
                <w:color w:val="auto"/>
              </w:rPr>
            </w:pPr>
          </w:p>
        </w:tc>
        <w:tc>
          <w:tcPr>
            <w:tcW w:w="720" w:type="dxa"/>
            <w:vAlign w:val="bottom"/>
            <w:tcBorders>
              <w:top w:val="single" w:sz="8" w:color="auto"/>
            </w:tcBorders>
          </w:tcPr>
          <w:p>
            <w:pPr>
              <w:jc w:val="right"/>
              <w:ind w:right="228"/>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top w:val="single" w:sz="8" w:color="auto"/>
            </w:tcBorders>
          </w:tcPr>
          <w:p>
            <w:pPr>
              <w:spacing w:after="0"/>
              <w:rPr>
                <w:sz w:val="22"/>
                <w:szCs w:val="22"/>
                <w:color w:val="auto"/>
              </w:rPr>
            </w:pPr>
          </w:p>
        </w:tc>
        <w:tc>
          <w:tcPr>
            <w:tcW w:w="200" w:type="dxa"/>
            <w:vAlign w:val="bottom"/>
            <w:tcBorders>
              <w:top w:val="single" w:sz="8" w:color="auto"/>
            </w:tcBorders>
          </w:tcPr>
          <w:p>
            <w:pPr>
              <w:spacing w:after="0"/>
              <w:rPr>
                <w:sz w:val="22"/>
                <w:szCs w:val="22"/>
                <w:color w:val="auto"/>
              </w:rPr>
            </w:pPr>
          </w:p>
        </w:tc>
        <w:tc>
          <w:tcPr>
            <w:tcW w:w="720" w:type="dxa"/>
            <w:vAlign w:val="bottom"/>
            <w:tcBorders>
              <w:top w:val="single" w:sz="8" w:color="auto"/>
            </w:tcBorders>
          </w:tcPr>
          <w:p>
            <w:pPr>
              <w:jc w:val="right"/>
              <w:ind w:right="228"/>
              <w:spacing w:after="0"/>
              <w:rPr>
                <w:sz w:val="20"/>
                <w:szCs w:val="20"/>
                <w:color w:val="auto"/>
              </w:rPr>
            </w:pPr>
            <w:r>
              <w:rPr>
                <w:rFonts w:ascii="Arial" w:cs="Arial" w:eastAsia="Arial" w:hAnsi="Arial"/>
                <w:sz w:val="14"/>
                <w:szCs w:val="14"/>
                <w:b w:val="1"/>
                <w:bCs w:val="1"/>
                <w:color w:val="auto"/>
              </w:rPr>
              <w:t>2016</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60" w:type="dxa"/>
            <w:vAlign w:val="bottom"/>
            <w:gridSpan w:val="2"/>
          </w:tcPr>
          <w:p>
            <w:pPr>
              <w:ind w:left="40"/>
              <w:spacing w:after="0"/>
              <w:rPr>
                <w:sz w:val="20"/>
                <w:szCs w:val="20"/>
                <w:color w:val="auto"/>
              </w:rPr>
            </w:pPr>
            <w:r>
              <w:rPr>
                <w:rFonts w:ascii="Arial" w:cs="Arial" w:eastAsia="Arial" w:hAnsi="Arial"/>
                <w:sz w:val="14"/>
                <w:szCs w:val="14"/>
                <w:b w:val="1"/>
                <w:bCs w:val="1"/>
                <w:color w:val="auto"/>
              </w:rPr>
              <w:t>Change</w:t>
            </w:r>
          </w:p>
        </w:tc>
        <w:tc>
          <w:tcPr>
            <w:tcW w:w="200" w:type="dxa"/>
            <w:vAlign w:val="bottom"/>
            <w:tcBorders>
              <w:top w:val="single" w:sz="8" w:color="auto"/>
            </w:tcBorders>
          </w:tcPr>
          <w:p>
            <w:pPr>
              <w:spacing w:after="0"/>
              <w:rPr>
                <w:sz w:val="22"/>
                <w:szCs w:val="22"/>
                <w:color w:val="auto"/>
              </w:rPr>
            </w:pPr>
          </w:p>
        </w:tc>
        <w:tc>
          <w:tcPr>
            <w:tcW w:w="680" w:type="dxa"/>
            <w:vAlign w:val="bottom"/>
            <w:tcBorders>
              <w:top w:val="single" w:sz="8" w:color="auto"/>
            </w:tcBorders>
          </w:tcPr>
          <w:p>
            <w:pPr>
              <w:ind w:left="80"/>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top w:val="single" w:sz="8" w:color="auto"/>
            </w:tcBorders>
          </w:tcPr>
          <w:p>
            <w:pPr>
              <w:spacing w:after="0"/>
              <w:rPr>
                <w:sz w:val="22"/>
                <w:szCs w:val="22"/>
                <w:color w:val="auto"/>
              </w:rPr>
            </w:pPr>
          </w:p>
        </w:tc>
        <w:tc>
          <w:tcPr>
            <w:tcW w:w="180" w:type="dxa"/>
            <w:vAlign w:val="bottom"/>
            <w:tcBorders>
              <w:top w:val="single" w:sz="8" w:color="auto"/>
            </w:tcBorders>
          </w:tcPr>
          <w:p>
            <w:pPr>
              <w:spacing w:after="0"/>
              <w:rPr>
                <w:sz w:val="22"/>
                <w:szCs w:val="22"/>
                <w:color w:val="auto"/>
              </w:rPr>
            </w:pPr>
          </w:p>
        </w:tc>
        <w:tc>
          <w:tcPr>
            <w:tcW w:w="700" w:type="dxa"/>
            <w:vAlign w:val="bottom"/>
            <w:tcBorders>
              <w:top w:val="single" w:sz="8" w:color="auto"/>
            </w:tcBorders>
          </w:tcPr>
          <w:p>
            <w:pPr>
              <w:jc w:val="right"/>
              <w:ind w:right="208"/>
              <w:spacing w:after="0"/>
              <w:rPr>
                <w:sz w:val="20"/>
                <w:szCs w:val="20"/>
                <w:color w:val="auto"/>
              </w:rPr>
            </w:pPr>
            <w:r>
              <w:rPr>
                <w:rFonts w:ascii="Arial" w:cs="Arial" w:eastAsia="Arial" w:hAnsi="Arial"/>
                <w:sz w:val="14"/>
                <w:szCs w:val="14"/>
                <w:b w:val="1"/>
                <w:bCs w:val="1"/>
                <w:color w:val="auto"/>
              </w:rPr>
              <w:t>2016</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40" w:type="dxa"/>
            <w:vAlign w:val="bottom"/>
          </w:tcPr>
          <w:p>
            <w:pPr>
              <w:jc w:val="right"/>
              <w:ind w:right="108"/>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250"/>
        </w:trPr>
        <w:tc>
          <w:tcPr>
            <w:tcW w:w="5300" w:type="dxa"/>
            <w:vAlign w:val="bottom"/>
          </w:tcPr>
          <w:p>
            <w:pPr>
              <w:ind w:left="40"/>
              <w:spacing w:after="0"/>
              <w:rPr>
                <w:sz w:val="20"/>
                <w:szCs w:val="20"/>
                <w:color w:val="auto"/>
              </w:rPr>
            </w:pPr>
            <w:r>
              <w:rPr>
                <w:rFonts w:ascii="Arial" w:cs="Arial" w:eastAsia="Arial" w:hAnsi="Arial"/>
                <w:sz w:val="14"/>
                <w:szCs w:val="14"/>
                <w:b w:val="1"/>
                <w:bCs w:val="1"/>
                <w:color w:val="auto"/>
              </w:rPr>
              <w:t>Net (loss) income attributable to shareholders</w:t>
            </w:r>
          </w:p>
        </w:tc>
        <w:tc>
          <w:tcPr>
            <w:tcW w:w="200" w:type="dxa"/>
            <w:vAlign w:val="bottom"/>
            <w:tcBorders>
              <w:top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w:t>
            </w:r>
          </w:p>
        </w:tc>
        <w:tc>
          <w:tcPr>
            <w:tcW w:w="720" w:type="dxa"/>
            <w:vAlign w:val="bottom"/>
            <w:tcBorders>
              <w:top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386</w:t>
            </w:r>
          </w:p>
        </w:tc>
        <w:tc>
          <w:tcPr>
            <w:tcW w:w="120" w:type="dxa"/>
            <w:vAlign w:val="bottom"/>
          </w:tcPr>
          <w:p>
            <w:pPr>
              <w:spacing w:after="0"/>
              <w:rPr>
                <w:sz w:val="21"/>
                <w:szCs w:val="21"/>
                <w:color w:val="auto"/>
              </w:rPr>
            </w:pPr>
          </w:p>
        </w:tc>
        <w:tc>
          <w:tcPr>
            <w:tcW w:w="200" w:type="dxa"/>
            <w:vAlign w:val="bottom"/>
            <w:tcBorders>
              <w:top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720" w:type="dxa"/>
            <w:vAlign w:val="bottom"/>
            <w:tcBorders>
              <w:top w:val="single" w:sz="8" w:color="auto"/>
            </w:tcBorders>
          </w:tcPr>
          <w:p>
            <w:pPr>
              <w:jc w:val="right"/>
              <w:ind w:right="8"/>
              <w:spacing w:after="0"/>
              <w:rPr>
                <w:sz w:val="20"/>
                <w:szCs w:val="20"/>
                <w:color w:val="auto"/>
              </w:rPr>
            </w:pPr>
            <w:r>
              <w:rPr>
                <w:rFonts w:ascii="Arial" w:cs="Arial" w:eastAsia="Arial" w:hAnsi="Arial"/>
                <w:sz w:val="14"/>
                <w:szCs w:val="14"/>
                <w:color w:val="auto"/>
              </w:rPr>
              <w:t>(1,096)</w:t>
            </w:r>
          </w:p>
        </w:tc>
        <w:tc>
          <w:tcPr>
            <w:tcW w:w="120" w:type="dxa"/>
            <w:vAlign w:val="bottom"/>
          </w:tcPr>
          <w:p>
            <w:pPr>
              <w:spacing w:after="0"/>
              <w:rPr>
                <w:sz w:val="21"/>
                <w:szCs w:val="21"/>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60" w:type="dxa"/>
            <w:vAlign w:val="bottom"/>
            <w:tcBorders>
              <w:top w:val="single" w:sz="8" w:color="auto"/>
            </w:tcBorders>
          </w:tcPr>
          <w:p>
            <w:pPr>
              <w:jc w:val="right"/>
              <w:ind w:right="48"/>
              <w:spacing w:after="0"/>
              <w:rPr>
                <w:sz w:val="20"/>
                <w:szCs w:val="20"/>
                <w:color w:val="auto"/>
              </w:rPr>
            </w:pPr>
            <w:r>
              <w:rPr>
                <w:rFonts w:ascii="Arial" w:cs="Arial" w:eastAsia="Arial" w:hAnsi="Arial"/>
                <w:sz w:val="14"/>
                <w:szCs w:val="14"/>
                <w:color w:val="auto"/>
              </w:rPr>
              <w:t>1,482</w:t>
            </w:r>
          </w:p>
        </w:tc>
        <w:tc>
          <w:tcPr>
            <w:tcW w:w="100" w:type="dxa"/>
            <w:vAlign w:val="bottom"/>
          </w:tcPr>
          <w:p>
            <w:pPr>
              <w:spacing w:after="0"/>
              <w:rPr>
                <w:sz w:val="21"/>
                <w:szCs w:val="21"/>
                <w:color w:val="auto"/>
              </w:rPr>
            </w:pPr>
          </w:p>
        </w:tc>
        <w:tc>
          <w:tcPr>
            <w:tcW w:w="200" w:type="dxa"/>
            <w:vAlign w:val="bottom"/>
            <w:tcBorders>
              <w:top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w:t>
            </w: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auto"/>
              </w:rPr>
              <w:t>(205)</w:t>
            </w:r>
          </w:p>
        </w:tc>
        <w:tc>
          <w:tcPr>
            <w:tcW w:w="120" w:type="dxa"/>
            <w:vAlign w:val="bottom"/>
          </w:tcPr>
          <w:p>
            <w:pPr>
              <w:spacing w:after="0"/>
              <w:rPr>
                <w:sz w:val="21"/>
                <w:szCs w:val="21"/>
                <w:color w:val="auto"/>
              </w:rPr>
            </w:pPr>
          </w:p>
        </w:tc>
        <w:tc>
          <w:tcPr>
            <w:tcW w:w="180" w:type="dxa"/>
            <w:vAlign w:val="bottom"/>
            <w:tcBorders>
              <w:top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(245)</w:t>
            </w:r>
          </w:p>
        </w:tc>
        <w:tc>
          <w:tcPr>
            <w:tcW w:w="100" w:type="dxa"/>
            <w:vAlign w:val="bottom"/>
          </w:tcPr>
          <w:p>
            <w:pPr>
              <w:spacing w:after="0"/>
              <w:rPr>
                <w:sz w:val="21"/>
                <w:szCs w:val="21"/>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40" w:type="dxa"/>
            <w:vAlign w:val="bottom"/>
            <w:tcBorders>
              <w:top w:val="single" w:sz="8" w:color="auto"/>
            </w:tcBorders>
          </w:tcPr>
          <w:p>
            <w:pPr>
              <w:jc w:val="right"/>
              <w:ind w:right="28"/>
              <w:spacing w:after="0"/>
              <w:rPr>
                <w:sz w:val="20"/>
                <w:szCs w:val="20"/>
                <w:color w:val="auto"/>
              </w:rPr>
            </w:pPr>
            <w:r>
              <w:rPr>
                <w:rFonts w:ascii="Arial" w:cs="Arial" w:eastAsia="Arial" w:hAnsi="Arial"/>
                <w:sz w:val="14"/>
                <w:szCs w:val="14"/>
                <w:color w:val="auto"/>
              </w:rPr>
              <w:t>40</w:t>
            </w:r>
          </w:p>
        </w:tc>
        <w:tc>
          <w:tcPr>
            <w:tcW w:w="0" w:type="dxa"/>
            <w:vAlign w:val="bottom"/>
          </w:tcPr>
          <w:p>
            <w:pPr>
              <w:spacing w:after="0"/>
              <w:rPr>
                <w:sz w:val="1"/>
                <w:szCs w:val="1"/>
                <w:color w:val="auto"/>
              </w:rPr>
            </w:pPr>
          </w:p>
        </w:tc>
      </w:tr>
      <w:tr>
        <w:trPr>
          <w:trHeight w:val="271"/>
        </w:trPr>
        <w:tc>
          <w:tcPr>
            <w:tcW w:w="5300" w:type="dxa"/>
            <w:vAlign w:val="bottom"/>
            <w:shd w:val="clear" w:color="auto" w:fill="CCEEFF"/>
          </w:tcPr>
          <w:p>
            <w:pPr>
              <w:ind w:left="40"/>
              <w:spacing w:after="0"/>
              <w:rPr>
                <w:sz w:val="20"/>
                <w:szCs w:val="20"/>
                <w:color w:val="auto"/>
              </w:rPr>
            </w:pPr>
            <w:r>
              <w:rPr>
                <w:rFonts w:ascii="Arial" w:cs="Arial" w:eastAsia="Arial" w:hAnsi="Arial"/>
                <w:sz w:val="14"/>
                <w:szCs w:val="14"/>
                <w:color w:val="auto"/>
              </w:rPr>
              <w:t>Add: Benefit from income taxes</w:t>
            </w:r>
          </w:p>
        </w:tc>
        <w:tc>
          <w:tcPr>
            <w:tcW w:w="200" w:type="dxa"/>
            <w:vAlign w:val="bottom"/>
            <w:shd w:val="clear" w:color="auto" w:fill="CCEEFF"/>
          </w:tcPr>
          <w:p>
            <w:pPr>
              <w:spacing w:after="0"/>
              <w:rPr>
                <w:sz w:val="23"/>
                <w:szCs w:val="23"/>
                <w:color w:val="auto"/>
              </w:rPr>
            </w:pPr>
          </w:p>
        </w:tc>
        <w:tc>
          <w:tcPr>
            <w:tcW w:w="720" w:type="dxa"/>
            <w:vAlign w:val="bottom"/>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(10)</w:t>
            </w: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7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(41)</w:t>
            </w: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7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31</w:t>
            </w: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(44)</w:t>
            </w: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(54)</w:t>
            </w: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7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10</w:t>
            </w:r>
          </w:p>
        </w:tc>
        <w:tc>
          <w:tcPr>
            <w:tcW w:w="0" w:type="dxa"/>
            <w:vAlign w:val="bottom"/>
          </w:tcPr>
          <w:p>
            <w:pPr>
              <w:spacing w:after="0"/>
              <w:rPr>
                <w:sz w:val="1"/>
                <w:szCs w:val="1"/>
                <w:color w:val="auto"/>
              </w:rPr>
            </w:pPr>
          </w:p>
        </w:tc>
      </w:tr>
      <w:tr>
        <w:trPr>
          <w:trHeight w:val="269"/>
        </w:trPr>
        <w:tc>
          <w:tcPr>
            <w:tcW w:w="5300" w:type="dxa"/>
            <w:vAlign w:val="bottom"/>
          </w:tcPr>
          <w:p>
            <w:pPr>
              <w:ind w:left="40"/>
              <w:spacing w:after="0"/>
              <w:rPr>
                <w:sz w:val="20"/>
                <w:szCs w:val="20"/>
                <w:color w:val="auto"/>
              </w:rPr>
            </w:pPr>
            <w:r>
              <w:rPr>
                <w:rFonts w:ascii="Arial" w:cs="Arial" w:eastAsia="Arial" w:hAnsi="Arial"/>
                <w:sz w:val="14"/>
                <w:szCs w:val="14"/>
                <w:color w:val="auto"/>
              </w:rPr>
              <w:t>Add: Equity-based compensation expense</w:t>
            </w:r>
          </w:p>
        </w:tc>
        <w:tc>
          <w:tcPr>
            <w:tcW w:w="200" w:type="dxa"/>
            <w:vAlign w:val="bottom"/>
          </w:tcPr>
          <w:p>
            <w:pPr>
              <w:spacing w:after="0"/>
              <w:rPr>
                <w:sz w:val="23"/>
                <w:szCs w:val="23"/>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rPr>
              <w:t>—</w:t>
            </w:r>
          </w:p>
        </w:tc>
        <w:tc>
          <w:tcPr>
            <w:tcW w:w="200" w:type="dxa"/>
            <w:vAlign w:val="bottom"/>
          </w:tcPr>
          <w:p>
            <w:pPr>
              <w:spacing w:after="0"/>
              <w:rPr>
                <w:sz w:val="23"/>
                <w:szCs w:val="23"/>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3"/>
                <w:szCs w:val="23"/>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3"/>
                <w:szCs w:val="23"/>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rPr>
              <w:t>—</w:t>
            </w:r>
          </w:p>
        </w:tc>
        <w:tc>
          <w:tcPr>
            <w:tcW w:w="180" w:type="dxa"/>
            <w:vAlign w:val="bottom"/>
          </w:tcPr>
          <w:p>
            <w:pPr>
              <w:spacing w:after="0"/>
              <w:rPr>
                <w:sz w:val="23"/>
                <w:szCs w:val="23"/>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3"/>
                <w:szCs w:val="23"/>
                <w:color w:val="auto"/>
              </w:rPr>
            </w:pPr>
          </w:p>
        </w:tc>
        <w:tc>
          <w:tcPr>
            <w:tcW w:w="74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1"/>
        </w:trPr>
        <w:tc>
          <w:tcPr>
            <w:tcW w:w="5300" w:type="dxa"/>
            <w:vAlign w:val="bottom"/>
            <w:shd w:val="clear" w:color="auto" w:fill="CCEEFF"/>
          </w:tcPr>
          <w:p>
            <w:pPr>
              <w:ind w:left="40"/>
              <w:spacing w:after="0"/>
              <w:rPr>
                <w:sz w:val="20"/>
                <w:szCs w:val="20"/>
                <w:color w:val="auto"/>
              </w:rPr>
            </w:pPr>
            <w:r>
              <w:rPr>
                <w:rFonts w:ascii="Arial" w:cs="Arial" w:eastAsia="Arial" w:hAnsi="Arial"/>
                <w:sz w:val="14"/>
                <w:szCs w:val="14"/>
                <w:color w:val="auto"/>
              </w:rPr>
              <w:t>Add: Acquisition and transaction expenses</w:t>
            </w:r>
          </w:p>
        </w:tc>
        <w:tc>
          <w:tcPr>
            <w:tcW w:w="200" w:type="dxa"/>
            <w:vAlign w:val="bottom"/>
            <w:shd w:val="clear" w:color="auto" w:fill="CCEEFF"/>
          </w:tcPr>
          <w:p>
            <w:pPr>
              <w:spacing w:after="0"/>
              <w:rPr>
                <w:sz w:val="23"/>
                <w:szCs w:val="23"/>
                <w:color w:val="auto"/>
              </w:rPr>
            </w:pP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b w:val="1"/>
                <w:bCs w:val="1"/>
                <w:color w:val="auto"/>
              </w:rPr>
              <w:t>—</w:t>
            </w:r>
          </w:p>
        </w:tc>
        <w:tc>
          <w:tcPr>
            <w:tcW w:w="200" w:type="dxa"/>
            <w:vAlign w:val="bottom"/>
            <w:shd w:val="clear" w:color="auto" w:fill="CCEEFF"/>
          </w:tcPr>
          <w:p>
            <w:pPr>
              <w:spacing w:after="0"/>
              <w:rPr>
                <w:sz w:val="23"/>
                <w:szCs w:val="23"/>
                <w:color w:val="auto"/>
              </w:rPr>
            </w:pP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3"/>
                <w:szCs w:val="23"/>
                <w:color w:val="auto"/>
              </w:rPr>
            </w:pP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23"/>
                <w:szCs w:val="23"/>
                <w:color w:val="auto"/>
              </w:rPr>
            </w:pP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b w:val="1"/>
                <w:bCs w:val="1"/>
                <w:color w:val="auto"/>
              </w:rPr>
              <w:t>—</w:t>
            </w:r>
          </w:p>
        </w:tc>
        <w:tc>
          <w:tcPr>
            <w:tcW w:w="180" w:type="dxa"/>
            <w:vAlign w:val="bottom"/>
            <w:shd w:val="clear" w:color="auto" w:fill="CCEEFF"/>
          </w:tcPr>
          <w:p>
            <w:pPr>
              <w:spacing w:after="0"/>
              <w:rPr>
                <w:sz w:val="23"/>
                <w:szCs w:val="23"/>
                <w:color w:val="auto"/>
              </w:rPr>
            </w:pP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3"/>
                <w:szCs w:val="23"/>
                <w:color w:val="auto"/>
              </w:rPr>
            </w:pPr>
          </w:p>
        </w:tc>
        <w:tc>
          <w:tcPr>
            <w:tcW w:w="7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6"/>
        </w:trPr>
        <w:tc>
          <w:tcPr>
            <w:tcW w:w="5300" w:type="dxa"/>
            <w:vAlign w:val="bottom"/>
          </w:tcPr>
          <w:p>
            <w:pPr>
              <w:ind w:left="40"/>
              <w:spacing w:after="0"/>
              <w:rPr>
                <w:sz w:val="20"/>
                <w:szCs w:val="20"/>
                <w:color w:val="auto"/>
              </w:rPr>
            </w:pPr>
            <w:r>
              <w:rPr>
                <w:rFonts w:ascii="Arial" w:cs="Arial" w:eastAsia="Arial" w:hAnsi="Arial"/>
                <w:sz w:val="14"/>
                <w:szCs w:val="14"/>
                <w:color w:val="auto"/>
              </w:rPr>
              <w:t>Add: Losses on the modification or extinguishment of debt and capital lease</w:t>
            </w:r>
          </w:p>
        </w:tc>
        <w:tc>
          <w:tcPr>
            <w:tcW w:w="200" w:type="dxa"/>
            <w:vAlign w:val="bottom"/>
          </w:tcPr>
          <w:p>
            <w:pPr>
              <w:spacing w:after="0"/>
              <w:rPr>
                <w:sz w:val="15"/>
                <w:szCs w:val="15"/>
                <w:color w:val="auto"/>
              </w:rPr>
            </w:pPr>
          </w:p>
        </w:tc>
        <w:tc>
          <w:tcPr>
            <w:tcW w:w="840" w:type="dxa"/>
            <w:vAlign w:val="bottom"/>
            <w:gridSpan w:val="2"/>
            <w:vMerge w:val="restart"/>
          </w:tcPr>
          <w:p>
            <w:pPr>
              <w:jc w:val="right"/>
              <w:ind w:right="240"/>
              <w:spacing w:after="0"/>
              <w:rPr>
                <w:sz w:val="20"/>
                <w:szCs w:val="20"/>
                <w:color w:val="auto"/>
              </w:rPr>
            </w:pPr>
            <w:r>
              <w:rPr>
                <w:rFonts w:ascii="Arial" w:cs="Arial" w:eastAsia="Arial" w:hAnsi="Arial"/>
                <w:sz w:val="14"/>
                <w:szCs w:val="14"/>
                <w:b w:val="1"/>
                <w:bCs w:val="1"/>
                <w:color w:val="auto"/>
              </w:rPr>
              <w:t>—</w:t>
            </w:r>
          </w:p>
        </w:tc>
        <w:tc>
          <w:tcPr>
            <w:tcW w:w="2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0" w:type="dxa"/>
            <w:vAlign w:val="bottom"/>
            <w:gridSpan w:val="2"/>
            <w:vMerge w:val="restart"/>
          </w:tcPr>
          <w:p>
            <w:pPr>
              <w:jc w:val="right"/>
              <w:ind w:right="220"/>
              <w:spacing w:after="0"/>
              <w:rPr>
                <w:sz w:val="20"/>
                <w:szCs w:val="20"/>
                <w:color w:val="auto"/>
              </w:rPr>
            </w:pPr>
            <w:r>
              <w:rPr>
                <w:rFonts w:ascii="Arial" w:cs="Arial" w:eastAsia="Arial" w:hAnsi="Arial"/>
                <w:sz w:val="14"/>
                <w:szCs w:val="14"/>
                <w:b w:val="1"/>
                <w:bCs w:val="1"/>
                <w:color w:val="auto"/>
              </w:rPr>
              <w:t>—</w:t>
            </w:r>
          </w:p>
        </w:tc>
        <w:tc>
          <w:tcPr>
            <w:tcW w:w="1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1"/>
        </w:trPr>
        <w:tc>
          <w:tcPr>
            <w:tcW w:w="5300" w:type="dxa"/>
            <w:vAlign w:val="bottom"/>
          </w:tcPr>
          <w:p>
            <w:pPr>
              <w:ind w:left="40"/>
              <w:spacing w:after="0"/>
              <w:rPr>
                <w:sz w:val="20"/>
                <w:szCs w:val="20"/>
                <w:color w:val="auto"/>
              </w:rPr>
            </w:pPr>
            <w:r>
              <w:rPr>
                <w:rFonts w:ascii="Arial" w:cs="Arial" w:eastAsia="Arial" w:hAnsi="Arial"/>
                <w:sz w:val="14"/>
                <w:szCs w:val="14"/>
                <w:color w:val="auto"/>
              </w:rPr>
              <w:t>obligations</w:t>
            </w:r>
          </w:p>
        </w:tc>
        <w:tc>
          <w:tcPr>
            <w:tcW w:w="200" w:type="dxa"/>
            <w:vAlign w:val="bottom"/>
          </w:tcPr>
          <w:p>
            <w:pPr>
              <w:spacing w:after="0"/>
              <w:rPr>
                <w:sz w:val="17"/>
                <w:szCs w:val="17"/>
                <w:color w:val="auto"/>
              </w:rPr>
            </w:pPr>
          </w:p>
        </w:tc>
        <w:tc>
          <w:tcPr>
            <w:tcW w:w="840" w:type="dxa"/>
            <w:vAlign w:val="bottom"/>
            <w:gridSpan w:val="2"/>
            <w:vMerge w:val="continue"/>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7"/>
                <w:szCs w:val="17"/>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7"/>
                <w:szCs w:val="17"/>
                <w:color w:val="auto"/>
              </w:rPr>
            </w:pPr>
          </w:p>
        </w:tc>
        <w:tc>
          <w:tcPr>
            <w:tcW w:w="800" w:type="dxa"/>
            <w:vAlign w:val="bottom"/>
            <w:gridSpan w:val="2"/>
            <w:vMerge w:val="continue"/>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7"/>
                <w:szCs w:val="17"/>
                <w:color w:val="auto"/>
              </w:rPr>
            </w:pPr>
          </w:p>
        </w:tc>
        <w:tc>
          <w:tcPr>
            <w:tcW w:w="74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1"/>
        </w:trPr>
        <w:tc>
          <w:tcPr>
            <w:tcW w:w="5300" w:type="dxa"/>
            <w:vAlign w:val="bottom"/>
            <w:shd w:val="clear" w:color="auto" w:fill="CCEEFF"/>
          </w:tcPr>
          <w:p>
            <w:pPr>
              <w:ind w:left="40"/>
              <w:spacing w:after="0"/>
              <w:rPr>
                <w:sz w:val="20"/>
                <w:szCs w:val="20"/>
                <w:color w:val="auto"/>
              </w:rPr>
            </w:pPr>
            <w:r>
              <w:rPr>
                <w:rFonts w:ascii="Arial" w:cs="Arial" w:eastAsia="Arial" w:hAnsi="Arial"/>
                <w:sz w:val="14"/>
                <w:szCs w:val="14"/>
                <w:color w:val="auto"/>
              </w:rPr>
              <w:t>Add: Changes in fair value of non-hedge derivative instruments</w:t>
            </w:r>
          </w:p>
        </w:tc>
        <w:tc>
          <w:tcPr>
            <w:tcW w:w="200" w:type="dxa"/>
            <w:vAlign w:val="bottom"/>
            <w:shd w:val="clear" w:color="auto" w:fill="CCEEFF"/>
          </w:tcPr>
          <w:p>
            <w:pPr>
              <w:spacing w:after="0"/>
              <w:rPr>
                <w:sz w:val="23"/>
                <w:szCs w:val="23"/>
                <w:color w:val="auto"/>
              </w:rPr>
            </w:pP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b w:val="1"/>
                <w:bCs w:val="1"/>
                <w:color w:val="auto"/>
              </w:rPr>
              <w:t>—</w:t>
            </w:r>
          </w:p>
        </w:tc>
        <w:tc>
          <w:tcPr>
            <w:tcW w:w="200" w:type="dxa"/>
            <w:vAlign w:val="bottom"/>
            <w:shd w:val="clear" w:color="auto" w:fill="CCEEFF"/>
          </w:tcPr>
          <w:p>
            <w:pPr>
              <w:spacing w:after="0"/>
              <w:rPr>
                <w:sz w:val="23"/>
                <w:szCs w:val="23"/>
                <w:color w:val="auto"/>
              </w:rPr>
            </w:pP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3"/>
                <w:szCs w:val="23"/>
                <w:color w:val="auto"/>
              </w:rPr>
            </w:pP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23"/>
                <w:szCs w:val="23"/>
                <w:color w:val="auto"/>
              </w:rPr>
            </w:pP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b w:val="1"/>
                <w:bCs w:val="1"/>
                <w:color w:val="auto"/>
              </w:rPr>
              <w:t>—</w:t>
            </w:r>
          </w:p>
        </w:tc>
        <w:tc>
          <w:tcPr>
            <w:tcW w:w="180" w:type="dxa"/>
            <w:vAlign w:val="bottom"/>
            <w:shd w:val="clear" w:color="auto" w:fill="CCEEFF"/>
          </w:tcPr>
          <w:p>
            <w:pPr>
              <w:spacing w:after="0"/>
              <w:rPr>
                <w:sz w:val="23"/>
                <w:szCs w:val="23"/>
                <w:color w:val="auto"/>
              </w:rPr>
            </w:pPr>
          </w:p>
        </w:tc>
        <w:tc>
          <w:tcPr>
            <w:tcW w:w="7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w:t>
            </w: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w:t>
            </w:r>
          </w:p>
        </w:tc>
        <w:tc>
          <w:tcPr>
            <w:tcW w:w="0" w:type="dxa"/>
            <w:vAlign w:val="bottom"/>
          </w:tcPr>
          <w:p>
            <w:pPr>
              <w:spacing w:after="0"/>
              <w:rPr>
                <w:sz w:val="1"/>
                <w:szCs w:val="1"/>
                <w:color w:val="auto"/>
              </w:rPr>
            </w:pPr>
          </w:p>
        </w:tc>
      </w:tr>
      <w:tr>
        <w:trPr>
          <w:trHeight w:val="269"/>
        </w:trPr>
        <w:tc>
          <w:tcPr>
            <w:tcW w:w="5300" w:type="dxa"/>
            <w:vAlign w:val="bottom"/>
          </w:tcPr>
          <w:p>
            <w:pPr>
              <w:ind w:left="40"/>
              <w:spacing w:after="0"/>
              <w:rPr>
                <w:sz w:val="20"/>
                <w:szCs w:val="20"/>
                <w:color w:val="auto"/>
              </w:rPr>
            </w:pPr>
            <w:r>
              <w:rPr>
                <w:rFonts w:ascii="Arial" w:cs="Arial" w:eastAsia="Arial" w:hAnsi="Arial"/>
                <w:sz w:val="14"/>
                <w:szCs w:val="14"/>
                <w:color w:val="auto"/>
              </w:rPr>
              <w:t>Add: Asset impairment charges</w:t>
            </w:r>
          </w:p>
        </w:tc>
        <w:tc>
          <w:tcPr>
            <w:tcW w:w="200" w:type="dxa"/>
            <w:vAlign w:val="bottom"/>
          </w:tcPr>
          <w:p>
            <w:pPr>
              <w:spacing w:after="0"/>
              <w:rPr>
                <w:sz w:val="23"/>
                <w:szCs w:val="23"/>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rPr>
              <w:t>—</w:t>
            </w:r>
          </w:p>
        </w:tc>
        <w:tc>
          <w:tcPr>
            <w:tcW w:w="200" w:type="dxa"/>
            <w:vAlign w:val="bottom"/>
          </w:tcPr>
          <w:p>
            <w:pPr>
              <w:spacing w:after="0"/>
              <w:rPr>
                <w:sz w:val="23"/>
                <w:szCs w:val="23"/>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3"/>
                <w:szCs w:val="23"/>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3"/>
                <w:szCs w:val="23"/>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rPr>
              <w:t>—</w:t>
            </w:r>
          </w:p>
        </w:tc>
        <w:tc>
          <w:tcPr>
            <w:tcW w:w="180" w:type="dxa"/>
            <w:vAlign w:val="bottom"/>
          </w:tcPr>
          <w:p>
            <w:pPr>
              <w:spacing w:after="0"/>
              <w:rPr>
                <w:sz w:val="23"/>
                <w:szCs w:val="23"/>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3"/>
                <w:szCs w:val="23"/>
                <w:color w:val="auto"/>
              </w:rPr>
            </w:pPr>
          </w:p>
        </w:tc>
        <w:tc>
          <w:tcPr>
            <w:tcW w:w="74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1"/>
        </w:trPr>
        <w:tc>
          <w:tcPr>
            <w:tcW w:w="5300" w:type="dxa"/>
            <w:vAlign w:val="bottom"/>
            <w:shd w:val="clear" w:color="auto" w:fill="CCEEFF"/>
          </w:tcPr>
          <w:p>
            <w:pPr>
              <w:ind w:left="40"/>
              <w:spacing w:after="0"/>
              <w:rPr>
                <w:sz w:val="20"/>
                <w:szCs w:val="20"/>
                <w:color w:val="auto"/>
              </w:rPr>
            </w:pPr>
            <w:r>
              <w:rPr>
                <w:rFonts w:ascii="Arial" w:cs="Arial" w:eastAsia="Arial" w:hAnsi="Arial"/>
                <w:sz w:val="14"/>
                <w:szCs w:val="14"/>
                <w:color w:val="auto"/>
              </w:rPr>
              <w:t>Add: Incentive allocations</w:t>
            </w:r>
          </w:p>
        </w:tc>
        <w:tc>
          <w:tcPr>
            <w:tcW w:w="200" w:type="dxa"/>
            <w:vAlign w:val="bottom"/>
            <w:shd w:val="clear" w:color="auto" w:fill="CCEEFF"/>
          </w:tcPr>
          <w:p>
            <w:pPr>
              <w:spacing w:after="0"/>
              <w:rPr>
                <w:sz w:val="23"/>
                <w:szCs w:val="23"/>
                <w:color w:val="auto"/>
              </w:rPr>
            </w:pP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b w:val="1"/>
                <w:bCs w:val="1"/>
                <w:color w:val="auto"/>
              </w:rPr>
              <w:t>—</w:t>
            </w:r>
          </w:p>
        </w:tc>
        <w:tc>
          <w:tcPr>
            <w:tcW w:w="200" w:type="dxa"/>
            <w:vAlign w:val="bottom"/>
            <w:shd w:val="clear" w:color="auto" w:fill="CCEEFF"/>
          </w:tcPr>
          <w:p>
            <w:pPr>
              <w:spacing w:after="0"/>
              <w:rPr>
                <w:sz w:val="23"/>
                <w:szCs w:val="23"/>
                <w:color w:val="auto"/>
              </w:rPr>
            </w:pP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3"/>
                <w:szCs w:val="23"/>
                <w:color w:val="auto"/>
              </w:rPr>
            </w:pP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23"/>
                <w:szCs w:val="23"/>
                <w:color w:val="auto"/>
              </w:rPr>
            </w:pP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b w:val="1"/>
                <w:bCs w:val="1"/>
                <w:color w:val="auto"/>
              </w:rPr>
              <w:t>—</w:t>
            </w:r>
          </w:p>
        </w:tc>
        <w:tc>
          <w:tcPr>
            <w:tcW w:w="180" w:type="dxa"/>
            <w:vAlign w:val="bottom"/>
            <w:shd w:val="clear" w:color="auto" w:fill="CCEEFF"/>
          </w:tcPr>
          <w:p>
            <w:pPr>
              <w:spacing w:after="0"/>
              <w:rPr>
                <w:sz w:val="23"/>
                <w:szCs w:val="23"/>
                <w:color w:val="auto"/>
              </w:rPr>
            </w:pP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3"/>
                <w:szCs w:val="23"/>
                <w:color w:val="auto"/>
              </w:rPr>
            </w:pPr>
          </w:p>
        </w:tc>
        <w:tc>
          <w:tcPr>
            <w:tcW w:w="7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69"/>
        </w:trPr>
        <w:tc>
          <w:tcPr>
            <w:tcW w:w="5300" w:type="dxa"/>
            <w:vAlign w:val="bottom"/>
          </w:tcPr>
          <w:p>
            <w:pPr>
              <w:ind w:left="40"/>
              <w:spacing w:after="0"/>
              <w:rPr>
                <w:sz w:val="20"/>
                <w:szCs w:val="20"/>
                <w:color w:val="auto"/>
              </w:rPr>
            </w:pPr>
            <w:r>
              <w:rPr>
                <w:rFonts w:ascii="Arial" w:cs="Arial" w:eastAsia="Arial" w:hAnsi="Arial"/>
                <w:sz w:val="14"/>
                <w:szCs w:val="14"/>
                <w:color w:val="auto"/>
              </w:rPr>
              <w:t>Add: Depreciation and amortization expense</w:t>
            </w:r>
          </w:p>
        </w:tc>
        <w:tc>
          <w:tcPr>
            <w:tcW w:w="200" w:type="dxa"/>
            <w:vAlign w:val="bottom"/>
          </w:tcPr>
          <w:p>
            <w:pPr>
              <w:spacing w:after="0"/>
              <w:rPr>
                <w:sz w:val="23"/>
                <w:szCs w:val="23"/>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rPr>
              <w:t>—</w:t>
            </w:r>
          </w:p>
        </w:tc>
        <w:tc>
          <w:tcPr>
            <w:tcW w:w="200" w:type="dxa"/>
            <w:vAlign w:val="bottom"/>
          </w:tcPr>
          <w:p>
            <w:pPr>
              <w:spacing w:after="0"/>
              <w:rPr>
                <w:sz w:val="23"/>
                <w:szCs w:val="23"/>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3"/>
                <w:szCs w:val="23"/>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3"/>
                <w:szCs w:val="23"/>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rPr>
              <w:t>—</w:t>
            </w:r>
          </w:p>
        </w:tc>
        <w:tc>
          <w:tcPr>
            <w:tcW w:w="180" w:type="dxa"/>
            <w:vAlign w:val="bottom"/>
          </w:tcPr>
          <w:p>
            <w:pPr>
              <w:spacing w:after="0"/>
              <w:rPr>
                <w:sz w:val="23"/>
                <w:szCs w:val="23"/>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3"/>
                <w:szCs w:val="23"/>
                <w:color w:val="auto"/>
              </w:rPr>
            </w:pPr>
          </w:p>
        </w:tc>
        <w:tc>
          <w:tcPr>
            <w:tcW w:w="74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1"/>
        </w:trPr>
        <w:tc>
          <w:tcPr>
            <w:tcW w:w="5300" w:type="dxa"/>
            <w:vAlign w:val="bottom"/>
            <w:shd w:val="clear" w:color="auto" w:fill="CCEEFF"/>
          </w:tcPr>
          <w:p>
            <w:pPr>
              <w:ind w:left="40"/>
              <w:spacing w:after="0"/>
              <w:rPr>
                <w:sz w:val="20"/>
                <w:szCs w:val="20"/>
                <w:color w:val="auto"/>
              </w:rPr>
            </w:pPr>
            <w:r>
              <w:rPr>
                <w:rFonts w:ascii="Arial" w:cs="Arial" w:eastAsia="Arial" w:hAnsi="Arial"/>
                <w:sz w:val="14"/>
                <w:szCs w:val="14"/>
                <w:color w:val="auto"/>
              </w:rPr>
              <w:t>Add: Interest expense</w:t>
            </w:r>
          </w:p>
        </w:tc>
        <w:tc>
          <w:tcPr>
            <w:tcW w:w="200" w:type="dxa"/>
            <w:vAlign w:val="bottom"/>
            <w:shd w:val="clear" w:color="auto" w:fill="CCEEFF"/>
          </w:tcPr>
          <w:p>
            <w:pPr>
              <w:spacing w:after="0"/>
              <w:rPr>
                <w:sz w:val="23"/>
                <w:szCs w:val="23"/>
                <w:color w:val="auto"/>
              </w:rPr>
            </w:pP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b w:val="1"/>
                <w:bCs w:val="1"/>
                <w:color w:val="auto"/>
              </w:rPr>
              <w:t>—</w:t>
            </w:r>
          </w:p>
        </w:tc>
        <w:tc>
          <w:tcPr>
            <w:tcW w:w="200" w:type="dxa"/>
            <w:vAlign w:val="bottom"/>
            <w:shd w:val="clear" w:color="auto" w:fill="CCEEFF"/>
          </w:tcPr>
          <w:p>
            <w:pPr>
              <w:spacing w:after="0"/>
              <w:rPr>
                <w:sz w:val="23"/>
                <w:szCs w:val="23"/>
                <w:color w:val="auto"/>
              </w:rPr>
            </w:pP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3"/>
                <w:szCs w:val="23"/>
                <w:color w:val="auto"/>
              </w:rPr>
            </w:pP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23"/>
                <w:szCs w:val="23"/>
                <w:color w:val="auto"/>
              </w:rPr>
            </w:pP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b w:val="1"/>
                <w:bCs w:val="1"/>
                <w:color w:val="auto"/>
              </w:rPr>
              <w:t>—</w:t>
            </w:r>
          </w:p>
        </w:tc>
        <w:tc>
          <w:tcPr>
            <w:tcW w:w="180" w:type="dxa"/>
            <w:vAlign w:val="bottom"/>
            <w:shd w:val="clear" w:color="auto" w:fill="CCEEFF"/>
          </w:tcPr>
          <w:p>
            <w:pPr>
              <w:spacing w:after="0"/>
              <w:rPr>
                <w:sz w:val="23"/>
                <w:szCs w:val="23"/>
                <w:color w:val="auto"/>
              </w:rPr>
            </w:pPr>
          </w:p>
        </w:tc>
        <w:tc>
          <w:tcPr>
            <w:tcW w:w="7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410</w:t>
            </w: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(410)</w:t>
            </w:r>
          </w:p>
        </w:tc>
        <w:tc>
          <w:tcPr>
            <w:tcW w:w="0" w:type="dxa"/>
            <w:vAlign w:val="bottom"/>
          </w:tcPr>
          <w:p>
            <w:pPr>
              <w:spacing w:after="0"/>
              <w:rPr>
                <w:sz w:val="1"/>
                <w:szCs w:val="1"/>
                <w:color w:val="auto"/>
              </w:rPr>
            </w:pPr>
          </w:p>
        </w:tc>
      </w:tr>
      <w:tr>
        <w:trPr>
          <w:trHeight w:val="270"/>
        </w:trPr>
        <w:tc>
          <w:tcPr>
            <w:tcW w:w="5300" w:type="dxa"/>
            <w:vAlign w:val="bottom"/>
          </w:tcPr>
          <w:p>
            <w:pPr>
              <w:ind w:left="40"/>
              <w:spacing w:after="0"/>
              <w:rPr>
                <w:sz w:val="20"/>
                <w:szCs w:val="20"/>
                <w:color w:val="auto"/>
              </w:rPr>
            </w:pPr>
            <w:r>
              <w:rPr>
                <w:rFonts w:ascii="Arial" w:cs="Arial" w:eastAsia="Arial" w:hAnsi="Arial"/>
                <w:sz w:val="14"/>
                <w:szCs w:val="14"/>
                <w:color w:val="auto"/>
              </w:rPr>
              <w:t xml:space="preserve">Add: Pro-rata share of Adjusted EBITDA from unconsolidated entities </w:t>
            </w:r>
            <w:r>
              <w:rPr>
                <w:rFonts w:ascii="Arial" w:cs="Arial" w:eastAsia="Arial" w:hAnsi="Arial"/>
                <w:sz w:val="17"/>
                <w:szCs w:val="17"/>
                <w:color w:val="auto"/>
                <w:vertAlign w:val="superscript"/>
              </w:rPr>
              <w:t>(2)</w:t>
            </w:r>
          </w:p>
        </w:tc>
        <w:tc>
          <w:tcPr>
            <w:tcW w:w="200" w:type="dxa"/>
            <w:vAlign w:val="bottom"/>
          </w:tcPr>
          <w:p>
            <w:pPr>
              <w:spacing w:after="0"/>
              <w:rPr>
                <w:sz w:val="23"/>
                <w:szCs w:val="23"/>
                <w:color w:val="auto"/>
              </w:rPr>
            </w:pPr>
          </w:p>
        </w:tc>
        <w:tc>
          <w:tcPr>
            <w:tcW w:w="720" w:type="dxa"/>
            <w:vAlign w:val="bottom"/>
          </w:tcPr>
          <w:p>
            <w:pPr>
              <w:jc w:val="right"/>
              <w:ind w:right="48"/>
              <w:spacing w:after="0"/>
              <w:rPr>
                <w:sz w:val="20"/>
                <w:szCs w:val="20"/>
                <w:color w:val="auto"/>
              </w:rPr>
            </w:pPr>
            <w:r>
              <w:rPr>
                <w:rFonts w:ascii="Arial" w:cs="Arial" w:eastAsia="Arial" w:hAnsi="Arial"/>
                <w:sz w:val="14"/>
                <w:szCs w:val="14"/>
                <w:b w:val="1"/>
                <w:bCs w:val="1"/>
                <w:color w:val="auto"/>
              </w:rPr>
              <w:t>509</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20" w:type="dxa"/>
            <w:vAlign w:val="bottom"/>
          </w:tcPr>
          <w:p>
            <w:pPr>
              <w:jc w:val="right"/>
              <w:ind w:right="8"/>
              <w:spacing w:after="0"/>
              <w:rPr>
                <w:sz w:val="20"/>
                <w:szCs w:val="20"/>
                <w:color w:val="auto"/>
              </w:rPr>
            </w:pPr>
            <w:r>
              <w:rPr>
                <w:rFonts w:ascii="Arial" w:cs="Arial" w:eastAsia="Arial" w:hAnsi="Arial"/>
                <w:sz w:val="14"/>
                <w:szCs w:val="14"/>
                <w:color w:val="auto"/>
              </w:rPr>
              <w:t>(287)</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60" w:type="dxa"/>
            <w:vAlign w:val="bottom"/>
          </w:tcPr>
          <w:p>
            <w:pPr>
              <w:jc w:val="right"/>
              <w:ind w:right="48"/>
              <w:spacing w:after="0"/>
              <w:rPr>
                <w:sz w:val="20"/>
                <w:szCs w:val="20"/>
                <w:color w:val="auto"/>
              </w:rPr>
            </w:pPr>
            <w:r>
              <w:rPr>
                <w:rFonts w:ascii="Arial" w:cs="Arial" w:eastAsia="Arial" w:hAnsi="Arial"/>
                <w:sz w:val="14"/>
                <w:szCs w:val="14"/>
                <w:color w:val="auto"/>
              </w:rPr>
              <w:t>796</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680" w:type="dxa"/>
            <w:vAlign w:val="bottom"/>
          </w:tcPr>
          <w:p>
            <w:pPr>
              <w:jc w:val="right"/>
              <w:ind w:right="28"/>
              <w:spacing w:after="0"/>
              <w:rPr>
                <w:sz w:val="20"/>
                <w:szCs w:val="20"/>
                <w:color w:val="auto"/>
              </w:rPr>
            </w:pPr>
            <w:r>
              <w:rPr>
                <w:rFonts w:ascii="Arial" w:cs="Arial" w:eastAsia="Arial" w:hAnsi="Arial"/>
                <w:sz w:val="14"/>
                <w:szCs w:val="14"/>
                <w:b w:val="1"/>
                <w:bCs w:val="1"/>
                <w:color w:val="auto"/>
              </w:rPr>
              <w:t>936</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700" w:type="dxa"/>
            <w:vAlign w:val="bottom"/>
          </w:tcPr>
          <w:p>
            <w:pPr>
              <w:jc w:val="right"/>
              <w:ind w:right="48"/>
              <w:spacing w:after="0"/>
              <w:rPr>
                <w:sz w:val="20"/>
                <w:szCs w:val="20"/>
                <w:color w:val="auto"/>
              </w:rPr>
            </w:pPr>
            <w:r>
              <w:rPr>
                <w:rFonts w:ascii="Arial" w:cs="Arial" w:eastAsia="Arial" w:hAnsi="Arial"/>
                <w:sz w:val="14"/>
                <w:szCs w:val="14"/>
                <w:color w:val="auto"/>
              </w:rPr>
              <w:t>1,873</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(937)</w:t>
            </w:r>
          </w:p>
        </w:tc>
        <w:tc>
          <w:tcPr>
            <w:tcW w:w="0" w:type="dxa"/>
            <w:vAlign w:val="bottom"/>
          </w:tcPr>
          <w:p>
            <w:pPr>
              <w:spacing w:after="0"/>
              <w:rPr>
                <w:sz w:val="1"/>
                <w:szCs w:val="1"/>
                <w:color w:val="auto"/>
              </w:rPr>
            </w:pPr>
          </w:p>
        </w:tc>
      </w:tr>
      <w:tr>
        <w:trPr>
          <w:trHeight w:val="270"/>
        </w:trPr>
        <w:tc>
          <w:tcPr>
            <w:tcW w:w="5300" w:type="dxa"/>
            <w:vAlign w:val="bottom"/>
            <w:shd w:val="clear" w:color="auto" w:fill="CCEEFF"/>
          </w:tcPr>
          <w:p>
            <w:pPr>
              <w:ind w:left="40"/>
              <w:spacing w:after="0"/>
              <w:rPr>
                <w:sz w:val="20"/>
                <w:szCs w:val="20"/>
                <w:color w:val="auto"/>
              </w:rPr>
            </w:pPr>
            <w:r>
              <w:rPr>
                <w:rFonts w:ascii="Arial" w:cs="Arial" w:eastAsia="Arial" w:hAnsi="Arial"/>
                <w:sz w:val="14"/>
                <w:szCs w:val="14"/>
                <w:color w:val="auto"/>
              </w:rPr>
              <w:t>Less: Equity in earnings / (losses) of unconsolidated entities</w:t>
            </w:r>
          </w:p>
        </w:tc>
        <w:tc>
          <w:tcPr>
            <w:tcW w:w="200" w:type="dxa"/>
            <w:vAlign w:val="bottom"/>
            <w:shd w:val="clear" w:color="auto" w:fill="CCEEFF"/>
          </w:tcPr>
          <w:p>
            <w:pPr>
              <w:spacing w:after="0"/>
              <w:rPr>
                <w:sz w:val="23"/>
                <w:szCs w:val="23"/>
                <w:color w:val="auto"/>
              </w:rPr>
            </w:pPr>
          </w:p>
        </w:tc>
        <w:tc>
          <w:tcPr>
            <w:tcW w:w="720" w:type="dxa"/>
            <w:vAlign w:val="bottom"/>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(359)</w:t>
            </w: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7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1,161</w:t>
            </w: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7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(1,520)</w:t>
            </w: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68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316</w:t>
            </w: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7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1,335</w:t>
            </w: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(1,019)</w:t>
            </w:r>
          </w:p>
        </w:tc>
        <w:tc>
          <w:tcPr>
            <w:tcW w:w="0" w:type="dxa"/>
            <w:vAlign w:val="bottom"/>
          </w:tcPr>
          <w:p>
            <w:pPr>
              <w:spacing w:after="0"/>
              <w:rPr>
                <w:sz w:val="1"/>
                <w:szCs w:val="1"/>
                <w:color w:val="auto"/>
              </w:rPr>
            </w:pPr>
          </w:p>
        </w:tc>
      </w:tr>
      <w:tr>
        <w:trPr>
          <w:trHeight w:val="269"/>
        </w:trPr>
        <w:tc>
          <w:tcPr>
            <w:tcW w:w="5300" w:type="dxa"/>
            <w:vAlign w:val="bottom"/>
          </w:tcPr>
          <w:p>
            <w:pPr>
              <w:ind w:left="40"/>
              <w:spacing w:after="0"/>
              <w:rPr>
                <w:sz w:val="20"/>
                <w:szCs w:val="20"/>
                <w:color w:val="auto"/>
              </w:rPr>
            </w:pPr>
            <w:r>
              <w:rPr>
                <w:rFonts w:ascii="Arial" w:cs="Arial" w:eastAsia="Arial" w:hAnsi="Arial"/>
                <w:sz w:val="14"/>
                <w:szCs w:val="14"/>
                <w:color w:val="auto"/>
              </w:rPr>
              <w:t>Less: Non-controlling share of Adjusted EBITDA</w:t>
            </w:r>
          </w:p>
        </w:tc>
        <w:tc>
          <w:tcPr>
            <w:tcW w:w="200" w:type="dxa"/>
            <w:vAlign w:val="bottom"/>
          </w:tcPr>
          <w:p>
            <w:pPr>
              <w:spacing w:after="0"/>
              <w:rPr>
                <w:sz w:val="23"/>
                <w:szCs w:val="23"/>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rPr>
              <w:t>—</w:t>
            </w:r>
          </w:p>
        </w:tc>
        <w:tc>
          <w:tcPr>
            <w:tcW w:w="200" w:type="dxa"/>
            <w:vAlign w:val="bottom"/>
          </w:tcPr>
          <w:p>
            <w:pPr>
              <w:spacing w:after="0"/>
              <w:rPr>
                <w:sz w:val="23"/>
                <w:szCs w:val="23"/>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3"/>
                <w:szCs w:val="23"/>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3"/>
                <w:szCs w:val="23"/>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rPr>
              <w:t>—</w:t>
            </w:r>
          </w:p>
        </w:tc>
        <w:tc>
          <w:tcPr>
            <w:tcW w:w="180" w:type="dxa"/>
            <w:vAlign w:val="bottom"/>
          </w:tcPr>
          <w:p>
            <w:pPr>
              <w:spacing w:after="0"/>
              <w:rPr>
                <w:sz w:val="23"/>
                <w:szCs w:val="23"/>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3"/>
                <w:szCs w:val="23"/>
                <w:color w:val="auto"/>
              </w:rPr>
            </w:pPr>
          </w:p>
        </w:tc>
        <w:tc>
          <w:tcPr>
            <w:tcW w:w="74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38"/>
        </w:trPr>
        <w:tc>
          <w:tcPr>
            <w:tcW w:w="530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4"/>
                <w:szCs w:val="14"/>
                <w:b w:val="1"/>
                <w:bCs w:val="1"/>
                <w:color w:val="auto"/>
              </w:rPr>
              <w:t>Adjusted EBITDA (non-GAAP)</w:t>
            </w:r>
          </w:p>
        </w:tc>
        <w:tc>
          <w:tcPr>
            <w:tcW w:w="20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w:t>
            </w:r>
          </w:p>
        </w:tc>
        <w:tc>
          <w:tcPr>
            <w:tcW w:w="72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526</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72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(263)</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6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789</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w:t>
            </w:r>
          </w:p>
        </w:tc>
        <w:tc>
          <w:tcPr>
            <w:tcW w:w="68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1,003</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70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3,322</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(2,319)</w:t>
            </w:r>
          </w:p>
        </w:tc>
        <w:tc>
          <w:tcPr>
            <w:tcW w:w="0" w:type="dxa"/>
            <w:vAlign w:val="bottom"/>
          </w:tcPr>
          <w:p>
            <w:pPr>
              <w:spacing w:after="0"/>
              <w:rPr>
                <w:sz w:val="1"/>
                <w:szCs w:val="1"/>
                <w:color w:val="auto"/>
              </w:rPr>
            </w:pPr>
          </w:p>
        </w:tc>
      </w:tr>
      <w:tr>
        <w:trPr>
          <w:trHeight w:val="20"/>
        </w:trPr>
        <w:tc>
          <w:tcPr>
            <w:tcW w:w="5300" w:type="dxa"/>
            <w:vAlign w:val="bottom"/>
            <w:vMerge w:val="restart"/>
          </w:tcPr>
          <w:p>
            <w:pPr>
              <w:spacing w:after="0"/>
              <w:rPr>
                <w:sz w:val="20"/>
                <w:szCs w:val="20"/>
                <w:color w:val="auto"/>
              </w:rPr>
            </w:pPr>
            <w:r>
              <w:rPr>
                <w:rFonts w:ascii="Arial" w:cs="Arial" w:eastAsia="Arial" w:hAnsi="Arial"/>
                <w:sz w:val="16"/>
                <w:szCs w:val="16"/>
                <w:color w:val="auto"/>
              </w:rPr>
              <w:t>_______________________________________________________</w:t>
            </w: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5300" w:type="dxa"/>
            <w:vAlign w:val="bottom"/>
            <w:vMerge w:val="continue"/>
          </w:tcPr>
          <w:p>
            <w:pPr>
              <w:spacing w:after="0"/>
              <w:rPr>
                <w:sz w:val="16"/>
                <w:szCs w:val="16"/>
                <w:color w:val="auto"/>
              </w:rPr>
            </w:pPr>
          </w:p>
        </w:tc>
        <w:tc>
          <w:tcPr>
            <w:tcW w:w="2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151" w:lineRule="exact"/>
        <w:rPr>
          <w:sz w:val="20"/>
          <w:szCs w:val="20"/>
          <w:color w:val="auto"/>
        </w:rPr>
      </w:pPr>
    </w:p>
    <w:p>
      <w:pPr>
        <w:ind w:left="500" w:hanging="492"/>
        <w:spacing w:after="0" w:line="236" w:lineRule="auto"/>
        <w:tabs>
          <w:tab w:leader="none" w:pos="170" w:val="left"/>
        </w:tabs>
        <w:numPr>
          <w:ilvl w:val="0"/>
          <w:numId w:val="20"/>
        </w:numPr>
        <w:rPr>
          <w:rFonts w:ascii="Arial" w:cs="Arial" w:eastAsia="Arial" w:hAnsi="Arial"/>
          <w:sz w:val="18"/>
          <w:szCs w:val="18"/>
          <w:color w:val="auto"/>
          <w:vertAlign w:val="superscript"/>
        </w:rPr>
      </w:pPr>
      <w:r>
        <w:rPr>
          <w:rFonts w:ascii="Arial" w:cs="Arial" w:eastAsia="Arial" w:hAnsi="Arial"/>
          <w:sz w:val="14"/>
          <w:szCs w:val="14"/>
          <w:color w:val="auto"/>
        </w:rPr>
        <w:t>The Company’s pro-rata share of Adjusted EBITDA from unconsolidated entities includes the following items for the three months ended September 30, 2017 and 2016: (i) net income (loss) of $313 and $(1,208), (ii) interest expense of $176 and $270, and (iii) depreciation and amortization expense of $20 and $651, respectively. The Company’s pro-rata share of Adjusted EBITDA from unconsolidated entities includes the following items for the nine months ended September 30, 2017 and 2016: net loss of $454 and $1,475, offset by interest expense of $650 and $931, and depreciation and amortization expense of $740 and $2,417, respectively.</w:t>
      </w:r>
    </w:p>
    <w:p>
      <w:pPr>
        <w:spacing w:after="0" w:line="12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00497F"/>
        </w:rPr>
        <w:t>Revenues</w:t>
      </w:r>
    </w:p>
    <w:p>
      <w:pPr>
        <w:spacing w:after="0" w:line="167" w:lineRule="exact"/>
        <w:rPr>
          <w:sz w:val="20"/>
          <w:szCs w:val="20"/>
          <w:color w:val="auto"/>
        </w:rPr>
      </w:pPr>
    </w:p>
    <w:p>
      <w:pPr>
        <w:jc w:val="both"/>
        <w:spacing w:after="0" w:line="269" w:lineRule="auto"/>
        <w:rPr>
          <w:sz w:val="20"/>
          <w:szCs w:val="20"/>
          <w:color w:val="auto"/>
        </w:rPr>
      </w:pPr>
      <w:r>
        <w:rPr>
          <w:rFonts w:ascii="Arial" w:cs="Arial" w:eastAsia="Arial" w:hAnsi="Arial"/>
          <w:sz w:val="16"/>
          <w:szCs w:val="16"/>
          <w:color w:val="auto"/>
        </w:rPr>
        <w:t>Total revenues in the Shipping Containers segment were flat and decreased $1,112 in the three and nine months ended September 30, 2017 as compared to the three and nine months ended September 30, 2016, respectively. The decrease for the nine months ended September 30, 2017 compared to September 30, 2016 is primarily driven by the sale of 42,000 shipping containers that were subject to direct finance leases during the first quarter of 2016.</w:t>
      </w:r>
    </w:p>
    <w:p>
      <w:pPr>
        <w:spacing w:after="0" w:line="11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00497F"/>
        </w:rPr>
        <w:t>Expenses</w:t>
      </w:r>
    </w:p>
    <w:p>
      <w:pPr>
        <w:spacing w:after="0" w:line="167" w:lineRule="exact"/>
        <w:rPr>
          <w:sz w:val="20"/>
          <w:szCs w:val="20"/>
          <w:color w:val="auto"/>
        </w:rPr>
      </w:pPr>
    </w:p>
    <w:p>
      <w:pPr>
        <w:jc w:val="both"/>
        <w:spacing w:after="0" w:line="257" w:lineRule="auto"/>
        <w:rPr>
          <w:sz w:val="20"/>
          <w:szCs w:val="20"/>
          <w:color w:val="auto"/>
        </w:rPr>
      </w:pPr>
      <w:r>
        <w:rPr>
          <w:rFonts w:ascii="Arial" w:cs="Arial" w:eastAsia="Arial" w:hAnsi="Arial"/>
          <w:sz w:val="16"/>
          <w:szCs w:val="16"/>
          <w:color w:val="auto"/>
        </w:rPr>
        <w:t>Total expenses in the Shipping Containers segment increased $7 and decreased $445, in the three and nine months ended September 30, 2017 as compared to the three and nine months ended September 30, 2016, respectively. The decrease in the nine months ended September 30, 2017, primarily reflects lower interest expense of $410 due to lower principal balances on the term loans along with the termination of the term loan in conjunction with the sale of the shipping containers during the first quarter of 2016. Additionally, the sale of the 42,000 shipping containers resulted in a decrease in operating expense of $35 in the nine months ended September 30, 2017 compared to the nine months ended September 30, 2016.</w:t>
      </w:r>
    </w:p>
    <w:p>
      <w:pPr>
        <w:spacing w:after="0" w:line="12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00497F"/>
        </w:rPr>
        <w:t>Other (Expense) Income</w:t>
      </w:r>
    </w:p>
    <w:p>
      <w:pPr>
        <w:spacing w:after="0" w:line="167" w:lineRule="exact"/>
        <w:rPr>
          <w:sz w:val="20"/>
          <w:szCs w:val="20"/>
          <w:color w:val="auto"/>
        </w:rPr>
      </w:pPr>
    </w:p>
    <w:p>
      <w:pPr>
        <w:jc w:val="both"/>
        <w:spacing w:after="0" w:line="261" w:lineRule="auto"/>
        <w:rPr>
          <w:sz w:val="20"/>
          <w:szCs w:val="20"/>
          <w:color w:val="auto"/>
        </w:rPr>
      </w:pPr>
      <w:r>
        <w:rPr>
          <w:rFonts w:ascii="Arial" w:cs="Arial" w:eastAsia="Arial" w:hAnsi="Arial"/>
          <w:sz w:val="16"/>
          <w:szCs w:val="16"/>
          <w:color w:val="auto"/>
        </w:rPr>
        <w:t>Total other income in the Shipping Containers segment increased $1,520 and $717 in the three and nine months ended September 30, 2017 as compared to the three and nine months ended September 30, 2016, respectively. This was primarily driven by income earned from our shipping container joint venture. Also contributing to the decrease in the nine months ended September 30, 2017 period was the gain on sale of direct finance leases of $304 from the sale of 42,000 shipping containers during the first quarter of 2016.</w:t>
      </w:r>
    </w:p>
    <w:p>
      <w:pPr>
        <w:spacing w:after="0" w:line="11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00497F"/>
        </w:rPr>
        <w:t>Adjusted Net (Loss) Income</w:t>
      </w:r>
    </w:p>
    <w:p>
      <w:pPr>
        <w:spacing w:after="0" w:line="167"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Adjusted Net Income increased $1,513 in the three months ended September 30, 2017 as compared to the three months ended September 30, 2016, primarily due to the changes noted above.</w:t>
      </w:r>
    </w:p>
    <w:p>
      <w:pPr>
        <w:spacing w:after="0" w:line="94" w:lineRule="exact"/>
        <w:rPr>
          <w:sz w:val="20"/>
          <w:szCs w:val="20"/>
          <w:color w:val="auto"/>
        </w:rPr>
      </w:pPr>
    </w:p>
    <w:p>
      <w:pPr>
        <w:jc w:val="both"/>
        <w:spacing w:after="0" w:line="269" w:lineRule="auto"/>
        <w:rPr>
          <w:sz w:val="20"/>
          <w:szCs w:val="20"/>
          <w:color w:val="auto"/>
        </w:rPr>
      </w:pPr>
      <w:r>
        <w:rPr>
          <w:rFonts w:ascii="Arial" w:cs="Arial" w:eastAsia="Arial" w:hAnsi="Arial"/>
          <w:sz w:val="16"/>
          <w:szCs w:val="16"/>
          <w:color w:val="auto"/>
        </w:rPr>
        <w:t>Adjusted Net Loss decreased $18 in the nine months ended September 30, 2017 as compared to the nine months ended September 30, 2016, reflecting the changes noted above coupled with a decrease in the pro-rata share of Adjusted Net Loss from unconsolidated entities. These changes were mostly offset by the change in equity of losses of unconsolidated entities.</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57</w:t>
      </w:r>
    </w:p>
    <w:p>
      <w:pPr>
        <w:sectPr>
          <w:pgSz w:w="11900" w:h="16838" w:orient="portrait"/>
          <w:cols w:equalWidth="0" w:num="1">
            <w:col w:w="11420"/>
          </w:cols>
          <w:pgMar w:left="240" w:top="540" w:right="239" w:bottom="1440" w:gutter="0" w:footer="0" w:header="0"/>
        </w:sectPr>
      </w:pPr>
    </w:p>
    <w:bookmarkStart w:id="57" w:name="page58"/>
    <w:bookmarkEnd w:id="57"/>
    <w:p>
      <w:pPr>
        <w:spacing w:after="0"/>
        <w:rPr>
          <w:sz w:val="20"/>
          <w:szCs w:val="20"/>
          <w:color w:val="auto"/>
        </w:rPr>
      </w:pPr>
      <w:r>
        <w:rPr>
          <w:rFonts w:ascii="Arial" w:cs="Arial" w:eastAsia="Arial" w:hAnsi="Arial"/>
          <w:sz w:val="16"/>
          <w:szCs w:val="16"/>
          <w:b w:val="1"/>
          <w:bCs w:val="1"/>
          <w:i w:val="1"/>
          <w:iCs w:val="1"/>
          <w:color w:val="00497F"/>
        </w:rPr>
        <w:t>Adjusted EBITDA (Non-GAAP)</w:t>
      </w:r>
    </w:p>
    <w:p>
      <w:pPr>
        <w:spacing w:after="0" w:line="167" w:lineRule="exact"/>
        <w:rPr>
          <w:sz w:val="20"/>
          <w:szCs w:val="20"/>
          <w:color w:val="auto"/>
        </w:rPr>
      </w:pPr>
    </w:p>
    <w:p>
      <w:pPr>
        <w:jc w:val="both"/>
        <w:spacing w:after="0" w:line="255" w:lineRule="auto"/>
        <w:rPr>
          <w:sz w:val="20"/>
          <w:szCs w:val="20"/>
          <w:color w:val="auto"/>
        </w:rPr>
      </w:pPr>
      <w:r>
        <w:rPr>
          <w:rFonts w:ascii="Arial" w:cs="Arial" w:eastAsia="Arial" w:hAnsi="Arial"/>
          <w:sz w:val="16"/>
          <w:szCs w:val="16"/>
          <w:color w:val="auto"/>
        </w:rPr>
        <w:t>Adjusted EBITDA was $526 and $1,003 in the three and nine months ended September 30, 2017, respectively, an increase of $789 and decrease of $2,319 as compared to the three and nine months ended September 30, 2016, respectively. The increase in the three months ended September 30, 2017 primarily reflects a higher net income partially offset by the change in equity in unconsolidated entities. The decrease in the nine months ended September 30, 2017 primarily reflects the change in equity in unconsolidated entities coupled with a lower pro-rata share of Adjusted EBITDA from unconsolidated entities. Also contributing to the decrease was finance lease income in the nine months ended September 30, 2016 driven by the sale of 42,000 shipping containers during the first quarter of 2016.</w:t>
      </w: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58</w:t>
      </w:r>
    </w:p>
    <w:p>
      <w:pPr>
        <w:sectPr>
          <w:pgSz w:w="11900" w:h="16838" w:orient="portrait"/>
          <w:cols w:equalWidth="0" w:num="1">
            <w:col w:w="11420"/>
          </w:cols>
          <w:pgMar w:left="240" w:top="527" w:right="239" w:bottom="1440" w:gutter="0" w:footer="0" w:header="0"/>
        </w:sectPr>
      </w:pPr>
    </w:p>
    <w:bookmarkStart w:id="58" w:name="page59"/>
    <w:bookmarkEnd w:id="58"/>
    <w:p>
      <w:pPr>
        <w:spacing w:after="0"/>
        <w:rPr>
          <w:sz w:val="20"/>
          <w:szCs w:val="20"/>
          <w:color w:val="auto"/>
        </w:rPr>
      </w:pPr>
      <w:r>
        <w:rPr>
          <w:rFonts w:ascii="Arial" w:cs="Arial" w:eastAsia="Arial" w:hAnsi="Arial"/>
          <w:sz w:val="16"/>
          <w:szCs w:val="16"/>
          <w:b w:val="1"/>
          <w:bCs w:val="1"/>
          <w:color w:val="00497F"/>
        </w:rPr>
        <w:t>Jefferson Terminal Segment</w:t>
      </w:r>
    </w:p>
    <w:p>
      <w:pPr>
        <w:spacing w:after="0" w:line="169"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The following table presents our results of operations and reconciliation of net loss attributable to shareholders to Adjusted Net Loss for the Jefferson Terminal segment for the three and nine months ended September 30, 2017 and September 30, 2016:</w:t>
      </w: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3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900" w:type="dxa"/>
            <w:vAlign w:val="bottom"/>
            <w:gridSpan w:val="5"/>
          </w:tcPr>
          <w:p>
            <w:pPr>
              <w:jc w:val="center"/>
              <w:ind w:right="280"/>
              <w:spacing w:after="0"/>
              <w:rPr>
                <w:sz w:val="20"/>
                <w:szCs w:val="20"/>
                <w:color w:val="auto"/>
              </w:rPr>
            </w:pPr>
            <w:r>
              <w:rPr>
                <w:rFonts w:ascii="Arial" w:cs="Arial" w:eastAsia="Arial" w:hAnsi="Arial"/>
                <w:sz w:val="14"/>
                <w:szCs w:val="14"/>
                <w:b w:val="1"/>
                <w:bCs w:val="1"/>
                <w:color w:val="auto"/>
              </w:rPr>
              <w:t>Three Months Ended</w:t>
            </w:r>
          </w:p>
        </w:tc>
        <w:tc>
          <w:tcPr>
            <w:tcW w:w="1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00" w:type="dxa"/>
            <w:vAlign w:val="bottom"/>
            <w:gridSpan w:val="5"/>
          </w:tcPr>
          <w:p>
            <w:pPr>
              <w:ind w:left="100"/>
              <w:spacing w:after="0"/>
              <w:rPr>
                <w:sz w:val="20"/>
                <w:szCs w:val="20"/>
                <w:color w:val="auto"/>
              </w:rPr>
            </w:pPr>
            <w:r>
              <w:rPr>
                <w:rFonts w:ascii="Arial" w:cs="Arial" w:eastAsia="Arial" w:hAnsi="Arial"/>
                <w:sz w:val="14"/>
                <w:szCs w:val="14"/>
                <w:b w:val="1"/>
                <w:bCs w:val="1"/>
                <w:color w:val="auto"/>
              </w:rPr>
              <w:t>Nine Months Ended</w:t>
            </w:r>
          </w:p>
        </w:tc>
        <w:tc>
          <w:tcPr>
            <w:tcW w:w="1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2"/>
        </w:trPr>
        <w:tc>
          <w:tcPr>
            <w:tcW w:w="53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900" w:type="dxa"/>
            <w:vAlign w:val="bottom"/>
            <w:gridSpan w:val="5"/>
          </w:tcPr>
          <w:p>
            <w:pPr>
              <w:jc w:val="center"/>
              <w:ind w:right="280"/>
              <w:spacing w:after="0"/>
              <w:rPr>
                <w:sz w:val="20"/>
                <w:szCs w:val="20"/>
                <w:color w:val="auto"/>
              </w:rPr>
            </w:pPr>
            <w:r>
              <w:rPr>
                <w:rFonts w:ascii="Arial" w:cs="Arial" w:eastAsia="Arial" w:hAnsi="Arial"/>
                <w:sz w:val="14"/>
                <w:szCs w:val="14"/>
                <w:b w:val="1"/>
                <w:bCs w:val="1"/>
                <w:color w:val="auto"/>
              </w:rPr>
              <w:t>September 30,</w:t>
            </w: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0" w:type="dxa"/>
            <w:vAlign w:val="bottom"/>
            <w:gridSpan w:val="5"/>
          </w:tcPr>
          <w:p>
            <w:pPr>
              <w:ind w:left="280"/>
              <w:spacing w:after="0"/>
              <w:rPr>
                <w:sz w:val="20"/>
                <w:szCs w:val="20"/>
                <w:color w:val="auto"/>
              </w:rPr>
            </w:pPr>
            <w:r>
              <w:rPr>
                <w:rFonts w:ascii="Arial" w:cs="Arial" w:eastAsia="Arial" w:hAnsi="Arial"/>
                <w:sz w:val="14"/>
                <w:szCs w:val="14"/>
                <w:b w:val="1"/>
                <w:bCs w:val="1"/>
                <w:color w:val="auto"/>
              </w:rPr>
              <w:t>September 30,</w:t>
            </w: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64"/>
        </w:trPr>
        <w:tc>
          <w:tcPr>
            <w:tcW w:w="5380" w:type="dxa"/>
            <w:vAlign w:val="bottom"/>
          </w:tcPr>
          <w:p>
            <w:pPr>
              <w:ind w:left="40"/>
              <w:spacing w:after="0"/>
              <w:rPr>
                <w:sz w:val="20"/>
                <w:szCs w:val="20"/>
                <w:color w:val="auto"/>
              </w:rPr>
            </w:pPr>
            <w:r>
              <w:rPr>
                <w:rFonts w:ascii="Arial" w:cs="Arial" w:eastAsia="Arial" w:hAnsi="Arial"/>
                <w:sz w:val="14"/>
                <w:szCs w:val="14"/>
                <w:i w:val="1"/>
                <w:iCs w:val="1"/>
                <w:color w:val="auto"/>
              </w:rPr>
              <w:t>(Dollar amounts in thousands)</w:t>
            </w:r>
          </w:p>
        </w:tc>
        <w:tc>
          <w:tcPr>
            <w:tcW w:w="200" w:type="dxa"/>
            <w:vAlign w:val="bottom"/>
            <w:tcBorders>
              <w:top w:val="single" w:sz="8" w:color="auto"/>
              <w:bottom w:val="single" w:sz="8" w:color="auto"/>
            </w:tcBorders>
          </w:tcPr>
          <w:p>
            <w:pPr>
              <w:spacing w:after="0"/>
              <w:rPr>
                <w:sz w:val="22"/>
                <w:szCs w:val="22"/>
                <w:color w:val="auto"/>
              </w:rPr>
            </w:pPr>
          </w:p>
        </w:tc>
        <w:tc>
          <w:tcPr>
            <w:tcW w:w="740" w:type="dxa"/>
            <w:vAlign w:val="bottom"/>
            <w:tcBorders>
              <w:top w:val="single" w:sz="8" w:color="auto"/>
              <w:bottom w:val="single" w:sz="8" w:color="auto"/>
            </w:tcBorders>
          </w:tcPr>
          <w:p>
            <w:pPr>
              <w:jc w:val="right"/>
              <w:ind w:right="248"/>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top w:val="single" w:sz="8" w:color="auto"/>
              <w:bottom w:val="single" w:sz="8" w:color="auto"/>
            </w:tcBorders>
          </w:tcPr>
          <w:p>
            <w:pPr>
              <w:spacing w:after="0"/>
              <w:rPr>
                <w:sz w:val="22"/>
                <w:szCs w:val="22"/>
                <w:color w:val="auto"/>
              </w:rPr>
            </w:pPr>
          </w:p>
        </w:tc>
        <w:tc>
          <w:tcPr>
            <w:tcW w:w="200" w:type="dxa"/>
            <w:vAlign w:val="bottom"/>
            <w:tcBorders>
              <w:top w:val="single" w:sz="8" w:color="auto"/>
              <w:bottom w:val="single" w:sz="8" w:color="auto"/>
            </w:tcBorders>
          </w:tcPr>
          <w:p>
            <w:pPr>
              <w:spacing w:after="0"/>
              <w:rPr>
                <w:sz w:val="22"/>
                <w:szCs w:val="22"/>
                <w:color w:val="auto"/>
              </w:rPr>
            </w:pPr>
          </w:p>
        </w:tc>
        <w:tc>
          <w:tcPr>
            <w:tcW w:w="720" w:type="dxa"/>
            <w:vAlign w:val="bottom"/>
            <w:tcBorders>
              <w:top w:val="single" w:sz="8" w:color="auto"/>
              <w:bottom w:val="single" w:sz="8" w:color="auto"/>
            </w:tcBorders>
          </w:tcPr>
          <w:p>
            <w:pPr>
              <w:jc w:val="right"/>
              <w:ind w:right="228"/>
              <w:spacing w:after="0"/>
              <w:rPr>
                <w:sz w:val="20"/>
                <w:szCs w:val="20"/>
                <w:color w:val="auto"/>
              </w:rPr>
            </w:pPr>
            <w:r>
              <w:rPr>
                <w:rFonts w:ascii="Arial" w:cs="Arial" w:eastAsia="Arial" w:hAnsi="Arial"/>
                <w:sz w:val="14"/>
                <w:szCs w:val="14"/>
                <w:b w:val="1"/>
                <w:bCs w:val="1"/>
                <w:color w:val="auto"/>
              </w:rPr>
              <w:t>2016</w:t>
            </w:r>
          </w:p>
        </w:tc>
        <w:tc>
          <w:tcPr>
            <w:tcW w:w="120" w:type="dxa"/>
            <w:vAlign w:val="bottom"/>
            <w:tcBorders>
              <w:bottom w:val="single" w:sz="8" w:color="auto"/>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gridSpan w:val="2"/>
          </w:tcPr>
          <w:p>
            <w:pPr>
              <w:ind w:left="60"/>
              <w:spacing w:after="0"/>
              <w:rPr>
                <w:sz w:val="20"/>
                <w:szCs w:val="20"/>
                <w:color w:val="auto"/>
              </w:rPr>
            </w:pPr>
            <w:r>
              <w:rPr>
                <w:rFonts w:ascii="Arial" w:cs="Arial" w:eastAsia="Arial" w:hAnsi="Arial"/>
                <w:sz w:val="14"/>
                <w:szCs w:val="14"/>
                <w:b w:val="1"/>
                <w:bCs w:val="1"/>
                <w:color w:val="auto"/>
              </w:rPr>
              <w:t>Change</w:t>
            </w:r>
          </w:p>
        </w:tc>
        <w:tc>
          <w:tcPr>
            <w:tcW w:w="200" w:type="dxa"/>
            <w:vAlign w:val="bottom"/>
            <w:tcBorders>
              <w:top w:val="single" w:sz="8" w:color="auto"/>
              <w:bottom w:val="single" w:sz="8" w:color="auto"/>
            </w:tcBorders>
          </w:tcPr>
          <w:p>
            <w:pPr>
              <w:spacing w:after="0"/>
              <w:rPr>
                <w:sz w:val="22"/>
                <w:szCs w:val="22"/>
                <w:color w:val="auto"/>
              </w:rPr>
            </w:pPr>
          </w:p>
        </w:tc>
        <w:tc>
          <w:tcPr>
            <w:tcW w:w="700" w:type="dxa"/>
            <w:vAlign w:val="bottom"/>
            <w:tcBorders>
              <w:top w:val="single" w:sz="8" w:color="auto"/>
              <w:bottom w:val="single" w:sz="8" w:color="auto"/>
            </w:tcBorders>
          </w:tcPr>
          <w:p>
            <w:pPr>
              <w:ind w:left="100"/>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top w:val="single" w:sz="8" w:color="auto"/>
              <w:bottom w:val="single" w:sz="8" w:color="auto"/>
            </w:tcBorders>
          </w:tcPr>
          <w:p>
            <w:pPr>
              <w:spacing w:after="0"/>
              <w:rPr>
                <w:sz w:val="22"/>
                <w:szCs w:val="22"/>
                <w:color w:val="auto"/>
              </w:rPr>
            </w:pPr>
          </w:p>
        </w:tc>
        <w:tc>
          <w:tcPr>
            <w:tcW w:w="200" w:type="dxa"/>
            <w:vAlign w:val="bottom"/>
            <w:tcBorders>
              <w:top w:val="single" w:sz="8" w:color="auto"/>
              <w:bottom w:val="single" w:sz="8" w:color="auto"/>
            </w:tcBorders>
          </w:tcPr>
          <w:p>
            <w:pPr>
              <w:spacing w:after="0"/>
              <w:rPr>
                <w:sz w:val="22"/>
                <w:szCs w:val="22"/>
                <w:color w:val="auto"/>
              </w:rPr>
            </w:pPr>
          </w:p>
        </w:tc>
        <w:tc>
          <w:tcPr>
            <w:tcW w:w="700" w:type="dxa"/>
            <w:vAlign w:val="bottom"/>
            <w:tcBorders>
              <w:top w:val="single" w:sz="8" w:color="auto"/>
              <w:bottom w:val="single" w:sz="8" w:color="auto"/>
            </w:tcBorders>
          </w:tcPr>
          <w:p>
            <w:pPr>
              <w:jc w:val="right"/>
              <w:ind w:right="208"/>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auto"/>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265"/>
        </w:trPr>
        <w:tc>
          <w:tcPr>
            <w:tcW w:w="5380" w:type="dxa"/>
            <w:vAlign w:val="bottom"/>
          </w:tcPr>
          <w:p>
            <w:pPr>
              <w:ind w:left="40"/>
              <w:spacing w:after="0"/>
              <w:rPr>
                <w:sz w:val="20"/>
                <w:szCs w:val="20"/>
                <w:color w:val="auto"/>
              </w:rPr>
            </w:pPr>
            <w:r>
              <w:rPr>
                <w:rFonts w:ascii="Arial" w:cs="Arial" w:eastAsia="Arial" w:hAnsi="Arial"/>
                <w:sz w:val="14"/>
                <w:szCs w:val="14"/>
                <w:b w:val="1"/>
                <w:bCs w:val="1"/>
                <w:color w:val="auto"/>
              </w:rPr>
              <w:t>Revenues</w:t>
            </w:r>
          </w:p>
        </w:tc>
        <w:tc>
          <w:tcPr>
            <w:tcW w:w="2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1"/>
        </w:trPr>
        <w:tc>
          <w:tcPr>
            <w:tcW w:w="538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Infrastructure revenues</w:t>
            </w:r>
          </w:p>
        </w:tc>
        <w:tc>
          <w:tcPr>
            <w:tcW w:w="200" w:type="dxa"/>
            <w:vAlign w:val="bottom"/>
            <w:shd w:val="clear" w:color="auto" w:fill="CCEEFF"/>
          </w:tcPr>
          <w:p>
            <w:pPr>
              <w:spacing w:after="0"/>
              <w:rPr>
                <w:sz w:val="23"/>
                <w:szCs w:val="23"/>
                <w:color w:val="auto"/>
              </w:rPr>
            </w:pPr>
          </w:p>
        </w:tc>
        <w:tc>
          <w:tcPr>
            <w:tcW w:w="7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7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7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7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7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74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9"/>
        </w:trPr>
        <w:tc>
          <w:tcPr>
            <w:tcW w:w="5380" w:type="dxa"/>
            <w:vAlign w:val="bottom"/>
            <w:tcBorders>
              <w:bottom w:val="single" w:sz="8" w:color="CCEEFF"/>
            </w:tcBorders>
          </w:tcPr>
          <w:p>
            <w:pPr>
              <w:ind w:left="80"/>
              <w:spacing w:after="0"/>
              <w:rPr>
                <w:sz w:val="20"/>
                <w:szCs w:val="20"/>
                <w:color w:val="auto"/>
              </w:rPr>
            </w:pPr>
            <w:r>
              <w:rPr>
                <w:rFonts w:ascii="Arial" w:cs="Arial" w:eastAsia="Arial" w:hAnsi="Arial"/>
                <w:sz w:val="14"/>
                <w:szCs w:val="14"/>
                <w:color w:val="auto"/>
              </w:rPr>
              <w:t>Terminal services revenues</w:t>
            </w:r>
          </w:p>
        </w:tc>
        <w:tc>
          <w:tcPr>
            <w:tcW w:w="2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w:t>
            </w:r>
          </w:p>
        </w:tc>
        <w:tc>
          <w:tcPr>
            <w:tcW w:w="7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1,730</w:t>
            </w:r>
          </w:p>
        </w:tc>
        <w:tc>
          <w:tcPr>
            <w:tcW w:w="120" w:type="dxa"/>
            <w:vAlign w:val="bottom"/>
            <w:tcBorders>
              <w:bottom w:val="single" w:sz="8" w:color="CCEEFF"/>
            </w:tcBorders>
          </w:tcPr>
          <w:p>
            <w:pPr>
              <w:spacing w:after="0"/>
              <w:rPr>
                <w:sz w:val="23"/>
                <w:szCs w:val="23"/>
                <w:color w:val="auto"/>
              </w:rPr>
            </w:pPr>
          </w:p>
        </w:tc>
        <w:tc>
          <w:tcPr>
            <w:tcW w:w="2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4,255</w:t>
            </w:r>
          </w:p>
        </w:tc>
        <w:tc>
          <w:tcPr>
            <w:tcW w:w="120" w:type="dxa"/>
            <w:vAlign w:val="bottom"/>
            <w:tcBorders>
              <w:bottom w:val="single" w:sz="8" w:color="CCEEFF"/>
            </w:tcBorders>
          </w:tcPr>
          <w:p>
            <w:pPr>
              <w:spacing w:after="0"/>
              <w:rPr>
                <w:sz w:val="23"/>
                <w:szCs w:val="23"/>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(2,525)</w:t>
            </w:r>
          </w:p>
        </w:tc>
        <w:tc>
          <w:tcPr>
            <w:tcW w:w="100" w:type="dxa"/>
            <w:vAlign w:val="bottom"/>
            <w:tcBorders>
              <w:bottom w:val="single" w:sz="8" w:color="CCEEFF"/>
            </w:tcBorders>
          </w:tcPr>
          <w:p>
            <w:pPr>
              <w:spacing w:after="0"/>
              <w:rPr>
                <w:sz w:val="23"/>
                <w:szCs w:val="23"/>
                <w:color w:val="auto"/>
              </w:rPr>
            </w:pPr>
          </w:p>
        </w:tc>
        <w:tc>
          <w:tcPr>
            <w:tcW w:w="2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w:t>
            </w:r>
          </w:p>
        </w:tc>
        <w:tc>
          <w:tcPr>
            <w:tcW w:w="7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9,622</w:t>
            </w:r>
          </w:p>
        </w:tc>
        <w:tc>
          <w:tcPr>
            <w:tcW w:w="100" w:type="dxa"/>
            <w:vAlign w:val="bottom"/>
            <w:tcBorders>
              <w:bottom w:val="single" w:sz="8" w:color="CCEEFF"/>
            </w:tcBorders>
          </w:tcPr>
          <w:p>
            <w:pPr>
              <w:spacing w:after="0"/>
              <w:rPr>
                <w:sz w:val="23"/>
                <w:szCs w:val="23"/>
                <w:color w:val="auto"/>
              </w:rPr>
            </w:pPr>
          </w:p>
        </w:tc>
        <w:tc>
          <w:tcPr>
            <w:tcW w:w="2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11,271</w:t>
            </w:r>
          </w:p>
        </w:tc>
        <w:tc>
          <w:tcPr>
            <w:tcW w:w="100" w:type="dxa"/>
            <w:vAlign w:val="bottom"/>
            <w:tcBorders>
              <w:bottom w:val="single" w:sz="8" w:color="CCEEFF"/>
            </w:tcBorders>
          </w:tcPr>
          <w:p>
            <w:pPr>
              <w:spacing w:after="0"/>
              <w:rPr>
                <w:sz w:val="23"/>
                <w:szCs w:val="23"/>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(1,649)</w:t>
            </w:r>
          </w:p>
        </w:tc>
        <w:tc>
          <w:tcPr>
            <w:tcW w:w="0" w:type="dxa"/>
            <w:vAlign w:val="bottom"/>
          </w:tcPr>
          <w:p>
            <w:pPr>
              <w:spacing w:after="0"/>
              <w:rPr>
                <w:sz w:val="1"/>
                <w:szCs w:val="1"/>
                <w:color w:val="auto"/>
              </w:rPr>
            </w:pPr>
          </w:p>
        </w:tc>
      </w:tr>
      <w:tr>
        <w:trPr>
          <w:trHeight w:val="250"/>
        </w:trPr>
        <w:tc>
          <w:tcPr>
            <w:tcW w:w="538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Total revenues</w:t>
            </w:r>
          </w:p>
        </w:tc>
        <w:tc>
          <w:tcPr>
            <w:tcW w:w="200" w:type="dxa"/>
            <w:vAlign w:val="bottom"/>
            <w:tcBorders>
              <w:bottom w:val="single" w:sz="8" w:color="auto"/>
            </w:tcBorders>
            <w:shd w:val="clear" w:color="auto" w:fill="CCEEFF"/>
          </w:tcPr>
          <w:p>
            <w:pPr>
              <w:spacing w:after="0"/>
              <w:rPr>
                <w:sz w:val="21"/>
                <w:szCs w:val="21"/>
                <w:color w:val="auto"/>
              </w:rPr>
            </w:pPr>
          </w:p>
        </w:tc>
        <w:tc>
          <w:tcPr>
            <w:tcW w:w="74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1,730</w:t>
            </w:r>
          </w:p>
        </w:tc>
        <w:tc>
          <w:tcPr>
            <w:tcW w:w="120" w:type="dxa"/>
            <w:vAlign w:val="bottom"/>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7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4,255</w:t>
            </w:r>
          </w:p>
        </w:tc>
        <w:tc>
          <w:tcPr>
            <w:tcW w:w="120" w:type="dxa"/>
            <w:vAlign w:val="bottom"/>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7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(2,525)</w:t>
            </w:r>
          </w:p>
        </w:tc>
        <w:tc>
          <w:tcPr>
            <w:tcW w:w="100" w:type="dxa"/>
            <w:vAlign w:val="bottom"/>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7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9,622</w:t>
            </w:r>
          </w:p>
        </w:tc>
        <w:tc>
          <w:tcPr>
            <w:tcW w:w="100" w:type="dxa"/>
            <w:vAlign w:val="bottom"/>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7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11,271</w:t>
            </w:r>
          </w:p>
        </w:tc>
        <w:tc>
          <w:tcPr>
            <w:tcW w:w="100" w:type="dxa"/>
            <w:vAlign w:val="bottom"/>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(1,649)</w:t>
            </w:r>
          </w:p>
        </w:tc>
        <w:tc>
          <w:tcPr>
            <w:tcW w:w="0" w:type="dxa"/>
            <w:vAlign w:val="bottom"/>
          </w:tcPr>
          <w:p>
            <w:pPr>
              <w:spacing w:after="0"/>
              <w:rPr>
                <w:sz w:val="1"/>
                <w:szCs w:val="1"/>
                <w:color w:val="auto"/>
              </w:rPr>
            </w:pPr>
          </w:p>
        </w:tc>
      </w:tr>
      <w:tr>
        <w:trPr>
          <w:trHeight w:val="292"/>
        </w:trPr>
        <w:tc>
          <w:tcPr>
            <w:tcW w:w="53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538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Expenses</w:t>
            </w:r>
          </w:p>
        </w:tc>
        <w:tc>
          <w:tcPr>
            <w:tcW w:w="200" w:type="dxa"/>
            <w:vAlign w:val="bottom"/>
            <w:shd w:val="clear" w:color="auto" w:fill="CCEEFF"/>
          </w:tcPr>
          <w:p>
            <w:pPr>
              <w:spacing w:after="0"/>
              <w:rPr>
                <w:sz w:val="23"/>
                <w:szCs w:val="23"/>
                <w:color w:val="auto"/>
              </w:rPr>
            </w:pPr>
          </w:p>
        </w:tc>
        <w:tc>
          <w:tcPr>
            <w:tcW w:w="7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7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7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7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7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74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9"/>
        </w:trPr>
        <w:tc>
          <w:tcPr>
            <w:tcW w:w="5380" w:type="dxa"/>
            <w:vAlign w:val="bottom"/>
          </w:tcPr>
          <w:p>
            <w:pPr>
              <w:ind w:left="40"/>
              <w:spacing w:after="0"/>
              <w:rPr>
                <w:sz w:val="20"/>
                <w:szCs w:val="20"/>
                <w:color w:val="auto"/>
              </w:rPr>
            </w:pPr>
            <w:r>
              <w:rPr>
                <w:rFonts w:ascii="Arial" w:cs="Arial" w:eastAsia="Arial" w:hAnsi="Arial"/>
                <w:sz w:val="14"/>
                <w:szCs w:val="14"/>
                <w:color w:val="auto"/>
              </w:rPr>
              <w:t>Operating expenses</w:t>
            </w:r>
          </w:p>
        </w:tc>
        <w:tc>
          <w:tcPr>
            <w:tcW w:w="200" w:type="dxa"/>
            <w:vAlign w:val="bottom"/>
          </w:tcPr>
          <w:p>
            <w:pPr>
              <w:spacing w:after="0"/>
              <w:rPr>
                <w:sz w:val="23"/>
                <w:szCs w:val="23"/>
                <w:color w:val="auto"/>
              </w:rPr>
            </w:pPr>
          </w:p>
        </w:tc>
        <w:tc>
          <w:tcPr>
            <w:tcW w:w="740" w:type="dxa"/>
            <w:vAlign w:val="bottom"/>
          </w:tcPr>
          <w:p>
            <w:pPr>
              <w:jc w:val="right"/>
              <w:ind w:right="48"/>
              <w:spacing w:after="0"/>
              <w:rPr>
                <w:sz w:val="20"/>
                <w:szCs w:val="20"/>
                <w:color w:val="auto"/>
              </w:rPr>
            </w:pPr>
            <w:r>
              <w:rPr>
                <w:rFonts w:ascii="Arial" w:cs="Arial" w:eastAsia="Arial" w:hAnsi="Arial"/>
                <w:sz w:val="14"/>
                <w:szCs w:val="14"/>
                <w:b w:val="1"/>
                <w:bCs w:val="1"/>
                <w:color w:val="auto"/>
              </w:rPr>
              <w:t>7,039</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20" w:type="dxa"/>
            <w:vAlign w:val="bottom"/>
          </w:tcPr>
          <w:p>
            <w:pPr>
              <w:jc w:val="right"/>
              <w:ind w:right="48"/>
              <w:spacing w:after="0"/>
              <w:rPr>
                <w:sz w:val="20"/>
                <w:szCs w:val="20"/>
                <w:color w:val="auto"/>
              </w:rPr>
            </w:pPr>
            <w:r>
              <w:rPr>
                <w:rFonts w:ascii="Arial" w:cs="Arial" w:eastAsia="Arial" w:hAnsi="Arial"/>
                <w:sz w:val="14"/>
                <w:szCs w:val="14"/>
                <w:color w:val="auto"/>
              </w:rPr>
              <w:t>6,796</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80" w:type="dxa"/>
            <w:vAlign w:val="bottom"/>
          </w:tcPr>
          <w:p>
            <w:pPr>
              <w:jc w:val="right"/>
              <w:ind w:right="48"/>
              <w:spacing w:after="0"/>
              <w:rPr>
                <w:sz w:val="20"/>
                <w:szCs w:val="20"/>
                <w:color w:val="auto"/>
              </w:rPr>
            </w:pPr>
            <w:r>
              <w:rPr>
                <w:rFonts w:ascii="Arial" w:cs="Arial" w:eastAsia="Arial" w:hAnsi="Arial"/>
                <w:sz w:val="14"/>
                <w:szCs w:val="14"/>
                <w:color w:val="auto"/>
              </w:rPr>
              <w:t>243</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00" w:type="dxa"/>
            <w:vAlign w:val="bottom"/>
          </w:tcPr>
          <w:p>
            <w:pPr>
              <w:jc w:val="right"/>
              <w:ind w:right="28"/>
              <w:spacing w:after="0"/>
              <w:rPr>
                <w:sz w:val="20"/>
                <w:szCs w:val="20"/>
                <w:color w:val="auto"/>
              </w:rPr>
            </w:pPr>
            <w:r>
              <w:rPr>
                <w:rFonts w:ascii="Arial" w:cs="Arial" w:eastAsia="Arial" w:hAnsi="Arial"/>
                <w:sz w:val="14"/>
                <w:szCs w:val="14"/>
                <w:b w:val="1"/>
                <w:bCs w:val="1"/>
                <w:color w:val="auto"/>
              </w:rPr>
              <w:t>21,919</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00" w:type="dxa"/>
            <w:vAlign w:val="bottom"/>
          </w:tcPr>
          <w:p>
            <w:pPr>
              <w:jc w:val="right"/>
              <w:ind w:right="28"/>
              <w:spacing w:after="0"/>
              <w:rPr>
                <w:sz w:val="20"/>
                <w:szCs w:val="20"/>
                <w:color w:val="auto"/>
              </w:rPr>
            </w:pPr>
            <w:r>
              <w:rPr>
                <w:rFonts w:ascii="Arial" w:cs="Arial" w:eastAsia="Arial" w:hAnsi="Arial"/>
                <w:sz w:val="14"/>
                <w:szCs w:val="14"/>
                <w:color w:val="auto"/>
              </w:rPr>
              <w:t>16,182</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40" w:type="dxa"/>
            <w:vAlign w:val="bottom"/>
          </w:tcPr>
          <w:p>
            <w:pPr>
              <w:jc w:val="right"/>
              <w:ind w:right="28"/>
              <w:spacing w:after="0"/>
              <w:rPr>
                <w:sz w:val="20"/>
                <w:szCs w:val="20"/>
                <w:color w:val="auto"/>
              </w:rPr>
            </w:pPr>
            <w:r>
              <w:rPr>
                <w:rFonts w:ascii="Arial" w:cs="Arial" w:eastAsia="Arial" w:hAnsi="Arial"/>
                <w:sz w:val="14"/>
                <w:szCs w:val="14"/>
                <w:color w:val="auto"/>
              </w:rPr>
              <w:t>5,737</w:t>
            </w:r>
          </w:p>
        </w:tc>
        <w:tc>
          <w:tcPr>
            <w:tcW w:w="0" w:type="dxa"/>
            <w:vAlign w:val="bottom"/>
          </w:tcPr>
          <w:p>
            <w:pPr>
              <w:spacing w:after="0"/>
              <w:rPr>
                <w:sz w:val="1"/>
                <w:szCs w:val="1"/>
                <w:color w:val="auto"/>
              </w:rPr>
            </w:pPr>
          </w:p>
        </w:tc>
      </w:tr>
      <w:tr>
        <w:trPr>
          <w:trHeight w:val="271"/>
        </w:trPr>
        <w:tc>
          <w:tcPr>
            <w:tcW w:w="5380" w:type="dxa"/>
            <w:vAlign w:val="bottom"/>
            <w:shd w:val="clear" w:color="auto" w:fill="CCEEFF"/>
          </w:tcPr>
          <w:p>
            <w:pPr>
              <w:ind w:left="40"/>
              <w:spacing w:after="0"/>
              <w:rPr>
                <w:sz w:val="20"/>
                <w:szCs w:val="20"/>
                <w:color w:val="auto"/>
              </w:rPr>
            </w:pPr>
            <w:r>
              <w:rPr>
                <w:rFonts w:ascii="Arial" w:cs="Arial" w:eastAsia="Arial" w:hAnsi="Arial"/>
                <w:sz w:val="14"/>
                <w:szCs w:val="14"/>
                <w:color w:val="auto"/>
              </w:rPr>
              <w:t>Acquisition and transaction expenses</w:t>
            </w:r>
          </w:p>
        </w:tc>
        <w:tc>
          <w:tcPr>
            <w:tcW w:w="200" w:type="dxa"/>
            <w:vAlign w:val="bottom"/>
            <w:shd w:val="clear" w:color="auto" w:fill="CCEEFF"/>
          </w:tcPr>
          <w:p>
            <w:pPr>
              <w:spacing w:after="0"/>
              <w:rPr>
                <w:sz w:val="23"/>
                <w:szCs w:val="23"/>
                <w:color w:val="auto"/>
              </w:rPr>
            </w:pPr>
          </w:p>
        </w:tc>
        <w:tc>
          <w:tcPr>
            <w:tcW w:w="86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b w:val="1"/>
                <w:bCs w:val="1"/>
                <w:color w:val="auto"/>
              </w:rPr>
              <w:t>—</w:t>
            </w:r>
          </w:p>
        </w:tc>
        <w:tc>
          <w:tcPr>
            <w:tcW w:w="200" w:type="dxa"/>
            <w:vAlign w:val="bottom"/>
            <w:shd w:val="clear" w:color="auto" w:fill="CCEEFF"/>
          </w:tcPr>
          <w:p>
            <w:pPr>
              <w:spacing w:after="0"/>
              <w:rPr>
                <w:sz w:val="23"/>
                <w:szCs w:val="23"/>
                <w:color w:val="auto"/>
              </w:rPr>
            </w:pPr>
          </w:p>
        </w:tc>
        <w:tc>
          <w:tcPr>
            <w:tcW w:w="7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109</w:t>
            </w: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7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(109)</w:t>
            </w: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b w:val="1"/>
                <w:bCs w:val="1"/>
                <w:color w:val="auto"/>
              </w:rPr>
              <w:t>—</w:t>
            </w:r>
          </w:p>
        </w:tc>
        <w:tc>
          <w:tcPr>
            <w:tcW w:w="200" w:type="dxa"/>
            <w:vAlign w:val="bottom"/>
            <w:shd w:val="clear" w:color="auto" w:fill="CCEEFF"/>
          </w:tcPr>
          <w:p>
            <w:pPr>
              <w:spacing w:after="0"/>
              <w:rPr>
                <w:sz w:val="23"/>
                <w:szCs w:val="23"/>
                <w:color w:val="auto"/>
              </w:rPr>
            </w:pPr>
          </w:p>
        </w:tc>
        <w:tc>
          <w:tcPr>
            <w:tcW w:w="7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400</w:t>
            </w: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(400)</w:t>
            </w:r>
          </w:p>
        </w:tc>
        <w:tc>
          <w:tcPr>
            <w:tcW w:w="0" w:type="dxa"/>
            <w:vAlign w:val="bottom"/>
          </w:tcPr>
          <w:p>
            <w:pPr>
              <w:spacing w:after="0"/>
              <w:rPr>
                <w:sz w:val="1"/>
                <w:szCs w:val="1"/>
                <w:color w:val="auto"/>
              </w:rPr>
            </w:pPr>
          </w:p>
        </w:tc>
      </w:tr>
      <w:tr>
        <w:trPr>
          <w:trHeight w:val="269"/>
        </w:trPr>
        <w:tc>
          <w:tcPr>
            <w:tcW w:w="5380" w:type="dxa"/>
            <w:vAlign w:val="bottom"/>
          </w:tcPr>
          <w:p>
            <w:pPr>
              <w:ind w:left="40"/>
              <w:spacing w:after="0"/>
              <w:rPr>
                <w:sz w:val="20"/>
                <w:szCs w:val="20"/>
                <w:color w:val="auto"/>
              </w:rPr>
            </w:pPr>
            <w:r>
              <w:rPr>
                <w:rFonts w:ascii="Arial" w:cs="Arial" w:eastAsia="Arial" w:hAnsi="Arial"/>
                <w:sz w:val="14"/>
                <w:szCs w:val="14"/>
                <w:color w:val="auto"/>
              </w:rPr>
              <w:t>Depreciation and amortization</w:t>
            </w:r>
          </w:p>
        </w:tc>
        <w:tc>
          <w:tcPr>
            <w:tcW w:w="200" w:type="dxa"/>
            <w:vAlign w:val="bottom"/>
          </w:tcPr>
          <w:p>
            <w:pPr>
              <w:spacing w:after="0"/>
              <w:rPr>
                <w:sz w:val="23"/>
                <w:szCs w:val="23"/>
                <w:color w:val="auto"/>
              </w:rPr>
            </w:pPr>
          </w:p>
        </w:tc>
        <w:tc>
          <w:tcPr>
            <w:tcW w:w="740" w:type="dxa"/>
            <w:vAlign w:val="bottom"/>
          </w:tcPr>
          <w:p>
            <w:pPr>
              <w:jc w:val="right"/>
              <w:ind w:right="48"/>
              <w:spacing w:after="0"/>
              <w:rPr>
                <w:sz w:val="20"/>
                <w:szCs w:val="20"/>
                <w:color w:val="auto"/>
              </w:rPr>
            </w:pPr>
            <w:r>
              <w:rPr>
                <w:rFonts w:ascii="Arial" w:cs="Arial" w:eastAsia="Arial" w:hAnsi="Arial"/>
                <w:sz w:val="14"/>
                <w:szCs w:val="14"/>
                <w:b w:val="1"/>
                <w:bCs w:val="1"/>
                <w:color w:val="auto"/>
              </w:rPr>
              <w:t>3,978</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20" w:type="dxa"/>
            <w:vAlign w:val="bottom"/>
          </w:tcPr>
          <w:p>
            <w:pPr>
              <w:jc w:val="right"/>
              <w:ind w:right="48"/>
              <w:spacing w:after="0"/>
              <w:rPr>
                <w:sz w:val="20"/>
                <w:szCs w:val="20"/>
                <w:color w:val="auto"/>
              </w:rPr>
            </w:pPr>
            <w:r>
              <w:rPr>
                <w:rFonts w:ascii="Arial" w:cs="Arial" w:eastAsia="Arial" w:hAnsi="Arial"/>
                <w:sz w:val="14"/>
                <w:szCs w:val="14"/>
                <w:color w:val="auto"/>
              </w:rPr>
              <w:t>3,920</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80" w:type="dxa"/>
            <w:vAlign w:val="bottom"/>
          </w:tcPr>
          <w:p>
            <w:pPr>
              <w:jc w:val="right"/>
              <w:ind w:right="48"/>
              <w:spacing w:after="0"/>
              <w:rPr>
                <w:sz w:val="20"/>
                <w:szCs w:val="20"/>
                <w:color w:val="auto"/>
              </w:rPr>
            </w:pPr>
            <w:r>
              <w:rPr>
                <w:rFonts w:ascii="Arial" w:cs="Arial" w:eastAsia="Arial" w:hAnsi="Arial"/>
                <w:sz w:val="14"/>
                <w:szCs w:val="14"/>
                <w:color w:val="auto"/>
              </w:rPr>
              <w:t>58</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00" w:type="dxa"/>
            <w:vAlign w:val="bottom"/>
          </w:tcPr>
          <w:p>
            <w:pPr>
              <w:jc w:val="right"/>
              <w:ind w:right="28"/>
              <w:spacing w:after="0"/>
              <w:rPr>
                <w:sz w:val="20"/>
                <w:szCs w:val="20"/>
                <w:color w:val="auto"/>
              </w:rPr>
            </w:pPr>
            <w:r>
              <w:rPr>
                <w:rFonts w:ascii="Arial" w:cs="Arial" w:eastAsia="Arial" w:hAnsi="Arial"/>
                <w:sz w:val="14"/>
                <w:szCs w:val="14"/>
                <w:b w:val="1"/>
                <w:bCs w:val="1"/>
                <w:color w:val="auto"/>
              </w:rPr>
              <w:t>11,885</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00" w:type="dxa"/>
            <w:vAlign w:val="bottom"/>
          </w:tcPr>
          <w:p>
            <w:pPr>
              <w:jc w:val="right"/>
              <w:ind w:right="28"/>
              <w:spacing w:after="0"/>
              <w:rPr>
                <w:sz w:val="20"/>
                <w:szCs w:val="20"/>
                <w:color w:val="auto"/>
              </w:rPr>
            </w:pPr>
            <w:r>
              <w:rPr>
                <w:rFonts w:ascii="Arial" w:cs="Arial" w:eastAsia="Arial" w:hAnsi="Arial"/>
                <w:sz w:val="14"/>
                <w:szCs w:val="14"/>
                <w:color w:val="auto"/>
              </w:rPr>
              <w:t>11,589</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40" w:type="dxa"/>
            <w:vAlign w:val="bottom"/>
          </w:tcPr>
          <w:p>
            <w:pPr>
              <w:jc w:val="right"/>
              <w:ind w:right="28"/>
              <w:spacing w:after="0"/>
              <w:rPr>
                <w:sz w:val="20"/>
                <w:szCs w:val="20"/>
                <w:color w:val="auto"/>
              </w:rPr>
            </w:pPr>
            <w:r>
              <w:rPr>
                <w:rFonts w:ascii="Arial" w:cs="Arial" w:eastAsia="Arial" w:hAnsi="Arial"/>
                <w:sz w:val="14"/>
                <w:szCs w:val="14"/>
                <w:color w:val="auto"/>
              </w:rPr>
              <w:t>296</w:t>
            </w:r>
          </w:p>
        </w:tc>
        <w:tc>
          <w:tcPr>
            <w:tcW w:w="0" w:type="dxa"/>
            <w:vAlign w:val="bottom"/>
          </w:tcPr>
          <w:p>
            <w:pPr>
              <w:spacing w:after="0"/>
              <w:rPr>
                <w:sz w:val="1"/>
                <w:szCs w:val="1"/>
                <w:color w:val="auto"/>
              </w:rPr>
            </w:pPr>
          </w:p>
        </w:tc>
      </w:tr>
      <w:tr>
        <w:trPr>
          <w:trHeight w:val="270"/>
        </w:trPr>
        <w:tc>
          <w:tcPr>
            <w:tcW w:w="5380" w:type="dxa"/>
            <w:vAlign w:val="bottom"/>
            <w:shd w:val="clear" w:color="auto" w:fill="CCEEFF"/>
          </w:tcPr>
          <w:p>
            <w:pPr>
              <w:ind w:left="40"/>
              <w:spacing w:after="0"/>
              <w:rPr>
                <w:sz w:val="20"/>
                <w:szCs w:val="20"/>
                <w:color w:val="auto"/>
              </w:rPr>
            </w:pPr>
            <w:r>
              <w:rPr>
                <w:rFonts w:ascii="Arial" w:cs="Arial" w:eastAsia="Arial" w:hAnsi="Arial"/>
                <w:sz w:val="14"/>
                <w:szCs w:val="14"/>
                <w:color w:val="auto"/>
              </w:rPr>
              <w:t>Interest expense</w:t>
            </w:r>
          </w:p>
        </w:tc>
        <w:tc>
          <w:tcPr>
            <w:tcW w:w="200" w:type="dxa"/>
            <w:vAlign w:val="bottom"/>
            <w:tcBorders>
              <w:bottom w:val="single" w:sz="8" w:color="auto"/>
            </w:tcBorders>
            <w:shd w:val="clear" w:color="auto" w:fill="CCEEFF"/>
          </w:tcPr>
          <w:p>
            <w:pPr>
              <w:spacing w:after="0"/>
              <w:rPr>
                <w:sz w:val="23"/>
                <w:szCs w:val="23"/>
                <w:color w:val="auto"/>
              </w:rPr>
            </w:pPr>
          </w:p>
        </w:tc>
        <w:tc>
          <w:tcPr>
            <w:tcW w:w="74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1,408</w:t>
            </w:r>
          </w:p>
        </w:tc>
        <w:tc>
          <w:tcPr>
            <w:tcW w:w="12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7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4,016</w:t>
            </w:r>
          </w:p>
        </w:tc>
        <w:tc>
          <w:tcPr>
            <w:tcW w:w="12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7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(2,608)</w:t>
            </w:r>
          </w:p>
        </w:tc>
        <w:tc>
          <w:tcPr>
            <w:tcW w:w="10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7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4,283</w:t>
            </w:r>
          </w:p>
        </w:tc>
        <w:tc>
          <w:tcPr>
            <w:tcW w:w="10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7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11,804</w:t>
            </w:r>
          </w:p>
        </w:tc>
        <w:tc>
          <w:tcPr>
            <w:tcW w:w="10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(7,521)</w:t>
            </w:r>
          </w:p>
        </w:tc>
        <w:tc>
          <w:tcPr>
            <w:tcW w:w="0" w:type="dxa"/>
            <w:vAlign w:val="bottom"/>
          </w:tcPr>
          <w:p>
            <w:pPr>
              <w:spacing w:after="0"/>
              <w:rPr>
                <w:sz w:val="1"/>
                <w:szCs w:val="1"/>
                <w:color w:val="auto"/>
              </w:rPr>
            </w:pPr>
          </w:p>
        </w:tc>
      </w:tr>
      <w:tr>
        <w:trPr>
          <w:trHeight w:val="250"/>
        </w:trPr>
        <w:tc>
          <w:tcPr>
            <w:tcW w:w="538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Total expenses</w:t>
            </w:r>
          </w:p>
        </w:tc>
        <w:tc>
          <w:tcPr>
            <w:tcW w:w="200" w:type="dxa"/>
            <w:vAlign w:val="bottom"/>
            <w:tcBorders>
              <w:bottom w:val="single" w:sz="8" w:color="auto"/>
            </w:tcBorders>
          </w:tcPr>
          <w:p>
            <w:pPr>
              <w:spacing w:after="0"/>
              <w:rPr>
                <w:sz w:val="21"/>
                <w:szCs w:val="21"/>
                <w:color w:val="auto"/>
              </w:rPr>
            </w:pPr>
          </w:p>
        </w:tc>
        <w:tc>
          <w:tcPr>
            <w:tcW w:w="7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12,425</w:t>
            </w:r>
          </w:p>
        </w:tc>
        <w:tc>
          <w:tcPr>
            <w:tcW w:w="12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7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14,841</w:t>
            </w:r>
          </w:p>
        </w:tc>
        <w:tc>
          <w:tcPr>
            <w:tcW w:w="12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(2,416)</w:t>
            </w:r>
          </w:p>
        </w:tc>
        <w:tc>
          <w:tcPr>
            <w:tcW w:w="10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7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38,087</w:t>
            </w:r>
          </w:p>
        </w:tc>
        <w:tc>
          <w:tcPr>
            <w:tcW w:w="10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7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39,975</w:t>
            </w:r>
          </w:p>
        </w:tc>
        <w:tc>
          <w:tcPr>
            <w:tcW w:w="10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(1,888)</w:t>
            </w:r>
          </w:p>
        </w:tc>
        <w:tc>
          <w:tcPr>
            <w:tcW w:w="0" w:type="dxa"/>
            <w:vAlign w:val="bottom"/>
          </w:tcPr>
          <w:p>
            <w:pPr>
              <w:spacing w:after="0"/>
              <w:rPr>
                <w:sz w:val="1"/>
                <w:szCs w:val="1"/>
                <w:color w:val="auto"/>
              </w:rPr>
            </w:pPr>
          </w:p>
        </w:tc>
      </w:tr>
      <w:tr>
        <w:trPr>
          <w:trHeight w:val="292"/>
        </w:trPr>
        <w:tc>
          <w:tcPr>
            <w:tcW w:w="538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7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7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7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7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7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74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9"/>
        </w:trPr>
        <w:tc>
          <w:tcPr>
            <w:tcW w:w="5380" w:type="dxa"/>
            <w:vAlign w:val="bottom"/>
          </w:tcPr>
          <w:p>
            <w:pPr>
              <w:ind w:left="40"/>
              <w:spacing w:after="0"/>
              <w:rPr>
                <w:sz w:val="20"/>
                <w:szCs w:val="20"/>
                <w:color w:val="auto"/>
              </w:rPr>
            </w:pPr>
            <w:r>
              <w:rPr>
                <w:rFonts w:ascii="Arial" w:cs="Arial" w:eastAsia="Arial" w:hAnsi="Arial"/>
                <w:sz w:val="14"/>
                <w:szCs w:val="14"/>
                <w:b w:val="1"/>
                <w:bCs w:val="1"/>
                <w:color w:val="auto"/>
              </w:rPr>
              <w:t>Other income (expense)</w:t>
            </w:r>
          </w:p>
        </w:tc>
        <w:tc>
          <w:tcPr>
            <w:tcW w:w="2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1"/>
        </w:trPr>
        <w:tc>
          <w:tcPr>
            <w:tcW w:w="5380" w:type="dxa"/>
            <w:vAlign w:val="bottom"/>
            <w:shd w:val="clear" w:color="auto" w:fill="CCEEFF"/>
          </w:tcPr>
          <w:p>
            <w:pPr>
              <w:ind w:left="40"/>
              <w:spacing w:after="0"/>
              <w:rPr>
                <w:sz w:val="20"/>
                <w:szCs w:val="20"/>
                <w:color w:val="auto"/>
              </w:rPr>
            </w:pPr>
            <w:r>
              <w:rPr>
                <w:rFonts w:ascii="Arial" w:cs="Arial" w:eastAsia="Arial" w:hAnsi="Arial"/>
                <w:sz w:val="14"/>
                <w:szCs w:val="14"/>
                <w:color w:val="auto"/>
              </w:rPr>
              <w:t>Equity in losses of unconsolidated entities</w:t>
            </w:r>
          </w:p>
        </w:tc>
        <w:tc>
          <w:tcPr>
            <w:tcW w:w="200" w:type="dxa"/>
            <w:vAlign w:val="bottom"/>
            <w:shd w:val="clear" w:color="auto" w:fill="CCEEFF"/>
          </w:tcPr>
          <w:p>
            <w:pPr>
              <w:spacing w:after="0"/>
              <w:rPr>
                <w:sz w:val="23"/>
                <w:szCs w:val="23"/>
                <w:color w:val="auto"/>
              </w:rPr>
            </w:pPr>
          </w:p>
        </w:tc>
        <w:tc>
          <w:tcPr>
            <w:tcW w:w="740" w:type="dxa"/>
            <w:vAlign w:val="bottom"/>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(24)</w:t>
            </w: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3"/>
                <w:szCs w:val="23"/>
                <w:color w:val="auto"/>
              </w:rPr>
            </w:pPr>
          </w:p>
        </w:tc>
        <w:tc>
          <w:tcPr>
            <w:tcW w:w="7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(24)</w:t>
            </w: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(99)</w:t>
            </w: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3"/>
                <w:szCs w:val="23"/>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(99)</w:t>
            </w:r>
          </w:p>
        </w:tc>
        <w:tc>
          <w:tcPr>
            <w:tcW w:w="0" w:type="dxa"/>
            <w:vAlign w:val="bottom"/>
          </w:tcPr>
          <w:p>
            <w:pPr>
              <w:spacing w:after="0"/>
              <w:rPr>
                <w:sz w:val="1"/>
                <w:szCs w:val="1"/>
                <w:color w:val="auto"/>
              </w:rPr>
            </w:pPr>
          </w:p>
        </w:tc>
      </w:tr>
      <w:tr>
        <w:trPr>
          <w:trHeight w:val="269"/>
        </w:trPr>
        <w:tc>
          <w:tcPr>
            <w:tcW w:w="5380" w:type="dxa"/>
            <w:vAlign w:val="bottom"/>
          </w:tcPr>
          <w:p>
            <w:pPr>
              <w:ind w:left="40"/>
              <w:spacing w:after="0"/>
              <w:rPr>
                <w:sz w:val="20"/>
                <w:szCs w:val="20"/>
                <w:color w:val="auto"/>
              </w:rPr>
            </w:pPr>
            <w:r>
              <w:rPr>
                <w:rFonts w:ascii="Arial" w:cs="Arial" w:eastAsia="Arial" w:hAnsi="Arial"/>
                <w:sz w:val="14"/>
                <w:szCs w:val="14"/>
                <w:color w:val="auto"/>
              </w:rPr>
              <w:t>Loss on extinguishment of debt</w:t>
            </w:r>
          </w:p>
        </w:tc>
        <w:tc>
          <w:tcPr>
            <w:tcW w:w="200" w:type="dxa"/>
            <w:vAlign w:val="bottom"/>
          </w:tcPr>
          <w:p>
            <w:pPr>
              <w:spacing w:after="0"/>
              <w:rPr>
                <w:sz w:val="23"/>
                <w:szCs w:val="23"/>
                <w:color w:val="auto"/>
              </w:rPr>
            </w:pPr>
          </w:p>
        </w:tc>
        <w:tc>
          <w:tcPr>
            <w:tcW w:w="86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rPr>
              <w:t>—</w:t>
            </w:r>
          </w:p>
        </w:tc>
        <w:tc>
          <w:tcPr>
            <w:tcW w:w="200" w:type="dxa"/>
            <w:vAlign w:val="bottom"/>
          </w:tcPr>
          <w:p>
            <w:pPr>
              <w:spacing w:after="0"/>
              <w:rPr>
                <w:sz w:val="23"/>
                <w:szCs w:val="23"/>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3"/>
                <w:szCs w:val="23"/>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3"/>
                <w:szCs w:val="23"/>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rPr>
              <w:t>—</w:t>
            </w:r>
          </w:p>
        </w:tc>
        <w:tc>
          <w:tcPr>
            <w:tcW w:w="200" w:type="dxa"/>
            <w:vAlign w:val="bottom"/>
          </w:tcPr>
          <w:p>
            <w:pPr>
              <w:spacing w:after="0"/>
              <w:rPr>
                <w:sz w:val="23"/>
                <w:szCs w:val="23"/>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(1,579)</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40" w:type="dxa"/>
            <w:vAlign w:val="bottom"/>
          </w:tcPr>
          <w:p>
            <w:pPr>
              <w:jc w:val="right"/>
              <w:ind w:right="28"/>
              <w:spacing w:after="0"/>
              <w:rPr>
                <w:sz w:val="20"/>
                <w:szCs w:val="20"/>
                <w:color w:val="auto"/>
              </w:rPr>
            </w:pPr>
            <w:r>
              <w:rPr>
                <w:rFonts w:ascii="Arial" w:cs="Arial" w:eastAsia="Arial" w:hAnsi="Arial"/>
                <w:sz w:val="14"/>
                <w:szCs w:val="14"/>
                <w:color w:val="auto"/>
              </w:rPr>
              <w:t>1,579</w:t>
            </w:r>
          </w:p>
        </w:tc>
        <w:tc>
          <w:tcPr>
            <w:tcW w:w="0" w:type="dxa"/>
            <w:vAlign w:val="bottom"/>
          </w:tcPr>
          <w:p>
            <w:pPr>
              <w:spacing w:after="0"/>
              <w:rPr>
                <w:sz w:val="1"/>
                <w:szCs w:val="1"/>
                <w:color w:val="auto"/>
              </w:rPr>
            </w:pPr>
          </w:p>
        </w:tc>
      </w:tr>
      <w:tr>
        <w:trPr>
          <w:trHeight w:val="271"/>
        </w:trPr>
        <w:tc>
          <w:tcPr>
            <w:tcW w:w="5380" w:type="dxa"/>
            <w:vAlign w:val="bottom"/>
            <w:shd w:val="clear" w:color="auto" w:fill="CCEEFF"/>
          </w:tcPr>
          <w:p>
            <w:pPr>
              <w:ind w:left="40"/>
              <w:spacing w:after="0"/>
              <w:rPr>
                <w:sz w:val="20"/>
                <w:szCs w:val="20"/>
                <w:color w:val="auto"/>
              </w:rPr>
            </w:pPr>
            <w:r>
              <w:rPr>
                <w:rFonts w:ascii="Arial" w:cs="Arial" w:eastAsia="Arial" w:hAnsi="Arial"/>
                <w:sz w:val="14"/>
                <w:szCs w:val="14"/>
                <w:color w:val="auto"/>
              </w:rPr>
              <w:t>Interest income (expense)</w:t>
            </w:r>
          </w:p>
        </w:tc>
        <w:tc>
          <w:tcPr>
            <w:tcW w:w="200" w:type="dxa"/>
            <w:vAlign w:val="bottom"/>
            <w:shd w:val="clear" w:color="auto" w:fill="CCEEFF"/>
          </w:tcPr>
          <w:p>
            <w:pPr>
              <w:spacing w:after="0"/>
              <w:rPr>
                <w:sz w:val="23"/>
                <w:szCs w:val="23"/>
                <w:color w:val="auto"/>
              </w:rPr>
            </w:pPr>
          </w:p>
        </w:tc>
        <w:tc>
          <w:tcPr>
            <w:tcW w:w="74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160</w:t>
            </w: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7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196</w:t>
            </w: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7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(36)</w:t>
            </w: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70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361</w:t>
            </w: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7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69</w:t>
            </w: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7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292</w:t>
            </w:r>
          </w:p>
        </w:tc>
        <w:tc>
          <w:tcPr>
            <w:tcW w:w="0" w:type="dxa"/>
            <w:vAlign w:val="bottom"/>
          </w:tcPr>
          <w:p>
            <w:pPr>
              <w:spacing w:after="0"/>
              <w:rPr>
                <w:sz w:val="1"/>
                <w:szCs w:val="1"/>
                <w:color w:val="auto"/>
              </w:rPr>
            </w:pPr>
          </w:p>
        </w:tc>
      </w:tr>
      <w:tr>
        <w:trPr>
          <w:trHeight w:val="269"/>
        </w:trPr>
        <w:tc>
          <w:tcPr>
            <w:tcW w:w="538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Other income</w:t>
            </w:r>
          </w:p>
        </w:tc>
        <w:tc>
          <w:tcPr>
            <w:tcW w:w="200" w:type="dxa"/>
            <w:vAlign w:val="bottom"/>
            <w:tcBorders>
              <w:bottom w:val="single" w:sz="8" w:color="auto"/>
            </w:tcBorders>
          </w:tcPr>
          <w:p>
            <w:pPr>
              <w:spacing w:after="0"/>
              <w:rPr>
                <w:sz w:val="23"/>
                <w:szCs w:val="23"/>
                <w:color w:val="auto"/>
              </w:rPr>
            </w:pPr>
          </w:p>
        </w:tc>
        <w:tc>
          <w:tcPr>
            <w:tcW w:w="7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1,055</w:t>
            </w:r>
          </w:p>
        </w:tc>
        <w:tc>
          <w:tcPr>
            <w:tcW w:w="120" w:type="dxa"/>
            <w:vAlign w:val="bottom"/>
            <w:tcBorders>
              <w:bottom w:val="single" w:sz="8" w:color="CCEEFF"/>
            </w:tcBorders>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7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485</w:t>
            </w:r>
          </w:p>
        </w:tc>
        <w:tc>
          <w:tcPr>
            <w:tcW w:w="120" w:type="dxa"/>
            <w:vAlign w:val="bottom"/>
            <w:tcBorders>
              <w:bottom w:val="single" w:sz="8" w:color="CCEEFF"/>
            </w:tcBorders>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7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570</w:t>
            </w:r>
          </w:p>
        </w:tc>
        <w:tc>
          <w:tcPr>
            <w:tcW w:w="100" w:type="dxa"/>
            <w:vAlign w:val="bottom"/>
            <w:tcBorders>
              <w:bottom w:val="single" w:sz="8" w:color="CCEEFF"/>
            </w:tcBorders>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7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1,087</w:t>
            </w:r>
          </w:p>
        </w:tc>
        <w:tc>
          <w:tcPr>
            <w:tcW w:w="100" w:type="dxa"/>
            <w:vAlign w:val="bottom"/>
            <w:tcBorders>
              <w:bottom w:val="single" w:sz="8" w:color="CCEEFF"/>
            </w:tcBorders>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7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585</w:t>
            </w:r>
          </w:p>
        </w:tc>
        <w:tc>
          <w:tcPr>
            <w:tcW w:w="100" w:type="dxa"/>
            <w:vAlign w:val="bottom"/>
            <w:tcBorders>
              <w:bottom w:val="single" w:sz="8" w:color="CCEEFF"/>
            </w:tcBorders>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7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502</w:t>
            </w:r>
          </w:p>
        </w:tc>
        <w:tc>
          <w:tcPr>
            <w:tcW w:w="0" w:type="dxa"/>
            <w:vAlign w:val="bottom"/>
          </w:tcPr>
          <w:p>
            <w:pPr>
              <w:spacing w:after="0"/>
              <w:rPr>
                <w:sz w:val="1"/>
                <w:szCs w:val="1"/>
                <w:color w:val="auto"/>
              </w:rPr>
            </w:pPr>
          </w:p>
        </w:tc>
      </w:tr>
      <w:tr>
        <w:trPr>
          <w:trHeight w:val="250"/>
        </w:trPr>
        <w:tc>
          <w:tcPr>
            <w:tcW w:w="538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Total other income (expense)</w:t>
            </w:r>
          </w:p>
        </w:tc>
        <w:tc>
          <w:tcPr>
            <w:tcW w:w="200" w:type="dxa"/>
            <w:vAlign w:val="bottom"/>
            <w:tcBorders>
              <w:bottom w:val="single" w:sz="8" w:color="auto"/>
            </w:tcBorders>
            <w:shd w:val="clear" w:color="auto" w:fill="CCEEFF"/>
          </w:tcPr>
          <w:p>
            <w:pPr>
              <w:spacing w:after="0"/>
              <w:rPr>
                <w:sz w:val="21"/>
                <w:szCs w:val="21"/>
                <w:color w:val="auto"/>
              </w:rPr>
            </w:pPr>
          </w:p>
        </w:tc>
        <w:tc>
          <w:tcPr>
            <w:tcW w:w="74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1,191</w:t>
            </w:r>
          </w:p>
        </w:tc>
        <w:tc>
          <w:tcPr>
            <w:tcW w:w="120" w:type="dxa"/>
            <w:vAlign w:val="bottom"/>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7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681</w:t>
            </w:r>
          </w:p>
        </w:tc>
        <w:tc>
          <w:tcPr>
            <w:tcW w:w="120" w:type="dxa"/>
            <w:vAlign w:val="bottom"/>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78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510</w:t>
            </w:r>
          </w:p>
        </w:tc>
        <w:tc>
          <w:tcPr>
            <w:tcW w:w="100" w:type="dxa"/>
            <w:vAlign w:val="bottom"/>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7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1,349</w:t>
            </w:r>
          </w:p>
        </w:tc>
        <w:tc>
          <w:tcPr>
            <w:tcW w:w="100" w:type="dxa"/>
            <w:vAlign w:val="bottom"/>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(925)</w:t>
            </w:r>
          </w:p>
        </w:tc>
        <w:tc>
          <w:tcPr>
            <w:tcW w:w="100" w:type="dxa"/>
            <w:vAlign w:val="bottom"/>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7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2,274</w:t>
            </w:r>
          </w:p>
        </w:tc>
        <w:tc>
          <w:tcPr>
            <w:tcW w:w="0" w:type="dxa"/>
            <w:vAlign w:val="bottom"/>
          </w:tcPr>
          <w:p>
            <w:pPr>
              <w:spacing w:after="0"/>
              <w:rPr>
                <w:sz w:val="1"/>
                <w:szCs w:val="1"/>
                <w:color w:val="auto"/>
              </w:rPr>
            </w:pPr>
          </w:p>
        </w:tc>
      </w:tr>
      <w:tr>
        <w:trPr>
          <w:trHeight w:val="250"/>
        </w:trPr>
        <w:tc>
          <w:tcPr>
            <w:tcW w:w="5380" w:type="dxa"/>
            <w:vAlign w:val="bottom"/>
          </w:tcPr>
          <w:p>
            <w:pPr>
              <w:ind w:left="40"/>
              <w:spacing w:after="0"/>
              <w:rPr>
                <w:sz w:val="20"/>
                <w:szCs w:val="20"/>
                <w:color w:val="auto"/>
              </w:rPr>
            </w:pPr>
            <w:r>
              <w:rPr>
                <w:rFonts w:ascii="Arial" w:cs="Arial" w:eastAsia="Arial" w:hAnsi="Arial"/>
                <w:sz w:val="14"/>
                <w:szCs w:val="14"/>
                <w:b w:val="1"/>
                <w:bCs w:val="1"/>
                <w:color w:val="auto"/>
              </w:rPr>
              <w:t>Loss before income taxes</w:t>
            </w:r>
          </w:p>
        </w:tc>
        <w:tc>
          <w:tcPr>
            <w:tcW w:w="200" w:type="dxa"/>
            <w:vAlign w:val="bottom"/>
          </w:tcPr>
          <w:p>
            <w:pPr>
              <w:spacing w:after="0"/>
              <w:rPr>
                <w:sz w:val="21"/>
                <w:szCs w:val="21"/>
                <w:color w:val="auto"/>
              </w:rPr>
            </w:pPr>
          </w:p>
        </w:tc>
        <w:tc>
          <w:tcPr>
            <w:tcW w:w="740" w:type="dxa"/>
            <w:vAlign w:val="bottom"/>
          </w:tcPr>
          <w:p>
            <w:pPr>
              <w:jc w:val="right"/>
              <w:ind w:right="8"/>
              <w:spacing w:after="0"/>
              <w:rPr>
                <w:sz w:val="20"/>
                <w:szCs w:val="20"/>
                <w:color w:val="auto"/>
              </w:rPr>
            </w:pPr>
            <w:r>
              <w:rPr>
                <w:rFonts w:ascii="Arial" w:cs="Arial" w:eastAsia="Arial" w:hAnsi="Arial"/>
                <w:sz w:val="14"/>
                <w:szCs w:val="14"/>
                <w:b w:val="1"/>
                <w:bCs w:val="1"/>
                <w:color w:val="auto"/>
              </w:rPr>
              <w:t>(9,504)</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(9,905)</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80" w:type="dxa"/>
            <w:vAlign w:val="bottom"/>
          </w:tcPr>
          <w:p>
            <w:pPr>
              <w:jc w:val="right"/>
              <w:ind w:right="48"/>
              <w:spacing w:after="0"/>
              <w:rPr>
                <w:sz w:val="20"/>
                <w:szCs w:val="20"/>
                <w:color w:val="auto"/>
              </w:rPr>
            </w:pPr>
            <w:r>
              <w:rPr>
                <w:rFonts w:ascii="Arial" w:cs="Arial" w:eastAsia="Arial" w:hAnsi="Arial"/>
                <w:sz w:val="14"/>
                <w:szCs w:val="14"/>
                <w:color w:val="auto"/>
              </w:rPr>
              <w:t>401</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4"/>
                <w:szCs w:val="14"/>
                <w:b w:val="1"/>
                <w:bCs w:val="1"/>
                <w:color w:val="auto"/>
              </w:rPr>
              <w:t>(27,116)</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(29,629)</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40" w:type="dxa"/>
            <w:vAlign w:val="bottom"/>
          </w:tcPr>
          <w:p>
            <w:pPr>
              <w:jc w:val="right"/>
              <w:ind w:right="28"/>
              <w:spacing w:after="0"/>
              <w:rPr>
                <w:sz w:val="20"/>
                <w:szCs w:val="20"/>
                <w:color w:val="auto"/>
              </w:rPr>
            </w:pPr>
            <w:r>
              <w:rPr>
                <w:rFonts w:ascii="Arial" w:cs="Arial" w:eastAsia="Arial" w:hAnsi="Arial"/>
                <w:sz w:val="14"/>
                <w:szCs w:val="14"/>
                <w:color w:val="auto"/>
              </w:rPr>
              <w:t>2,513</w:t>
            </w:r>
          </w:p>
        </w:tc>
        <w:tc>
          <w:tcPr>
            <w:tcW w:w="0" w:type="dxa"/>
            <w:vAlign w:val="bottom"/>
          </w:tcPr>
          <w:p>
            <w:pPr>
              <w:spacing w:after="0"/>
              <w:rPr>
                <w:sz w:val="1"/>
                <w:szCs w:val="1"/>
                <w:color w:val="auto"/>
              </w:rPr>
            </w:pPr>
          </w:p>
        </w:tc>
      </w:tr>
      <w:tr>
        <w:trPr>
          <w:trHeight w:val="270"/>
        </w:trPr>
        <w:tc>
          <w:tcPr>
            <w:tcW w:w="5380" w:type="dxa"/>
            <w:vAlign w:val="bottom"/>
            <w:shd w:val="clear" w:color="auto" w:fill="CCEEFF"/>
          </w:tcPr>
          <w:p>
            <w:pPr>
              <w:ind w:left="40"/>
              <w:spacing w:after="0"/>
              <w:rPr>
                <w:sz w:val="20"/>
                <w:szCs w:val="20"/>
                <w:color w:val="auto"/>
              </w:rPr>
            </w:pPr>
            <w:r>
              <w:rPr>
                <w:rFonts w:ascii="Arial" w:cs="Arial" w:eastAsia="Arial" w:hAnsi="Arial"/>
                <w:sz w:val="14"/>
                <w:szCs w:val="14"/>
                <w:color w:val="auto"/>
              </w:rPr>
              <w:t>(Benefit from) provision for income taxes</w:t>
            </w:r>
          </w:p>
        </w:tc>
        <w:tc>
          <w:tcPr>
            <w:tcW w:w="200" w:type="dxa"/>
            <w:vAlign w:val="bottom"/>
            <w:tcBorders>
              <w:bottom w:val="single" w:sz="8" w:color="auto"/>
            </w:tcBorders>
            <w:shd w:val="clear" w:color="auto" w:fill="CCEEFF"/>
          </w:tcPr>
          <w:p>
            <w:pPr>
              <w:spacing w:after="0"/>
              <w:rPr>
                <w:sz w:val="23"/>
                <w:szCs w:val="23"/>
                <w:color w:val="auto"/>
              </w:rPr>
            </w:pPr>
          </w:p>
        </w:tc>
        <w:tc>
          <w:tcPr>
            <w:tcW w:w="74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(3)</w:t>
            </w:r>
          </w:p>
        </w:tc>
        <w:tc>
          <w:tcPr>
            <w:tcW w:w="12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7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20</w:t>
            </w:r>
          </w:p>
        </w:tc>
        <w:tc>
          <w:tcPr>
            <w:tcW w:w="12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7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(23)</w:t>
            </w:r>
          </w:p>
        </w:tc>
        <w:tc>
          <w:tcPr>
            <w:tcW w:w="10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7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31</w:t>
            </w:r>
          </w:p>
        </w:tc>
        <w:tc>
          <w:tcPr>
            <w:tcW w:w="10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7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55</w:t>
            </w:r>
          </w:p>
        </w:tc>
        <w:tc>
          <w:tcPr>
            <w:tcW w:w="10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(24)</w:t>
            </w:r>
          </w:p>
        </w:tc>
        <w:tc>
          <w:tcPr>
            <w:tcW w:w="0" w:type="dxa"/>
            <w:vAlign w:val="bottom"/>
          </w:tcPr>
          <w:p>
            <w:pPr>
              <w:spacing w:after="0"/>
              <w:rPr>
                <w:sz w:val="1"/>
                <w:szCs w:val="1"/>
                <w:color w:val="auto"/>
              </w:rPr>
            </w:pPr>
          </w:p>
        </w:tc>
      </w:tr>
      <w:tr>
        <w:trPr>
          <w:trHeight w:val="250"/>
        </w:trPr>
        <w:tc>
          <w:tcPr>
            <w:tcW w:w="538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Net loss</w:t>
            </w:r>
          </w:p>
        </w:tc>
        <w:tc>
          <w:tcPr>
            <w:tcW w:w="200" w:type="dxa"/>
            <w:vAlign w:val="bottom"/>
            <w:tcBorders>
              <w:bottom w:val="single" w:sz="8" w:color="auto"/>
            </w:tcBorders>
          </w:tcPr>
          <w:p>
            <w:pPr>
              <w:spacing w:after="0"/>
              <w:rPr>
                <w:sz w:val="21"/>
                <w:szCs w:val="21"/>
                <w:color w:val="auto"/>
              </w:rPr>
            </w:pPr>
          </w:p>
        </w:tc>
        <w:tc>
          <w:tcPr>
            <w:tcW w:w="7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(9,501)</w:t>
            </w:r>
          </w:p>
        </w:tc>
        <w:tc>
          <w:tcPr>
            <w:tcW w:w="12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(9,925)</w:t>
            </w:r>
          </w:p>
        </w:tc>
        <w:tc>
          <w:tcPr>
            <w:tcW w:w="12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424</w:t>
            </w:r>
          </w:p>
        </w:tc>
        <w:tc>
          <w:tcPr>
            <w:tcW w:w="10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(27,147)</w:t>
            </w:r>
          </w:p>
        </w:tc>
        <w:tc>
          <w:tcPr>
            <w:tcW w:w="10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(29,684)</w:t>
            </w:r>
          </w:p>
        </w:tc>
        <w:tc>
          <w:tcPr>
            <w:tcW w:w="10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7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2,537</w:t>
            </w:r>
          </w:p>
        </w:tc>
        <w:tc>
          <w:tcPr>
            <w:tcW w:w="0" w:type="dxa"/>
            <w:vAlign w:val="bottom"/>
          </w:tcPr>
          <w:p>
            <w:pPr>
              <w:spacing w:after="0"/>
              <w:rPr>
                <w:sz w:val="1"/>
                <w:szCs w:val="1"/>
                <w:color w:val="auto"/>
              </w:rPr>
            </w:pPr>
          </w:p>
        </w:tc>
      </w:tr>
      <w:tr>
        <w:trPr>
          <w:trHeight w:val="250"/>
        </w:trPr>
        <w:tc>
          <w:tcPr>
            <w:tcW w:w="5380" w:type="dxa"/>
            <w:vAlign w:val="bottom"/>
            <w:shd w:val="clear" w:color="auto" w:fill="CCEEFF"/>
          </w:tcPr>
          <w:p>
            <w:pPr>
              <w:ind w:left="40"/>
              <w:spacing w:after="0"/>
              <w:rPr>
                <w:sz w:val="20"/>
                <w:szCs w:val="20"/>
                <w:color w:val="auto"/>
              </w:rPr>
            </w:pPr>
            <w:r>
              <w:rPr>
                <w:rFonts w:ascii="Arial" w:cs="Arial" w:eastAsia="Arial" w:hAnsi="Arial"/>
                <w:sz w:val="14"/>
                <w:szCs w:val="14"/>
                <w:color w:val="auto"/>
              </w:rPr>
              <w:t>Less: Net loss attributable to non-controlling interest in consolidated subsidiaries</w:t>
            </w:r>
          </w:p>
        </w:tc>
        <w:tc>
          <w:tcPr>
            <w:tcW w:w="200" w:type="dxa"/>
            <w:vAlign w:val="bottom"/>
            <w:tcBorders>
              <w:bottom w:val="single" w:sz="8" w:color="auto"/>
            </w:tcBorders>
            <w:shd w:val="clear" w:color="auto" w:fill="CCEEFF"/>
          </w:tcPr>
          <w:p>
            <w:pPr>
              <w:spacing w:after="0"/>
              <w:rPr>
                <w:sz w:val="21"/>
                <w:szCs w:val="21"/>
                <w:color w:val="auto"/>
              </w:rPr>
            </w:pPr>
          </w:p>
        </w:tc>
        <w:tc>
          <w:tcPr>
            <w:tcW w:w="74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(4,806)</w:t>
            </w:r>
          </w:p>
        </w:tc>
        <w:tc>
          <w:tcPr>
            <w:tcW w:w="120" w:type="dxa"/>
            <w:vAlign w:val="bottom"/>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(4,241)</w:t>
            </w:r>
          </w:p>
        </w:tc>
        <w:tc>
          <w:tcPr>
            <w:tcW w:w="120" w:type="dxa"/>
            <w:vAlign w:val="bottom"/>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7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(565)</w:t>
            </w:r>
          </w:p>
        </w:tc>
        <w:tc>
          <w:tcPr>
            <w:tcW w:w="100" w:type="dxa"/>
            <w:vAlign w:val="bottom"/>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(13,209)</w:t>
            </w:r>
          </w:p>
        </w:tc>
        <w:tc>
          <w:tcPr>
            <w:tcW w:w="100" w:type="dxa"/>
            <w:vAlign w:val="bottom"/>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(12,522)</w:t>
            </w:r>
          </w:p>
        </w:tc>
        <w:tc>
          <w:tcPr>
            <w:tcW w:w="100" w:type="dxa"/>
            <w:vAlign w:val="bottom"/>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(687)</w:t>
            </w:r>
          </w:p>
        </w:tc>
        <w:tc>
          <w:tcPr>
            <w:tcW w:w="0" w:type="dxa"/>
            <w:vAlign w:val="bottom"/>
          </w:tcPr>
          <w:p>
            <w:pPr>
              <w:spacing w:after="0"/>
              <w:rPr>
                <w:sz w:val="1"/>
                <w:szCs w:val="1"/>
                <w:color w:val="auto"/>
              </w:rPr>
            </w:pPr>
          </w:p>
        </w:tc>
      </w:tr>
      <w:tr>
        <w:trPr>
          <w:trHeight w:val="250"/>
        </w:trPr>
        <w:tc>
          <w:tcPr>
            <w:tcW w:w="538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Net loss attributable to shareholders</w:t>
            </w:r>
          </w:p>
        </w:tc>
        <w:tc>
          <w:tcPr>
            <w:tcW w:w="2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w:t>
            </w:r>
          </w:p>
        </w:tc>
        <w:tc>
          <w:tcPr>
            <w:tcW w:w="7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(4,695)</w:t>
            </w:r>
          </w:p>
        </w:tc>
        <w:tc>
          <w:tcPr>
            <w:tcW w:w="12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(5,684)</w:t>
            </w:r>
          </w:p>
        </w:tc>
        <w:tc>
          <w:tcPr>
            <w:tcW w:w="12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989</w:t>
            </w:r>
          </w:p>
        </w:tc>
        <w:tc>
          <w:tcPr>
            <w:tcW w:w="10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(13,938)</w:t>
            </w:r>
          </w:p>
        </w:tc>
        <w:tc>
          <w:tcPr>
            <w:tcW w:w="10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(17,162)</w:t>
            </w:r>
          </w:p>
        </w:tc>
        <w:tc>
          <w:tcPr>
            <w:tcW w:w="10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3,224</w:t>
            </w:r>
          </w:p>
        </w:tc>
        <w:tc>
          <w:tcPr>
            <w:tcW w:w="0" w:type="dxa"/>
            <w:vAlign w:val="bottom"/>
          </w:tcPr>
          <w:p>
            <w:pPr>
              <w:spacing w:after="0"/>
              <w:rPr>
                <w:sz w:val="1"/>
                <w:szCs w:val="1"/>
                <w:color w:val="auto"/>
              </w:rPr>
            </w:pPr>
          </w:p>
        </w:tc>
      </w:tr>
      <w:tr>
        <w:trPr>
          <w:trHeight w:val="251"/>
        </w:trPr>
        <w:tc>
          <w:tcPr>
            <w:tcW w:w="5380" w:type="dxa"/>
            <w:vAlign w:val="bottom"/>
            <w:shd w:val="clear" w:color="auto" w:fill="CCEEFF"/>
          </w:tcPr>
          <w:p>
            <w:pPr>
              <w:ind w:left="40"/>
              <w:spacing w:after="0"/>
              <w:rPr>
                <w:sz w:val="20"/>
                <w:szCs w:val="20"/>
                <w:color w:val="auto"/>
              </w:rPr>
            </w:pPr>
            <w:r>
              <w:rPr>
                <w:rFonts w:ascii="Arial" w:cs="Arial" w:eastAsia="Arial" w:hAnsi="Arial"/>
                <w:sz w:val="14"/>
                <w:szCs w:val="14"/>
                <w:color w:val="auto"/>
              </w:rPr>
              <w:t>Add: (Benefit from) provision for income taxes</w:t>
            </w:r>
          </w:p>
        </w:tc>
        <w:tc>
          <w:tcPr>
            <w:tcW w:w="200" w:type="dxa"/>
            <w:vAlign w:val="bottom"/>
            <w:shd w:val="clear" w:color="auto" w:fill="CCEEFF"/>
          </w:tcPr>
          <w:p>
            <w:pPr>
              <w:spacing w:after="0"/>
              <w:rPr>
                <w:sz w:val="21"/>
                <w:szCs w:val="21"/>
                <w:color w:val="auto"/>
              </w:rPr>
            </w:pPr>
          </w:p>
        </w:tc>
        <w:tc>
          <w:tcPr>
            <w:tcW w:w="740" w:type="dxa"/>
            <w:vAlign w:val="bottom"/>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(3)</w:t>
            </w:r>
          </w:p>
        </w:tc>
        <w:tc>
          <w:tcPr>
            <w:tcW w:w="1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7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20</w:t>
            </w: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7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(23)</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70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31</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7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55</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w:t>
            </w:r>
          </w:p>
        </w:tc>
        <w:tc>
          <w:tcPr>
            <w:tcW w:w="0" w:type="dxa"/>
            <w:vAlign w:val="bottom"/>
          </w:tcPr>
          <w:p>
            <w:pPr>
              <w:spacing w:after="0"/>
              <w:rPr>
                <w:sz w:val="1"/>
                <w:szCs w:val="1"/>
                <w:color w:val="auto"/>
              </w:rPr>
            </w:pPr>
          </w:p>
        </w:tc>
      </w:tr>
      <w:tr>
        <w:trPr>
          <w:trHeight w:val="269"/>
        </w:trPr>
        <w:tc>
          <w:tcPr>
            <w:tcW w:w="5380" w:type="dxa"/>
            <w:vAlign w:val="bottom"/>
          </w:tcPr>
          <w:p>
            <w:pPr>
              <w:ind w:left="40"/>
              <w:spacing w:after="0"/>
              <w:rPr>
                <w:sz w:val="20"/>
                <w:szCs w:val="20"/>
                <w:color w:val="auto"/>
              </w:rPr>
            </w:pPr>
            <w:r>
              <w:rPr>
                <w:rFonts w:ascii="Arial" w:cs="Arial" w:eastAsia="Arial" w:hAnsi="Arial"/>
                <w:sz w:val="14"/>
                <w:szCs w:val="14"/>
                <w:color w:val="auto"/>
              </w:rPr>
              <w:t>Add: Equity-based compensation expense</w:t>
            </w:r>
          </w:p>
        </w:tc>
        <w:tc>
          <w:tcPr>
            <w:tcW w:w="200" w:type="dxa"/>
            <w:vAlign w:val="bottom"/>
          </w:tcPr>
          <w:p>
            <w:pPr>
              <w:spacing w:after="0"/>
              <w:rPr>
                <w:sz w:val="23"/>
                <w:szCs w:val="23"/>
                <w:color w:val="auto"/>
              </w:rPr>
            </w:pPr>
          </w:p>
        </w:tc>
        <w:tc>
          <w:tcPr>
            <w:tcW w:w="740" w:type="dxa"/>
            <w:vAlign w:val="bottom"/>
          </w:tcPr>
          <w:p>
            <w:pPr>
              <w:jc w:val="right"/>
              <w:ind w:right="48"/>
              <w:spacing w:after="0"/>
              <w:rPr>
                <w:sz w:val="20"/>
                <w:szCs w:val="20"/>
                <w:color w:val="auto"/>
              </w:rPr>
            </w:pPr>
            <w:r>
              <w:rPr>
                <w:rFonts w:ascii="Arial" w:cs="Arial" w:eastAsia="Arial" w:hAnsi="Arial"/>
                <w:sz w:val="14"/>
                <w:szCs w:val="14"/>
                <w:b w:val="1"/>
                <w:bCs w:val="1"/>
                <w:color w:val="auto"/>
              </w:rPr>
              <w:t>90</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3"/>
                <w:szCs w:val="23"/>
                <w:color w:val="auto"/>
              </w:rPr>
            </w:pPr>
          </w:p>
        </w:tc>
        <w:tc>
          <w:tcPr>
            <w:tcW w:w="780" w:type="dxa"/>
            <w:vAlign w:val="bottom"/>
          </w:tcPr>
          <w:p>
            <w:pPr>
              <w:jc w:val="right"/>
              <w:ind w:right="48"/>
              <w:spacing w:after="0"/>
              <w:rPr>
                <w:sz w:val="20"/>
                <w:szCs w:val="20"/>
                <w:color w:val="auto"/>
              </w:rPr>
            </w:pPr>
            <w:r>
              <w:rPr>
                <w:rFonts w:ascii="Arial" w:cs="Arial" w:eastAsia="Arial" w:hAnsi="Arial"/>
                <w:sz w:val="14"/>
                <w:szCs w:val="14"/>
                <w:color w:val="auto"/>
              </w:rPr>
              <w:t>90</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00" w:type="dxa"/>
            <w:vAlign w:val="bottom"/>
          </w:tcPr>
          <w:p>
            <w:pPr>
              <w:jc w:val="right"/>
              <w:ind w:right="28"/>
              <w:spacing w:after="0"/>
              <w:rPr>
                <w:sz w:val="20"/>
                <w:szCs w:val="20"/>
                <w:color w:val="auto"/>
              </w:rPr>
            </w:pPr>
            <w:r>
              <w:rPr>
                <w:rFonts w:ascii="Arial" w:cs="Arial" w:eastAsia="Arial" w:hAnsi="Arial"/>
                <w:sz w:val="14"/>
                <w:szCs w:val="14"/>
                <w:b w:val="1"/>
                <w:bCs w:val="1"/>
                <w:color w:val="auto"/>
              </w:rPr>
              <w:t>228</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(4,168)</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40" w:type="dxa"/>
            <w:vAlign w:val="bottom"/>
          </w:tcPr>
          <w:p>
            <w:pPr>
              <w:jc w:val="right"/>
              <w:ind w:right="28"/>
              <w:spacing w:after="0"/>
              <w:rPr>
                <w:sz w:val="20"/>
                <w:szCs w:val="20"/>
                <w:color w:val="auto"/>
              </w:rPr>
            </w:pPr>
            <w:r>
              <w:rPr>
                <w:rFonts w:ascii="Arial" w:cs="Arial" w:eastAsia="Arial" w:hAnsi="Arial"/>
                <w:sz w:val="14"/>
                <w:szCs w:val="14"/>
                <w:color w:val="auto"/>
              </w:rPr>
              <w:t>4,396</w:t>
            </w:r>
          </w:p>
        </w:tc>
        <w:tc>
          <w:tcPr>
            <w:tcW w:w="0" w:type="dxa"/>
            <w:vAlign w:val="bottom"/>
          </w:tcPr>
          <w:p>
            <w:pPr>
              <w:spacing w:after="0"/>
              <w:rPr>
                <w:sz w:val="1"/>
                <w:szCs w:val="1"/>
                <w:color w:val="auto"/>
              </w:rPr>
            </w:pPr>
          </w:p>
        </w:tc>
      </w:tr>
      <w:tr>
        <w:trPr>
          <w:trHeight w:val="271"/>
        </w:trPr>
        <w:tc>
          <w:tcPr>
            <w:tcW w:w="5380" w:type="dxa"/>
            <w:vAlign w:val="bottom"/>
            <w:shd w:val="clear" w:color="auto" w:fill="CCEEFF"/>
          </w:tcPr>
          <w:p>
            <w:pPr>
              <w:ind w:left="40"/>
              <w:spacing w:after="0"/>
              <w:rPr>
                <w:sz w:val="20"/>
                <w:szCs w:val="20"/>
                <w:color w:val="auto"/>
              </w:rPr>
            </w:pPr>
            <w:r>
              <w:rPr>
                <w:rFonts w:ascii="Arial" w:cs="Arial" w:eastAsia="Arial" w:hAnsi="Arial"/>
                <w:sz w:val="14"/>
                <w:szCs w:val="14"/>
                <w:color w:val="auto"/>
              </w:rPr>
              <w:t>Add: Acquisition and transaction expenses</w:t>
            </w:r>
          </w:p>
        </w:tc>
        <w:tc>
          <w:tcPr>
            <w:tcW w:w="200" w:type="dxa"/>
            <w:vAlign w:val="bottom"/>
            <w:shd w:val="clear" w:color="auto" w:fill="CCEEFF"/>
          </w:tcPr>
          <w:p>
            <w:pPr>
              <w:spacing w:after="0"/>
              <w:rPr>
                <w:sz w:val="23"/>
                <w:szCs w:val="23"/>
                <w:color w:val="auto"/>
              </w:rPr>
            </w:pPr>
          </w:p>
        </w:tc>
        <w:tc>
          <w:tcPr>
            <w:tcW w:w="86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b w:val="1"/>
                <w:bCs w:val="1"/>
                <w:color w:val="auto"/>
              </w:rPr>
              <w:t>—</w:t>
            </w:r>
          </w:p>
        </w:tc>
        <w:tc>
          <w:tcPr>
            <w:tcW w:w="200" w:type="dxa"/>
            <w:vAlign w:val="bottom"/>
            <w:shd w:val="clear" w:color="auto" w:fill="CCEEFF"/>
          </w:tcPr>
          <w:p>
            <w:pPr>
              <w:spacing w:after="0"/>
              <w:rPr>
                <w:sz w:val="23"/>
                <w:szCs w:val="23"/>
                <w:color w:val="auto"/>
              </w:rPr>
            </w:pPr>
          </w:p>
        </w:tc>
        <w:tc>
          <w:tcPr>
            <w:tcW w:w="7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109</w:t>
            </w: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7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(109)</w:t>
            </w: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b w:val="1"/>
                <w:bCs w:val="1"/>
                <w:color w:val="auto"/>
              </w:rPr>
              <w:t>—</w:t>
            </w:r>
          </w:p>
        </w:tc>
        <w:tc>
          <w:tcPr>
            <w:tcW w:w="200" w:type="dxa"/>
            <w:vAlign w:val="bottom"/>
            <w:shd w:val="clear" w:color="auto" w:fill="CCEEFF"/>
          </w:tcPr>
          <w:p>
            <w:pPr>
              <w:spacing w:after="0"/>
              <w:rPr>
                <w:sz w:val="23"/>
                <w:szCs w:val="23"/>
                <w:color w:val="auto"/>
              </w:rPr>
            </w:pPr>
          </w:p>
        </w:tc>
        <w:tc>
          <w:tcPr>
            <w:tcW w:w="7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400</w:t>
            </w: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(400)</w:t>
            </w:r>
          </w:p>
        </w:tc>
        <w:tc>
          <w:tcPr>
            <w:tcW w:w="0" w:type="dxa"/>
            <w:vAlign w:val="bottom"/>
          </w:tcPr>
          <w:p>
            <w:pPr>
              <w:spacing w:after="0"/>
              <w:rPr>
                <w:sz w:val="1"/>
                <w:szCs w:val="1"/>
                <w:color w:val="auto"/>
              </w:rPr>
            </w:pPr>
          </w:p>
        </w:tc>
      </w:tr>
      <w:tr>
        <w:trPr>
          <w:trHeight w:val="176"/>
        </w:trPr>
        <w:tc>
          <w:tcPr>
            <w:tcW w:w="5380" w:type="dxa"/>
            <w:vAlign w:val="bottom"/>
          </w:tcPr>
          <w:p>
            <w:pPr>
              <w:ind w:left="40"/>
              <w:spacing w:after="0"/>
              <w:rPr>
                <w:sz w:val="20"/>
                <w:szCs w:val="20"/>
                <w:color w:val="auto"/>
              </w:rPr>
            </w:pPr>
            <w:r>
              <w:rPr>
                <w:rFonts w:ascii="Arial" w:cs="Arial" w:eastAsia="Arial" w:hAnsi="Arial"/>
                <w:sz w:val="14"/>
                <w:szCs w:val="14"/>
                <w:color w:val="auto"/>
              </w:rPr>
              <w:t>Add: Losses on the modification or extinguishment of debt and capital lease</w:t>
            </w:r>
          </w:p>
        </w:tc>
        <w:tc>
          <w:tcPr>
            <w:tcW w:w="200" w:type="dxa"/>
            <w:vAlign w:val="bottom"/>
          </w:tcPr>
          <w:p>
            <w:pPr>
              <w:spacing w:after="0"/>
              <w:rPr>
                <w:sz w:val="15"/>
                <w:szCs w:val="15"/>
                <w:color w:val="auto"/>
              </w:rPr>
            </w:pPr>
          </w:p>
        </w:tc>
        <w:tc>
          <w:tcPr>
            <w:tcW w:w="860" w:type="dxa"/>
            <w:vAlign w:val="bottom"/>
            <w:gridSpan w:val="2"/>
            <w:vMerge w:val="restart"/>
          </w:tcPr>
          <w:p>
            <w:pPr>
              <w:jc w:val="right"/>
              <w:ind w:right="240"/>
              <w:spacing w:after="0"/>
              <w:rPr>
                <w:sz w:val="20"/>
                <w:szCs w:val="20"/>
                <w:color w:val="auto"/>
              </w:rPr>
            </w:pPr>
            <w:r>
              <w:rPr>
                <w:rFonts w:ascii="Arial" w:cs="Arial" w:eastAsia="Arial" w:hAnsi="Arial"/>
                <w:sz w:val="14"/>
                <w:szCs w:val="14"/>
                <w:b w:val="1"/>
                <w:bCs w:val="1"/>
                <w:color w:val="auto"/>
              </w:rPr>
              <w:t>—</w:t>
            </w:r>
          </w:p>
        </w:tc>
        <w:tc>
          <w:tcPr>
            <w:tcW w:w="2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0" w:type="dxa"/>
            <w:vAlign w:val="bottom"/>
            <w:gridSpan w:val="2"/>
            <w:vMerge w:val="restart"/>
          </w:tcPr>
          <w:p>
            <w:pPr>
              <w:jc w:val="right"/>
              <w:ind w:right="200"/>
              <w:spacing w:after="0"/>
              <w:rPr>
                <w:sz w:val="20"/>
                <w:szCs w:val="20"/>
                <w:color w:val="auto"/>
              </w:rPr>
            </w:pPr>
            <w:r>
              <w:rPr>
                <w:rFonts w:ascii="Arial" w:cs="Arial" w:eastAsia="Arial" w:hAnsi="Arial"/>
                <w:sz w:val="14"/>
                <w:szCs w:val="14"/>
                <w:b w:val="1"/>
                <w:bCs w:val="1"/>
                <w:color w:val="auto"/>
              </w:rPr>
              <w:t>—</w:t>
            </w:r>
          </w:p>
        </w:tc>
        <w:tc>
          <w:tcPr>
            <w:tcW w:w="2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1"/>
        </w:trPr>
        <w:tc>
          <w:tcPr>
            <w:tcW w:w="5380" w:type="dxa"/>
            <w:vAlign w:val="bottom"/>
          </w:tcPr>
          <w:p>
            <w:pPr>
              <w:ind w:left="40"/>
              <w:spacing w:after="0"/>
              <w:rPr>
                <w:sz w:val="20"/>
                <w:szCs w:val="20"/>
                <w:color w:val="auto"/>
              </w:rPr>
            </w:pPr>
            <w:r>
              <w:rPr>
                <w:rFonts w:ascii="Arial" w:cs="Arial" w:eastAsia="Arial" w:hAnsi="Arial"/>
                <w:sz w:val="14"/>
                <w:szCs w:val="14"/>
                <w:color w:val="auto"/>
              </w:rPr>
              <w:t>obligations</w:t>
            </w:r>
          </w:p>
        </w:tc>
        <w:tc>
          <w:tcPr>
            <w:tcW w:w="200" w:type="dxa"/>
            <w:vAlign w:val="bottom"/>
          </w:tcPr>
          <w:p>
            <w:pPr>
              <w:spacing w:after="0"/>
              <w:rPr>
                <w:sz w:val="17"/>
                <w:szCs w:val="17"/>
                <w:color w:val="auto"/>
              </w:rPr>
            </w:pPr>
          </w:p>
        </w:tc>
        <w:tc>
          <w:tcPr>
            <w:tcW w:w="860" w:type="dxa"/>
            <w:vAlign w:val="bottom"/>
            <w:gridSpan w:val="2"/>
            <w:vMerge w:val="continue"/>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7"/>
                <w:szCs w:val="17"/>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7"/>
                <w:szCs w:val="17"/>
                <w:color w:val="auto"/>
              </w:rPr>
            </w:pPr>
          </w:p>
        </w:tc>
        <w:tc>
          <w:tcPr>
            <w:tcW w:w="800" w:type="dxa"/>
            <w:vAlign w:val="bottom"/>
            <w:gridSpan w:val="2"/>
            <w:vMerge w:val="continue"/>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Pr>
          <w:p>
            <w:pPr>
              <w:jc w:val="right"/>
              <w:ind w:right="28"/>
              <w:spacing w:after="0"/>
              <w:rPr>
                <w:sz w:val="20"/>
                <w:szCs w:val="20"/>
                <w:color w:val="auto"/>
              </w:rPr>
            </w:pPr>
            <w:r>
              <w:rPr>
                <w:rFonts w:ascii="Arial" w:cs="Arial" w:eastAsia="Arial" w:hAnsi="Arial"/>
                <w:sz w:val="14"/>
                <w:szCs w:val="14"/>
                <w:color w:val="auto"/>
              </w:rPr>
              <w:t>1,579</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(1,579)</w:t>
            </w:r>
          </w:p>
        </w:tc>
        <w:tc>
          <w:tcPr>
            <w:tcW w:w="0" w:type="dxa"/>
            <w:vAlign w:val="bottom"/>
          </w:tcPr>
          <w:p>
            <w:pPr>
              <w:spacing w:after="0"/>
              <w:rPr>
                <w:sz w:val="1"/>
                <w:szCs w:val="1"/>
                <w:color w:val="auto"/>
              </w:rPr>
            </w:pPr>
          </w:p>
        </w:tc>
      </w:tr>
      <w:tr>
        <w:trPr>
          <w:trHeight w:val="271"/>
        </w:trPr>
        <w:tc>
          <w:tcPr>
            <w:tcW w:w="5380" w:type="dxa"/>
            <w:vAlign w:val="bottom"/>
            <w:shd w:val="clear" w:color="auto" w:fill="CCEEFF"/>
          </w:tcPr>
          <w:p>
            <w:pPr>
              <w:ind w:left="40"/>
              <w:spacing w:after="0"/>
              <w:rPr>
                <w:sz w:val="20"/>
                <w:szCs w:val="20"/>
                <w:color w:val="auto"/>
              </w:rPr>
            </w:pPr>
            <w:r>
              <w:rPr>
                <w:rFonts w:ascii="Arial" w:cs="Arial" w:eastAsia="Arial" w:hAnsi="Arial"/>
                <w:sz w:val="14"/>
                <w:szCs w:val="14"/>
                <w:color w:val="auto"/>
              </w:rPr>
              <w:t>Add: Changes in fair value of non-hedge derivative instruments</w:t>
            </w:r>
          </w:p>
        </w:tc>
        <w:tc>
          <w:tcPr>
            <w:tcW w:w="200" w:type="dxa"/>
            <w:vAlign w:val="bottom"/>
            <w:shd w:val="clear" w:color="auto" w:fill="CCEEFF"/>
          </w:tcPr>
          <w:p>
            <w:pPr>
              <w:spacing w:after="0"/>
              <w:rPr>
                <w:sz w:val="23"/>
                <w:szCs w:val="23"/>
                <w:color w:val="auto"/>
              </w:rPr>
            </w:pPr>
          </w:p>
        </w:tc>
        <w:tc>
          <w:tcPr>
            <w:tcW w:w="740" w:type="dxa"/>
            <w:vAlign w:val="bottom"/>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(1,036)</w:t>
            </w: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3"/>
                <w:szCs w:val="23"/>
                <w:color w:val="auto"/>
              </w:rPr>
            </w:pPr>
          </w:p>
        </w:tc>
        <w:tc>
          <w:tcPr>
            <w:tcW w:w="7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(1,036)</w:t>
            </w: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(1,036)</w:t>
            </w: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3"/>
                <w:szCs w:val="23"/>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(1,036)</w:t>
            </w:r>
          </w:p>
        </w:tc>
        <w:tc>
          <w:tcPr>
            <w:tcW w:w="0" w:type="dxa"/>
            <w:vAlign w:val="bottom"/>
          </w:tcPr>
          <w:p>
            <w:pPr>
              <w:spacing w:after="0"/>
              <w:rPr>
                <w:sz w:val="1"/>
                <w:szCs w:val="1"/>
                <w:color w:val="auto"/>
              </w:rPr>
            </w:pPr>
          </w:p>
        </w:tc>
      </w:tr>
      <w:tr>
        <w:trPr>
          <w:trHeight w:val="269"/>
        </w:trPr>
        <w:tc>
          <w:tcPr>
            <w:tcW w:w="5380" w:type="dxa"/>
            <w:vAlign w:val="bottom"/>
          </w:tcPr>
          <w:p>
            <w:pPr>
              <w:ind w:left="40"/>
              <w:spacing w:after="0"/>
              <w:rPr>
                <w:sz w:val="20"/>
                <w:szCs w:val="20"/>
                <w:color w:val="auto"/>
              </w:rPr>
            </w:pPr>
            <w:r>
              <w:rPr>
                <w:rFonts w:ascii="Arial" w:cs="Arial" w:eastAsia="Arial" w:hAnsi="Arial"/>
                <w:sz w:val="14"/>
                <w:szCs w:val="14"/>
                <w:color w:val="auto"/>
              </w:rPr>
              <w:t>Add: Asset impairment charges</w:t>
            </w:r>
          </w:p>
        </w:tc>
        <w:tc>
          <w:tcPr>
            <w:tcW w:w="200" w:type="dxa"/>
            <w:vAlign w:val="bottom"/>
          </w:tcPr>
          <w:p>
            <w:pPr>
              <w:spacing w:after="0"/>
              <w:rPr>
                <w:sz w:val="23"/>
                <w:szCs w:val="23"/>
                <w:color w:val="auto"/>
              </w:rPr>
            </w:pPr>
          </w:p>
        </w:tc>
        <w:tc>
          <w:tcPr>
            <w:tcW w:w="86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rPr>
              <w:t>—</w:t>
            </w:r>
          </w:p>
        </w:tc>
        <w:tc>
          <w:tcPr>
            <w:tcW w:w="200" w:type="dxa"/>
            <w:vAlign w:val="bottom"/>
          </w:tcPr>
          <w:p>
            <w:pPr>
              <w:spacing w:after="0"/>
              <w:rPr>
                <w:sz w:val="23"/>
                <w:szCs w:val="23"/>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3"/>
                <w:szCs w:val="23"/>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3"/>
                <w:szCs w:val="23"/>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rPr>
              <w:t>—</w:t>
            </w:r>
          </w:p>
        </w:tc>
        <w:tc>
          <w:tcPr>
            <w:tcW w:w="200" w:type="dxa"/>
            <w:vAlign w:val="bottom"/>
          </w:tcPr>
          <w:p>
            <w:pPr>
              <w:spacing w:after="0"/>
              <w:rPr>
                <w:sz w:val="23"/>
                <w:szCs w:val="23"/>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3"/>
                <w:szCs w:val="23"/>
                <w:color w:val="auto"/>
              </w:rPr>
            </w:pPr>
          </w:p>
        </w:tc>
        <w:tc>
          <w:tcPr>
            <w:tcW w:w="74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1"/>
        </w:trPr>
        <w:tc>
          <w:tcPr>
            <w:tcW w:w="5380" w:type="dxa"/>
            <w:vAlign w:val="bottom"/>
            <w:shd w:val="clear" w:color="auto" w:fill="CCEEFF"/>
          </w:tcPr>
          <w:p>
            <w:pPr>
              <w:ind w:left="40"/>
              <w:spacing w:after="0"/>
              <w:rPr>
                <w:sz w:val="20"/>
                <w:szCs w:val="20"/>
                <w:color w:val="auto"/>
              </w:rPr>
            </w:pPr>
            <w:r>
              <w:rPr>
                <w:rFonts w:ascii="Arial" w:cs="Arial" w:eastAsia="Arial" w:hAnsi="Arial"/>
                <w:sz w:val="14"/>
                <w:szCs w:val="14"/>
                <w:color w:val="auto"/>
              </w:rPr>
              <w:t xml:space="preserve">Add: Pro-rata share of Adjusted Net Loss from unconsolidated entities </w:t>
            </w:r>
            <w:r>
              <w:rPr>
                <w:rFonts w:ascii="Arial" w:cs="Arial" w:eastAsia="Arial" w:hAnsi="Arial"/>
                <w:sz w:val="17"/>
                <w:szCs w:val="17"/>
                <w:color w:val="auto"/>
                <w:vertAlign w:val="superscript"/>
              </w:rPr>
              <w:t>(1)</w:t>
            </w:r>
          </w:p>
        </w:tc>
        <w:tc>
          <w:tcPr>
            <w:tcW w:w="200" w:type="dxa"/>
            <w:vAlign w:val="bottom"/>
            <w:shd w:val="clear" w:color="auto" w:fill="CCEEFF"/>
          </w:tcPr>
          <w:p>
            <w:pPr>
              <w:spacing w:after="0"/>
              <w:rPr>
                <w:sz w:val="23"/>
                <w:szCs w:val="23"/>
                <w:color w:val="auto"/>
              </w:rPr>
            </w:pPr>
          </w:p>
        </w:tc>
        <w:tc>
          <w:tcPr>
            <w:tcW w:w="740" w:type="dxa"/>
            <w:vAlign w:val="bottom"/>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(24)</w:t>
            </w: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3"/>
                <w:szCs w:val="23"/>
                <w:color w:val="auto"/>
              </w:rPr>
            </w:pPr>
          </w:p>
        </w:tc>
        <w:tc>
          <w:tcPr>
            <w:tcW w:w="7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(24)</w:t>
            </w: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(99)</w:t>
            </w: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3"/>
                <w:szCs w:val="23"/>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(99)</w:t>
            </w:r>
          </w:p>
        </w:tc>
        <w:tc>
          <w:tcPr>
            <w:tcW w:w="0" w:type="dxa"/>
            <w:vAlign w:val="bottom"/>
          </w:tcPr>
          <w:p>
            <w:pPr>
              <w:spacing w:after="0"/>
              <w:rPr>
                <w:sz w:val="1"/>
                <w:szCs w:val="1"/>
                <w:color w:val="auto"/>
              </w:rPr>
            </w:pPr>
          </w:p>
        </w:tc>
      </w:tr>
      <w:tr>
        <w:trPr>
          <w:trHeight w:val="269"/>
        </w:trPr>
        <w:tc>
          <w:tcPr>
            <w:tcW w:w="5380" w:type="dxa"/>
            <w:vAlign w:val="bottom"/>
          </w:tcPr>
          <w:p>
            <w:pPr>
              <w:ind w:left="40"/>
              <w:spacing w:after="0"/>
              <w:rPr>
                <w:sz w:val="20"/>
                <w:szCs w:val="20"/>
                <w:color w:val="auto"/>
              </w:rPr>
            </w:pPr>
            <w:r>
              <w:rPr>
                <w:rFonts w:ascii="Arial" w:cs="Arial" w:eastAsia="Arial" w:hAnsi="Arial"/>
                <w:sz w:val="14"/>
                <w:szCs w:val="14"/>
                <w:color w:val="auto"/>
              </w:rPr>
              <w:t>Add: Incentive allocations</w:t>
            </w:r>
          </w:p>
        </w:tc>
        <w:tc>
          <w:tcPr>
            <w:tcW w:w="200" w:type="dxa"/>
            <w:vAlign w:val="bottom"/>
          </w:tcPr>
          <w:p>
            <w:pPr>
              <w:spacing w:after="0"/>
              <w:rPr>
                <w:sz w:val="23"/>
                <w:szCs w:val="23"/>
                <w:color w:val="auto"/>
              </w:rPr>
            </w:pPr>
          </w:p>
        </w:tc>
        <w:tc>
          <w:tcPr>
            <w:tcW w:w="86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rPr>
              <w:t>—</w:t>
            </w:r>
          </w:p>
        </w:tc>
        <w:tc>
          <w:tcPr>
            <w:tcW w:w="200" w:type="dxa"/>
            <w:vAlign w:val="bottom"/>
          </w:tcPr>
          <w:p>
            <w:pPr>
              <w:spacing w:after="0"/>
              <w:rPr>
                <w:sz w:val="23"/>
                <w:szCs w:val="23"/>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3"/>
                <w:szCs w:val="23"/>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3"/>
                <w:szCs w:val="23"/>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rPr>
              <w:t>—</w:t>
            </w:r>
          </w:p>
        </w:tc>
        <w:tc>
          <w:tcPr>
            <w:tcW w:w="200" w:type="dxa"/>
            <w:vAlign w:val="bottom"/>
          </w:tcPr>
          <w:p>
            <w:pPr>
              <w:spacing w:after="0"/>
              <w:rPr>
                <w:sz w:val="23"/>
                <w:szCs w:val="23"/>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3"/>
                <w:szCs w:val="23"/>
                <w:color w:val="auto"/>
              </w:rPr>
            </w:pPr>
          </w:p>
        </w:tc>
        <w:tc>
          <w:tcPr>
            <w:tcW w:w="74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1"/>
        </w:trPr>
        <w:tc>
          <w:tcPr>
            <w:tcW w:w="5380" w:type="dxa"/>
            <w:vAlign w:val="bottom"/>
            <w:shd w:val="clear" w:color="auto" w:fill="CCEEFF"/>
          </w:tcPr>
          <w:p>
            <w:pPr>
              <w:ind w:left="40"/>
              <w:spacing w:after="0"/>
              <w:rPr>
                <w:sz w:val="20"/>
                <w:szCs w:val="20"/>
                <w:color w:val="auto"/>
              </w:rPr>
            </w:pPr>
            <w:r>
              <w:rPr>
                <w:rFonts w:ascii="Arial" w:cs="Arial" w:eastAsia="Arial" w:hAnsi="Arial"/>
                <w:sz w:val="14"/>
                <w:szCs w:val="14"/>
                <w:color w:val="auto"/>
              </w:rPr>
              <w:t>Less: Cash payments for income taxes</w:t>
            </w:r>
          </w:p>
        </w:tc>
        <w:tc>
          <w:tcPr>
            <w:tcW w:w="200" w:type="dxa"/>
            <w:vAlign w:val="bottom"/>
            <w:shd w:val="clear" w:color="auto" w:fill="CCEEFF"/>
          </w:tcPr>
          <w:p>
            <w:pPr>
              <w:spacing w:after="0"/>
              <w:rPr>
                <w:sz w:val="23"/>
                <w:szCs w:val="23"/>
                <w:color w:val="auto"/>
              </w:rPr>
            </w:pPr>
          </w:p>
        </w:tc>
        <w:tc>
          <w:tcPr>
            <w:tcW w:w="74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3</w:t>
            </w: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3"/>
                <w:szCs w:val="23"/>
                <w:color w:val="auto"/>
              </w:rPr>
            </w:pPr>
          </w:p>
        </w:tc>
        <w:tc>
          <w:tcPr>
            <w:tcW w:w="7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w:t>
            </w: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(79)</w:t>
            </w: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(52)</w:t>
            </w: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w:t>
            </w:r>
          </w:p>
        </w:tc>
        <w:tc>
          <w:tcPr>
            <w:tcW w:w="0" w:type="dxa"/>
            <w:vAlign w:val="bottom"/>
          </w:tcPr>
          <w:p>
            <w:pPr>
              <w:spacing w:after="0"/>
              <w:rPr>
                <w:sz w:val="1"/>
                <w:szCs w:val="1"/>
                <w:color w:val="auto"/>
              </w:rPr>
            </w:pPr>
          </w:p>
        </w:tc>
      </w:tr>
      <w:tr>
        <w:trPr>
          <w:trHeight w:val="269"/>
        </w:trPr>
        <w:tc>
          <w:tcPr>
            <w:tcW w:w="5380" w:type="dxa"/>
            <w:vAlign w:val="bottom"/>
          </w:tcPr>
          <w:p>
            <w:pPr>
              <w:ind w:left="40"/>
              <w:spacing w:after="0"/>
              <w:rPr>
                <w:sz w:val="20"/>
                <w:szCs w:val="20"/>
                <w:color w:val="auto"/>
              </w:rPr>
            </w:pPr>
            <w:r>
              <w:rPr>
                <w:rFonts w:ascii="Arial" w:cs="Arial" w:eastAsia="Arial" w:hAnsi="Arial"/>
                <w:sz w:val="14"/>
                <w:szCs w:val="14"/>
                <w:color w:val="auto"/>
              </w:rPr>
              <w:t>Less: Equity in losses of unconsolidated entities</w:t>
            </w:r>
          </w:p>
        </w:tc>
        <w:tc>
          <w:tcPr>
            <w:tcW w:w="200" w:type="dxa"/>
            <w:vAlign w:val="bottom"/>
          </w:tcPr>
          <w:p>
            <w:pPr>
              <w:spacing w:after="0"/>
              <w:rPr>
                <w:sz w:val="23"/>
                <w:szCs w:val="23"/>
                <w:color w:val="auto"/>
              </w:rPr>
            </w:pPr>
          </w:p>
        </w:tc>
        <w:tc>
          <w:tcPr>
            <w:tcW w:w="740" w:type="dxa"/>
            <w:vAlign w:val="bottom"/>
          </w:tcPr>
          <w:p>
            <w:pPr>
              <w:jc w:val="right"/>
              <w:ind w:right="48"/>
              <w:spacing w:after="0"/>
              <w:rPr>
                <w:sz w:val="20"/>
                <w:szCs w:val="20"/>
                <w:color w:val="auto"/>
              </w:rPr>
            </w:pPr>
            <w:r>
              <w:rPr>
                <w:rFonts w:ascii="Arial" w:cs="Arial" w:eastAsia="Arial" w:hAnsi="Arial"/>
                <w:sz w:val="14"/>
                <w:szCs w:val="14"/>
                <w:b w:val="1"/>
                <w:bCs w:val="1"/>
                <w:color w:val="auto"/>
              </w:rPr>
              <w:t>24</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3"/>
                <w:szCs w:val="23"/>
                <w:color w:val="auto"/>
              </w:rPr>
            </w:pPr>
          </w:p>
        </w:tc>
        <w:tc>
          <w:tcPr>
            <w:tcW w:w="780" w:type="dxa"/>
            <w:vAlign w:val="bottom"/>
          </w:tcPr>
          <w:p>
            <w:pPr>
              <w:jc w:val="right"/>
              <w:ind w:right="48"/>
              <w:spacing w:after="0"/>
              <w:rPr>
                <w:sz w:val="20"/>
                <w:szCs w:val="20"/>
                <w:color w:val="auto"/>
              </w:rPr>
            </w:pPr>
            <w:r>
              <w:rPr>
                <w:rFonts w:ascii="Arial" w:cs="Arial" w:eastAsia="Arial" w:hAnsi="Arial"/>
                <w:sz w:val="14"/>
                <w:szCs w:val="14"/>
                <w:color w:val="auto"/>
              </w:rPr>
              <w:t>24</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00" w:type="dxa"/>
            <w:vAlign w:val="bottom"/>
          </w:tcPr>
          <w:p>
            <w:pPr>
              <w:jc w:val="right"/>
              <w:ind w:right="28"/>
              <w:spacing w:after="0"/>
              <w:rPr>
                <w:sz w:val="20"/>
                <w:szCs w:val="20"/>
                <w:color w:val="auto"/>
              </w:rPr>
            </w:pPr>
            <w:r>
              <w:rPr>
                <w:rFonts w:ascii="Arial" w:cs="Arial" w:eastAsia="Arial" w:hAnsi="Arial"/>
                <w:sz w:val="14"/>
                <w:szCs w:val="14"/>
                <w:b w:val="1"/>
                <w:bCs w:val="1"/>
                <w:color w:val="auto"/>
              </w:rPr>
              <w:t>99</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3"/>
                <w:szCs w:val="23"/>
                <w:color w:val="auto"/>
              </w:rPr>
            </w:pPr>
          </w:p>
        </w:tc>
        <w:tc>
          <w:tcPr>
            <w:tcW w:w="740" w:type="dxa"/>
            <w:vAlign w:val="bottom"/>
          </w:tcPr>
          <w:p>
            <w:pPr>
              <w:jc w:val="right"/>
              <w:ind w:right="28"/>
              <w:spacing w:after="0"/>
              <w:rPr>
                <w:sz w:val="20"/>
                <w:szCs w:val="20"/>
                <w:color w:val="auto"/>
              </w:rPr>
            </w:pPr>
            <w:r>
              <w:rPr>
                <w:rFonts w:ascii="Arial" w:cs="Arial" w:eastAsia="Arial" w:hAnsi="Arial"/>
                <w:sz w:val="14"/>
                <w:szCs w:val="14"/>
                <w:color w:val="auto"/>
              </w:rPr>
              <w:t>99</w:t>
            </w:r>
          </w:p>
        </w:tc>
        <w:tc>
          <w:tcPr>
            <w:tcW w:w="0" w:type="dxa"/>
            <w:vAlign w:val="bottom"/>
          </w:tcPr>
          <w:p>
            <w:pPr>
              <w:spacing w:after="0"/>
              <w:rPr>
                <w:sz w:val="1"/>
                <w:szCs w:val="1"/>
                <w:color w:val="auto"/>
              </w:rPr>
            </w:pPr>
          </w:p>
        </w:tc>
      </w:tr>
      <w:tr>
        <w:trPr>
          <w:trHeight w:val="271"/>
        </w:trPr>
        <w:tc>
          <w:tcPr>
            <w:tcW w:w="5380" w:type="dxa"/>
            <w:vAlign w:val="bottom"/>
            <w:shd w:val="clear" w:color="auto" w:fill="CCEEFF"/>
          </w:tcPr>
          <w:p>
            <w:pPr>
              <w:ind w:left="40"/>
              <w:spacing w:after="0"/>
              <w:rPr>
                <w:sz w:val="20"/>
                <w:szCs w:val="20"/>
                <w:color w:val="auto"/>
              </w:rPr>
            </w:pPr>
            <w:r>
              <w:rPr>
                <w:rFonts w:ascii="Arial" w:cs="Arial" w:eastAsia="Arial" w:hAnsi="Arial"/>
                <w:sz w:val="14"/>
                <w:szCs w:val="14"/>
                <w:color w:val="auto"/>
              </w:rPr>
              <w:t>Less: Non-controlling share of Adjusted Net Loss</w:t>
            </w:r>
            <w:r>
              <w:rPr>
                <w:rFonts w:ascii="Arial" w:cs="Arial" w:eastAsia="Arial" w:hAnsi="Arial"/>
                <w:sz w:val="17"/>
                <w:szCs w:val="17"/>
                <w:color w:val="auto"/>
                <w:vertAlign w:val="superscript"/>
              </w:rPr>
              <w:t>(2)</w:t>
            </w:r>
          </w:p>
        </w:tc>
        <w:tc>
          <w:tcPr>
            <w:tcW w:w="200" w:type="dxa"/>
            <w:vAlign w:val="bottom"/>
            <w:tcBorders>
              <w:bottom w:val="single" w:sz="8" w:color="auto"/>
            </w:tcBorders>
            <w:shd w:val="clear" w:color="auto" w:fill="CCEEFF"/>
          </w:tcPr>
          <w:p>
            <w:pPr>
              <w:spacing w:after="0"/>
              <w:rPr>
                <w:sz w:val="23"/>
                <w:szCs w:val="23"/>
                <w:color w:val="auto"/>
              </w:rPr>
            </w:pPr>
          </w:p>
        </w:tc>
        <w:tc>
          <w:tcPr>
            <w:tcW w:w="74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(440)</w:t>
            </w:r>
          </w:p>
        </w:tc>
        <w:tc>
          <w:tcPr>
            <w:tcW w:w="12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(164)</w:t>
            </w:r>
          </w:p>
        </w:tc>
        <w:tc>
          <w:tcPr>
            <w:tcW w:w="12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7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(276)</w:t>
            </w:r>
          </w:p>
        </w:tc>
        <w:tc>
          <w:tcPr>
            <w:tcW w:w="10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(475)</w:t>
            </w:r>
          </w:p>
        </w:tc>
        <w:tc>
          <w:tcPr>
            <w:tcW w:w="10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7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853</w:t>
            </w:r>
          </w:p>
        </w:tc>
        <w:tc>
          <w:tcPr>
            <w:tcW w:w="10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(1,328)</w:t>
            </w:r>
          </w:p>
        </w:tc>
        <w:tc>
          <w:tcPr>
            <w:tcW w:w="0" w:type="dxa"/>
            <w:vAlign w:val="bottom"/>
          </w:tcPr>
          <w:p>
            <w:pPr>
              <w:spacing w:after="0"/>
              <w:rPr>
                <w:sz w:val="1"/>
                <w:szCs w:val="1"/>
                <w:color w:val="auto"/>
              </w:rPr>
            </w:pPr>
          </w:p>
        </w:tc>
      </w:tr>
      <w:tr>
        <w:trPr>
          <w:trHeight w:val="248"/>
        </w:trPr>
        <w:tc>
          <w:tcPr>
            <w:tcW w:w="5380" w:type="dxa"/>
            <w:vAlign w:val="bottom"/>
          </w:tcPr>
          <w:p>
            <w:pPr>
              <w:ind w:left="40"/>
              <w:spacing w:after="0"/>
              <w:rPr>
                <w:sz w:val="20"/>
                <w:szCs w:val="20"/>
                <w:color w:val="auto"/>
              </w:rPr>
            </w:pPr>
            <w:r>
              <w:rPr>
                <w:rFonts w:ascii="Arial" w:cs="Arial" w:eastAsia="Arial" w:hAnsi="Arial"/>
                <w:sz w:val="14"/>
                <w:szCs w:val="14"/>
                <w:b w:val="1"/>
                <w:bCs w:val="1"/>
                <w:color w:val="auto"/>
              </w:rPr>
              <w:t>Adjusted Net Loss</w:t>
            </w:r>
          </w:p>
        </w:tc>
        <w:tc>
          <w:tcPr>
            <w:tcW w:w="2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w:t>
            </w:r>
          </w:p>
        </w:tc>
        <w:tc>
          <w:tcPr>
            <w:tcW w:w="7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(6,081)</w:t>
            </w:r>
          </w:p>
        </w:tc>
        <w:tc>
          <w:tcPr>
            <w:tcW w:w="120" w:type="dxa"/>
            <w:vAlign w:val="bottom"/>
          </w:tcPr>
          <w:p>
            <w:pPr>
              <w:spacing w:after="0"/>
              <w:rPr>
                <w:sz w:val="21"/>
                <w:szCs w:val="21"/>
                <w:color w:val="auto"/>
              </w:rPr>
            </w:pPr>
          </w:p>
        </w:tc>
        <w:tc>
          <w:tcPr>
            <w:tcW w:w="2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(5,719)</w:t>
            </w:r>
          </w:p>
        </w:tc>
        <w:tc>
          <w:tcPr>
            <w:tcW w:w="120" w:type="dxa"/>
            <w:vAlign w:val="bottom"/>
          </w:tcPr>
          <w:p>
            <w:pPr>
              <w:spacing w:after="0"/>
              <w:rPr>
                <w:sz w:val="21"/>
                <w:szCs w:val="21"/>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(362)</w:t>
            </w:r>
          </w:p>
        </w:tc>
        <w:tc>
          <w:tcPr>
            <w:tcW w:w="100" w:type="dxa"/>
            <w:vAlign w:val="bottom"/>
          </w:tcPr>
          <w:p>
            <w:pPr>
              <w:spacing w:after="0"/>
              <w:rPr>
                <w:sz w:val="21"/>
                <w:szCs w:val="21"/>
                <w:color w:val="auto"/>
              </w:rPr>
            </w:pPr>
          </w:p>
        </w:tc>
        <w:tc>
          <w:tcPr>
            <w:tcW w:w="2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(15,269)</w:t>
            </w:r>
          </w:p>
        </w:tc>
        <w:tc>
          <w:tcPr>
            <w:tcW w:w="100" w:type="dxa"/>
            <w:vAlign w:val="bottom"/>
          </w:tcPr>
          <w:p>
            <w:pPr>
              <w:spacing w:after="0"/>
              <w:rPr>
                <w:sz w:val="21"/>
                <w:szCs w:val="21"/>
                <w:color w:val="auto"/>
              </w:rPr>
            </w:pPr>
          </w:p>
        </w:tc>
        <w:tc>
          <w:tcPr>
            <w:tcW w:w="2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(18,495)</w:t>
            </w:r>
          </w:p>
        </w:tc>
        <w:tc>
          <w:tcPr>
            <w:tcW w:w="100" w:type="dxa"/>
            <w:vAlign w:val="bottom"/>
          </w:tcPr>
          <w:p>
            <w:pPr>
              <w:spacing w:after="0"/>
              <w:rPr>
                <w:sz w:val="21"/>
                <w:szCs w:val="21"/>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3,226</w:t>
            </w:r>
          </w:p>
        </w:tc>
        <w:tc>
          <w:tcPr>
            <w:tcW w:w="0" w:type="dxa"/>
            <w:vAlign w:val="bottom"/>
          </w:tcPr>
          <w:p>
            <w:pPr>
              <w:spacing w:after="0"/>
              <w:rPr>
                <w:sz w:val="1"/>
                <w:szCs w:val="1"/>
                <w:color w:val="auto"/>
              </w:rPr>
            </w:pPr>
          </w:p>
        </w:tc>
      </w:tr>
      <w:tr>
        <w:trPr>
          <w:trHeight w:val="210"/>
        </w:trPr>
        <w:tc>
          <w:tcPr>
            <w:tcW w:w="5380" w:type="dxa"/>
            <w:vAlign w:val="bottom"/>
          </w:tcPr>
          <w:p>
            <w:pPr>
              <w:spacing w:after="0"/>
              <w:rPr>
                <w:sz w:val="20"/>
                <w:szCs w:val="20"/>
                <w:color w:val="auto"/>
              </w:rPr>
            </w:pPr>
            <w:r>
              <w:rPr>
                <w:rFonts w:ascii="Arial" w:cs="Arial" w:eastAsia="Arial" w:hAnsi="Arial"/>
                <w:sz w:val="16"/>
                <w:szCs w:val="16"/>
                <w:color w:val="auto"/>
              </w:rPr>
              <w:t>______________________________________________________</w:t>
            </w: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151" w:lineRule="exact"/>
        <w:rPr>
          <w:sz w:val="20"/>
          <w:szCs w:val="20"/>
          <w:color w:val="auto"/>
        </w:rPr>
      </w:pPr>
    </w:p>
    <w:p>
      <w:pPr>
        <w:ind w:left="500" w:right="20" w:hanging="492"/>
        <w:spacing w:after="0" w:line="239" w:lineRule="auto"/>
        <w:tabs>
          <w:tab w:leader="none" w:pos="149" w:val="left"/>
        </w:tabs>
        <w:numPr>
          <w:ilvl w:val="0"/>
          <w:numId w:val="21"/>
        </w:numPr>
        <w:rPr>
          <w:rFonts w:ascii="Arial" w:cs="Arial" w:eastAsia="Arial" w:hAnsi="Arial"/>
          <w:sz w:val="17"/>
          <w:szCs w:val="17"/>
          <w:color w:val="auto"/>
          <w:vertAlign w:val="superscript"/>
        </w:rPr>
      </w:pPr>
      <w:r>
        <w:rPr>
          <w:rFonts w:ascii="Arial" w:cs="Arial" w:eastAsia="Arial" w:hAnsi="Arial"/>
          <w:sz w:val="14"/>
          <w:szCs w:val="14"/>
          <w:color w:val="auto"/>
        </w:rPr>
        <w:t>Pro-rata share of Adjusted Net Loss from unconsolidated entities includes Jefferson’s proportionate share of the unconsolidated entities’ net income adjusted for the excluded and included items detailed in the table above, for which there were no adjustments.</w:t>
      </w:r>
    </w:p>
    <w:p>
      <w:pPr>
        <w:spacing w:after="0" w:line="131" w:lineRule="exact"/>
        <w:rPr>
          <w:rFonts w:ascii="Arial" w:cs="Arial" w:eastAsia="Arial" w:hAnsi="Arial"/>
          <w:sz w:val="17"/>
          <w:szCs w:val="17"/>
          <w:color w:val="auto"/>
          <w:vertAlign w:val="superscript"/>
        </w:rPr>
      </w:pPr>
    </w:p>
    <w:p>
      <w:pPr>
        <w:ind w:left="500" w:hanging="492"/>
        <w:spacing w:after="0" w:line="236" w:lineRule="auto"/>
        <w:tabs>
          <w:tab w:leader="none" w:pos="162" w:val="left"/>
        </w:tabs>
        <w:numPr>
          <w:ilvl w:val="0"/>
          <w:numId w:val="21"/>
        </w:numPr>
        <w:rPr>
          <w:rFonts w:ascii="Arial" w:cs="Arial" w:eastAsia="Arial" w:hAnsi="Arial"/>
          <w:sz w:val="18"/>
          <w:szCs w:val="18"/>
          <w:color w:val="auto"/>
          <w:vertAlign w:val="superscript"/>
        </w:rPr>
      </w:pPr>
      <w:r>
        <w:rPr>
          <w:rFonts w:ascii="Arial" w:cs="Arial" w:eastAsia="Arial" w:hAnsi="Arial"/>
          <w:sz w:val="14"/>
          <w:szCs w:val="14"/>
          <w:color w:val="auto"/>
        </w:rPr>
        <w:t>Jefferson Terminal’s non-controlling share of Adjusted Net Loss is comprised of the following for the three months ended September 30, 2017 and 2016: (i) equity-based compensation of $36 and $0, (ii) provision for income taxes of $(1) and $8, (iii) acquisition and transaction expenses of $0 and $156 and (iv) changes in fair value of non-hedge derivative instruments of $404 and $0, less (v) cash tax payments of $(1) and $0, respectively. Jefferson Terminal’s non-controlling share of Adjusted Net Loss is comprised of the following for the nine months</w:t>
      </w:r>
    </w:p>
    <w:p>
      <w:pPr>
        <w:sectPr>
          <w:pgSz w:w="11900" w:h="16838" w:orient="portrait"/>
          <w:cols w:equalWidth="0" w:num="1">
            <w:col w:w="11420"/>
          </w:cols>
          <w:pgMar w:left="240" w:top="579" w:right="239" w:bottom="1440" w:gutter="0" w:footer="0" w:header="0"/>
        </w:sect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59</w:t>
      </w:r>
    </w:p>
    <w:p>
      <w:pPr>
        <w:sectPr>
          <w:pgSz w:w="11900" w:h="16838" w:orient="portrait"/>
          <w:cols w:equalWidth="0" w:num="1">
            <w:col w:w="11420"/>
          </w:cols>
          <w:pgMar w:left="240" w:top="579" w:right="239" w:bottom="1440" w:gutter="0" w:footer="0" w:header="0"/>
          <w:type w:val="continuous"/>
        </w:sectPr>
      </w:pPr>
    </w:p>
    <w:bookmarkStart w:id="59" w:name="page60"/>
    <w:bookmarkEnd w:id="59"/>
    <w:p>
      <w:pPr>
        <w:jc w:val="both"/>
        <w:ind w:left="500"/>
        <w:spacing w:after="0" w:line="266" w:lineRule="auto"/>
        <w:rPr>
          <w:sz w:val="20"/>
          <w:szCs w:val="20"/>
          <w:color w:val="auto"/>
        </w:rPr>
      </w:pPr>
      <w:r>
        <w:rPr>
          <w:rFonts w:ascii="Arial" w:cs="Arial" w:eastAsia="Arial" w:hAnsi="Arial"/>
          <w:sz w:val="14"/>
          <w:szCs w:val="14"/>
          <w:color w:val="auto"/>
        </w:rPr>
        <w:t>ended September 30, 2017 and 2016: (i) equity-based compensation of $90 and $(1,627), (ii) provision for income taxes of $12 and $22, (iii) acquisition and transaction expenses of $0 and $156, (iv) changes in fair value of non-hedge derivative instruments of $404 and $0, and (v) loss on extinguishment of debt of $0 and $616, less (iv) cash paid for income taxes of $31 and $20, respectively.</w:t>
      </w:r>
    </w:p>
    <w:p>
      <w:pPr>
        <w:spacing w:after="0" w:line="108"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The following table sets forth a reconciliation of net loss attributable to shareholders to Adjusted EBITDA for the Jefferson Terminal segment for the three and nine months ended September 30, 2017 and September 30, 2016:</w:t>
      </w: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3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900" w:type="dxa"/>
            <w:vAlign w:val="bottom"/>
            <w:gridSpan w:val="5"/>
          </w:tcPr>
          <w:p>
            <w:pPr>
              <w:jc w:val="center"/>
              <w:ind w:right="280"/>
              <w:spacing w:after="0"/>
              <w:rPr>
                <w:sz w:val="20"/>
                <w:szCs w:val="20"/>
                <w:color w:val="auto"/>
              </w:rPr>
            </w:pPr>
            <w:r>
              <w:rPr>
                <w:rFonts w:ascii="Arial" w:cs="Arial" w:eastAsia="Arial" w:hAnsi="Arial"/>
                <w:sz w:val="14"/>
                <w:szCs w:val="14"/>
                <w:b w:val="1"/>
                <w:bCs w:val="1"/>
                <w:color w:val="auto"/>
              </w:rPr>
              <w:t>Three Months Ended</w:t>
            </w:r>
          </w:p>
        </w:tc>
        <w:tc>
          <w:tcPr>
            <w:tcW w:w="1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00" w:type="dxa"/>
            <w:vAlign w:val="bottom"/>
            <w:gridSpan w:val="5"/>
          </w:tcPr>
          <w:p>
            <w:pPr>
              <w:ind w:left="100"/>
              <w:spacing w:after="0"/>
              <w:rPr>
                <w:sz w:val="20"/>
                <w:szCs w:val="20"/>
                <w:color w:val="auto"/>
              </w:rPr>
            </w:pPr>
            <w:r>
              <w:rPr>
                <w:rFonts w:ascii="Arial" w:cs="Arial" w:eastAsia="Arial" w:hAnsi="Arial"/>
                <w:sz w:val="14"/>
                <w:szCs w:val="14"/>
                <w:b w:val="1"/>
                <w:bCs w:val="1"/>
                <w:color w:val="auto"/>
              </w:rPr>
              <w:t>Nine Months Ended</w:t>
            </w:r>
          </w:p>
        </w:tc>
        <w:tc>
          <w:tcPr>
            <w:tcW w:w="1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53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900" w:type="dxa"/>
            <w:vAlign w:val="bottom"/>
            <w:gridSpan w:val="5"/>
          </w:tcPr>
          <w:p>
            <w:pPr>
              <w:jc w:val="center"/>
              <w:ind w:right="280"/>
              <w:spacing w:after="0"/>
              <w:rPr>
                <w:sz w:val="20"/>
                <w:szCs w:val="20"/>
                <w:color w:val="auto"/>
              </w:rPr>
            </w:pPr>
            <w:r>
              <w:rPr>
                <w:rFonts w:ascii="Arial" w:cs="Arial" w:eastAsia="Arial" w:hAnsi="Arial"/>
                <w:sz w:val="14"/>
                <w:szCs w:val="14"/>
                <w:b w:val="1"/>
                <w:bCs w:val="1"/>
                <w:color w:val="auto"/>
              </w:rPr>
              <w:t>September 30,</w:t>
            </w: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0" w:type="dxa"/>
            <w:vAlign w:val="bottom"/>
            <w:gridSpan w:val="5"/>
          </w:tcPr>
          <w:p>
            <w:pPr>
              <w:ind w:left="280"/>
              <w:spacing w:after="0"/>
              <w:rPr>
                <w:sz w:val="20"/>
                <w:szCs w:val="20"/>
                <w:color w:val="auto"/>
              </w:rPr>
            </w:pPr>
            <w:r>
              <w:rPr>
                <w:rFonts w:ascii="Arial" w:cs="Arial" w:eastAsia="Arial" w:hAnsi="Arial"/>
                <w:sz w:val="14"/>
                <w:szCs w:val="14"/>
                <w:b w:val="1"/>
                <w:bCs w:val="1"/>
                <w:color w:val="auto"/>
              </w:rPr>
              <w:t>September 30,</w:t>
            </w: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64"/>
        </w:trPr>
        <w:tc>
          <w:tcPr>
            <w:tcW w:w="5380" w:type="dxa"/>
            <w:vAlign w:val="bottom"/>
          </w:tcPr>
          <w:p>
            <w:pPr>
              <w:ind w:left="40"/>
              <w:spacing w:after="0"/>
              <w:rPr>
                <w:sz w:val="20"/>
                <w:szCs w:val="20"/>
                <w:color w:val="auto"/>
              </w:rPr>
            </w:pPr>
            <w:r>
              <w:rPr>
                <w:rFonts w:ascii="Arial" w:cs="Arial" w:eastAsia="Arial" w:hAnsi="Arial"/>
                <w:sz w:val="14"/>
                <w:szCs w:val="14"/>
                <w:i w:val="1"/>
                <w:iCs w:val="1"/>
                <w:color w:val="auto"/>
              </w:rPr>
              <w:t>(Dollar amounts in thousands)</w:t>
            </w:r>
          </w:p>
        </w:tc>
        <w:tc>
          <w:tcPr>
            <w:tcW w:w="200" w:type="dxa"/>
            <w:vAlign w:val="bottom"/>
            <w:tcBorders>
              <w:top w:val="single" w:sz="8" w:color="auto"/>
            </w:tcBorders>
          </w:tcPr>
          <w:p>
            <w:pPr>
              <w:spacing w:after="0"/>
              <w:rPr>
                <w:sz w:val="22"/>
                <w:szCs w:val="22"/>
                <w:color w:val="auto"/>
              </w:rPr>
            </w:pPr>
          </w:p>
        </w:tc>
        <w:tc>
          <w:tcPr>
            <w:tcW w:w="740" w:type="dxa"/>
            <w:vAlign w:val="bottom"/>
            <w:tcBorders>
              <w:top w:val="single" w:sz="8" w:color="auto"/>
            </w:tcBorders>
          </w:tcPr>
          <w:p>
            <w:pPr>
              <w:jc w:val="right"/>
              <w:ind w:right="248"/>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top w:val="single" w:sz="8" w:color="auto"/>
            </w:tcBorders>
          </w:tcPr>
          <w:p>
            <w:pPr>
              <w:spacing w:after="0"/>
              <w:rPr>
                <w:sz w:val="22"/>
                <w:szCs w:val="22"/>
                <w:color w:val="auto"/>
              </w:rPr>
            </w:pPr>
          </w:p>
        </w:tc>
        <w:tc>
          <w:tcPr>
            <w:tcW w:w="200" w:type="dxa"/>
            <w:vAlign w:val="bottom"/>
            <w:tcBorders>
              <w:top w:val="single" w:sz="8" w:color="auto"/>
            </w:tcBorders>
          </w:tcPr>
          <w:p>
            <w:pPr>
              <w:spacing w:after="0"/>
              <w:rPr>
                <w:sz w:val="22"/>
                <w:szCs w:val="22"/>
                <w:color w:val="auto"/>
              </w:rPr>
            </w:pPr>
          </w:p>
        </w:tc>
        <w:tc>
          <w:tcPr>
            <w:tcW w:w="720" w:type="dxa"/>
            <w:vAlign w:val="bottom"/>
            <w:tcBorders>
              <w:top w:val="single" w:sz="8" w:color="auto"/>
            </w:tcBorders>
          </w:tcPr>
          <w:p>
            <w:pPr>
              <w:jc w:val="right"/>
              <w:ind w:right="228"/>
              <w:spacing w:after="0"/>
              <w:rPr>
                <w:sz w:val="20"/>
                <w:szCs w:val="20"/>
                <w:color w:val="auto"/>
              </w:rPr>
            </w:pPr>
            <w:r>
              <w:rPr>
                <w:rFonts w:ascii="Arial" w:cs="Arial" w:eastAsia="Arial" w:hAnsi="Arial"/>
                <w:sz w:val="14"/>
                <w:szCs w:val="14"/>
                <w:b w:val="1"/>
                <w:bCs w:val="1"/>
                <w:color w:val="auto"/>
              </w:rPr>
              <w:t>2016</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80" w:type="dxa"/>
            <w:vAlign w:val="bottom"/>
            <w:gridSpan w:val="2"/>
          </w:tcPr>
          <w:p>
            <w:pPr>
              <w:ind w:left="60"/>
              <w:spacing w:after="0"/>
              <w:rPr>
                <w:sz w:val="20"/>
                <w:szCs w:val="20"/>
                <w:color w:val="auto"/>
              </w:rPr>
            </w:pPr>
            <w:r>
              <w:rPr>
                <w:rFonts w:ascii="Arial" w:cs="Arial" w:eastAsia="Arial" w:hAnsi="Arial"/>
                <w:sz w:val="14"/>
                <w:szCs w:val="14"/>
                <w:b w:val="1"/>
                <w:bCs w:val="1"/>
                <w:color w:val="auto"/>
              </w:rPr>
              <w:t>Change</w:t>
            </w:r>
          </w:p>
        </w:tc>
        <w:tc>
          <w:tcPr>
            <w:tcW w:w="200" w:type="dxa"/>
            <w:vAlign w:val="bottom"/>
            <w:tcBorders>
              <w:top w:val="single" w:sz="8" w:color="auto"/>
            </w:tcBorders>
          </w:tcPr>
          <w:p>
            <w:pPr>
              <w:spacing w:after="0"/>
              <w:rPr>
                <w:sz w:val="22"/>
                <w:szCs w:val="22"/>
                <w:color w:val="auto"/>
              </w:rPr>
            </w:pPr>
          </w:p>
        </w:tc>
        <w:tc>
          <w:tcPr>
            <w:tcW w:w="700" w:type="dxa"/>
            <w:vAlign w:val="bottom"/>
            <w:tcBorders>
              <w:top w:val="single" w:sz="8" w:color="auto"/>
            </w:tcBorders>
          </w:tcPr>
          <w:p>
            <w:pPr>
              <w:ind w:left="100"/>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top w:val="single" w:sz="8" w:color="auto"/>
            </w:tcBorders>
          </w:tcPr>
          <w:p>
            <w:pPr>
              <w:spacing w:after="0"/>
              <w:rPr>
                <w:sz w:val="22"/>
                <w:szCs w:val="22"/>
                <w:color w:val="auto"/>
              </w:rPr>
            </w:pPr>
          </w:p>
        </w:tc>
        <w:tc>
          <w:tcPr>
            <w:tcW w:w="200" w:type="dxa"/>
            <w:vAlign w:val="bottom"/>
            <w:tcBorders>
              <w:top w:val="single" w:sz="8" w:color="auto"/>
            </w:tcBorders>
          </w:tcPr>
          <w:p>
            <w:pPr>
              <w:spacing w:after="0"/>
              <w:rPr>
                <w:sz w:val="22"/>
                <w:szCs w:val="22"/>
                <w:color w:val="auto"/>
              </w:rPr>
            </w:pPr>
          </w:p>
        </w:tc>
        <w:tc>
          <w:tcPr>
            <w:tcW w:w="700" w:type="dxa"/>
            <w:vAlign w:val="bottom"/>
            <w:tcBorders>
              <w:top w:val="single" w:sz="8" w:color="auto"/>
            </w:tcBorders>
          </w:tcPr>
          <w:p>
            <w:pPr>
              <w:jc w:val="right"/>
              <w:ind w:right="208"/>
              <w:spacing w:after="0"/>
              <w:rPr>
                <w:sz w:val="20"/>
                <w:szCs w:val="20"/>
                <w:color w:val="auto"/>
              </w:rPr>
            </w:pPr>
            <w:r>
              <w:rPr>
                <w:rFonts w:ascii="Arial" w:cs="Arial" w:eastAsia="Arial" w:hAnsi="Arial"/>
                <w:sz w:val="14"/>
                <w:szCs w:val="14"/>
                <w:b w:val="1"/>
                <w:bCs w:val="1"/>
                <w:color w:val="auto"/>
              </w:rPr>
              <w:t>2016</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40" w:type="dxa"/>
            <w:vAlign w:val="bottom"/>
          </w:tcPr>
          <w:p>
            <w:pPr>
              <w:jc w:val="right"/>
              <w:ind w:right="108"/>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250"/>
        </w:trPr>
        <w:tc>
          <w:tcPr>
            <w:tcW w:w="5380" w:type="dxa"/>
            <w:vAlign w:val="bottom"/>
          </w:tcPr>
          <w:p>
            <w:pPr>
              <w:ind w:left="40"/>
              <w:spacing w:after="0"/>
              <w:rPr>
                <w:sz w:val="20"/>
                <w:szCs w:val="20"/>
                <w:color w:val="auto"/>
              </w:rPr>
            </w:pPr>
            <w:r>
              <w:rPr>
                <w:rFonts w:ascii="Arial" w:cs="Arial" w:eastAsia="Arial" w:hAnsi="Arial"/>
                <w:sz w:val="14"/>
                <w:szCs w:val="14"/>
                <w:b w:val="1"/>
                <w:bCs w:val="1"/>
                <w:color w:val="auto"/>
              </w:rPr>
              <w:t>Net loss attributable to shareholders</w:t>
            </w:r>
          </w:p>
        </w:tc>
        <w:tc>
          <w:tcPr>
            <w:tcW w:w="200" w:type="dxa"/>
            <w:vAlign w:val="bottom"/>
            <w:tcBorders>
              <w:top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w:t>
            </w:r>
          </w:p>
        </w:tc>
        <w:tc>
          <w:tcPr>
            <w:tcW w:w="740" w:type="dxa"/>
            <w:vAlign w:val="bottom"/>
            <w:tcBorders>
              <w:top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(4,695)</w:t>
            </w:r>
          </w:p>
        </w:tc>
        <w:tc>
          <w:tcPr>
            <w:tcW w:w="120" w:type="dxa"/>
            <w:vAlign w:val="bottom"/>
          </w:tcPr>
          <w:p>
            <w:pPr>
              <w:spacing w:after="0"/>
              <w:rPr>
                <w:sz w:val="21"/>
                <w:szCs w:val="21"/>
                <w:color w:val="auto"/>
              </w:rPr>
            </w:pPr>
          </w:p>
        </w:tc>
        <w:tc>
          <w:tcPr>
            <w:tcW w:w="200" w:type="dxa"/>
            <w:vAlign w:val="bottom"/>
            <w:tcBorders>
              <w:top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(5,684)</w:t>
            </w:r>
          </w:p>
        </w:tc>
        <w:tc>
          <w:tcPr>
            <w:tcW w:w="120" w:type="dxa"/>
            <w:vAlign w:val="bottom"/>
          </w:tcPr>
          <w:p>
            <w:pPr>
              <w:spacing w:after="0"/>
              <w:rPr>
                <w:sz w:val="21"/>
                <w:szCs w:val="21"/>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80" w:type="dxa"/>
            <w:vAlign w:val="bottom"/>
            <w:tcBorders>
              <w:top w:val="single" w:sz="8" w:color="auto"/>
            </w:tcBorders>
          </w:tcPr>
          <w:p>
            <w:pPr>
              <w:jc w:val="right"/>
              <w:ind w:right="48"/>
              <w:spacing w:after="0"/>
              <w:rPr>
                <w:sz w:val="20"/>
                <w:szCs w:val="20"/>
                <w:color w:val="auto"/>
              </w:rPr>
            </w:pPr>
            <w:r>
              <w:rPr>
                <w:rFonts w:ascii="Arial" w:cs="Arial" w:eastAsia="Arial" w:hAnsi="Arial"/>
                <w:sz w:val="14"/>
                <w:szCs w:val="14"/>
                <w:color w:val="auto"/>
              </w:rPr>
              <w:t>989</w:t>
            </w:r>
          </w:p>
        </w:tc>
        <w:tc>
          <w:tcPr>
            <w:tcW w:w="100" w:type="dxa"/>
            <w:vAlign w:val="bottom"/>
          </w:tcPr>
          <w:p>
            <w:pPr>
              <w:spacing w:after="0"/>
              <w:rPr>
                <w:sz w:val="21"/>
                <w:szCs w:val="21"/>
                <w:color w:val="auto"/>
              </w:rPr>
            </w:pPr>
          </w:p>
        </w:tc>
        <w:tc>
          <w:tcPr>
            <w:tcW w:w="200" w:type="dxa"/>
            <w:vAlign w:val="bottom"/>
            <w:tcBorders>
              <w:top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w:t>
            </w: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auto"/>
              </w:rPr>
              <w:t>(13,938)</w:t>
            </w:r>
          </w:p>
        </w:tc>
        <w:tc>
          <w:tcPr>
            <w:tcW w:w="100" w:type="dxa"/>
            <w:vAlign w:val="bottom"/>
          </w:tcPr>
          <w:p>
            <w:pPr>
              <w:spacing w:after="0"/>
              <w:rPr>
                <w:sz w:val="21"/>
                <w:szCs w:val="21"/>
                <w:color w:val="auto"/>
              </w:rPr>
            </w:pPr>
          </w:p>
        </w:tc>
        <w:tc>
          <w:tcPr>
            <w:tcW w:w="200" w:type="dxa"/>
            <w:vAlign w:val="bottom"/>
            <w:tcBorders>
              <w:top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(17,162)</w:t>
            </w:r>
          </w:p>
        </w:tc>
        <w:tc>
          <w:tcPr>
            <w:tcW w:w="100" w:type="dxa"/>
            <w:vAlign w:val="bottom"/>
          </w:tcPr>
          <w:p>
            <w:pPr>
              <w:spacing w:after="0"/>
              <w:rPr>
                <w:sz w:val="21"/>
                <w:szCs w:val="21"/>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40" w:type="dxa"/>
            <w:vAlign w:val="bottom"/>
            <w:tcBorders>
              <w:top w:val="single" w:sz="8" w:color="auto"/>
            </w:tcBorders>
          </w:tcPr>
          <w:p>
            <w:pPr>
              <w:jc w:val="right"/>
              <w:ind w:right="28"/>
              <w:spacing w:after="0"/>
              <w:rPr>
                <w:sz w:val="20"/>
                <w:szCs w:val="20"/>
                <w:color w:val="auto"/>
              </w:rPr>
            </w:pPr>
            <w:r>
              <w:rPr>
                <w:rFonts w:ascii="Arial" w:cs="Arial" w:eastAsia="Arial" w:hAnsi="Arial"/>
                <w:sz w:val="14"/>
                <w:szCs w:val="14"/>
                <w:color w:val="auto"/>
              </w:rPr>
              <w:t>3,224</w:t>
            </w:r>
          </w:p>
        </w:tc>
        <w:tc>
          <w:tcPr>
            <w:tcW w:w="0" w:type="dxa"/>
            <w:vAlign w:val="bottom"/>
          </w:tcPr>
          <w:p>
            <w:pPr>
              <w:spacing w:after="0"/>
              <w:rPr>
                <w:sz w:val="1"/>
                <w:szCs w:val="1"/>
                <w:color w:val="auto"/>
              </w:rPr>
            </w:pPr>
          </w:p>
        </w:tc>
      </w:tr>
      <w:tr>
        <w:trPr>
          <w:trHeight w:val="271"/>
        </w:trPr>
        <w:tc>
          <w:tcPr>
            <w:tcW w:w="5380" w:type="dxa"/>
            <w:vAlign w:val="bottom"/>
            <w:shd w:val="clear" w:color="auto" w:fill="CCEEFF"/>
          </w:tcPr>
          <w:p>
            <w:pPr>
              <w:ind w:left="40"/>
              <w:spacing w:after="0"/>
              <w:rPr>
                <w:sz w:val="20"/>
                <w:szCs w:val="20"/>
                <w:color w:val="auto"/>
              </w:rPr>
            </w:pPr>
            <w:r>
              <w:rPr>
                <w:rFonts w:ascii="Arial" w:cs="Arial" w:eastAsia="Arial" w:hAnsi="Arial"/>
                <w:sz w:val="14"/>
                <w:szCs w:val="14"/>
                <w:color w:val="auto"/>
              </w:rPr>
              <w:t>Add: Provision for income taxes</w:t>
            </w:r>
          </w:p>
        </w:tc>
        <w:tc>
          <w:tcPr>
            <w:tcW w:w="200" w:type="dxa"/>
            <w:vAlign w:val="bottom"/>
            <w:shd w:val="clear" w:color="auto" w:fill="CCEEFF"/>
          </w:tcPr>
          <w:p>
            <w:pPr>
              <w:spacing w:after="0"/>
              <w:rPr>
                <w:sz w:val="23"/>
                <w:szCs w:val="23"/>
                <w:color w:val="auto"/>
              </w:rPr>
            </w:pPr>
          </w:p>
        </w:tc>
        <w:tc>
          <w:tcPr>
            <w:tcW w:w="740" w:type="dxa"/>
            <w:vAlign w:val="bottom"/>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(3)</w:t>
            </w: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7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20</w:t>
            </w: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7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(23)</w:t>
            </w: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70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31</w:t>
            </w: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7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55</w:t>
            </w: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w:t>
            </w:r>
          </w:p>
        </w:tc>
        <w:tc>
          <w:tcPr>
            <w:tcW w:w="0" w:type="dxa"/>
            <w:vAlign w:val="bottom"/>
          </w:tcPr>
          <w:p>
            <w:pPr>
              <w:spacing w:after="0"/>
              <w:rPr>
                <w:sz w:val="1"/>
                <w:szCs w:val="1"/>
                <w:color w:val="auto"/>
              </w:rPr>
            </w:pPr>
          </w:p>
        </w:tc>
      </w:tr>
      <w:tr>
        <w:trPr>
          <w:trHeight w:val="269"/>
        </w:trPr>
        <w:tc>
          <w:tcPr>
            <w:tcW w:w="5380" w:type="dxa"/>
            <w:vAlign w:val="bottom"/>
          </w:tcPr>
          <w:p>
            <w:pPr>
              <w:ind w:left="40"/>
              <w:spacing w:after="0"/>
              <w:rPr>
                <w:sz w:val="20"/>
                <w:szCs w:val="20"/>
                <w:color w:val="auto"/>
              </w:rPr>
            </w:pPr>
            <w:r>
              <w:rPr>
                <w:rFonts w:ascii="Arial" w:cs="Arial" w:eastAsia="Arial" w:hAnsi="Arial"/>
                <w:sz w:val="14"/>
                <w:szCs w:val="14"/>
                <w:color w:val="auto"/>
              </w:rPr>
              <w:t>Add: Equity-based compensation expense</w:t>
            </w:r>
          </w:p>
        </w:tc>
        <w:tc>
          <w:tcPr>
            <w:tcW w:w="200" w:type="dxa"/>
            <w:vAlign w:val="bottom"/>
          </w:tcPr>
          <w:p>
            <w:pPr>
              <w:spacing w:after="0"/>
              <w:rPr>
                <w:sz w:val="23"/>
                <w:szCs w:val="23"/>
                <w:color w:val="auto"/>
              </w:rPr>
            </w:pPr>
          </w:p>
        </w:tc>
        <w:tc>
          <w:tcPr>
            <w:tcW w:w="740" w:type="dxa"/>
            <w:vAlign w:val="bottom"/>
          </w:tcPr>
          <w:p>
            <w:pPr>
              <w:jc w:val="right"/>
              <w:ind w:right="48"/>
              <w:spacing w:after="0"/>
              <w:rPr>
                <w:sz w:val="20"/>
                <w:szCs w:val="20"/>
                <w:color w:val="auto"/>
              </w:rPr>
            </w:pPr>
            <w:r>
              <w:rPr>
                <w:rFonts w:ascii="Arial" w:cs="Arial" w:eastAsia="Arial" w:hAnsi="Arial"/>
                <w:sz w:val="14"/>
                <w:szCs w:val="14"/>
                <w:b w:val="1"/>
                <w:bCs w:val="1"/>
                <w:color w:val="auto"/>
              </w:rPr>
              <w:t>90</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3"/>
                <w:szCs w:val="23"/>
                <w:color w:val="auto"/>
              </w:rPr>
            </w:pPr>
          </w:p>
        </w:tc>
        <w:tc>
          <w:tcPr>
            <w:tcW w:w="780" w:type="dxa"/>
            <w:vAlign w:val="bottom"/>
          </w:tcPr>
          <w:p>
            <w:pPr>
              <w:jc w:val="right"/>
              <w:ind w:right="48"/>
              <w:spacing w:after="0"/>
              <w:rPr>
                <w:sz w:val="20"/>
                <w:szCs w:val="20"/>
                <w:color w:val="auto"/>
              </w:rPr>
            </w:pPr>
            <w:r>
              <w:rPr>
                <w:rFonts w:ascii="Arial" w:cs="Arial" w:eastAsia="Arial" w:hAnsi="Arial"/>
                <w:sz w:val="14"/>
                <w:szCs w:val="14"/>
                <w:color w:val="auto"/>
              </w:rPr>
              <w:t>90</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00" w:type="dxa"/>
            <w:vAlign w:val="bottom"/>
          </w:tcPr>
          <w:p>
            <w:pPr>
              <w:jc w:val="right"/>
              <w:ind w:right="28"/>
              <w:spacing w:after="0"/>
              <w:rPr>
                <w:sz w:val="20"/>
                <w:szCs w:val="20"/>
                <w:color w:val="auto"/>
              </w:rPr>
            </w:pPr>
            <w:r>
              <w:rPr>
                <w:rFonts w:ascii="Arial" w:cs="Arial" w:eastAsia="Arial" w:hAnsi="Arial"/>
                <w:sz w:val="14"/>
                <w:szCs w:val="14"/>
                <w:b w:val="1"/>
                <w:bCs w:val="1"/>
                <w:color w:val="auto"/>
              </w:rPr>
              <w:t>228</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(4,168)</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40" w:type="dxa"/>
            <w:vAlign w:val="bottom"/>
          </w:tcPr>
          <w:p>
            <w:pPr>
              <w:jc w:val="right"/>
              <w:ind w:right="28"/>
              <w:spacing w:after="0"/>
              <w:rPr>
                <w:sz w:val="20"/>
                <w:szCs w:val="20"/>
                <w:color w:val="auto"/>
              </w:rPr>
            </w:pPr>
            <w:r>
              <w:rPr>
                <w:rFonts w:ascii="Arial" w:cs="Arial" w:eastAsia="Arial" w:hAnsi="Arial"/>
                <w:sz w:val="14"/>
                <w:szCs w:val="14"/>
                <w:color w:val="auto"/>
              </w:rPr>
              <w:t>4,396</w:t>
            </w:r>
          </w:p>
        </w:tc>
        <w:tc>
          <w:tcPr>
            <w:tcW w:w="0" w:type="dxa"/>
            <w:vAlign w:val="bottom"/>
          </w:tcPr>
          <w:p>
            <w:pPr>
              <w:spacing w:after="0"/>
              <w:rPr>
                <w:sz w:val="1"/>
                <w:szCs w:val="1"/>
                <w:color w:val="auto"/>
              </w:rPr>
            </w:pPr>
          </w:p>
        </w:tc>
      </w:tr>
      <w:tr>
        <w:trPr>
          <w:trHeight w:val="271"/>
        </w:trPr>
        <w:tc>
          <w:tcPr>
            <w:tcW w:w="5380" w:type="dxa"/>
            <w:vAlign w:val="bottom"/>
            <w:shd w:val="clear" w:color="auto" w:fill="CCEEFF"/>
          </w:tcPr>
          <w:p>
            <w:pPr>
              <w:ind w:left="40"/>
              <w:spacing w:after="0"/>
              <w:rPr>
                <w:sz w:val="20"/>
                <w:szCs w:val="20"/>
                <w:color w:val="auto"/>
              </w:rPr>
            </w:pPr>
            <w:r>
              <w:rPr>
                <w:rFonts w:ascii="Arial" w:cs="Arial" w:eastAsia="Arial" w:hAnsi="Arial"/>
                <w:sz w:val="14"/>
                <w:szCs w:val="14"/>
                <w:color w:val="auto"/>
              </w:rPr>
              <w:t>Add: Acquisition and transaction expenses</w:t>
            </w:r>
          </w:p>
        </w:tc>
        <w:tc>
          <w:tcPr>
            <w:tcW w:w="200" w:type="dxa"/>
            <w:vAlign w:val="bottom"/>
            <w:shd w:val="clear" w:color="auto" w:fill="CCEEFF"/>
          </w:tcPr>
          <w:p>
            <w:pPr>
              <w:spacing w:after="0"/>
              <w:rPr>
                <w:sz w:val="23"/>
                <w:szCs w:val="23"/>
                <w:color w:val="auto"/>
              </w:rPr>
            </w:pPr>
          </w:p>
        </w:tc>
        <w:tc>
          <w:tcPr>
            <w:tcW w:w="86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b w:val="1"/>
                <w:bCs w:val="1"/>
                <w:color w:val="auto"/>
              </w:rPr>
              <w:t>—</w:t>
            </w:r>
          </w:p>
        </w:tc>
        <w:tc>
          <w:tcPr>
            <w:tcW w:w="200" w:type="dxa"/>
            <w:vAlign w:val="bottom"/>
            <w:shd w:val="clear" w:color="auto" w:fill="CCEEFF"/>
          </w:tcPr>
          <w:p>
            <w:pPr>
              <w:spacing w:after="0"/>
              <w:rPr>
                <w:sz w:val="23"/>
                <w:szCs w:val="23"/>
                <w:color w:val="auto"/>
              </w:rPr>
            </w:pPr>
          </w:p>
        </w:tc>
        <w:tc>
          <w:tcPr>
            <w:tcW w:w="7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109</w:t>
            </w: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7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(109)</w:t>
            </w: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b w:val="1"/>
                <w:bCs w:val="1"/>
                <w:color w:val="auto"/>
              </w:rPr>
              <w:t>—</w:t>
            </w:r>
          </w:p>
        </w:tc>
        <w:tc>
          <w:tcPr>
            <w:tcW w:w="200" w:type="dxa"/>
            <w:vAlign w:val="bottom"/>
            <w:shd w:val="clear" w:color="auto" w:fill="CCEEFF"/>
          </w:tcPr>
          <w:p>
            <w:pPr>
              <w:spacing w:after="0"/>
              <w:rPr>
                <w:sz w:val="23"/>
                <w:szCs w:val="23"/>
                <w:color w:val="auto"/>
              </w:rPr>
            </w:pPr>
          </w:p>
        </w:tc>
        <w:tc>
          <w:tcPr>
            <w:tcW w:w="7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400</w:t>
            </w: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(400)</w:t>
            </w:r>
          </w:p>
        </w:tc>
        <w:tc>
          <w:tcPr>
            <w:tcW w:w="0" w:type="dxa"/>
            <w:vAlign w:val="bottom"/>
          </w:tcPr>
          <w:p>
            <w:pPr>
              <w:spacing w:after="0"/>
              <w:rPr>
                <w:sz w:val="1"/>
                <w:szCs w:val="1"/>
                <w:color w:val="auto"/>
              </w:rPr>
            </w:pPr>
          </w:p>
        </w:tc>
      </w:tr>
      <w:tr>
        <w:trPr>
          <w:trHeight w:val="176"/>
        </w:trPr>
        <w:tc>
          <w:tcPr>
            <w:tcW w:w="5380" w:type="dxa"/>
            <w:vAlign w:val="bottom"/>
          </w:tcPr>
          <w:p>
            <w:pPr>
              <w:ind w:left="40"/>
              <w:spacing w:after="0"/>
              <w:rPr>
                <w:sz w:val="20"/>
                <w:szCs w:val="20"/>
                <w:color w:val="auto"/>
              </w:rPr>
            </w:pPr>
            <w:r>
              <w:rPr>
                <w:rFonts w:ascii="Arial" w:cs="Arial" w:eastAsia="Arial" w:hAnsi="Arial"/>
                <w:sz w:val="14"/>
                <w:szCs w:val="14"/>
                <w:color w:val="auto"/>
              </w:rPr>
              <w:t>Add: Losses on the modification or extinguishment of debt and capital lease</w:t>
            </w:r>
          </w:p>
        </w:tc>
        <w:tc>
          <w:tcPr>
            <w:tcW w:w="200" w:type="dxa"/>
            <w:vAlign w:val="bottom"/>
          </w:tcPr>
          <w:p>
            <w:pPr>
              <w:spacing w:after="0"/>
              <w:rPr>
                <w:sz w:val="15"/>
                <w:szCs w:val="15"/>
                <w:color w:val="auto"/>
              </w:rPr>
            </w:pPr>
          </w:p>
        </w:tc>
        <w:tc>
          <w:tcPr>
            <w:tcW w:w="860" w:type="dxa"/>
            <w:vAlign w:val="bottom"/>
            <w:gridSpan w:val="2"/>
            <w:vMerge w:val="restart"/>
          </w:tcPr>
          <w:p>
            <w:pPr>
              <w:jc w:val="right"/>
              <w:ind w:right="240"/>
              <w:spacing w:after="0"/>
              <w:rPr>
                <w:sz w:val="20"/>
                <w:szCs w:val="20"/>
                <w:color w:val="auto"/>
              </w:rPr>
            </w:pPr>
            <w:r>
              <w:rPr>
                <w:rFonts w:ascii="Arial" w:cs="Arial" w:eastAsia="Arial" w:hAnsi="Arial"/>
                <w:sz w:val="14"/>
                <w:szCs w:val="14"/>
                <w:b w:val="1"/>
                <w:bCs w:val="1"/>
                <w:color w:val="auto"/>
              </w:rPr>
              <w:t>—</w:t>
            </w:r>
          </w:p>
        </w:tc>
        <w:tc>
          <w:tcPr>
            <w:tcW w:w="2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0" w:type="dxa"/>
            <w:vAlign w:val="bottom"/>
            <w:gridSpan w:val="2"/>
            <w:vMerge w:val="restart"/>
          </w:tcPr>
          <w:p>
            <w:pPr>
              <w:jc w:val="right"/>
              <w:ind w:right="200"/>
              <w:spacing w:after="0"/>
              <w:rPr>
                <w:sz w:val="20"/>
                <w:szCs w:val="20"/>
                <w:color w:val="auto"/>
              </w:rPr>
            </w:pPr>
            <w:r>
              <w:rPr>
                <w:rFonts w:ascii="Arial" w:cs="Arial" w:eastAsia="Arial" w:hAnsi="Arial"/>
                <w:sz w:val="14"/>
                <w:szCs w:val="14"/>
                <w:b w:val="1"/>
                <w:bCs w:val="1"/>
                <w:color w:val="auto"/>
              </w:rPr>
              <w:t>—</w:t>
            </w:r>
          </w:p>
        </w:tc>
        <w:tc>
          <w:tcPr>
            <w:tcW w:w="2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1"/>
        </w:trPr>
        <w:tc>
          <w:tcPr>
            <w:tcW w:w="5380" w:type="dxa"/>
            <w:vAlign w:val="bottom"/>
          </w:tcPr>
          <w:p>
            <w:pPr>
              <w:ind w:left="40"/>
              <w:spacing w:after="0"/>
              <w:rPr>
                <w:sz w:val="20"/>
                <w:szCs w:val="20"/>
                <w:color w:val="auto"/>
              </w:rPr>
            </w:pPr>
            <w:r>
              <w:rPr>
                <w:rFonts w:ascii="Arial" w:cs="Arial" w:eastAsia="Arial" w:hAnsi="Arial"/>
                <w:sz w:val="14"/>
                <w:szCs w:val="14"/>
                <w:color w:val="auto"/>
              </w:rPr>
              <w:t>obligations</w:t>
            </w:r>
          </w:p>
        </w:tc>
        <w:tc>
          <w:tcPr>
            <w:tcW w:w="200" w:type="dxa"/>
            <w:vAlign w:val="bottom"/>
          </w:tcPr>
          <w:p>
            <w:pPr>
              <w:spacing w:after="0"/>
              <w:rPr>
                <w:sz w:val="17"/>
                <w:szCs w:val="17"/>
                <w:color w:val="auto"/>
              </w:rPr>
            </w:pPr>
          </w:p>
        </w:tc>
        <w:tc>
          <w:tcPr>
            <w:tcW w:w="860" w:type="dxa"/>
            <w:vAlign w:val="bottom"/>
            <w:gridSpan w:val="2"/>
            <w:vMerge w:val="continue"/>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7"/>
                <w:szCs w:val="17"/>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7"/>
                <w:szCs w:val="17"/>
                <w:color w:val="auto"/>
              </w:rPr>
            </w:pPr>
          </w:p>
        </w:tc>
        <w:tc>
          <w:tcPr>
            <w:tcW w:w="800" w:type="dxa"/>
            <w:vAlign w:val="bottom"/>
            <w:gridSpan w:val="2"/>
            <w:vMerge w:val="continue"/>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Pr>
          <w:p>
            <w:pPr>
              <w:jc w:val="right"/>
              <w:ind w:right="28"/>
              <w:spacing w:after="0"/>
              <w:rPr>
                <w:sz w:val="20"/>
                <w:szCs w:val="20"/>
                <w:color w:val="auto"/>
              </w:rPr>
            </w:pPr>
            <w:r>
              <w:rPr>
                <w:rFonts w:ascii="Arial" w:cs="Arial" w:eastAsia="Arial" w:hAnsi="Arial"/>
                <w:sz w:val="14"/>
                <w:szCs w:val="14"/>
                <w:color w:val="auto"/>
              </w:rPr>
              <w:t>1,579</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(1,579)</w:t>
            </w:r>
          </w:p>
        </w:tc>
        <w:tc>
          <w:tcPr>
            <w:tcW w:w="0" w:type="dxa"/>
            <w:vAlign w:val="bottom"/>
          </w:tcPr>
          <w:p>
            <w:pPr>
              <w:spacing w:after="0"/>
              <w:rPr>
                <w:sz w:val="1"/>
                <w:szCs w:val="1"/>
                <w:color w:val="auto"/>
              </w:rPr>
            </w:pPr>
          </w:p>
        </w:tc>
      </w:tr>
      <w:tr>
        <w:trPr>
          <w:trHeight w:val="271"/>
        </w:trPr>
        <w:tc>
          <w:tcPr>
            <w:tcW w:w="5380" w:type="dxa"/>
            <w:vAlign w:val="bottom"/>
            <w:shd w:val="clear" w:color="auto" w:fill="CCEEFF"/>
          </w:tcPr>
          <w:p>
            <w:pPr>
              <w:ind w:left="40"/>
              <w:spacing w:after="0"/>
              <w:rPr>
                <w:sz w:val="20"/>
                <w:szCs w:val="20"/>
                <w:color w:val="auto"/>
              </w:rPr>
            </w:pPr>
            <w:r>
              <w:rPr>
                <w:rFonts w:ascii="Arial" w:cs="Arial" w:eastAsia="Arial" w:hAnsi="Arial"/>
                <w:sz w:val="14"/>
                <w:szCs w:val="14"/>
                <w:color w:val="auto"/>
              </w:rPr>
              <w:t>Add: Changes in fair value of non-hedge derivative instruments</w:t>
            </w:r>
          </w:p>
        </w:tc>
        <w:tc>
          <w:tcPr>
            <w:tcW w:w="200" w:type="dxa"/>
            <w:vAlign w:val="bottom"/>
            <w:shd w:val="clear" w:color="auto" w:fill="CCEEFF"/>
          </w:tcPr>
          <w:p>
            <w:pPr>
              <w:spacing w:after="0"/>
              <w:rPr>
                <w:sz w:val="23"/>
                <w:szCs w:val="23"/>
                <w:color w:val="auto"/>
              </w:rPr>
            </w:pPr>
          </w:p>
        </w:tc>
        <w:tc>
          <w:tcPr>
            <w:tcW w:w="740" w:type="dxa"/>
            <w:vAlign w:val="bottom"/>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(1,036)</w:t>
            </w: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3"/>
                <w:szCs w:val="23"/>
                <w:color w:val="auto"/>
              </w:rPr>
            </w:pPr>
          </w:p>
        </w:tc>
        <w:tc>
          <w:tcPr>
            <w:tcW w:w="7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(1,036)</w:t>
            </w: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(1,036)</w:t>
            </w: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3"/>
                <w:szCs w:val="23"/>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(1,036)</w:t>
            </w:r>
          </w:p>
        </w:tc>
        <w:tc>
          <w:tcPr>
            <w:tcW w:w="0" w:type="dxa"/>
            <w:vAlign w:val="bottom"/>
          </w:tcPr>
          <w:p>
            <w:pPr>
              <w:spacing w:after="0"/>
              <w:rPr>
                <w:sz w:val="1"/>
                <w:szCs w:val="1"/>
                <w:color w:val="auto"/>
              </w:rPr>
            </w:pPr>
          </w:p>
        </w:tc>
      </w:tr>
      <w:tr>
        <w:trPr>
          <w:trHeight w:val="269"/>
        </w:trPr>
        <w:tc>
          <w:tcPr>
            <w:tcW w:w="5380" w:type="dxa"/>
            <w:vAlign w:val="bottom"/>
          </w:tcPr>
          <w:p>
            <w:pPr>
              <w:ind w:left="40"/>
              <w:spacing w:after="0"/>
              <w:rPr>
                <w:sz w:val="20"/>
                <w:szCs w:val="20"/>
                <w:color w:val="auto"/>
              </w:rPr>
            </w:pPr>
            <w:r>
              <w:rPr>
                <w:rFonts w:ascii="Arial" w:cs="Arial" w:eastAsia="Arial" w:hAnsi="Arial"/>
                <w:sz w:val="14"/>
                <w:szCs w:val="14"/>
                <w:color w:val="auto"/>
              </w:rPr>
              <w:t>Add: Asset impairment charges</w:t>
            </w:r>
          </w:p>
        </w:tc>
        <w:tc>
          <w:tcPr>
            <w:tcW w:w="200" w:type="dxa"/>
            <w:vAlign w:val="bottom"/>
          </w:tcPr>
          <w:p>
            <w:pPr>
              <w:spacing w:after="0"/>
              <w:rPr>
                <w:sz w:val="23"/>
                <w:szCs w:val="23"/>
                <w:color w:val="auto"/>
              </w:rPr>
            </w:pPr>
          </w:p>
        </w:tc>
        <w:tc>
          <w:tcPr>
            <w:tcW w:w="86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rPr>
              <w:t>—</w:t>
            </w:r>
          </w:p>
        </w:tc>
        <w:tc>
          <w:tcPr>
            <w:tcW w:w="200" w:type="dxa"/>
            <w:vAlign w:val="bottom"/>
          </w:tcPr>
          <w:p>
            <w:pPr>
              <w:spacing w:after="0"/>
              <w:rPr>
                <w:sz w:val="23"/>
                <w:szCs w:val="23"/>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3"/>
                <w:szCs w:val="23"/>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3"/>
                <w:szCs w:val="23"/>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rPr>
              <w:t>—</w:t>
            </w:r>
          </w:p>
        </w:tc>
        <w:tc>
          <w:tcPr>
            <w:tcW w:w="200" w:type="dxa"/>
            <w:vAlign w:val="bottom"/>
          </w:tcPr>
          <w:p>
            <w:pPr>
              <w:spacing w:after="0"/>
              <w:rPr>
                <w:sz w:val="23"/>
                <w:szCs w:val="23"/>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3"/>
                <w:szCs w:val="23"/>
                <w:color w:val="auto"/>
              </w:rPr>
            </w:pPr>
          </w:p>
        </w:tc>
        <w:tc>
          <w:tcPr>
            <w:tcW w:w="74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1"/>
        </w:trPr>
        <w:tc>
          <w:tcPr>
            <w:tcW w:w="5380" w:type="dxa"/>
            <w:vAlign w:val="bottom"/>
            <w:shd w:val="clear" w:color="auto" w:fill="CCEEFF"/>
          </w:tcPr>
          <w:p>
            <w:pPr>
              <w:ind w:left="40"/>
              <w:spacing w:after="0"/>
              <w:rPr>
                <w:sz w:val="20"/>
                <w:szCs w:val="20"/>
                <w:color w:val="auto"/>
              </w:rPr>
            </w:pPr>
            <w:r>
              <w:rPr>
                <w:rFonts w:ascii="Arial" w:cs="Arial" w:eastAsia="Arial" w:hAnsi="Arial"/>
                <w:sz w:val="14"/>
                <w:szCs w:val="14"/>
                <w:color w:val="auto"/>
              </w:rPr>
              <w:t>Add: Incentive allocations</w:t>
            </w:r>
          </w:p>
        </w:tc>
        <w:tc>
          <w:tcPr>
            <w:tcW w:w="200" w:type="dxa"/>
            <w:vAlign w:val="bottom"/>
            <w:shd w:val="clear" w:color="auto" w:fill="CCEEFF"/>
          </w:tcPr>
          <w:p>
            <w:pPr>
              <w:spacing w:after="0"/>
              <w:rPr>
                <w:sz w:val="23"/>
                <w:szCs w:val="23"/>
                <w:color w:val="auto"/>
              </w:rPr>
            </w:pPr>
          </w:p>
        </w:tc>
        <w:tc>
          <w:tcPr>
            <w:tcW w:w="86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b w:val="1"/>
                <w:bCs w:val="1"/>
                <w:color w:val="auto"/>
              </w:rPr>
              <w:t>—</w:t>
            </w:r>
          </w:p>
        </w:tc>
        <w:tc>
          <w:tcPr>
            <w:tcW w:w="200" w:type="dxa"/>
            <w:vAlign w:val="bottom"/>
            <w:shd w:val="clear" w:color="auto" w:fill="CCEEFF"/>
          </w:tcPr>
          <w:p>
            <w:pPr>
              <w:spacing w:after="0"/>
              <w:rPr>
                <w:sz w:val="23"/>
                <w:szCs w:val="23"/>
                <w:color w:val="auto"/>
              </w:rPr>
            </w:pP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3"/>
                <w:szCs w:val="23"/>
                <w:color w:val="auto"/>
              </w:rPr>
            </w:pP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23"/>
                <w:szCs w:val="23"/>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b w:val="1"/>
                <w:bCs w:val="1"/>
                <w:color w:val="auto"/>
              </w:rPr>
              <w:t>—</w:t>
            </w:r>
          </w:p>
        </w:tc>
        <w:tc>
          <w:tcPr>
            <w:tcW w:w="200" w:type="dxa"/>
            <w:vAlign w:val="bottom"/>
            <w:shd w:val="clear" w:color="auto" w:fill="CCEEFF"/>
          </w:tcPr>
          <w:p>
            <w:pPr>
              <w:spacing w:after="0"/>
              <w:rPr>
                <w:sz w:val="23"/>
                <w:szCs w:val="23"/>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3"/>
                <w:szCs w:val="23"/>
                <w:color w:val="auto"/>
              </w:rPr>
            </w:pPr>
          </w:p>
        </w:tc>
        <w:tc>
          <w:tcPr>
            <w:tcW w:w="7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69"/>
        </w:trPr>
        <w:tc>
          <w:tcPr>
            <w:tcW w:w="5380" w:type="dxa"/>
            <w:vAlign w:val="bottom"/>
          </w:tcPr>
          <w:p>
            <w:pPr>
              <w:ind w:left="40"/>
              <w:spacing w:after="0"/>
              <w:rPr>
                <w:sz w:val="20"/>
                <w:szCs w:val="20"/>
                <w:color w:val="auto"/>
              </w:rPr>
            </w:pPr>
            <w:r>
              <w:rPr>
                <w:rFonts w:ascii="Arial" w:cs="Arial" w:eastAsia="Arial" w:hAnsi="Arial"/>
                <w:sz w:val="14"/>
                <w:szCs w:val="14"/>
                <w:color w:val="auto"/>
              </w:rPr>
              <w:t>Add: Depreciation and amortization expense</w:t>
            </w:r>
          </w:p>
        </w:tc>
        <w:tc>
          <w:tcPr>
            <w:tcW w:w="200" w:type="dxa"/>
            <w:vAlign w:val="bottom"/>
          </w:tcPr>
          <w:p>
            <w:pPr>
              <w:spacing w:after="0"/>
              <w:rPr>
                <w:sz w:val="23"/>
                <w:szCs w:val="23"/>
                <w:color w:val="auto"/>
              </w:rPr>
            </w:pPr>
          </w:p>
        </w:tc>
        <w:tc>
          <w:tcPr>
            <w:tcW w:w="740" w:type="dxa"/>
            <w:vAlign w:val="bottom"/>
          </w:tcPr>
          <w:p>
            <w:pPr>
              <w:jc w:val="right"/>
              <w:ind w:right="48"/>
              <w:spacing w:after="0"/>
              <w:rPr>
                <w:sz w:val="20"/>
                <w:szCs w:val="20"/>
                <w:color w:val="auto"/>
              </w:rPr>
            </w:pPr>
            <w:r>
              <w:rPr>
                <w:rFonts w:ascii="Arial" w:cs="Arial" w:eastAsia="Arial" w:hAnsi="Arial"/>
                <w:sz w:val="14"/>
                <w:szCs w:val="14"/>
                <w:b w:val="1"/>
                <w:bCs w:val="1"/>
                <w:color w:val="auto"/>
              </w:rPr>
              <w:t>3,978</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20" w:type="dxa"/>
            <w:vAlign w:val="bottom"/>
          </w:tcPr>
          <w:p>
            <w:pPr>
              <w:jc w:val="right"/>
              <w:ind w:right="48"/>
              <w:spacing w:after="0"/>
              <w:rPr>
                <w:sz w:val="20"/>
                <w:szCs w:val="20"/>
                <w:color w:val="auto"/>
              </w:rPr>
            </w:pPr>
            <w:r>
              <w:rPr>
                <w:rFonts w:ascii="Arial" w:cs="Arial" w:eastAsia="Arial" w:hAnsi="Arial"/>
                <w:sz w:val="14"/>
                <w:szCs w:val="14"/>
                <w:color w:val="auto"/>
              </w:rPr>
              <w:t>3,920</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80" w:type="dxa"/>
            <w:vAlign w:val="bottom"/>
          </w:tcPr>
          <w:p>
            <w:pPr>
              <w:jc w:val="right"/>
              <w:ind w:right="48"/>
              <w:spacing w:after="0"/>
              <w:rPr>
                <w:sz w:val="20"/>
                <w:szCs w:val="20"/>
                <w:color w:val="auto"/>
              </w:rPr>
            </w:pPr>
            <w:r>
              <w:rPr>
                <w:rFonts w:ascii="Arial" w:cs="Arial" w:eastAsia="Arial" w:hAnsi="Arial"/>
                <w:sz w:val="14"/>
                <w:szCs w:val="14"/>
                <w:color w:val="auto"/>
              </w:rPr>
              <w:t>58</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00" w:type="dxa"/>
            <w:vAlign w:val="bottom"/>
          </w:tcPr>
          <w:p>
            <w:pPr>
              <w:jc w:val="right"/>
              <w:ind w:right="28"/>
              <w:spacing w:after="0"/>
              <w:rPr>
                <w:sz w:val="20"/>
                <w:szCs w:val="20"/>
                <w:color w:val="auto"/>
              </w:rPr>
            </w:pPr>
            <w:r>
              <w:rPr>
                <w:rFonts w:ascii="Arial" w:cs="Arial" w:eastAsia="Arial" w:hAnsi="Arial"/>
                <w:sz w:val="14"/>
                <w:szCs w:val="14"/>
                <w:b w:val="1"/>
                <w:bCs w:val="1"/>
                <w:color w:val="auto"/>
              </w:rPr>
              <w:t>11,885</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00" w:type="dxa"/>
            <w:vAlign w:val="bottom"/>
          </w:tcPr>
          <w:p>
            <w:pPr>
              <w:jc w:val="right"/>
              <w:ind w:right="28"/>
              <w:spacing w:after="0"/>
              <w:rPr>
                <w:sz w:val="20"/>
                <w:szCs w:val="20"/>
                <w:color w:val="auto"/>
              </w:rPr>
            </w:pPr>
            <w:r>
              <w:rPr>
                <w:rFonts w:ascii="Arial" w:cs="Arial" w:eastAsia="Arial" w:hAnsi="Arial"/>
                <w:sz w:val="14"/>
                <w:szCs w:val="14"/>
                <w:color w:val="auto"/>
              </w:rPr>
              <w:t>11,589</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40" w:type="dxa"/>
            <w:vAlign w:val="bottom"/>
          </w:tcPr>
          <w:p>
            <w:pPr>
              <w:jc w:val="right"/>
              <w:ind w:right="28"/>
              <w:spacing w:after="0"/>
              <w:rPr>
                <w:sz w:val="20"/>
                <w:szCs w:val="20"/>
                <w:color w:val="auto"/>
              </w:rPr>
            </w:pPr>
            <w:r>
              <w:rPr>
                <w:rFonts w:ascii="Arial" w:cs="Arial" w:eastAsia="Arial" w:hAnsi="Arial"/>
                <w:sz w:val="14"/>
                <w:szCs w:val="14"/>
                <w:color w:val="auto"/>
              </w:rPr>
              <w:t>296</w:t>
            </w:r>
          </w:p>
        </w:tc>
        <w:tc>
          <w:tcPr>
            <w:tcW w:w="0" w:type="dxa"/>
            <w:vAlign w:val="bottom"/>
          </w:tcPr>
          <w:p>
            <w:pPr>
              <w:spacing w:after="0"/>
              <w:rPr>
                <w:sz w:val="1"/>
                <w:szCs w:val="1"/>
                <w:color w:val="auto"/>
              </w:rPr>
            </w:pPr>
          </w:p>
        </w:tc>
      </w:tr>
      <w:tr>
        <w:trPr>
          <w:trHeight w:val="271"/>
        </w:trPr>
        <w:tc>
          <w:tcPr>
            <w:tcW w:w="5380" w:type="dxa"/>
            <w:vAlign w:val="bottom"/>
            <w:shd w:val="clear" w:color="auto" w:fill="CCEEFF"/>
          </w:tcPr>
          <w:p>
            <w:pPr>
              <w:ind w:left="40"/>
              <w:spacing w:after="0"/>
              <w:rPr>
                <w:sz w:val="20"/>
                <w:szCs w:val="20"/>
                <w:color w:val="auto"/>
              </w:rPr>
            </w:pPr>
            <w:r>
              <w:rPr>
                <w:rFonts w:ascii="Arial" w:cs="Arial" w:eastAsia="Arial" w:hAnsi="Arial"/>
                <w:sz w:val="14"/>
                <w:szCs w:val="14"/>
                <w:color w:val="auto"/>
              </w:rPr>
              <w:t>Add: Interest expense</w:t>
            </w:r>
          </w:p>
        </w:tc>
        <w:tc>
          <w:tcPr>
            <w:tcW w:w="200" w:type="dxa"/>
            <w:vAlign w:val="bottom"/>
            <w:shd w:val="clear" w:color="auto" w:fill="CCEEFF"/>
          </w:tcPr>
          <w:p>
            <w:pPr>
              <w:spacing w:after="0"/>
              <w:rPr>
                <w:sz w:val="23"/>
                <w:szCs w:val="23"/>
                <w:color w:val="auto"/>
              </w:rPr>
            </w:pPr>
          </w:p>
        </w:tc>
        <w:tc>
          <w:tcPr>
            <w:tcW w:w="74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1,408</w:t>
            </w: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7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4,016</w:t>
            </w: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7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(2,608)</w:t>
            </w: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70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4,283</w:t>
            </w: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7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11,804</w:t>
            </w: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(7,521)</w:t>
            </w:r>
          </w:p>
        </w:tc>
        <w:tc>
          <w:tcPr>
            <w:tcW w:w="0" w:type="dxa"/>
            <w:vAlign w:val="bottom"/>
          </w:tcPr>
          <w:p>
            <w:pPr>
              <w:spacing w:after="0"/>
              <w:rPr>
                <w:sz w:val="1"/>
                <w:szCs w:val="1"/>
                <w:color w:val="auto"/>
              </w:rPr>
            </w:pPr>
          </w:p>
        </w:tc>
      </w:tr>
      <w:tr>
        <w:trPr>
          <w:trHeight w:val="270"/>
        </w:trPr>
        <w:tc>
          <w:tcPr>
            <w:tcW w:w="5380" w:type="dxa"/>
            <w:vAlign w:val="bottom"/>
          </w:tcPr>
          <w:p>
            <w:pPr>
              <w:ind w:left="40"/>
              <w:spacing w:after="0"/>
              <w:rPr>
                <w:sz w:val="20"/>
                <w:szCs w:val="20"/>
                <w:color w:val="auto"/>
              </w:rPr>
            </w:pPr>
            <w:r>
              <w:rPr>
                <w:rFonts w:ascii="Arial" w:cs="Arial" w:eastAsia="Arial" w:hAnsi="Arial"/>
                <w:sz w:val="14"/>
                <w:szCs w:val="14"/>
                <w:color w:val="auto"/>
              </w:rPr>
              <w:t xml:space="preserve">Add: Pro-rata share of Adjusted EBITDA from unconsolidated entities </w:t>
            </w:r>
            <w:r>
              <w:rPr>
                <w:rFonts w:ascii="Arial" w:cs="Arial" w:eastAsia="Arial" w:hAnsi="Arial"/>
                <w:sz w:val="17"/>
                <w:szCs w:val="17"/>
                <w:color w:val="auto"/>
                <w:vertAlign w:val="superscript"/>
              </w:rPr>
              <w:t>(3)</w:t>
            </w:r>
          </w:p>
        </w:tc>
        <w:tc>
          <w:tcPr>
            <w:tcW w:w="200" w:type="dxa"/>
            <w:vAlign w:val="bottom"/>
          </w:tcPr>
          <w:p>
            <w:pPr>
              <w:spacing w:after="0"/>
              <w:rPr>
                <w:sz w:val="23"/>
                <w:szCs w:val="23"/>
                <w:color w:val="auto"/>
              </w:rPr>
            </w:pPr>
          </w:p>
        </w:tc>
        <w:tc>
          <w:tcPr>
            <w:tcW w:w="740" w:type="dxa"/>
            <w:vAlign w:val="bottom"/>
          </w:tcPr>
          <w:p>
            <w:pPr>
              <w:jc w:val="right"/>
              <w:ind w:right="8"/>
              <w:spacing w:after="0"/>
              <w:rPr>
                <w:sz w:val="20"/>
                <w:szCs w:val="20"/>
                <w:color w:val="auto"/>
              </w:rPr>
            </w:pPr>
            <w:r>
              <w:rPr>
                <w:rFonts w:ascii="Arial" w:cs="Arial" w:eastAsia="Arial" w:hAnsi="Arial"/>
                <w:sz w:val="14"/>
                <w:szCs w:val="14"/>
                <w:b w:val="1"/>
                <w:bCs w:val="1"/>
                <w:color w:val="auto"/>
              </w:rPr>
              <w:t>(24)</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3"/>
                <w:szCs w:val="23"/>
                <w:color w:val="auto"/>
              </w:rPr>
            </w:pPr>
          </w:p>
        </w:tc>
        <w:tc>
          <w:tcPr>
            <w:tcW w:w="780" w:type="dxa"/>
            <w:vAlign w:val="bottom"/>
          </w:tcPr>
          <w:p>
            <w:pPr>
              <w:jc w:val="right"/>
              <w:ind w:right="8"/>
              <w:spacing w:after="0"/>
              <w:rPr>
                <w:sz w:val="20"/>
                <w:szCs w:val="20"/>
                <w:color w:val="auto"/>
              </w:rPr>
            </w:pPr>
            <w:r>
              <w:rPr>
                <w:rFonts w:ascii="Arial" w:cs="Arial" w:eastAsia="Arial" w:hAnsi="Arial"/>
                <w:sz w:val="14"/>
                <w:szCs w:val="14"/>
                <w:color w:val="auto"/>
              </w:rPr>
              <w:t>(24)</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00" w:type="dxa"/>
            <w:vAlign w:val="bottom"/>
          </w:tcPr>
          <w:p>
            <w:pPr>
              <w:jc w:val="right"/>
              <w:spacing w:after="0"/>
              <w:rPr>
                <w:sz w:val="20"/>
                <w:szCs w:val="20"/>
                <w:color w:val="auto"/>
              </w:rPr>
            </w:pPr>
            <w:r>
              <w:rPr>
                <w:rFonts w:ascii="Arial" w:cs="Arial" w:eastAsia="Arial" w:hAnsi="Arial"/>
                <w:sz w:val="14"/>
                <w:szCs w:val="14"/>
                <w:b w:val="1"/>
                <w:bCs w:val="1"/>
                <w:color w:val="auto"/>
              </w:rPr>
              <w:t>(99)</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(99)</w:t>
            </w:r>
          </w:p>
        </w:tc>
        <w:tc>
          <w:tcPr>
            <w:tcW w:w="0" w:type="dxa"/>
            <w:vAlign w:val="bottom"/>
          </w:tcPr>
          <w:p>
            <w:pPr>
              <w:spacing w:after="0"/>
              <w:rPr>
                <w:sz w:val="1"/>
                <w:szCs w:val="1"/>
                <w:color w:val="auto"/>
              </w:rPr>
            </w:pPr>
          </w:p>
        </w:tc>
      </w:tr>
      <w:tr>
        <w:trPr>
          <w:trHeight w:val="270"/>
        </w:trPr>
        <w:tc>
          <w:tcPr>
            <w:tcW w:w="5380" w:type="dxa"/>
            <w:vAlign w:val="bottom"/>
            <w:shd w:val="clear" w:color="auto" w:fill="CCEEFF"/>
          </w:tcPr>
          <w:p>
            <w:pPr>
              <w:ind w:left="40"/>
              <w:spacing w:after="0"/>
              <w:rPr>
                <w:sz w:val="20"/>
                <w:szCs w:val="20"/>
                <w:color w:val="auto"/>
              </w:rPr>
            </w:pPr>
            <w:r>
              <w:rPr>
                <w:rFonts w:ascii="Arial" w:cs="Arial" w:eastAsia="Arial" w:hAnsi="Arial"/>
                <w:sz w:val="14"/>
                <w:szCs w:val="14"/>
                <w:color w:val="auto"/>
              </w:rPr>
              <w:t>Less: Equity in losses of unconsolidated entities</w:t>
            </w:r>
          </w:p>
        </w:tc>
        <w:tc>
          <w:tcPr>
            <w:tcW w:w="200" w:type="dxa"/>
            <w:vAlign w:val="bottom"/>
            <w:shd w:val="clear" w:color="auto" w:fill="CCEEFF"/>
          </w:tcPr>
          <w:p>
            <w:pPr>
              <w:spacing w:after="0"/>
              <w:rPr>
                <w:sz w:val="23"/>
                <w:szCs w:val="23"/>
                <w:color w:val="auto"/>
              </w:rPr>
            </w:pPr>
          </w:p>
        </w:tc>
        <w:tc>
          <w:tcPr>
            <w:tcW w:w="74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24</w:t>
            </w: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3"/>
                <w:szCs w:val="23"/>
                <w:color w:val="auto"/>
              </w:rPr>
            </w:pPr>
          </w:p>
        </w:tc>
        <w:tc>
          <w:tcPr>
            <w:tcW w:w="7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24</w:t>
            </w: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70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99</w:t>
            </w: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3"/>
                <w:szCs w:val="23"/>
                <w:color w:val="auto"/>
              </w:rPr>
            </w:pPr>
          </w:p>
        </w:tc>
        <w:tc>
          <w:tcPr>
            <w:tcW w:w="7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99</w:t>
            </w:r>
          </w:p>
        </w:tc>
        <w:tc>
          <w:tcPr>
            <w:tcW w:w="0" w:type="dxa"/>
            <w:vAlign w:val="bottom"/>
          </w:tcPr>
          <w:p>
            <w:pPr>
              <w:spacing w:after="0"/>
              <w:rPr>
                <w:sz w:val="1"/>
                <w:szCs w:val="1"/>
                <w:color w:val="auto"/>
              </w:rPr>
            </w:pPr>
          </w:p>
        </w:tc>
      </w:tr>
      <w:tr>
        <w:trPr>
          <w:trHeight w:val="270"/>
        </w:trPr>
        <w:tc>
          <w:tcPr>
            <w:tcW w:w="538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 xml:space="preserve">Less: Non-controlling share of Adjusted EBITDA </w:t>
            </w:r>
            <w:r>
              <w:rPr>
                <w:rFonts w:ascii="Arial" w:cs="Arial" w:eastAsia="Arial" w:hAnsi="Arial"/>
                <w:sz w:val="17"/>
                <w:szCs w:val="17"/>
                <w:color w:val="auto"/>
                <w:vertAlign w:val="superscript"/>
              </w:rPr>
              <w:t>(4)</w:t>
            </w:r>
          </w:p>
        </w:tc>
        <w:tc>
          <w:tcPr>
            <w:tcW w:w="200" w:type="dxa"/>
            <w:vAlign w:val="bottom"/>
            <w:tcBorders>
              <w:bottom w:val="single" w:sz="8" w:color="auto"/>
            </w:tcBorders>
          </w:tcPr>
          <w:p>
            <w:pPr>
              <w:spacing w:after="0"/>
              <w:rPr>
                <w:sz w:val="23"/>
                <w:szCs w:val="23"/>
                <w:color w:val="auto"/>
              </w:rPr>
            </w:pPr>
          </w:p>
        </w:tc>
        <w:tc>
          <w:tcPr>
            <w:tcW w:w="7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(2,439)</w:t>
            </w:r>
          </w:p>
        </w:tc>
        <w:tc>
          <w:tcPr>
            <w:tcW w:w="120" w:type="dxa"/>
            <w:vAlign w:val="bottom"/>
            <w:tcBorders>
              <w:bottom w:val="single" w:sz="8" w:color="CCEEFF"/>
            </w:tcBorders>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(3,160)</w:t>
            </w:r>
          </w:p>
        </w:tc>
        <w:tc>
          <w:tcPr>
            <w:tcW w:w="120" w:type="dxa"/>
            <w:vAlign w:val="bottom"/>
            <w:tcBorders>
              <w:bottom w:val="single" w:sz="8" w:color="CCEEFF"/>
            </w:tcBorders>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7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721</w:t>
            </w:r>
          </w:p>
        </w:tc>
        <w:tc>
          <w:tcPr>
            <w:tcW w:w="100" w:type="dxa"/>
            <w:vAlign w:val="bottom"/>
            <w:tcBorders>
              <w:bottom w:val="single" w:sz="8" w:color="CCEEFF"/>
            </w:tcBorders>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(6,509)</w:t>
            </w:r>
          </w:p>
        </w:tc>
        <w:tc>
          <w:tcPr>
            <w:tcW w:w="100" w:type="dxa"/>
            <w:vAlign w:val="bottom"/>
            <w:tcBorders>
              <w:bottom w:val="single" w:sz="8" w:color="CCEEFF"/>
            </w:tcBorders>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(8,043)</w:t>
            </w:r>
          </w:p>
        </w:tc>
        <w:tc>
          <w:tcPr>
            <w:tcW w:w="100" w:type="dxa"/>
            <w:vAlign w:val="bottom"/>
            <w:tcBorders>
              <w:bottom w:val="single" w:sz="8" w:color="CCEEFF"/>
            </w:tcBorders>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7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1,534</w:t>
            </w:r>
          </w:p>
        </w:tc>
        <w:tc>
          <w:tcPr>
            <w:tcW w:w="0" w:type="dxa"/>
            <w:vAlign w:val="bottom"/>
          </w:tcPr>
          <w:p>
            <w:pPr>
              <w:spacing w:after="0"/>
              <w:rPr>
                <w:sz w:val="1"/>
                <w:szCs w:val="1"/>
                <w:color w:val="auto"/>
              </w:rPr>
            </w:pPr>
          </w:p>
        </w:tc>
      </w:tr>
      <w:tr>
        <w:trPr>
          <w:trHeight w:val="237"/>
        </w:trPr>
        <w:tc>
          <w:tcPr>
            <w:tcW w:w="5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4"/>
                <w:szCs w:val="14"/>
                <w:b w:val="1"/>
                <w:bCs w:val="1"/>
                <w:color w:val="auto"/>
              </w:rPr>
              <w:t>Adjusted EBITDA (non-GAAP)</w:t>
            </w:r>
          </w:p>
        </w:tc>
        <w:tc>
          <w:tcPr>
            <w:tcW w:w="20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w:t>
            </w:r>
          </w:p>
        </w:tc>
        <w:tc>
          <w:tcPr>
            <w:tcW w:w="74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(2,697)</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(779)</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(1,918)</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(5,056)</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(3,946)</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(1,110)</w:t>
            </w:r>
          </w:p>
        </w:tc>
        <w:tc>
          <w:tcPr>
            <w:tcW w:w="0" w:type="dxa"/>
            <w:vAlign w:val="bottom"/>
          </w:tcPr>
          <w:p>
            <w:pPr>
              <w:spacing w:after="0"/>
              <w:rPr>
                <w:sz w:val="1"/>
                <w:szCs w:val="1"/>
                <w:color w:val="auto"/>
              </w:rPr>
            </w:pPr>
          </w:p>
        </w:tc>
      </w:tr>
      <w:tr>
        <w:trPr>
          <w:trHeight w:val="20"/>
        </w:trPr>
        <w:tc>
          <w:tcPr>
            <w:tcW w:w="53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4" w:lineRule="exact"/>
        <w:rPr>
          <w:sz w:val="20"/>
          <w:szCs w:val="20"/>
          <w:color w:val="auto"/>
        </w:rPr>
      </w:pPr>
    </w:p>
    <w:p>
      <w:pPr>
        <w:spacing w:after="0"/>
        <w:rPr>
          <w:sz w:val="20"/>
          <w:szCs w:val="20"/>
          <w:color w:val="auto"/>
        </w:rPr>
      </w:pPr>
      <w:r>
        <w:rPr>
          <w:rFonts w:ascii="Arial" w:cs="Arial" w:eastAsia="Arial" w:hAnsi="Arial"/>
          <w:sz w:val="16"/>
          <w:szCs w:val="16"/>
          <w:color w:val="auto"/>
        </w:rPr>
        <w:t>________________________________________________________</w:t>
      </w:r>
    </w:p>
    <w:p>
      <w:pPr>
        <w:spacing w:after="0" w:line="172" w:lineRule="exact"/>
        <w:rPr>
          <w:sz w:val="20"/>
          <w:szCs w:val="20"/>
          <w:color w:val="auto"/>
        </w:rPr>
      </w:pPr>
    </w:p>
    <w:p>
      <w:pPr>
        <w:ind w:left="500" w:hanging="492"/>
        <w:spacing w:after="0" w:line="241" w:lineRule="auto"/>
        <w:tabs>
          <w:tab w:leader="none" w:pos="154" w:val="left"/>
        </w:tabs>
        <w:numPr>
          <w:ilvl w:val="0"/>
          <w:numId w:val="22"/>
        </w:numPr>
        <w:rPr>
          <w:rFonts w:ascii="Times New Roman" w:cs="Times New Roman" w:eastAsia="Times New Roman" w:hAnsi="Times New Roman"/>
          <w:sz w:val="18"/>
          <w:szCs w:val="18"/>
          <w:color w:val="auto"/>
          <w:vertAlign w:val="superscript"/>
        </w:rPr>
      </w:pPr>
      <w:r>
        <w:rPr>
          <w:rFonts w:ascii="Arial" w:cs="Arial" w:eastAsia="Arial" w:hAnsi="Arial"/>
          <w:sz w:val="14"/>
          <w:szCs w:val="14"/>
          <w:color w:val="auto"/>
        </w:rPr>
        <w:t>Jefferson Terminal's pro-rata share of Adjusted EBITDA from unconsolidated entities includes net loss of $24 and $0 for the three months ended September 30, 2017 and 2016, respectively. Jefferson Terminal’s pro-rata share of Adjusted EBITDA from unconsolidated entities includes net loss of $99 and $0 for the nine months ended September 30, 2017 and 2016, respectively.</w:t>
      </w:r>
    </w:p>
    <w:p>
      <w:pPr>
        <w:spacing w:after="0" w:line="130" w:lineRule="exact"/>
        <w:rPr>
          <w:rFonts w:ascii="Times New Roman" w:cs="Times New Roman" w:eastAsia="Times New Roman" w:hAnsi="Times New Roman"/>
          <w:sz w:val="18"/>
          <w:szCs w:val="18"/>
          <w:color w:val="auto"/>
          <w:vertAlign w:val="superscript"/>
        </w:rPr>
      </w:pPr>
    </w:p>
    <w:p>
      <w:pPr>
        <w:ind w:left="500" w:hanging="492"/>
        <w:spacing w:after="0"/>
        <w:tabs>
          <w:tab w:leader="none" w:pos="168" w:val="left"/>
        </w:tabs>
        <w:numPr>
          <w:ilvl w:val="0"/>
          <w:numId w:val="22"/>
        </w:numPr>
        <w:rPr>
          <w:rFonts w:ascii="Arial" w:cs="Arial" w:eastAsia="Arial" w:hAnsi="Arial"/>
          <w:sz w:val="18"/>
          <w:szCs w:val="18"/>
          <w:color w:val="auto"/>
          <w:vertAlign w:val="superscript"/>
        </w:rPr>
      </w:pPr>
      <w:r>
        <w:rPr>
          <w:rFonts w:ascii="Arial" w:cs="Arial" w:eastAsia="Arial" w:hAnsi="Arial"/>
          <w:sz w:val="14"/>
          <w:szCs w:val="14"/>
          <w:color w:val="auto"/>
        </w:rPr>
        <w:t>Non-controlling share of Adjusted EBITDA is comprised of the following items for the three months ended September 30, 2017 and 2016: (i) equity-based compensation of $36 and $0, (ii) provision for income taxes of $(1) and $8, (iii) interest expense of $447 and $1,466, (iv) acquisition and transaction expenses of $0 and $156, (v) changes in fair value of non-hedge derivative instruments of $404 and $0, and (vi) depreciation and amortization expense of $1,553 and $1,530, respectively. Non-controlling share of Adjusted EBITDA is comprised of the following items for the nine months ended September 30, 2017 and 2016: (i) equity-based compensation of $90 and $(1,627), (ii) provision for income taxes of $12 and $22, (iii) interest expense of $1,364 and $4,353, (iv) loss on extinguishment of debt of $0 and $616, (v) acquisition and transaction expenses of $0 and $156, (vi) changes in fair value of non-hedge derivative instruments of $404 and $0, and (vii) depreciation and amortization expense of $4,639 and $4,523, respectively.</w:t>
      </w:r>
    </w:p>
    <w:p>
      <w:pPr>
        <w:spacing w:after="0" w:line="280"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00497F"/>
        </w:rPr>
        <w:t>Revenues</w:t>
      </w:r>
    </w:p>
    <w:p>
      <w:pPr>
        <w:spacing w:after="0" w:line="167"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Total revenues in the Jefferson Terminal segment decreased $2,525 and $1,649 in the three and nine months ended September 30, 2017 as compared to the three and nine months ended September 30, 2016, respectively, reflecting lower volumes, offset by the realization of deferred revenues.</w:t>
      </w:r>
    </w:p>
    <w:p>
      <w:pPr>
        <w:spacing w:after="0" w:line="9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00497F"/>
        </w:rPr>
        <w:t>Expenses</w:t>
      </w:r>
    </w:p>
    <w:p>
      <w:pPr>
        <w:spacing w:after="0" w:line="167" w:lineRule="exact"/>
        <w:rPr>
          <w:sz w:val="20"/>
          <w:szCs w:val="20"/>
          <w:color w:val="auto"/>
        </w:rPr>
      </w:pPr>
    </w:p>
    <w:p>
      <w:pPr>
        <w:jc w:val="both"/>
        <w:spacing w:after="0" w:line="257" w:lineRule="auto"/>
        <w:rPr>
          <w:sz w:val="20"/>
          <w:szCs w:val="20"/>
          <w:color w:val="auto"/>
        </w:rPr>
      </w:pPr>
      <w:r>
        <w:rPr>
          <w:rFonts w:ascii="Arial" w:cs="Arial" w:eastAsia="Arial" w:hAnsi="Arial"/>
          <w:sz w:val="16"/>
          <w:szCs w:val="16"/>
          <w:color w:val="auto"/>
        </w:rPr>
        <w:t>Total expenses in the Jefferson Terminal segment decreased $2,416 in the three months ended September 30, 2017 as compared to the three months ended September 30, 2016. The decrease is due to lower interest expense of $2,608 reflecting the capitalization of interest related to new construction projects in 2017. Partially offsetting the decrease was higher operating expenses of $243, which consisted of higher (i) compensation and benefit expense of $295, (ii) repairs and maintenance expense of $263, (iii) facility operations expense of $13, and (iv) other operating expenses of $82. These increases were partially offset by lower environmental expense of $410 reflecting remediation expense of an oil spill.</w:t>
      </w:r>
    </w:p>
    <w:p>
      <w:pPr>
        <w:spacing w:after="0" w:line="122" w:lineRule="exact"/>
        <w:rPr>
          <w:sz w:val="20"/>
          <w:szCs w:val="20"/>
          <w:color w:val="auto"/>
        </w:rPr>
      </w:pPr>
    </w:p>
    <w:p>
      <w:pPr>
        <w:jc w:val="both"/>
        <w:spacing w:after="0" w:line="261" w:lineRule="auto"/>
        <w:rPr>
          <w:sz w:val="20"/>
          <w:szCs w:val="20"/>
          <w:color w:val="auto"/>
        </w:rPr>
      </w:pPr>
      <w:r>
        <w:rPr>
          <w:rFonts w:ascii="Arial" w:cs="Arial" w:eastAsia="Arial" w:hAnsi="Arial"/>
          <w:sz w:val="16"/>
          <w:szCs w:val="16"/>
          <w:color w:val="auto"/>
        </w:rPr>
        <w:t>Total expenses decreased $1,888 in the nine months ended September 30, 2017 as compared to the nine months ended September 30, 2016, primarily due to lower interest expense of $7,521 reflecting the capitalization of interest related to new construction projects in 2017. Partially offsetting the decrease was higher operating expenses of $5,737. The increase reflects higher (i) compensation and benefits expense of $5,262, (ii) facility operations expense of $995, (iii) repairs and maintenance of $587, (iv) professional fees of $451, and (v) other operating expenses of $288. These increases were partially offset by $1,845 in</w:t>
      </w:r>
    </w:p>
    <w:p>
      <w:pPr>
        <w:spacing w:after="0" w:line="19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60</w:t>
      </w:r>
    </w:p>
    <w:p>
      <w:pPr>
        <w:sectPr>
          <w:pgSz w:w="11900" w:h="16838" w:orient="portrait"/>
          <w:cols w:equalWidth="0" w:num="1">
            <w:col w:w="11420"/>
          </w:cols>
          <w:pgMar w:left="240" w:top="531" w:right="239" w:bottom="1440" w:gutter="0" w:footer="0" w:header="0"/>
        </w:sectPr>
      </w:pPr>
    </w:p>
    <w:bookmarkStart w:id="60" w:name="page61"/>
    <w:bookmarkEnd w:id="60"/>
    <w:p>
      <w:pPr>
        <w:jc w:val="both"/>
        <w:ind w:right="20"/>
        <w:spacing w:after="0" w:line="291" w:lineRule="auto"/>
        <w:rPr>
          <w:sz w:val="20"/>
          <w:szCs w:val="20"/>
          <w:color w:val="auto"/>
        </w:rPr>
      </w:pPr>
      <w:r>
        <w:rPr>
          <w:rFonts w:ascii="Arial" w:cs="Arial" w:eastAsia="Arial" w:hAnsi="Arial"/>
          <w:sz w:val="16"/>
          <w:szCs w:val="16"/>
          <w:color w:val="auto"/>
        </w:rPr>
        <w:t>lower environmental expenses which was the result of remediation expense relating to an oil spill that occurred during the nine months ended September 30, 2016.</w:t>
      </w:r>
    </w:p>
    <w:p>
      <w:pPr>
        <w:spacing w:after="0" w:line="9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00497F"/>
        </w:rPr>
        <w:t>Adjusted Net Loss</w:t>
      </w:r>
    </w:p>
    <w:p>
      <w:pPr>
        <w:spacing w:after="0" w:line="167" w:lineRule="exact"/>
        <w:rPr>
          <w:sz w:val="20"/>
          <w:szCs w:val="20"/>
          <w:color w:val="auto"/>
        </w:rPr>
      </w:pPr>
    </w:p>
    <w:p>
      <w:pPr>
        <w:jc w:val="both"/>
        <w:spacing w:after="0" w:line="269" w:lineRule="auto"/>
        <w:rPr>
          <w:sz w:val="20"/>
          <w:szCs w:val="20"/>
          <w:color w:val="auto"/>
        </w:rPr>
      </w:pPr>
      <w:r>
        <w:rPr>
          <w:rFonts w:ascii="Arial" w:cs="Arial" w:eastAsia="Arial" w:hAnsi="Arial"/>
          <w:sz w:val="16"/>
          <w:szCs w:val="16"/>
          <w:color w:val="auto"/>
        </w:rPr>
        <w:t>Adjusted Net Loss was $6,081 in the three months ended September 30, 2017, increasing $362 as compared to the three months ended September 30, 2016. The increase reflects the changes in net loss attributable to shareholders noted above, mostly offset by the change in the fair value of the non-hedge derivative instrument of $1,036.</w:t>
      </w:r>
    </w:p>
    <w:p>
      <w:pPr>
        <w:spacing w:after="0" w:line="111" w:lineRule="exact"/>
        <w:rPr>
          <w:sz w:val="20"/>
          <w:szCs w:val="20"/>
          <w:color w:val="auto"/>
        </w:rPr>
      </w:pPr>
    </w:p>
    <w:p>
      <w:pPr>
        <w:jc w:val="both"/>
        <w:spacing w:after="0" w:line="261" w:lineRule="auto"/>
        <w:rPr>
          <w:sz w:val="20"/>
          <w:szCs w:val="20"/>
          <w:color w:val="auto"/>
        </w:rPr>
      </w:pPr>
      <w:r>
        <w:rPr>
          <w:rFonts w:ascii="Arial" w:cs="Arial" w:eastAsia="Arial" w:hAnsi="Arial"/>
          <w:sz w:val="16"/>
          <w:szCs w:val="16"/>
          <w:color w:val="auto"/>
        </w:rPr>
        <w:t>Adjusted Net Loss was $15,269 in the nine months ended September 30, 2017, decreasing $3,226 as compared to the nine months ended September 30, 2016. The decrease reflects the changes in net loss attributable to shareholders noted above coupled with the increase in equity-based compensation of $4,396. This was partially offset by a decrease in losses on modification or extinguishment of debt of $1,579 coupled with a change in the fair value of the non-hedge derivative instrument of $1,036.</w:t>
      </w:r>
    </w:p>
    <w:p>
      <w:pPr>
        <w:spacing w:after="0" w:line="11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00497F"/>
        </w:rPr>
        <w:t>Adjusted EBITDA (Non-GAAP)</w:t>
      </w:r>
    </w:p>
    <w:p>
      <w:pPr>
        <w:spacing w:after="0" w:line="167" w:lineRule="exact"/>
        <w:rPr>
          <w:sz w:val="20"/>
          <w:szCs w:val="20"/>
          <w:color w:val="auto"/>
        </w:rPr>
      </w:pPr>
    </w:p>
    <w:p>
      <w:pPr>
        <w:jc w:val="both"/>
        <w:spacing w:after="0" w:line="261" w:lineRule="auto"/>
        <w:rPr>
          <w:sz w:val="20"/>
          <w:szCs w:val="20"/>
          <w:color w:val="auto"/>
        </w:rPr>
      </w:pPr>
      <w:r>
        <w:rPr>
          <w:rFonts w:ascii="Arial" w:cs="Arial" w:eastAsia="Arial" w:hAnsi="Arial"/>
          <w:sz w:val="16"/>
          <w:szCs w:val="16"/>
          <w:color w:val="auto"/>
        </w:rPr>
        <w:t>Adjusted EBITDA was $(2,697) in the three months ended September 30, 2017, a decrease of $1,918 as compared to the three months ended September 30, 2016. The decrease primarily reflects lower interest expense of $2,608 and the change in fair value of the non-hedge derivative instrument of $1,036. Partially offsetting these decreases was an increase in the non-controlling share of Adjusted EBITDA of $721 coupled with the changes in net loss attributable to shareholders noted above.</w:t>
      </w:r>
    </w:p>
    <w:p>
      <w:pPr>
        <w:spacing w:after="0" w:line="118" w:lineRule="exact"/>
        <w:rPr>
          <w:sz w:val="20"/>
          <w:szCs w:val="20"/>
          <w:color w:val="auto"/>
        </w:rPr>
      </w:pPr>
    </w:p>
    <w:p>
      <w:pPr>
        <w:jc w:val="both"/>
        <w:spacing w:after="0" w:line="261" w:lineRule="auto"/>
        <w:rPr>
          <w:sz w:val="20"/>
          <w:szCs w:val="20"/>
          <w:color w:val="auto"/>
        </w:rPr>
      </w:pPr>
      <w:r>
        <w:rPr>
          <w:rFonts w:ascii="Arial" w:cs="Arial" w:eastAsia="Arial" w:hAnsi="Arial"/>
          <w:sz w:val="16"/>
          <w:szCs w:val="16"/>
          <w:color w:val="auto"/>
        </w:rPr>
        <w:t>Adjusted EBITDA was $(5,056) in the nine months ended September 30, 2017, a decrease of $1,110 as compared to the nine months ended September 30, 2016. The decrease reflects (i) lower interest expense of $7,521, (ii) losses on modification or extinguishment of debt of $1,579 and (iii) the change in the fair value of the non-hedge derivative instrument of $1,036. Partially offsetting these changes was an increase in equity-based compensation of $4,396 coupled with lower net loss attributable to shareholders of $3,224.</w:t>
      </w:r>
    </w:p>
    <w:p>
      <w:pPr>
        <w:spacing w:after="0" w:line="19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61</w:t>
      </w:r>
    </w:p>
    <w:p>
      <w:pPr>
        <w:sectPr>
          <w:pgSz w:w="11900" w:h="16838" w:orient="portrait"/>
          <w:cols w:equalWidth="0" w:num="1">
            <w:col w:w="11420"/>
          </w:cols>
          <w:pgMar w:left="240" w:top="527" w:right="239" w:bottom="1440" w:gutter="0" w:footer="0" w:header="0"/>
        </w:sectPr>
      </w:pPr>
    </w:p>
    <w:bookmarkStart w:id="61" w:name="page62"/>
    <w:bookmarkEnd w:id="61"/>
    <w:p>
      <w:pPr>
        <w:spacing w:after="0"/>
        <w:rPr>
          <w:sz w:val="20"/>
          <w:szCs w:val="20"/>
          <w:color w:val="auto"/>
        </w:rPr>
      </w:pPr>
      <w:r>
        <w:rPr>
          <w:rFonts w:ascii="Arial" w:cs="Arial" w:eastAsia="Arial" w:hAnsi="Arial"/>
          <w:sz w:val="16"/>
          <w:szCs w:val="16"/>
          <w:b w:val="1"/>
          <w:bCs w:val="1"/>
          <w:color w:val="00497F"/>
        </w:rPr>
        <w:t>Railroad Segment</w:t>
      </w:r>
    </w:p>
    <w:p>
      <w:pPr>
        <w:spacing w:after="0" w:line="169"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The following table presents our results of operations and reconciliation of net income attributable to shareholders to Adjusted Net Income for the Railroad segment for the three and nine months ended September 30, 2017 and September 30, 2016:</w:t>
      </w: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3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900" w:type="dxa"/>
            <w:vAlign w:val="bottom"/>
            <w:gridSpan w:val="5"/>
          </w:tcPr>
          <w:p>
            <w:pPr>
              <w:jc w:val="center"/>
              <w:ind w:right="280"/>
              <w:spacing w:after="0"/>
              <w:rPr>
                <w:sz w:val="20"/>
                <w:szCs w:val="20"/>
                <w:color w:val="auto"/>
              </w:rPr>
            </w:pPr>
            <w:r>
              <w:rPr>
                <w:rFonts w:ascii="Arial" w:cs="Arial" w:eastAsia="Arial" w:hAnsi="Arial"/>
                <w:sz w:val="14"/>
                <w:szCs w:val="14"/>
                <w:b w:val="1"/>
                <w:bCs w:val="1"/>
                <w:color w:val="auto"/>
              </w:rPr>
              <w:t>Three Months Ended</w:t>
            </w:r>
          </w:p>
        </w:tc>
        <w:tc>
          <w:tcPr>
            <w:tcW w:w="1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00" w:type="dxa"/>
            <w:vAlign w:val="bottom"/>
            <w:gridSpan w:val="5"/>
          </w:tcPr>
          <w:p>
            <w:pPr>
              <w:ind w:left="100"/>
              <w:spacing w:after="0"/>
              <w:rPr>
                <w:sz w:val="20"/>
                <w:szCs w:val="20"/>
                <w:color w:val="auto"/>
              </w:rPr>
            </w:pPr>
            <w:r>
              <w:rPr>
                <w:rFonts w:ascii="Arial" w:cs="Arial" w:eastAsia="Arial" w:hAnsi="Arial"/>
                <w:sz w:val="14"/>
                <w:szCs w:val="14"/>
                <w:b w:val="1"/>
                <w:bCs w:val="1"/>
                <w:color w:val="auto"/>
              </w:rPr>
              <w:t>Nine Months Ended</w:t>
            </w:r>
          </w:p>
        </w:tc>
        <w:tc>
          <w:tcPr>
            <w:tcW w:w="1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2"/>
        </w:trPr>
        <w:tc>
          <w:tcPr>
            <w:tcW w:w="53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900" w:type="dxa"/>
            <w:vAlign w:val="bottom"/>
            <w:gridSpan w:val="5"/>
          </w:tcPr>
          <w:p>
            <w:pPr>
              <w:jc w:val="center"/>
              <w:ind w:right="280"/>
              <w:spacing w:after="0"/>
              <w:rPr>
                <w:sz w:val="20"/>
                <w:szCs w:val="20"/>
                <w:color w:val="auto"/>
              </w:rPr>
            </w:pPr>
            <w:r>
              <w:rPr>
                <w:rFonts w:ascii="Arial" w:cs="Arial" w:eastAsia="Arial" w:hAnsi="Arial"/>
                <w:sz w:val="14"/>
                <w:szCs w:val="14"/>
                <w:b w:val="1"/>
                <w:bCs w:val="1"/>
                <w:color w:val="auto"/>
              </w:rPr>
              <w:t>September 30,</w:t>
            </w: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0" w:type="dxa"/>
            <w:vAlign w:val="bottom"/>
            <w:gridSpan w:val="5"/>
          </w:tcPr>
          <w:p>
            <w:pPr>
              <w:ind w:left="280"/>
              <w:spacing w:after="0"/>
              <w:rPr>
                <w:sz w:val="20"/>
                <w:szCs w:val="20"/>
                <w:color w:val="auto"/>
              </w:rPr>
            </w:pPr>
            <w:r>
              <w:rPr>
                <w:rFonts w:ascii="Arial" w:cs="Arial" w:eastAsia="Arial" w:hAnsi="Arial"/>
                <w:sz w:val="14"/>
                <w:szCs w:val="14"/>
                <w:b w:val="1"/>
                <w:bCs w:val="1"/>
                <w:color w:val="auto"/>
              </w:rPr>
              <w:t>September 30,</w:t>
            </w: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64"/>
        </w:trPr>
        <w:tc>
          <w:tcPr>
            <w:tcW w:w="5380" w:type="dxa"/>
            <w:vAlign w:val="bottom"/>
          </w:tcPr>
          <w:p>
            <w:pPr>
              <w:ind w:left="40"/>
              <w:spacing w:after="0"/>
              <w:rPr>
                <w:sz w:val="20"/>
                <w:szCs w:val="20"/>
                <w:color w:val="auto"/>
              </w:rPr>
            </w:pPr>
            <w:r>
              <w:rPr>
                <w:rFonts w:ascii="Arial" w:cs="Arial" w:eastAsia="Arial" w:hAnsi="Arial"/>
                <w:sz w:val="14"/>
                <w:szCs w:val="14"/>
                <w:i w:val="1"/>
                <w:iCs w:val="1"/>
                <w:color w:val="auto"/>
              </w:rPr>
              <w:t>(Dollar amounts in thousands)</w:t>
            </w:r>
          </w:p>
        </w:tc>
        <w:tc>
          <w:tcPr>
            <w:tcW w:w="200" w:type="dxa"/>
            <w:vAlign w:val="bottom"/>
            <w:tcBorders>
              <w:top w:val="single" w:sz="8" w:color="auto"/>
              <w:bottom w:val="single" w:sz="8" w:color="auto"/>
            </w:tcBorders>
          </w:tcPr>
          <w:p>
            <w:pPr>
              <w:spacing w:after="0"/>
              <w:rPr>
                <w:sz w:val="22"/>
                <w:szCs w:val="22"/>
                <w:color w:val="auto"/>
              </w:rPr>
            </w:pPr>
          </w:p>
        </w:tc>
        <w:tc>
          <w:tcPr>
            <w:tcW w:w="740" w:type="dxa"/>
            <w:vAlign w:val="bottom"/>
            <w:tcBorders>
              <w:top w:val="single" w:sz="8" w:color="auto"/>
              <w:bottom w:val="single" w:sz="8" w:color="auto"/>
            </w:tcBorders>
          </w:tcPr>
          <w:p>
            <w:pPr>
              <w:jc w:val="right"/>
              <w:ind w:right="248"/>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top w:val="single" w:sz="8" w:color="auto"/>
              <w:bottom w:val="single" w:sz="8" w:color="auto"/>
            </w:tcBorders>
          </w:tcPr>
          <w:p>
            <w:pPr>
              <w:spacing w:after="0"/>
              <w:rPr>
                <w:sz w:val="22"/>
                <w:szCs w:val="22"/>
                <w:color w:val="auto"/>
              </w:rPr>
            </w:pPr>
          </w:p>
        </w:tc>
        <w:tc>
          <w:tcPr>
            <w:tcW w:w="200" w:type="dxa"/>
            <w:vAlign w:val="bottom"/>
            <w:tcBorders>
              <w:top w:val="single" w:sz="8" w:color="auto"/>
              <w:bottom w:val="single" w:sz="8" w:color="auto"/>
            </w:tcBorders>
          </w:tcPr>
          <w:p>
            <w:pPr>
              <w:spacing w:after="0"/>
              <w:rPr>
                <w:sz w:val="22"/>
                <w:szCs w:val="22"/>
                <w:color w:val="auto"/>
              </w:rPr>
            </w:pPr>
          </w:p>
        </w:tc>
        <w:tc>
          <w:tcPr>
            <w:tcW w:w="720" w:type="dxa"/>
            <w:vAlign w:val="bottom"/>
            <w:tcBorders>
              <w:top w:val="single" w:sz="8" w:color="auto"/>
              <w:bottom w:val="single" w:sz="8" w:color="auto"/>
            </w:tcBorders>
          </w:tcPr>
          <w:p>
            <w:pPr>
              <w:jc w:val="right"/>
              <w:ind w:right="228"/>
              <w:spacing w:after="0"/>
              <w:rPr>
                <w:sz w:val="20"/>
                <w:szCs w:val="20"/>
                <w:color w:val="auto"/>
              </w:rPr>
            </w:pPr>
            <w:r>
              <w:rPr>
                <w:rFonts w:ascii="Arial" w:cs="Arial" w:eastAsia="Arial" w:hAnsi="Arial"/>
                <w:sz w:val="14"/>
                <w:szCs w:val="14"/>
                <w:b w:val="1"/>
                <w:bCs w:val="1"/>
                <w:color w:val="auto"/>
              </w:rPr>
              <w:t>2016</w:t>
            </w:r>
          </w:p>
        </w:tc>
        <w:tc>
          <w:tcPr>
            <w:tcW w:w="120" w:type="dxa"/>
            <w:vAlign w:val="bottom"/>
            <w:tcBorders>
              <w:bottom w:val="single" w:sz="8" w:color="auto"/>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gridSpan w:val="2"/>
          </w:tcPr>
          <w:p>
            <w:pPr>
              <w:ind w:left="60"/>
              <w:spacing w:after="0"/>
              <w:rPr>
                <w:sz w:val="20"/>
                <w:szCs w:val="20"/>
                <w:color w:val="auto"/>
              </w:rPr>
            </w:pPr>
            <w:r>
              <w:rPr>
                <w:rFonts w:ascii="Arial" w:cs="Arial" w:eastAsia="Arial" w:hAnsi="Arial"/>
                <w:sz w:val="14"/>
                <w:szCs w:val="14"/>
                <w:b w:val="1"/>
                <w:bCs w:val="1"/>
                <w:color w:val="auto"/>
              </w:rPr>
              <w:t>Change</w:t>
            </w:r>
          </w:p>
        </w:tc>
        <w:tc>
          <w:tcPr>
            <w:tcW w:w="200" w:type="dxa"/>
            <w:vAlign w:val="bottom"/>
            <w:tcBorders>
              <w:top w:val="single" w:sz="8" w:color="auto"/>
              <w:bottom w:val="single" w:sz="8" w:color="auto"/>
            </w:tcBorders>
          </w:tcPr>
          <w:p>
            <w:pPr>
              <w:spacing w:after="0"/>
              <w:rPr>
                <w:sz w:val="22"/>
                <w:szCs w:val="22"/>
                <w:color w:val="auto"/>
              </w:rPr>
            </w:pPr>
          </w:p>
        </w:tc>
        <w:tc>
          <w:tcPr>
            <w:tcW w:w="700" w:type="dxa"/>
            <w:vAlign w:val="bottom"/>
            <w:tcBorders>
              <w:top w:val="single" w:sz="8" w:color="auto"/>
              <w:bottom w:val="single" w:sz="8" w:color="auto"/>
            </w:tcBorders>
          </w:tcPr>
          <w:p>
            <w:pPr>
              <w:ind w:left="100"/>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top w:val="single" w:sz="8" w:color="auto"/>
              <w:bottom w:val="single" w:sz="8" w:color="auto"/>
            </w:tcBorders>
          </w:tcPr>
          <w:p>
            <w:pPr>
              <w:spacing w:after="0"/>
              <w:rPr>
                <w:sz w:val="22"/>
                <w:szCs w:val="22"/>
                <w:color w:val="auto"/>
              </w:rPr>
            </w:pPr>
          </w:p>
        </w:tc>
        <w:tc>
          <w:tcPr>
            <w:tcW w:w="200" w:type="dxa"/>
            <w:vAlign w:val="bottom"/>
            <w:tcBorders>
              <w:top w:val="single" w:sz="8" w:color="auto"/>
              <w:bottom w:val="single" w:sz="8" w:color="auto"/>
            </w:tcBorders>
          </w:tcPr>
          <w:p>
            <w:pPr>
              <w:spacing w:after="0"/>
              <w:rPr>
                <w:sz w:val="22"/>
                <w:szCs w:val="22"/>
                <w:color w:val="auto"/>
              </w:rPr>
            </w:pPr>
          </w:p>
        </w:tc>
        <w:tc>
          <w:tcPr>
            <w:tcW w:w="700" w:type="dxa"/>
            <w:vAlign w:val="bottom"/>
            <w:tcBorders>
              <w:top w:val="single" w:sz="8" w:color="auto"/>
              <w:bottom w:val="single" w:sz="8" w:color="auto"/>
            </w:tcBorders>
          </w:tcPr>
          <w:p>
            <w:pPr>
              <w:jc w:val="right"/>
              <w:ind w:right="208"/>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auto"/>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265"/>
        </w:trPr>
        <w:tc>
          <w:tcPr>
            <w:tcW w:w="5380" w:type="dxa"/>
            <w:vAlign w:val="bottom"/>
          </w:tcPr>
          <w:p>
            <w:pPr>
              <w:ind w:left="40"/>
              <w:spacing w:after="0"/>
              <w:rPr>
                <w:sz w:val="20"/>
                <w:szCs w:val="20"/>
                <w:color w:val="auto"/>
              </w:rPr>
            </w:pPr>
            <w:r>
              <w:rPr>
                <w:rFonts w:ascii="Arial" w:cs="Arial" w:eastAsia="Arial" w:hAnsi="Arial"/>
                <w:sz w:val="14"/>
                <w:szCs w:val="14"/>
                <w:b w:val="1"/>
                <w:bCs w:val="1"/>
                <w:color w:val="auto"/>
              </w:rPr>
              <w:t>Revenues</w:t>
            </w:r>
          </w:p>
        </w:tc>
        <w:tc>
          <w:tcPr>
            <w:tcW w:w="2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1"/>
        </w:trPr>
        <w:tc>
          <w:tcPr>
            <w:tcW w:w="538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Infrastructure revenues</w:t>
            </w:r>
          </w:p>
        </w:tc>
        <w:tc>
          <w:tcPr>
            <w:tcW w:w="200" w:type="dxa"/>
            <w:vAlign w:val="bottom"/>
            <w:shd w:val="clear" w:color="auto" w:fill="CCEEFF"/>
          </w:tcPr>
          <w:p>
            <w:pPr>
              <w:spacing w:after="0"/>
              <w:rPr>
                <w:sz w:val="23"/>
                <w:szCs w:val="23"/>
                <w:color w:val="auto"/>
              </w:rPr>
            </w:pPr>
          </w:p>
        </w:tc>
        <w:tc>
          <w:tcPr>
            <w:tcW w:w="7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7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7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7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7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74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9"/>
        </w:trPr>
        <w:tc>
          <w:tcPr>
            <w:tcW w:w="5380" w:type="dxa"/>
            <w:vAlign w:val="bottom"/>
            <w:tcBorders>
              <w:bottom w:val="single" w:sz="8" w:color="CCEEFF"/>
            </w:tcBorders>
          </w:tcPr>
          <w:p>
            <w:pPr>
              <w:ind w:left="80"/>
              <w:spacing w:after="0"/>
              <w:rPr>
                <w:sz w:val="20"/>
                <w:szCs w:val="20"/>
                <w:color w:val="auto"/>
              </w:rPr>
            </w:pPr>
            <w:r>
              <w:rPr>
                <w:rFonts w:ascii="Arial" w:cs="Arial" w:eastAsia="Arial" w:hAnsi="Arial"/>
                <w:sz w:val="14"/>
                <w:szCs w:val="14"/>
                <w:color w:val="auto"/>
              </w:rPr>
              <w:t>Rail revenues</w:t>
            </w:r>
          </w:p>
        </w:tc>
        <w:tc>
          <w:tcPr>
            <w:tcW w:w="2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w:t>
            </w:r>
          </w:p>
        </w:tc>
        <w:tc>
          <w:tcPr>
            <w:tcW w:w="7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8,258</w:t>
            </w:r>
          </w:p>
        </w:tc>
        <w:tc>
          <w:tcPr>
            <w:tcW w:w="120" w:type="dxa"/>
            <w:vAlign w:val="bottom"/>
            <w:tcBorders>
              <w:bottom w:val="single" w:sz="8" w:color="CCEEFF"/>
            </w:tcBorders>
          </w:tcPr>
          <w:p>
            <w:pPr>
              <w:spacing w:after="0"/>
              <w:rPr>
                <w:sz w:val="23"/>
                <w:szCs w:val="23"/>
                <w:color w:val="auto"/>
              </w:rPr>
            </w:pPr>
          </w:p>
        </w:tc>
        <w:tc>
          <w:tcPr>
            <w:tcW w:w="2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7,401</w:t>
            </w:r>
          </w:p>
        </w:tc>
        <w:tc>
          <w:tcPr>
            <w:tcW w:w="120" w:type="dxa"/>
            <w:vAlign w:val="bottom"/>
            <w:tcBorders>
              <w:bottom w:val="single" w:sz="8" w:color="CCEEFF"/>
            </w:tcBorders>
          </w:tcPr>
          <w:p>
            <w:pPr>
              <w:spacing w:after="0"/>
              <w:rPr>
                <w:sz w:val="23"/>
                <w:szCs w:val="23"/>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857</w:t>
            </w:r>
          </w:p>
        </w:tc>
        <w:tc>
          <w:tcPr>
            <w:tcW w:w="100" w:type="dxa"/>
            <w:vAlign w:val="bottom"/>
            <w:tcBorders>
              <w:bottom w:val="single" w:sz="8" w:color="CCEEFF"/>
            </w:tcBorders>
          </w:tcPr>
          <w:p>
            <w:pPr>
              <w:spacing w:after="0"/>
              <w:rPr>
                <w:sz w:val="23"/>
                <w:szCs w:val="23"/>
                <w:color w:val="auto"/>
              </w:rPr>
            </w:pPr>
          </w:p>
        </w:tc>
        <w:tc>
          <w:tcPr>
            <w:tcW w:w="2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w:t>
            </w:r>
          </w:p>
        </w:tc>
        <w:tc>
          <w:tcPr>
            <w:tcW w:w="7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24,323</w:t>
            </w:r>
          </w:p>
        </w:tc>
        <w:tc>
          <w:tcPr>
            <w:tcW w:w="100" w:type="dxa"/>
            <w:vAlign w:val="bottom"/>
            <w:tcBorders>
              <w:bottom w:val="single" w:sz="8" w:color="CCEEFF"/>
            </w:tcBorders>
          </w:tcPr>
          <w:p>
            <w:pPr>
              <w:spacing w:after="0"/>
              <w:rPr>
                <w:sz w:val="23"/>
                <w:szCs w:val="23"/>
                <w:color w:val="auto"/>
              </w:rPr>
            </w:pPr>
          </w:p>
        </w:tc>
        <w:tc>
          <w:tcPr>
            <w:tcW w:w="2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23,107</w:t>
            </w:r>
          </w:p>
        </w:tc>
        <w:tc>
          <w:tcPr>
            <w:tcW w:w="100" w:type="dxa"/>
            <w:vAlign w:val="bottom"/>
            <w:tcBorders>
              <w:bottom w:val="single" w:sz="8" w:color="CCEEFF"/>
            </w:tcBorders>
          </w:tcPr>
          <w:p>
            <w:pPr>
              <w:spacing w:after="0"/>
              <w:rPr>
                <w:sz w:val="23"/>
                <w:szCs w:val="23"/>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1,216</w:t>
            </w:r>
          </w:p>
        </w:tc>
        <w:tc>
          <w:tcPr>
            <w:tcW w:w="0" w:type="dxa"/>
            <w:vAlign w:val="bottom"/>
          </w:tcPr>
          <w:p>
            <w:pPr>
              <w:spacing w:after="0"/>
              <w:rPr>
                <w:sz w:val="1"/>
                <w:szCs w:val="1"/>
                <w:color w:val="auto"/>
              </w:rPr>
            </w:pPr>
          </w:p>
        </w:tc>
      </w:tr>
      <w:tr>
        <w:trPr>
          <w:trHeight w:val="251"/>
        </w:trPr>
        <w:tc>
          <w:tcPr>
            <w:tcW w:w="538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Total revenues</w:t>
            </w:r>
          </w:p>
        </w:tc>
        <w:tc>
          <w:tcPr>
            <w:tcW w:w="200" w:type="dxa"/>
            <w:vAlign w:val="bottom"/>
            <w:shd w:val="clear" w:color="auto" w:fill="CCEEFF"/>
          </w:tcPr>
          <w:p>
            <w:pPr>
              <w:spacing w:after="0"/>
              <w:rPr>
                <w:sz w:val="21"/>
                <w:szCs w:val="21"/>
                <w:color w:val="auto"/>
              </w:rPr>
            </w:pPr>
          </w:p>
        </w:tc>
        <w:tc>
          <w:tcPr>
            <w:tcW w:w="74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8,258</w:t>
            </w:r>
          </w:p>
        </w:tc>
        <w:tc>
          <w:tcPr>
            <w:tcW w:w="1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7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7,401</w:t>
            </w: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7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857</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70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24,323</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7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23,107</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7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1,216</w:t>
            </w:r>
          </w:p>
        </w:tc>
        <w:tc>
          <w:tcPr>
            <w:tcW w:w="0" w:type="dxa"/>
            <w:vAlign w:val="bottom"/>
          </w:tcPr>
          <w:p>
            <w:pPr>
              <w:spacing w:after="0"/>
              <w:rPr>
                <w:sz w:val="1"/>
                <w:szCs w:val="1"/>
                <w:color w:val="auto"/>
              </w:rPr>
            </w:pPr>
          </w:p>
        </w:tc>
      </w:tr>
      <w:tr>
        <w:trPr>
          <w:trHeight w:val="297"/>
        </w:trPr>
        <w:tc>
          <w:tcPr>
            <w:tcW w:w="53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538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Expenses</w:t>
            </w:r>
          </w:p>
        </w:tc>
        <w:tc>
          <w:tcPr>
            <w:tcW w:w="200" w:type="dxa"/>
            <w:vAlign w:val="bottom"/>
            <w:shd w:val="clear" w:color="auto" w:fill="CCEEFF"/>
          </w:tcPr>
          <w:p>
            <w:pPr>
              <w:spacing w:after="0"/>
              <w:rPr>
                <w:sz w:val="23"/>
                <w:szCs w:val="23"/>
                <w:color w:val="auto"/>
              </w:rPr>
            </w:pPr>
          </w:p>
        </w:tc>
        <w:tc>
          <w:tcPr>
            <w:tcW w:w="7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7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7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7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7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74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9"/>
        </w:trPr>
        <w:tc>
          <w:tcPr>
            <w:tcW w:w="5380" w:type="dxa"/>
            <w:vAlign w:val="bottom"/>
          </w:tcPr>
          <w:p>
            <w:pPr>
              <w:ind w:left="40"/>
              <w:spacing w:after="0"/>
              <w:rPr>
                <w:sz w:val="20"/>
                <w:szCs w:val="20"/>
                <w:color w:val="auto"/>
              </w:rPr>
            </w:pPr>
            <w:r>
              <w:rPr>
                <w:rFonts w:ascii="Arial" w:cs="Arial" w:eastAsia="Arial" w:hAnsi="Arial"/>
                <w:sz w:val="14"/>
                <w:szCs w:val="14"/>
                <w:color w:val="auto"/>
              </w:rPr>
              <w:t>Operating expenses</w:t>
            </w:r>
          </w:p>
        </w:tc>
        <w:tc>
          <w:tcPr>
            <w:tcW w:w="200" w:type="dxa"/>
            <w:vAlign w:val="bottom"/>
          </w:tcPr>
          <w:p>
            <w:pPr>
              <w:spacing w:after="0"/>
              <w:rPr>
                <w:sz w:val="23"/>
                <w:szCs w:val="23"/>
                <w:color w:val="auto"/>
              </w:rPr>
            </w:pPr>
          </w:p>
        </w:tc>
        <w:tc>
          <w:tcPr>
            <w:tcW w:w="740" w:type="dxa"/>
            <w:vAlign w:val="bottom"/>
          </w:tcPr>
          <w:p>
            <w:pPr>
              <w:jc w:val="right"/>
              <w:ind w:right="48"/>
              <w:spacing w:after="0"/>
              <w:rPr>
                <w:sz w:val="20"/>
                <w:szCs w:val="20"/>
                <w:color w:val="auto"/>
              </w:rPr>
            </w:pPr>
            <w:r>
              <w:rPr>
                <w:rFonts w:ascii="Arial" w:cs="Arial" w:eastAsia="Arial" w:hAnsi="Arial"/>
                <w:sz w:val="14"/>
                <w:szCs w:val="14"/>
                <w:b w:val="1"/>
                <w:bCs w:val="1"/>
                <w:color w:val="auto"/>
              </w:rPr>
              <w:t>6,980</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20" w:type="dxa"/>
            <w:vAlign w:val="bottom"/>
          </w:tcPr>
          <w:p>
            <w:pPr>
              <w:jc w:val="right"/>
              <w:ind w:right="48"/>
              <w:spacing w:after="0"/>
              <w:rPr>
                <w:sz w:val="20"/>
                <w:szCs w:val="20"/>
                <w:color w:val="auto"/>
              </w:rPr>
            </w:pPr>
            <w:r>
              <w:rPr>
                <w:rFonts w:ascii="Arial" w:cs="Arial" w:eastAsia="Arial" w:hAnsi="Arial"/>
                <w:sz w:val="14"/>
                <w:szCs w:val="14"/>
                <w:color w:val="auto"/>
              </w:rPr>
              <w:t>6,514</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80" w:type="dxa"/>
            <w:vAlign w:val="bottom"/>
          </w:tcPr>
          <w:p>
            <w:pPr>
              <w:jc w:val="right"/>
              <w:ind w:right="48"/>
              <w:spacing w:after="0"/>
              <w:rPr>
                <w:sz w:val="20"/>
                <w:szCs w:val="20"/>
                <w:color w:val="auto"/>
              </w:rPr>
            </w:pPr>
            <w:r>
              <w:rPr>
                <w:rFonts w:ascii="Arial" w:cs="Arial" w:eastAsia="Arial" w:hAnsi="Arial"/>
                <w:sz w:val="14"/>
                <w:szCs w:val="14"/>
                <w:color w:val="auto"/>
              </w:rPr>
              <w:t>466</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00" w:type="dxa"/>
            <w:vAlign w:val="bottom"/>
          </w:tcPr>
          <w:p>
            <w:pPr>
              <w:jc w:val="right"/>
              <w:ind w:right="28"/>
              <w:spacing w:after="0"/>
              <w:rPr>
                <w:sz w:val="20"/>
                <w:szCs w:val="20"/>
                <w:color w:val="auto"/>
              </w:rPr>
            </w:pPr>
            <w:r>
              <w:rPr>
                <w:rFonts w:ascii="Arial" w:cs="Arial" w:eastAsia="Arial" w:hAnsi="Arial"/>
                <w:sz w:val="14"/>
                <w:szCs w:val="14"/>
                <w:b w:val="1"/>
                <w:bCs w:val="1"/>
                <w:color w:val="auto"/>
              </w:rPr>
              <w:t>22,431</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00" w:type="dxa"/>
            <w:vAlign w:val="bottom"/>
          </w:tcPr>
          <w:p>
            <w:pPr>
              <w:jc w:val="right"/>
              <w:ind w:right="28"/>
              <w:spacing w:after="0"/>
              <w:rPr>
                <w:sz w:val="20"/>
                <w:szCs w:val="20"/>
                <w:color w:val="auto"/>
              </w:rPr>
            </w:pPr>
            <w:r>
              <w:rPr>
                <w:rFonts w:ascii="Arial" w:cs="Arial" w:eastAsia="Arial" w:hAnsi="Arial"/>
                <w:sz w:val="14"/>
                <w:szCs w:val="14"/>
                <w:color w:val="auto"/>
              </w:rPr>
              <w:t>21,004</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40" w:type="dxa"/>
            <w:vAlign w:val="bottom"/>
          </w:tcPr>
          <w:p>
            <w:pPr>
              <w:jc w:val="right"/>
              <w:ind w:right="28"/>
              <w:spacing w:after="0"/>
              <w:rPr>
                <w:sz w:val="20"/>
                <w:szCs w:val="20"/>
                <w:color w:val="auto"/>
              </w:rPr>
            </w:pPr>
            <w:r>
              <w:rPr>
                <w:rFonts w:ascii="Arial" w:cs="Arial" w:eastAsia="Arial" w:hAnsi="Arial"/>
                <w:sz w:val="14"/>
                <w:szCs w:val="14"/>
                <w:color w:val="auto"/>
              </w:rPr>
              <w:t>1,427</w:t>
            </w:r>
          </w:p>
        </w:tc>
        <w:tc>
          <w:tcPr>
            <w:tcW w:w="0" w:type="dxa"/>
            <w:vAlign w:val="bottom"/>
          </w:tcPr>
          <w:p>
            <w:pPr>
              <w:spacing w:after="0"/>
              <w:rPr>
                <w:sz w:val="1"/>
                <w:szCs w:val="1"/>
                <w:color w:val="auto"/>
              </w:rPr>
            </w:pPr>
          </w:p>
        </w:tc>
      </w:tr>
      <w:tr>
        <w:trPr>
          <w:trHeight w:val="271"/>
        </w:trPr>
        <w:tc>
          <w:tcPr>
            <w:tcW w:w="5380" w:type="dxa"/>
            <w:vAlign w:val="bottom"/>
            <w:shd w:val="clear" w:color="auto" w:fill="CCEEFF"/>
          </w:tcPr>
          <w:p>
            <w:pPr>
              <w:ind w:left="40"/>
              <w:spacing w:after="0"/>
              <w:rPr>
                <w:sz w:val="20"/>
                <w:szCs w:val="20"/>
                <w:color w:val="auto"/>
              </w:rPr>
            </w:pPr>
            <w:r>
              <w:rPr>
                <w:rFonts w:ascii="Arial" w:cs="Arial" w:eastAsia="Arial" w:hAnsi="Arial"/>
                <w:sz w:val="14"/>
                <w:szCs w:val="14"/>
                <w:color w:val="auto"/>
              </w:rPr>
              <w:t>Depreciation and amortization</w:t>
            </w:r>
          </w:p>
        </w:tc>
        <w:tc>
          <w:tcPr>
            <w:tcW w:w="200" w:type="dxa"/>
            <w:vAlign w:val="bottom"/>
            <w:shd w:val="clear" w:color="auto" w:fill="CCEEFF"/>
          </w:tcPr>
          <w:p>
            <w:pPr>
              <w:spacing w:after="0"/>
              <w:rPr>
                <w:sz w:val="23"/>
                <w:szCs w:val="23"/>
                <w:color w:val="auto"/>
              </w:rPr>
            </w:pPr>
          </w:p>
        </w:tc>
        <w:tc>
          <w:tcPr>
            <w:tcW w:w="74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507</w:t>
            </w: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7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411</w:t>
            </w: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7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96</w:t>
            </w: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70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1,525</w:t>
            </w: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7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1,471</w:t>
            </w: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7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54</w:t>
            </w:r>
          </w:p>
        </w:tc>
        <w:tc>
          <w:tcPr>
            <w:tcW w:w="0" w:type="dxa"/>
            <w:vAlign w:val="bottom"/>
          </w:tcPr>
          <w:p>
            <w:pPr>
              <w:spacing w:after="0"/>
              <w:rPr>
                <w:sz w:val="1"/>
                <w:szCs w:val="1"/>
                <w:color w:val="auto"/>
              </w:rPr>
            </w:pPr>
          </w:p>
        </w:tc>
      </w:tr>
      <w:tr>
        <w:trPr>
          <w:trHeight w:val="269"/>
        </w:trPr>
        <w:tc>
          <w:tcPr>
            <w:tcW w:w="538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Interest expense</w:t>
            </w:r>
          </w:p>
        </w:tc>
        <w:tc>
          <w:tcPr>
            <w:tcW w:w="200" w:type="dxa"/>
            <w:vAlign w:val="bottom"/>
            <w:tcBorders>
              <w:bottom w:val="single" w:sz="8" w:color="auto"/>
            </w:tcBorders>
          </w:tcPr>
          <w:p>
            <w:pPr>
              <w:spacing w:after="0"/>
              <w:rPr>
                <w:sz w:val="23"/>
                <w:szCs w:val="23"/>
                <w:color w:val="auto"/>
              </w:rPr>
            </w:pPr>
          </w:p>
        </w:tc>
        <w:tc>
          <w:tcPr>
            <w:tcW w:w="7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264</w:t>
            </w:r>
          </w:p>
        </w:tc>
        <w:tc>
          <w:tcPr>
            <w:tcW w:w="120" w:type="dxa"/>
            <w:vAlign w:val="bottom"/>
            <w:tcBorders>
              <w:bottom w:val="single" w:sz="8" w:color="CCEEFF"/>
            </w:tcBorders>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7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182</w:t>
            </w:r>
          </w:p>
        </w:tc>
        <w:tc>
          <w:tcPr>
            <w:tcW w:w="120" w:type="dxa"/>
            <w:vAlign w:val="bottom"/>
            <w:tcBorders>
              <w:bottom w:val="single" w:sz="8" w:color="CCEEFF"/>
            </w:tcBorders>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7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82</w:t>
            </w:r>
          </w:p>
        </w:tc>
        <w:tc>
          <w:tcPr>
            <w:tcW w:w="100" w:type="dxa"/>
            <w:vAlign w:val="bottom"/>
            <w:tcBorders>
              <w:bottom w:val="single" w:sz="8" w:color="CCEEFF"/>
            </w:tcBorders>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7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710</w:t>
            </w:r>
          </w:p>
        </w:tc>
        <w:tc>
          <w:tcPr>
            <w:tcW w:w="100" w:type="dxa"/>
            <w:vAlign w:val="bottom"/>
            <w:tcBorders>
              <w:bottom w:val="single" w:sz="8" w:color="CCEEFF"/>
            </w:tcBorders>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7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536</w:t>
            </w:r>
          </w:p>
        </w:tc>
        <w:tc>
          <w:tcPr>
            <w:tcW w:w="100" w:type="dxa"/>
            <w:vAlign w:val="bottom"/>
            <w:tcBorders>
              <w:bottom w:val="single" w:sz="8" w:color="CCEEFF"/>
            </w:tcBorders>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7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174</w:t>
            </w:r>
          </w:p>
        </w:tc>
        <w:tc>
          <w:tcPr>
            <w:tcW w:w="0" w:type="dxa"/>
            <w:vAlign w:val="bottom"/>
          </w:tcPr>
          <w:p>
            <w:pPr>
              <w:spacing w:after="0"/>
              <w:rPr>
                <w:sz w:val="1"/>
                <w:szCs w:val="1"/>
                <w:color w:val="auto"/>
              </w:rPr>
            </w:pPr>
          </w:p>
        </w:tc>
      </w:tr>
      <w:tr>
        <w:trPr>
          <w:trHeight w:val="250"/>
        </w:trPr>
        <w:tc>
          <w:tcPr>
            <w:tcW w:w="538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Total expenses</w:t>
            </w:r>
          </w:p>
        </w:tc>
        <w:tc>
          <w:tcPr>
            <w:tcW w:w="200" w:type="dxa"/>
            <w:vAlign w:val="bottom"/>
            <w:tcBorders>
              <w:bottom w:val="single" w:sz="8" w:color="auto"/>
            </w:tcBorders>
            <w:shd w:val="clear" w:color="auto" w:fill="CCEEFF"/>
          </w:tcPr>
          <w:p>
            <w:pPr>
              <w:spacing w:after="0"/>
              <w:rPr>
                <w:sz w:val="21"/>
                <w:szCs w:val="21"/>
                <w:color w:val="auto"/>
              </w:rPr>
            </w:pPr>
          </w:p>
        </w:tc>
        <w:tc>
          <w:tcPr>
            <w:tcW w:w="74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7,751</w:t>
            </w:r>
          </w:p>
        </w:tc>
        <w:tc>
          <w:tcPr>
            <w:tcW w:w="120" w:type="dxa"/>
            <w:vAlign w:val="bottom"/>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7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7,107</w:t>
            </w:r>
          </w:p>
        </w:tc>
        <w:tc>
          <w:tcPr>
            <w:tcW w:w="120" w:type="dxa"/>
            <w:vAlign w:val="bottom"/>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78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644</w:t>
            </w:r>
          </w:p>
        </w:tc>
        <w:tc>
          <w:tcPr>
            <w:tcW w:w="100" w:type="dxa"/>
            <w:vAlign w:val="bottom"/>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7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24,666</w:t>
            </w:r>
          </w:p>
        </w:tc>
        <w:tc>
          <w:tcPr>
            <w:tcW w:w="100" w:type="dxa"/>
            <w:vAlign w:val="bottom"/>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7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23,011</w:t>
            </w:r>
          </w:p>
        </w:tc>
        <w:tc>
          <w:tcPr>
            <w:tcW w:w="100" w:type="dxa"/>
            <w:vAlign w:val="bottom"/>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7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1,655</w:t>
            </w:r>
          </w:p>
        </w:tc>
        <w:tc>
          <w:tcPr>
            <w:tcW w:w="0" w:type="dxa"/>
            <w:vAlign w:val="bottom"/>
          </w:tcPr>
          <w:p>
            <w:pPr>
              <w:spacing w:after="0"/>
              <w:rPr>
                <w:sz w:val="1"/>
                <w:szCs w:val="1"/>
                <w:color w:val="auto"/>
              </w:rPr>
            </w:pPr>
          </w:p>
        </w:tc>
      </w:tr>
      <w:tr>
        <w:trPr>
          <w:trHeight w:val="292"/>
        </w:trPr>
        <w:tc>
          <w:tcPr>
            <w:tcW w:w="53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538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Other (expense) income</w:t>
            </w:r>
          </w:p>
        </w:tc>
        <w:tc>
          <w:tcPr>
            <w:tcW w:w="200" w:type="dxa"/>
            <w:vAlign w:val="bottom"/>
            <w:shd w:val="clear" w:color="auto" w:fill="CCEEFF"/>
          </w:tcPr>
          <w:p>
            <w:pPr>
              <w:spacing w:after="0"/>
              <w:rPr>
                <w:sz w:val="23"/>
                <w:szCs w:val="23"/>
                <w:color w:val="auto"/>
              </w:rPr>
            </w:pPr>
          </w:p>
        </w:tc>
        <w:tc>
          <w:tcPr>
            <w:tcW w:w="7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7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7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7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7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74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9"/>
        </w:trPr>
        <w:tc>
          <w:tcPr>
            <w:tcW w:w="538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(Loss) Gain on sale of equipment, net</w:t>
            </w:r>
          </w:p>
        </w:tc>
        <w:tc>
          <w:tcPr>
            <w:tcW w:w="200" w:type="dxa"/>
            <w:vAlign w:val="bottom"/>
            <w:tcBorders>
              <w:bottom w:val="single" w:sz="8" w:color="auto"/>
            </w:tcBorders>
          </w:tcPr>
          <w:p>
            <w:pPr>
              <w:spacing w:after="0"/>
              <w:rPr>
                <w:sz w:val="23"/>
                <w:szCs w:val="23"/>
                <w:color w:val="auto"/>
              </w:rPr>
            </w:pPr>
          </w:p>
        </w:tc>
        <w:tc>
          <w:tcPr>
            <w:tcW w:w="7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(162)</w:t>
            </w:r>
          </w:p>
        </w:tc>
        <w:tc>
          <w:tcPr>
            <w:tcW w:w="120" w:type="dxa"/>
            <w:vAlign w:val="bottom"/>
            <w:tcBorders>
              <w:bottom w:val="single" w:sz="8" w:color="CCEEFF"/>
            </w:tcBorders>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7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40</w:t>
            </w:r>
          </w:p>
        </w:tc>
        <w:tc>
          <w:tcPr>
            <w:tcW w:w="120" w:type="dxa"/>
            <w:vAlign w:val="bottom"/>
            <w:tcBorders>
              <w:bottom w:val="single" w:sz="8" w:color="CCEEFF"/>
            </w:tcBorders>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7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(202)</w:t>
            </w:r>
          </w:p>
        </w:tc>
        <w:tc>
          <w:tcPr>
            <w:tcW w:w="100" w:type="dxa"/>
            <w:vAlign w:val="bottom"/>
            <w:tcBorders>
              <w:bottom w:val="single" w:sz="8" w:color="CCEEFF"/>
            </w:tcBorders>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(206)</w:t>
            </w:r>
          </w:p>
        </w:tc>
        <w:tc>
          <w:tcPr>
            <w:tcW w:w="100" w:type="dxa"/>
            <w:vAlign w:val="bottom"/>
            <w:tcBorders>
              <w:bottom w:val="single" w:sz="8" w:color="CCEEFF"/>
            </w:tcBorders>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7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286</w:t>
            </w:r>
          </w:p>
        </w:tc>
        <w:tc>
          <w:tcPr>
            <w:tcW w:w="100" w:type="dxa"/>
            <w:vAlign w:val="bottom"/>
            <w:tcBorders>
              <w:bottom w:val="single" w:sz="8" w:color="CCEEFF"/>
            </w:tcBorders>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(492)</w:t>
            </w:r>
          </w:p>
        </w:tc>
        <w:tc>
          <w:tcPr>
            <w:tcW w:w="0" w:type="dxa"/>
            <w:vAlign w:val="bottom"/>
          </w:tcPr>
          <w:p>
            <w:pPr>
              <w:spacing w:after="0"/>
              <w:rPr>
                <w:sz w:val="1"/>
                <w:szCs w:val="1"/>
                <w:color w:val="auto"/>
              </w:rPr>
            </w:pPr>
          </w:p>
        </w:tc>
      </w:tr>
      <w:tr>
        <w:trPr>
          <w:trHeight w:val="250"/>
        </w:trPr>
        <w:tc>
          <w:tcPr>
            <w:tcW w:w="538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Total other (expense) income</w:t>
            </w:r>
          </w:p>
        </w:tc>
        <w:tc>
          <w:tcPr>
            <w:tcW w:w="200" w:type="dxa"/>
            <w:vAlign w:val="bottom"/>
            <w:tcBorders>
              <w:bottom w:val="single" w:sz="8" w:color="auto"/>
            </w:tcBorders>
            <w:shd w:val="clear" w:color="auto" w:fill="CCEEFF"/>
          </w:tcPr>
          <w:p>
            <w:pPr>
              <w:spacing w:after="0"/>
              <w:rPr>
                <w:sz w:val="21"/>
                <w:szCs w:val="21"/>
                <w:color w:val="auto"/>
              </w:rPr>
            </w:pPr>
          </w:p>
        </w:tc>
        <w:tc>
          <w:tcPr>
            <w:tcW w:w="74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(162)</w:t>
            </w:r>
          </w:p>
        </w:tc>
        <w:tc>
          <w:tcPr>
            <w:tcW w:w="120" w:type="dxa"/>
            <w:vAlign w:val="bottom"/>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7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40</w:t>
            </w:r>
          </w:p>
        </w:tc>
        <w:tc>
          <w:tcPr>
            <w:tcW w:w="120" w:type="dxa"/>
            <w:vAlign w:val="bottom"/>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7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(202)</w:t>
            </w:r>
          </w:p>
        </w:tc>
        <w:tc>
          <w:tcPr>
            <w:tcW w:w="100" w:type="dxa"/>
            <w:vAlign w:val="bottom"/>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(206)</w:t>
            </w:r>
          </w:p>
        </w:tc>
        <w:tc>
          <w:tcPr>
            <w:tcW w:w="100" w:type="dxa"/>
            <w:vAlign w:val="bottom"/>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7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286</w:t>
            </w:r>
          </w:p>
        </w:tc>
        <w:tc>
          <w:tcPr>
            <w:tcW w:w="100" w:type="dxa"/>
            <w:vAlign w:val="bottom"/>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(492)</w:t>
            </w:r>
          </w:p>
        </w:tc>
        <w:tc>
          <w:tcPr>
            <w:tcW w:w="0" w:type="dxa"/>
            <w:vAlign w:val="bottom"/>
          </w:tcPr>
          <w:p>
            <w:pPr>
              <w:spacing w:after="0"/>
              <w:rPr>
                <w:sz w:val="1"/>
                <w:szCs w:val="1"/>
                <w:color w:val="auto"/>
              </w:rPr>
            </w:pPr>
          </w:p>
        </w:tc>
      </w:tr>
      <w:tr>
        <w:trPr>
          <w:trHeight w:val="250"/>
        </w:trPr>
        <w:tc>
          <w:tcPr>
            <w:tcW w:w="5380" w:type="dxa"/>
            <w:vAlign w:val="bottom"/>
          </w:tcPr>
          <w:p>
            <w:pPr>
              <w:ind w:left="40"/>
              <w:spacing w:after="0"/>
              <w:rPr>
                <w:sz w:val="20"/>
                <w:szCs w:val="20"/>
                <w:color w:val="auto"/>
              </w:rPr>
            </w:pPr>
            <w:r>
              <w:rPr>
                <w:rFonts w:ascii="Arial" w:cs="Arial" w:eastAsia="Arial" w:hAnsi="Arial"/>
                <w:sz w:val="14"/>
                <w:szCs w:val="14"/>
                <w:b w:val="1"/>
                <w:bCs w:val="1"/>
                <w:color w:val="auto"/>
              </w:rPr>
              <w:t>Income (loss) before income taxes</w:t>
            </w:r>
          </w:p>
        </w:tc>
        <w:tc>
          <w:tcPr>
            <w:tcW w:w="200" w:type="dxa"/>
            <w:vAlign w:val="bottom"/>
          </w:tcPr>
          <w:p>
            <w:pPr>
              <w:spacing w:after="0"/>
              <w:rPr>
                <w:sz w:val="21"/>
                <w:szCs w:val="21"/>
                <w:color w:val="auto"/>
              </w:rPr>
            </w:pPr>
          </w:p>
        </w:tc>
        <w:tc>
          <w:tcPr>
            <w:tcW w:w="740" w:type="dxa"/>
            <w:vAlign w:val="bottom"/>
          </w:tcPr>
          <w:p>
            <w:pPr>
              <w:jc w:val="right"/>
              <w:ind w:right="48"/>
              <w:spacing w:after="0"/>
              <w:rPr>
                <w:sz w:val="20"/>
                <w:szCs w:val="20"/>
                <w:color w:val="auto"/>
              </w:rPr>
            </w:pPr>
            <w:r>
              <w:rPr>
                <w:rFonts w:ascii="Arial" w:cs="Arial" w:eastAsia="Arial" w:hAnsi="Arial"/>
                <w:sz w:val="14"/>
                <w:szCs w:val="14"/>
                <w:b w:val="1"/>
                <w:bCs w:val="1"/>
                <w:color w:val="auto"/>
              </w:rPr>
              <w:t>345</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20" w:type="dxa"/>
            <w:vAlign w:val="bottom"/>
          </w:tcPr>
          <w:p>
            <w:pPr>
              <w:jc w:val="right"/>
              <w:ind w:right="48"/>
              <w:spacing w:after="0"/>
              <w:rPr>
                <w:sz w:val="20"/>
                <w:szCs w:val="20"/>
                <w:color w:val="auto"/>
              </w:rPr>
            </w:pPr>
            <w:r>
              <w:rPr>
                <w:rFonts w:ascii="Arial" w:cs="Arial" w:eastAsia="Arial" w:hAnsi="Arial"/>
                <w:sz w:val="14"/>
                <w:szCs w:val="14"/>
                <w:color w:val="auto"/>
              </w:rPr>
              <w:t>334</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80" w:type="dxa"/>
            <w:vAlign w:val="bottom"/>
          </w:tcPr>
          <w:p>
            <w:pPr>
              <w:jc w:val="right"/>
              <w:ind w:right="48"/>
              <w:spacing w:after="0"/>
              <w:rPr>
                <w:sz w:val="20"/>
                <w:szCs w:val="20"/>
                <w:color w:val="auto"/>
              </w:rPr>
            </w:pPr>
            <w:r>
              <w:rPr>
                <w:rFonts w:ascii="Arial" w:cs="Arial" w:eastAsia="Arial" w:hAnsi="Arial"/>
                <w:sz w:val="14"/>
                <w:szCs w:val="14"/>
                <w:color w:val="auto"/>
              </w:rPr>
              <w:t>11</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4"/>
                <w:szCs w:val="14"/>
                <w:b w:val="1"/>
                <w:bCs w:val="1"/>
                <w:color w:val="auto"/>
              </w:rPr>
              <w:t>(549)</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00" w:type="dxa"/>
            <w:vAlign w:val="bottom"/>
          </w:tcPr>
          <w:p>
            <w:pPr>
              <w:jc w:val="right"/>
              <w:ind w:right="28"/>
              <w:spacing w:after="0"/>
              <w:rPr>
                <w:sz w:val="20"/>
                <w:szCs w:val="20"/>
                <w:color w:val="auto"/>
              </w:rPr>
            </w:pPr>
            <w:r>
              <w:rPr>
                <w:rFonts w:ascii="Arial" w:cs="Arial" w:eastAsia="Arial" w:hAnsi="Arial"/>
                <w:sz w:val="14"/>
                <w:szCs w:val="14"/>
                <w:color w:val="auto"/>
              </w:rPr>
              <w:t>382</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(931)</w:t>
            </w:r>
          </w:p>
        </w:tc>
        <w:tc>
          <w:tcPr>
            <w:tcW w:w="0" w:type="dxa"/>
            <w:vAlign w:val="bottom"/>
          </w:tcPr>
          <w:p>
            <w:pPr>
              <w:spacing w:after="0"/>
              <w:rPr>
                <w:sz w:val="1"/>
                <w:szCs w:val="1"/>
                <w:color w:val="auto"/>
              </w:rPr>
            </w:pPr>
          </w:p>
        </w:tc>
      </w:tr>
      <w:tr>
        <w:trPr>
          <w:trHeight w:val="270"/>
        </w:trPr>
        <w:tc>
          <w:tcPr>
            <w:tcW w:w="5380" w:type="dxa"/>
            <w:vAlign w:val="bottom"/>
            <w:shd w:val="clear" w:color="auto" w:fill="CCEEFF"/>
          </w:tcPr>
          <w:p>
            <w:pPr>
              <w:ind w:left="40"/>
              <w:spacing w:after="0"/>
              <w:rPr>
                <w:sz w:val="20"/>
                <w:szCs w:val="20"/>
                <w:color w:val="auto"/>
              </w:rPr>
            </w:pPr>
            <w:r>
              <w:rPr>
                <w:rFonts w:ascii="Arial" w:cs="Arial" w:eastAsia="Arial" w:hAnsi="Arial"/>
                <w:sz w:val="14"/>
                <w:szCs w:val="14"/>
                <w:color w:val="auto"/>
              </w:rPr>
              <w:t>Provision for income taxes</w:t>
            </w:r>
          </w:p>
        </w:tc>
        <w:tc>
          <w:tcPr>
            <w:tcW w:w="200" w:type="dxa"/>
            <w:vAlign w:val="bottom"/>
            <w:shd w:val="clear" w:color="auto" w:fill="CCEEFF"/>
          </w:tcPr>
          <w:p>
            <w:pPr>
              <w:spacing w:after="0"/>
              <w:rPr>
                <w:sz w:val="23"/>
                <w:szCs w:val="23"/>
                <w:color w:val="auto"/>
              </w:rPr>
            </w:pPr>
          </w:p>
        </w:tc>
        <w:tc>
          <w:tcPr>
            <w:tcW w:w="86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b w:val="1"/>
                <w:bCs w:val="1"/>
                <w:color w:val="auto"/>
              </w:rPr>
              <w:t>—</w:t>
            </w:r>
          </w:p>
        </w:tc>
        <w:tc>
          <w:tcPr>
            <w:tcW w:w="200" w:type="dxa"/>
            <w:vAlign w:val="bottom"/>
            <w:shd w:val="clear" w:color="auto" w:fill="CCEEFF"/>
          </w:tcPr>
          <w:p>
            <w:pPr>
              <w:spacing w:after="0"/>
              <w:rPr>
                <w:sz w:val="23"/>
                <w:szCs w:val="23"/>
                <w:color w:val="auto"/>
              </w:rPr>
            </w:pP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3"/>
                <w:szCs w:val="23"/>
                <w:color w:val="auto"/>
              </w:rPr>
            </w:pP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23"/>
                <w:szCs w:val="23"/>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b w:val="1"/>
                <w:bCs w:val="1"/>
                <w:color w:val="auto"/>
              </w:rPr>
              <w:t>—</w:t>
            </w:r>
          </w:p>
        </w:tc>
        <w:tc>
          <w:tcPr>
            <w:tcW w:w="200" w:type="dxa"/>
            <w:vAlign w:val="bottom"/>
            <w:shd w:val="clear" w:color="auto" w:fill="CCEEFF"/>
          </w:tcPr>
          <w:p>
            <w:pPr>
              <w:spacing w:after="0"/>
              <w:rPr>
                <w:sz w:val="23"/>
                <w:szCs w:val="23"/>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3"/>
                <w:szCs w:val="23"/>
                <w:color w:val="auto"/>
              </w:rPr>
            </w:pPr>
          </w:p>
        </w:tc>
        <w:tc>
          <w:tcPr>
            <w:tcW w:w="7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50"/>
        </w:trPr>
        <w:tc>
          <w:tcPr>
            <w:tcW w:w="538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Net income (loss)</w:t>
            </w:r>
          </w:p>
        </w:tc>
        <w:tc>
          <w:tcPr>
            <w:tcW w:w="200" w:type="dxa"/>
            <w:vAlign w:val="bottom"/>
            <w:tcBorders>
              <w:top w:val="single" w:sz="8" w:color="auto"/>
              <w:bottom w:val="single" w:sz="8" w:color="auto"/>
            </w:tcBorders>
          </w:tcPr>
          <w:p>
            <w:pPr>
              <w:spacing w:after="0"/>
              <w:rPr>
                <w:sz w:val="21"/>
                <w:szCs w:val="21"/>
                <w:color w:val="auto"/>
              </w:rPr>
            </w:pPr>
          </w:p>
        </w:tc>
        <w:tc>
          <w:tcPr>
            <w:tcW w:w="74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345</w:t>
            </w:r>
          </w:p>
        </w:tc>
        <w:tc>
          <w:tcPr>
            <w:tcW w:w="120" w:type="dxa"/>
            <w:vAlign w:val="bottom"/>
            <w:tcBorders>
              <w:bottom w:val="single" w:sz="8" w:color="CCEEFF"/>
            </w:tcBorders>
          </w:tcPr>
          <w:p>
            <w:pPr>
              <w:spacing w:after="0"/>
              <w:rPr>
                <w:sz w:val="21"/>
                <w:szCs w:val="21"/>
                <w:color w:val="auto"/>
              </w:rPr>
            </w:pPr>
          </w:p>
        </w:tc>
        <w:tc>
          <w:tcPr>
            <w:tcW w:w="200" w:type="dxa"/>
            <w:vAlign w:val="bottom"/>
            <w:tcBorders>
              <w:top w:val="single" w:sz="8" w:color="auto"/>
              <w:bottom w:val="single" w:sz="8" w:color="auto"/>
            </w:tcBorders>
          </w:tcPr>
          <w:p>
            <w:pPr>
              <w:spacing w:after="0"/>
              <w:rPr>
                <w:sz w:val="21"/>
                <w:szCs w:val="21"/>
                <w:color w:val="auto"/>
              </w:rPr>
            </w:pPr>
          </w:p>
        </w:tc>
        <w:tc>
          <w:tcPr>
            <w:tcW w:w="72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334</w:t>
            </w:r>
          </w:p>
        </w:tc>
        <w:tc>
          <w:tcPr>
            <w:tcW w:w="120" w:type="dxa"/>
            <w:vAlign w:val="bottom"/>
            <w:tcBorders>
              <w:bottom w:val="single" w:sz="8" w:color="CCEEFF"/>
            </w:tcBorders>
          </w:tcPr>
          <w:p>
            <w:pPr>
              <w:spacing w:after="0"/>
              <w:rPr>
                <w:sz w:val="21"/>
                <w:szCs w:val="21"/>
                <w:color w:val="auto"/>
              </w:rPr>
            </w:pPr>
          </w:p>
        </w:tc>
        <w:tc>
          <w:tcPr>
            <w:tcW w:w="160" w:type="dxa"/>
            <w:vAlign w:val="bottom"/>
            <w:tcBorders>
              <w:top w:val="single" w:sz="8" w:color="auto"/>
              <w:bottom w:val="single" w:sz="8" w:color="auto"/>
            </w:tcBorders>
          </w:tcPr>
          <w:p>
            <w:pPr>
              <w:spacing w:after="0"/>
              <w:rPr>
                <w:sz w:val="21"/>
                <w:szCs w:val="21"/>
                <w:color w:val="auto"/>
              </w:rPr>
            </w:pPr>
          </w:p>
        </w:tc>
        <w:tc>
          <w:tcPr>
            <w:tcW w:w="78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11</w:t>
            </w:r>
          </w:p>
        </w:tc>
        <w:tc>
          <w:tcPr>
            <w:tcW w:w="100" w:type="dxa"/>
            <w:vAlign w:val="bottom"/>
            <w:tcBorders>
              <w:bottom w:val="single" w:sz="8" w:color="CCEEFF"/>
            </w:tcBorders>
          </w:tcPr>
          <w:p>
            <w:pPr>
              <w:spacing w:after="0"/>
              <w:rPr>
                <w:sz w:val="21"/>
                <w:szCs w:val="21"/>
                <w:color w:val="auto"/>
              </w:rPr>
            </w:pPr>
          </w:p>
        </w:tc>
        <w:tc>
          <w:tcPr>
            <w:tcW w:w="200" w:type="dxa"/>
            <w:vAlign w:val="bottom"/>
            <w:tcBorders>
              <w:top w:val="single" w:sz="8" w:color="auto"/>
              <w:bottom w:val="single" w:sz="8" w:color="auto"/>
            </w:tcBorders>
          </w:tcPr>
          <w:p>
            <w:pPr>
              <w:spacing w:after="0"/>
              <w:rPr>
                <w:sz w:val="21"/>
                <w:szCs w:val="21"/>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(549)</w:t>
            </w:r>
          </w:p>
        </w:tc>
        <w:tc>
          <w:tcPr>
            <w:tcW w:w="100" w:type="dxa"/>
            <w:vAlign w:val="bottom"/>
            <w:tcBorders>
              <w:bottom w:val="single" w:sz="8" w:color="CCEEFF"/>
            </w:tcBorders>
          </w:tcPr>
          <w:p>
            <w:pPr>
              <w:spacing w:after="0"/>
              <w:rPr>
                <w:sz w:val="21"/>
                <w:szCs w:val="21"/>
                <w:color w:val="auto"/>
              </w:rPr>
            </w:pPr>
          </w:p>
        </w:tc>
        <w:tc>
          <w:tcPr>
            <w:tcW w:w="200" w:type="dxa"/>
            <w:vAlign w:val="bottom"/>
            <w:tcBorders>
              <w:top w:val="single" w:sz="8" w:color="auto"/>
              <w:bottom w:val="single" w:sz="8" w:color="auto"/>
            </w:tcBorders>
          </w:tcPr>
          <w:p>
            <w:pPr>
              <w:spacing w:after="0"/>
              <w:rPr>
                <w:sz w:val="21"/>
                <w:szCs w:val="21"/>
                <w:color w:val="auto"/>
              </w:rPr>
            </w:pPr>
          </w:p>
        </w:tc>
        <w:tc>
          <w:tcPr>
            <w:tcW w:w="70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382</w:t>
            </w:r>
          </w:p>
        </w:tc>
        <w:tc>
          <w:tcPr>
            <w:tcW w:w="100" w:type="dxa"/>
            <w:vAlign w:val="bottom"/>
            <w:tcBorders>
              <w:bottom w:val="single" w:sz="8" w:color="CCEEFF"/>
            </w:tcBorders>
          </w:tcPr>
          <w:p>
            <w:pPr>
              <w:spacing w:after="0"/>
              <w:rPr>
                <w:sz w:val="21"/>
                <w:szCs w:val="21"/>
                <w:color w:val="auto"/>
              </w:rPr>
            </w:pPr>
          </w:p>
        </w:tc>
        <w:tc>
          <w:tcPr>
            <w:tcW w:w="160" w:type="dxa"/>
            <w:vAlign w:val="bottom"/>
            <w:tcBorders>
              <w:top w:val="single" w:sz="8" w:color="auto"/>
              <w:bottom w:val="single" w:sz="8" w:color="auto"/>
            </w:tcBorders>
          </w:tcPr>
          <w:p>
            <w:pPr>
              <w:spacing w:after="0"/>
              <w:rPr>
                <w:sz w:val="21"/>
                <w:szCs w:val="21"/>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(931)</w:t>
            </w:r>
          </w:p>
        </w:tc>
        <w:tc>
          <w:tcPr>
            <w:tcW w:w="0" w:type="dxa"/>
            <w:vAlign w:val="bottom"/>
          </w:tcPr>
          <w:p>
            <w:pPr>
              <w:spacing w:after="0"/>
              <w:rPr>
                <w:sz w:val="1"/>
                <w:szCs w:val="1"/>
                <w:color w:val="auto"/>
              </w:rPr>
            </w:pPr>
          </w:p>
        </w:tc>
      </w:tr>
      <w:tr>
        <w:trPr>
          <w:trHeight w:val="250"/>
        </w:trPr>
        <w:tc>
          <w:tcPr>
            <w:tcW w:w="5380" w:type="dxa"/>
            <w:vAlign w:val="bottom"/>
            <w:shd w:val="clear" w:color="auto" w:fill="CCEEFF"/>
          </w:tcPr>
          <w:p>
            <w:pPr>
              <w:ind w:left="40"/>
              <w:spacing w:after="0"/>
              <w:rPr>
                <w:sz w:val="20"/>
                <w:szCs w:val="20"/>
                <w:color w:val="auto"/>
              </w:rPr>
            </w:pPr>
            <w:r>
              <w:rPr>
                <w:rFonts w:ascii="Arial" w:cs="Arial" w:eastAsia="Arial" w:hAnsi="Arial"/>
                <w:sz w:val="14"/>
                <w:szCs w:val="14"/>
                <w:color w:val="auto"/>
              </w:rPr>
              <w:t>Less: Net income attributable to non-controlling interest in consolidated subsidiaries</w:t>
            </w:r>
          </w:p>
        </w:tc>
        <w:tc>
          <w:tcPr>
            <w:tcW w:w="200" w:type="dxa"/>
            <w:vAlign w:val="bottom"/>
            <w:tcBorders>
              <w:bottom w:val="single" w:sz="8" w:color="auto"/>
            </w:tcBorders>
            <w:shd w:val="clear" w:color="auto" w:fill="CCEEFF"/>
          </w:tcPr>
          <w:p>
            <w:pPr>
              <w:spacing w:after="0"/>
              <w:rPr>
                <w:sz w:val="21"/>
                <w:szCs w:val="21"/>
                <w:color w:val="auto"/>
              </w:rPr>
            </w:pPr>
          </w:p>
        </w:tc>
        <w:tc>
          <w:tcPr>
            <w:tcW w:w="74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(104)</w:t>
            </w:r>
          </w:p>
        </w:tc>
        <w:tc>
          <w:tcPr>
            <w:tcW w:w="120" w:type="dxa"/>
            <w:vAlign w:val="bottom"/>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7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14</w:t>
            </w:r>
          </w:p>
        </w:tc>
        <w:tc>
          <w:tcPr>
            <w:tcW w:w="120" w:type="dxa"/>
            <w:vAlign w:val="bottom"/>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7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(118)</w:t>
            </w:r>
          </w:p>
        </w:tc>
        <w:tc>
          <w:tcPr>
            <w:tcW w:w="100" w:type="dxa"/>
            <w:vAlign w:val="bottom"/>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(43)</w:t>
            </w:r>
          </w:p>
        </w:tc>
        <w:tc>
          <w:tcPr>
            <w:tcW w:w="100" w:type="dxa"/>
            <w:vAlign w:val="bottom"/>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7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11</w:t>
            </w:r>
          </w:p>
        </w:tc>
        <w:tc>
          <w:tcPr>
            <w:tcW w:w="100" w:type="dxa"/>
            <w:vAlign w:val="bottom"/>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(54)</w:t>
            </w:r>
          </w:p>
        </w:tc>
        <w:tc>
          <w:tcPr>
            <w:tcW w:w="0" w:type="dxa"/>
            <w:vAlign w:val="bottom"/>
          </w:tcPr>
          <w:p>
            <w:pPr>
              <w:spacing w:after="0"/>
              <w:rPr>
                <w:sz w:val="1"/>
                <w:szCs w:val="1"/>
                <w:color w:val="auto"/>
              </w:rPr>
            </w:pPr>
          </w:p>
        </w:tc>
      </w:tr>
      <w:tr>
        <w:trPr>
          <w:trHeight w:val="250"/>
        </w:trPr>
        <w:tc>
          <w:tcPr>
            <w:tcW w:w="538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Net income (loss) attributable to shareholders</w:t>
            </w:r>
          </w:p>
        </w:tc>
        <w:tc>
          <w:tcPr>
            <w:tcW w:w="2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w:t>
            </w:r>
          </w:p>
        </w:tc>
        <w:tc>
          <w:tcPr>
            <w:tcW w:w="7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449</w:t>
            </w:r>
          </w:p>
        </w:tc>
        <w:tc>
          <w:tcPr>
            <w:tcW w:w="12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320</w:t>
            </w:r>
          </w:p>
        </w:tc>
        <w:tc>
          <w:tcPr>
            <w:tcW w:w="12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129</w:t>
            </w:r>
          </w:p>
        </w:tc>
        <w:tc>
          <w:tcPr>
            <w:tcW w:w="10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(506)</w:t>
            </w:r>
          </w:p>
        </w:tc>
        <w:tc>
          <w:tcPr>
            <w:tcW w:w="10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371</w:t>
            </w:r>
          </w:p>
        </w:tc>
        <w:tc>
          <w:tcPr>
            <w:tcW w:w="10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(877)</w:t>
            </w:r>
          </w:p>
        </w:tc>
        <w:tc>
          <w:tcPr>
            <w:tcW w:w="0" w:type="dxa"/>
            <w:vAlign w:val="bottom"/>
          </w:tcPr>
          <w:p>
            <w:pPr>
              <w:spacing w:after="0"/>
              <w:rPr>
                <w:sz w:val="1"/>
                <w:szCs w:val="1"/>
                <w:color w:val="auto"/>
              </w:rPr>
            </w:pPr>
          </w:p>
        </w:tc>
      </w:tr>
      <w:tr>
        <w:trPr>
          <w:trHeight w:val="251"/>
        </w:trPr>
        <w:tc>
          <w:tcPr>
            <w:tcW w:w="5380" w:type="dxa"/>
            <w:vAlign w:val="bottom"/>
            <w:shd w:val="clear" w:color="auto" w:fill="CCEEFF"/>
          </w:tcPr>
          <w:p>
            <w:pPr>
              <w:ind w:left="40"/>
              <w:spacing w:after="0"/>
              <w:rPr>
                <w:sz w:val="20"/>
                <w:szCs w:val="20"/>
                <w:color w:val="auto"/>
              </w:rPr>
            </w:pPr>
            <w:r>
              <w:rPr>
                <w:rFonts w:ascii="Arial" w:cs="Arial" w:eastAsia="Arial" w:hAnsi="Arial"/>
                <w:sz w:val="14"/>
                <w:szCs w:val="14"/>
                <w:color w:val="auto"/>
              </w:rPr>
              <w:t>Add: Provision for income taxes</w:t>
            </w:r>
          </w:p>
        </w:tc>
        <w:tc>
          <w:tcPr>
            <w:tcW w:w="200" w:type="dxa"/>
            <w:vAlign w:val="bottom"/>
            <w:shd w:val="clear" w:color="auto" w:fill="CCEEFF"/>
          </w:tcPr>
          <w:p>
            <w:pPr>
              <w:spacing w:after="0"/>
              <w:rPr>
                <w:sz w:val="21"/>
                <w:szCs w:val="21"/>
                <w:color w:val="auto"/>
              </w:rPr>
            </w:pPr>
          </w:p>
        </w:tc>
        <w:tc>
          <w:tcPr>
            <w:tcW w:w="86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b w:val="1"/>
                <w:bCs w:val="1"/>
                <w:color w:val="auto"/>
              </w:rPr>
              <w:t>—</w:t>
            </w:r>
          </w:p>
        </w:tc>
        <w:tc>
          <w:tcPr>
            <w:tcW w:w="200" w:type="dxa"/>
            <w:vAlign w:val="bottom"/>
            <w:shd w:val="clear" w:color="auto" w:fill="CCEEFF"/>
          </w:tcPr>
          <w:p>
            <w:pPr>
              <w:spacing w:after="0"/>
              <w:rPr>
                <w:sz w:val="21"/>
                <w:szCs w:val="21"/>
                <w:color w:val="auto"/>
              </w:rPr>
            </w:pP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1"/>
                <w:szCs w:val="21"/>
                <w:color w:val="auto"/>
              </w:rPr>
            </w:pP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21"/>
                <w:szCs w:val="21"/>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b w:val="1"/>
                <w:bCs w:val="1"/>
                <w:color w:val="auto"/>
              </w:rPr>
              <w:t>—</w:t>
            </w:r>
          </w:p>
        </w:tc>
        <w:tc>
          <w:tcPr>
            <w:tcW w:w="200" w:type="dxa"/>
            <w:vAlign w:val="bottom"/>
            <w:shd w:val="clear" w:color="auto" w:fill="CCEEFF"/>
          </w:tcPr>
          <w:p>
            <w:pPr>
              <w:spacing w:after="0"/>
              <w:rPr>
                <w:sz w:val="21"/>
                <w:szCs w:val="21"/>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1"/>
                <w:szCs w:val="21"/>
                <w:color w:val="auto"/>
              </w:rPr>
            </w:pPr>
          </w:p>
        </w:tc>
        <w:tc>
          <w:tcPr>
            <w:tcW w:w="7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69"/>
        </w:trPr>
        <w:tc>
          <w:tcPr>
            <w:tcW w:w="5380" w:type="dxa"/>
            <w:vAlign w:val="bottom"/>
          </w:tcPr>
          <w:p>
            <w:pPr>
              <w:ind w:left="40"/>
              <w:spacing w:after="0"/>
              <w:rPr>
                <w:sz w:val="20"/>
                <w:szCs w:val="20"/>
                <w:color w:val="auto"/>
              </w:rPr>
            </w:pPr>
            <w:r>
              <w:rPr>
                <w:rFonts w:ascii="Arial" w:cs="Arial" w:eastAsia="Arial" w:hAnsi="Arial"/>
                <w:sz w:val="14"/>
                <w:szCs w:val="14"/>
                <w:color w:val="auto"/>
              </w:rPr>
              <w:t>Add: Equity-based compensation expense</w:t>
            </w:r>
          </w:p>
        </w:tc>
        <w:tc>
          <w:tcPr>
            <w:tcW w:w="200" w:type="dxa"/>
            <w:vAlign w:val="bottom"/>
          </w:tcPr>
          <w:p>
            <w:pPr>
              <w:spacing w:after="0"/>
              <w:rPr>
                <w:sz w:val="23"/>
                <w:szCs w:val="23"/>
                <w:color w:val="auto"/>
              </w:rPr>
            </w:pPr>
          </w:p>
        </w:tc>
        <w:tc>
          <w:tcPr>
            <w:tcW w:w="740" w:type="dxa"/>
            <w:vAlign w:val="bottom"/>
          </w:tcPr>
          <w:p>
            <w:pPr>
              <w:jc w:val="right"/>
              <w:ind w:right="48"/>
              <w:spacing w:after="0"/>
              <w:rPr>
                <w:sz w:val="20"/>
                <w:szCs w:val="20"/>
                <w:color w:val="auto"/>
              </w:rPr>
            </w:pPr>
            <w:r>
              <w:rPr>
                <w:rFonts w:ascii="Arial" w:cs="Arial" w:eastAsia="Arial" w:hAnsi="Arial"/>
                <w:sz w:val="14"/>
                <w:szCs w:val="14"/>
                <w:b w:val="1"/>
                <w:bCs w:val="1"/>
                <w:color w:val="auto"/>
              </w:rPr>
              <w:t>75</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20" w:type="dxa"/>
            <w:vAlign w:val="bottom"/>
          </w:tcPr>
          <w:p>
            <w:pPr>
              <w:jc w:val="right"/>
              <w:ind w:right="48"/>
              <w:spacing w:after="0"/>
              <w:rPr>
                <w:sz w:val="20"/>
                <w:szCs w:val="20"/>
                <w:color w:val="auto"/>
              </w:rPr>
            </w:pPr>
            <w:r>
              <w:rPr>
                <w:rFonts w:ascii="Arial" w:cs="Arial" w:eastAsia="Arial" w:hAnsi="Arial"/>
                <w:sz w:val="14"/>
                <w:szCs w:val="14"/>
                <w:color w:val="auto"/>
              </w:rPr>
              <w:t>28</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80" w:type="dxa"/>
            <w:vAlign w:val="bottom"/>
          </w:tcPr>
          <w:p>
            <w:pPr>
              <w:jc w:val="right"/>
              <w:ind w:right="48"/>
              <w:spacing w:after="0"/>
              <w:rPr>
                <w:sz w:val="20"/>
                <w:szCs w:val="20"/>
                <w:color w:val="auto"/>
              </w:rPr>
            </w:pPr>
            <w:r>
              <w:rPr>
                <w:rFonts w:ascii="Arial" w:cs="Arial" w:eastAsia="Arial" w:hAnsi="Arial"/>
                <w:sz w:val="14"/>
                <w:szCs w:val="14"/>
                <w:color w:val="auto"/>
              </w:rPr>
              <w:t>47</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00" w:type="dxa"/>
            <w:vAlign w:val="bottom"/>
          </w:tcPr>
          <w:p>
            <w:pPr>
              <w:jc w:val="right"/>
              <w:ind w:right="28"/>
              <w:spacing w:after="0"/>
              <w:rPr>
                <w:sz w:val="20"/>
                <w:szCs w:val="20"/>
                <w:color w:val="auto"/>
              </w:rPr>
            </w:pPr>
            <w:r>
              <w:rPr>
                <w:rFonts w:ascii="Arial" w:cs="Arial" w:eastAsia="Arial" w:hAnsi="Arial"/>
                <w:sz w:val="14"/>
                <w:szCs w:val="14"/>
                <w:b w:val="1"/>
                <w:bCs w:val="1"/>
                <w:color w:val="auto"/>
              </w:rPr>
              <w:t>467</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00" w:type="dxa"/>
            <w:vAlign w:val="bottom"/>
          </w:tcPr>
          <w:p>
            <w:pPr>
              <w:jc w:val="right"/>
              <w:ind w:right="28"/>
              <w:spacing w:after="0"/>
              <w:rPr>
                <w:sz w:val="20"/>
                <w:szCs w:val="20"/>
                <w:color w:val="auto"/>
              </w:rPr>
            </w:pPr>
            <w:r>
              <w:rPr>
                <w:rFonts w:ascii="Arial" w:cs="Arial" w:eastAsia="Arial" w:hAnsi="Arial"/>
                <w:sz w:val="14"/>
                <w:szCs w:val="14"/>
                <w:color w:val="auto"/>
              </w:rPr>
              <w:t>350</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40" w:type="dxa"/>
            <w:vAlign w:val="bottom"/>
          </w:tcPr>
          <w:p>
            <w:pPr>
              <w:jc w:val="right"/>
              <w:ind w:right="28"/>
              <w:spacing w:after="0"/>
              <w:rPr>
                <w:sz w:val="20"/>
                <w:szCs w:val="20"/>
                <w:color w:val="auto"/>
              </w:rPr>
            </w:pPr>
            <w:r>
              <w:rPr>
                <w:rFonts w:ascii="Arial" w:cs="Arial" w:eastAsia="Arial" w:hAnsi="Arial"/>
                <w:sz w:val="14"/>
                <w:szCs w:val="14"/>
                <w:color w:val="auto"/>
              </w:rPr>
              <w:t>117</w:t>
            </w:r>
          </w:p>
        </w:tc>
        <w:tc>
          <w:tcPr>
            <w:tcW w:w="0" w:type="dxa"/>
            <w:vAlign w:val="bottom"/>
          </w:tcPr>
          <w:p>
            <w:pPr>
              <w:spacing w:after="0"/>
              <w:rPr>
                <w:sz w:val="1"/>
                <w:szCs w:val="1"/>
                <w:color w:val="auto"/>
              </w:rPr>
            </w:pPr>
          </w:p>
        </w:tc>
      </w:tr>
      <w:tr>
        <w:trPr>
          <w:trHeight w:val="271"/>
        </w:trPr>
        <w:tc>
          <w:tcPr>
            <w:tcW w:w="5380" w:type="dxa"/>
            <w:vAlign w:val="bottom"/>
            <w:shd w:val="clear" w:color="auto" w:fill="CCEEFF"/>
          </w:tcPr>
          <w:p>
            <w:pPr>
              <w:ind w:left="40"/>
              <w:spacing w:after="0"/>
              <w:rPr>
                <w:sz w:val="20"/>
                <w:szCs w:val="20"/>
                <w:color w:val="auto"/>
              </w:rPr>
            </w:pPr>
            <w:r>
              <w:rPr>
                <w:rFonts w:ascii="Arial" w:cs="Arial" w:eastAsia="Arial" w:hAnsi="Arial"/>
                <w:sz w:val="14"/>
                <w:szCs w:val="14"/>
                <w:color w:val="auto"/>
              </w:rPr>
              <w:t>Add: Acquisition and transaction expenses</w:t>
            </w:r>
          </w:p>
        </w:tc>
        <w:tc>
          <w:tcPr>
            <w:tcW w:w="200" w:type="dxa"/>
            <w:vAlign w:val="bottom"/>
            <w:shd w:val="clear" w:color="auto" w:fill="CCEEFF"/>
          </w:tcPr>
          <w:p>
            <w:pPr>
              <w:spacing w:after="0"/>
              <w:rPr>
                <w:sz w:val="23"/>
                <w:szCs w:val="23"/>
                <w:color w:val="auto"/>
              </w:rPr>
            </w:pPr>
          </w:p>
        </w:tc>
        <w:tc>
          <w:tcPr>
            <w:tcW w:w="86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b w:val="1"/>
                <w:bCs w:val="1"/>
                <w:color w:val="auto"/>
              </w:rPr>
              <w:t>—</w:t>
            </w:r>
          </w:p>
        </w:tc>
        <w:tc>
          <w:tcPr>
            <w:tcW w:w="200" w:type="dxa"/>
            <w:vAlign w:val="bottom"/>
            <w:shd w:val="clear" w:color="auto" w:fill="CCEEFF"/>
          </w:tcPr>
          <w:p>
            <w:pPr>
              <w:spacing w:after="0"/>
              <w:rPr>
                <w:sz w:val="23"/>
                <w:szCs w:val="23"/>
                <w:color w:val="auto"/>
              </w:rPr>
            </w:pP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3"/>
                <w:szCs w:val="23"/>
                <w:color w:val="auto"/>
              </w:rPr>
            </w:pP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23"/>
                <w:szCs w:val="23"/>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b w:val="1"/>
                <w:bCs w:val="1"/>
                <w:color w:val="auto"/>
              </w:rPr>
              <w:t>—</w:t>
            </w:r>
          </w:p>
        </w:tc>
        <w:tc>
          <w:tcPr>
            <w:tcW w:w="200" w:type="dxa"/>
            <w:vAlign w:val="bottom"/>
            <w:shd w:val="clear" w:color="auto" w:fill="CCEEFF"/>
          </w:tcPr>
          <w:p>
            <w:pPr>
              <w:spacing w:after="0"/>
              <w:rPr>
                <w:sz w:val="23"/>
                <w:szCs w:val="23"/>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3"/>
                <w:szCs w:val="23"/>
                <w:color w:val="auto"/>
              </w:rPr>
            </w:pPr>
          </w:p>
        </w:tc>
        <w:tc>
          <w:tcPr>
            <w:tcW w:w="7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6"/>
        </w:trPr>
        <w:tc>
          <w:tcPr>
            <w:tcW w:w="5380" w:type="dxa"/>
            <w:vAlign w:val="bottom"/>
          </w:tcPr>
          <w:p>
            <w:pPr>
              <w:ind w:left="40"/>
              <w:spacing w:after="0"/>
              <w:rPr>
                <w:sz w:val="20"/>
                <w:szCs w:val="20"/>
                <w:color w:val="auto"/>
              </w:rPr>
            </w:pPr>
            <w:r>
              <w:rPr>
                <w:rFonts w:ascii="Arial" w:cs="Arial" w:eastAsia="Arial" w:hAnsi="Arial"/>
                <w:sz w:val="14"/>
                <w:szCs w:val="14"/>
                <w:color w:val="auto"/>
              </w:rPr>
              <w:t>Add: Losses on the modification or extinguishment of debt and capital lease</w:t>
            </w:r>
          </w:p>
        </w:tc>
        <w:tc>
          <w:tcPr>
            <w:tcW w:w="200" w:type="dxa"/>
            <w:vAlign w:val="bottom"/>
          </w:tcPr>
          <w:p>
            <w:pPr>
              <w:spacing w:after="0"/>
              <w:rPr>
                <w:sz w:val="15"/>
                <w:szCs w:val="15"/>
                <w:color w:val="auto"/>
              </w:rPr>
            </w:pPr>
          </w:p>
        </w:tc>
        <w:tc>
          <w:tcPr>
            <w:tcW w:w="860" w:type="dxa"/>
            <w:vAlign w:val="bottom"/>
            <w:gridSpan w:val="2"/>
            <w:vMerge w:val="restart"/>
          </w:tcPr>
          <w:p>
            <w:pPr>
              <w:jc w:val="right"/>
              <w:ind w:right="240"/>
              <w:spacing w:after="0"/>
              <w:rPr>
                <w:sz w:val="20"/>
                <w:szCs w:val="20"/>
                <w:color w:val="auto"/>
              </w:rPr>
            </w:pPr>
            <w:r>
              <w:rPr>
                <w:rFonts w:ascii="Arial" w:cs="Arial" w:eastAsia="Arial" w:hAnsi="Arial"/>
                <w:sz w:val="14"/>
                <w:szCs w:val="14"/>
                <w:b w:val="1"/>
                <w:bCs w:val="1"/>
                <w:color w:val="auto"/>
              </w:rPr>
              <w:t>—</w:t>
            </w:r>
          </w:p>
        </w:tc>
        <w:tc>
          <w:tcPr>
            <w:tcW w:w="2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0" w:type="dxa"/>
            <w:vAlign w:val="bottom"/>
            <w:gridSpan w:val="2"/>
            <w:vMerge w:val="restart"/>
          </w:tcPr>
          <w:p>
            <w:pPr>
              <w:jc w:val="right"/>
              <w:ind w:right="200"/>
              <w:spacing w:after="0"/>
              <w:rPr>
                <w:sz w:val="20"/>
                <w:szCs w:val="20"/>
                <w:color w:val="auto"/>
              </w:rPr>
            </w:pPr>
            <w:r>
              <w:rPr>
                <w:rFonts w:ascii="Arial" w:cs="Arial" w:eastAsia="Arial" w:hAnsi="Arial"/>
                <w:sz w:val="14"/>
                <w:szCs w:val="14"/>
                <w:b w:val="1"/>
                <w:bCs w:val="1"/>
                <w:color w:val="auto"/>
              </w:rPr>
              <w:t>—</w:t>
            </w:r>
          </w:p>
        </w:tc>
        <w:tc>
          <w:tcPr>
            <w:tcW w:w="2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1"/>
        </w:trPr>
        <w:tc>
          <w:tcPr>
            <w:tcW w:w="5380" w:type="dxa"/>
            <w:vAlign w:val="bottom"/>
          </w:tcPr>
          <w:p>
            <w:pPr>
              <w:ind w:left="40"/>
              <w:spacing w:after="0"/>
              <w:rPr>
                <w:sz w:val="20"/>
                <w:szCs w:val="20"/>
                <w:color w:val="auto"/>
              </w:rPr>
            </w:pPr>
            <w:r>
              <w:rPr>
                <w:rFonts w:ascii="Arial" w:cs="Arial" w:eastAsia="Arial" w:hAnsi="Arial"/>
                <w:sz w:val="14"/>
                <w:szCs w:val="14"/>
                <w:color w:val="auto"/>
              </w:rPr>
              <w:t>obligations</w:t>
            </w:r>
          </w:p>
        </w:tc>
        <w:tc>
          <w:tcPr>
            <w:tcW w:w="200" w:type="dxa"/>
            <w:vAlign w:val="bottom"/>
          </w:tcPr>
          <w:p>
            <w:pPr>
              <w:spacing w:after="0"/>
              <w:rPr>
                <w:sz w:val="17"/>
                <w:szCs w:val="17"/>
                <w:color w:val="auto"/>
              </w:rPr>
            </w:pPr>
          </w:p>
        </w:tc>
        <w:tc>
          <w:tcPr>
            <w:tcW w:w="860" w:type="dxa"/>
            <w:vAlign w:val="bottom"/>
            <w:gridSpan w:val="2"/>
            <w:vMerge w:val="continue"/>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7"/>
                <w:szCs w:val="17"/>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7"/>
                <w:szCs w:val="17"/>
                <w:color w:val="auto"/>
              </w:rPr>
            </w:pPr>
          </w:p>
        </w:tc>
        <w:tc>
          <w:tcPr>
            <w:tcW w:w="800" w:type="dxa"/>
            <w:vAlign w:val="bottom"/>
            <w:gridSpan w:val="2"/>
            <w:vMerge w:val="continue"/>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7"/>
                <w:szCs w:val="17"/>
                <w:color w:val="auto"/>
              </w:rPr>
            </w:pPr>
          </w:p>
        </w:tc>
        <w:tc>
          <w:tcPr>
            <w:tcW w:w="74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1"/>
        </w:trPr>
        <w:tc>
          <w:tcPr>
            <w:tcW w:w="5380" w:type="dxa"/>
            <w:vAlign w:val="bottom"/>
            <w:shd w:val="clear" w:color="auto" w:fill="CCEEFF"/>
          </w:tcPr>
          <w:p>
            <w:pPr>
              <w:ind w:left="40"/>
              <w:spacing w:after="0"/>
              <w:rPr>
                <w:sz w:val="20"/>
                <w:szCs w:val="20"/>
                <w:color w:val="auto"/>
              </w:rPr>
            </w:pPr>
            <w:r>
              <w:rPr>
                <w:rFonts w:ascii="Arial" w:cs="Arial" w:eastAsia="Arial" w:hAnsi="Arial"/>
                <w:sz w:val="14"/>
                <w:szCs w:val="14"/>
                <w:color w:val="auto"/>
              </w:rPr>
              <w:t>Add: Changes in fair value of non-hedge derivative instruments</w:t>
            </w:r>
          </w:p>
        </w:tc>
        <w:tc>
          <w:tcPr>
            <w:tcW w:w="200" w:type="dxa"/>
            <w:vAlign w:val="bottom"/>
            <w:shd w:val="clear" w:color="auto" w:fill="CCEEFF"/>
          </w:tcPr>
          <w:p>
            <w:pPr>
              <w:spacing w:after="0"/>
              <w:rPr>
                <w:sz w:val="23"/>
                <w:szCs w:val="23"/>
                <w:color w:val="auto"/>
              </w:rPr>
            </w:pPr>
          </w:p>
        </w:tc>
        <w:tc>
          <w:tcPr>
            <w:tcW w:w="86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b w:val="1"/>
                <w:bCs w:val="1"/>
                <w:color w:val="auto"/>
              </w:rPr>
              <w:t>—</w:t>
            </w:r>
          </w:p>
        </w:tc>
        <w:tc>
          <w:tcPr>
            <w:tcW w:w="200" w:type="dxa"/>
            <w:vAlign w:val="bottom"/>
            <w:shd w:val="clear" w:color="auto" w:fill="CCEEFF"/>
          </w:tcPr>
          <w:p>
            <w:pPr>
              <w:spacing w:after="0"/>
              <w:rPr>
                <w:sz w:val="23"/>
                <w:szCs w:val="23"/>
                <w:color w:val="auto"/>
              </w:rPr>
            </w:pP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3"/>
                <w:szCs w:val="23"/>
                <w:color w:val="auto"/>
              </w:rPr>
            </w:pP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23"/>
                <w:szCs w:val="23"/>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b w:val="1"/>
                <w:bCs w:val="1"/>
                <w:color w:val="auto"/>
              </w:rPr>
              <w:t>—</w:t>
            </w:r>
          </w:p>
        </w:tc>
        <w:tc>
          <w:tcPr>
            <w:tcW w:w="200" w:type="dxa"/>
            <w:vAlign w:val="bottom"/>
            <w:shd w:val="clear" w:color="auto" w:fill="CCEEFF"/>
          </w:tcPr>
          <w:p>
            <w:pPr>
              <w:spacing w:after="0"/>
              <w:rPr>
                <w:sz w:val="23"/>
                <w:szCs w:val="23"/>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3"/>
                <w:szCs w:val="23"/>
                <w:color w:val="auto"/>
              </w:rPr>
            </w:pPr>
          </w:p>
        </w:tc>
        <w:tc>
          <w:tcPr>
            <w:tcW w:w="7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69"/>
        </w:trPr>
        <w:tc>
          <w:tcPr>
            <w:tcW w:w="5380" w:type="dxa"/>
            <w:vAlign w:val="bottom"/>
          </w:tcPr>
          <w:p>
            <w:pPr>
              <w:ind w:left="40"/>
              <w:spacing w:after="0"/>
              <w:rPr>
                <w:sz w:val="20"/>
                <w:szCs w:val="20"/>
                <w:color w:val="auto"/>
              </w:rPr>
            </w:pPr>
            <w:r>
              <w:rPr>
                <w:rFonts w:ascii="Arial" w:cs="Arial" w:eastAsia="Arial" w:hAnsi="Arial"/>
                <w:sz w:val="14"/>
                <w:szCs w:val="14"/>
                <w:color w:val="auto"/>
              </w:rPr>
              <w:t>Add: Asset impairment charges</w:t>
            </w:r>
          </w:p>
        </w:tc>
        <w:tc>
          <w:tcPr>
            <w:tcW w:w="200" w:type="dxa"/>
            <w:vAlign w:val="bottom"/>
          </w:tcPr>
          <w:p>
            <w:pPr>
              <w:spacing w:after="0"/>
              <w:rPr>
                <w:sz w:val="23"/>
                <w:szCs w:val="23"/>
                <w:color w:val="auto"/>
              </w:rPr>
            </w:pPr>
          </w:p>
        </w:tc>
        <w:tc>
          <w:tcPr>
            <w:tcW w:w="86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rPr>
              <w:t>—</w:t>
            </w:r>
          </w:p>
        </w:tc>
        <w:tc>
          <w:tcPr>
            <w:tcW w:w="200" w:type="dxa"/>
            <w:vAlign w:val="bottom"/>
          </w:tcPr>
          <w:p>
            <w:pPr>
              <w:spacing w:after="0"/>
              <w:rPr>
                <w:sz w:val="23"/>
                <w:szCs w:val="23"/>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3"/>
                <w:szCs w:val="23"/>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3"/>
                <w:szCs w:val="23"/>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rPr>
              <w:t>—</w:t>
            </w:r>
          </w:p>
        </w:tc>
        <w:tc>
          <w:tcPr>
            <w:tcW w:w="200" w:type="dxa"/>
            <w:vAlign w:val="bottom"/>
          </w:tcPr>
          <w:p>
            <w:pPr>
              <w:spacing w:after="0"/>
              <w:rPr>
                <w:sz w:val="23"/>
                <w:szCs w:val="23"/>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3"/>
                <w:szCs w:val="23"/>
                <w:color w:val="auto"/>
              </w:rPr>
            </w:pPr>
          </w:p>
        </w:tc>
        <w:tc>
          <w:tcPr>
            <w:tcW w:w="74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1"/>
        </w:trPr>
        <w:tc>
          <w:tcPr>
            <w:tcW w:w="5380" w:type="dxa"/>
            <w:vAlign w:val="bottom"/>
            <w:shd w:val="clear" w:color="auto" w:fill="CCEEFF"/>
          </w:tcPr>
          <w:p>
            <w:pPr>
              <w:ind w:left="40"/>
              <w:spacing w:after="0"/>
              <w:rPr>
                <w:sz w:val="20"/>
                <w:szCs w:val="20"/>
                <w:color w:val="auto"/>
              </w:rPr>
            </w:pPr>
            <w:r>
              <w:rPr>
                <w:rFonts w:ascii="Arial" w:cs="Arial" w:eastAsia="Arial" w:hAnsi="Arial"/>
                <w:sz w:val="14"/>
                <w:szCs w:val="14"/>
                <w:color w:val="auto"/>
              </w:rPr>
              <w:t>Add: Pro-rata share of Adjusted Net Income from unconsolidated entities</w:t>
            </w:r>
          </w:p>
        </w:tc>
        <w:tc>
          <w:tcPr>
            <w:tcW w:w="200" w:type="dxa"/>
            <w:vAlign w:val="bottom"/>
            <w:shd w:val="clear" w:color="auto" w:fill="CCEEFF"/>
          </w:tcPr>
          <w:p>
            <w:pPr>
              <w:spacing w:after="0"/>
              <w:rPr>
                <w:sz w:val="23"/>
                <w:szCs w:val="23"/>
                <w:color w:val="auto"/>
              </w:rPr>
            </w:pPr>
          </w:p>
        </w:tc>
        <w:tc>
          <w:tcPr>
            <w:tcW w:w="86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b w:val="1"/>
                <w:bCs w:val="1"/>
                <w:color w:val="auto"/>
              </w:rPr>
              <w:t>—</w:t>
            </w:r>
          </w:p>
        </w:tc>
        <w:tc>
          <w:tcPr>
            <w:tcW w:w="200" w:type="dxa"/>
            <w:vAlign w:val="bottom"/>
            <w:shd w:val="clear" w:color="auto" w:fill="CCEEFF"/>
          </w:tcPr>
          <w:p>
            <w:pPr>
              <w:spacing w:after="0"/>
              <w:rPr>
                <w:sz w:val="23"/>
                <w:szCs w:val="23"/>
                <w:color w:val="auto"/>
              </w:rPr>
            </w:pP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3"/>
                <w:szCs w:val="23"/>
                <w:color w:val="auto"/>
              </w:rPr>
            </w:pP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23"/>
                <w:szCs w:val="23"/>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b w:val="1"/>
                <w:bCs w:val="1"/>
                <w:color w:val="auto"/>
              </w:rPr>
              <w:t>—</w:t>
            </w:r>
          </w:p>
        </w:tc>
        <w:tc>
          <w:tcPr>
            <w:tcW w:w="200" w:type="dxa"/>
            <w:vAlign w:val="bottom"/>
            <w:shd w:val="clear" w:color="auto" w:fill="CCEEFF"/>
          </w:tcPr>
          <w:p>
            <w:pPr>
              <w:spacing w:after="0"/>
              <w:rPr>
                <w:sz w:val="23"/>
                <w:szCs w:val="23"/>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3"/>
                <w:szCs w:val="23"/>
                <w:color w:val="auto"/>
              </w:rPr>
            </w:pPr>
          </w:p>
        </w:tc>
        <w:tc>
          <w:tcPr>
            <w:tcW w:w="7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69"/>
        </w:trPr>
        <w:tc>
          <w:tcPr>
            <w:tcW w:w="5380" w:type="dxa"/>
            <w:vAlign w:val="bottom"/>
          </w:tcPr>
          <w:p>
            <w:pPr>
              <w:ind w:left="40"/>
              <w:spacing w:after="0"/>
              <w:rPr>
                <w:sz w:val="20"/>
                <w:szCs w:val="20"/>
                <w:color w:val="auto"/>
              </w:rPr>
            </w:pPr>
            <w:r>
              <w:rPr>
                <w:rFonts w:ascii="Arial" w:cs="Arial" w:eastAsia="Arial" w:hAnsi="Arial"/>
                <w:sz w:val="14"/>
                <w:szCs w:val="14"/>
                <w:color w:val="auto"/>
              </w:rPr>
              <w:t>Add: Incentive allocations</w:t>
            </w:r>
          </w:p>
        </w:tc>
        <w:tc>
          <w:tcPr>
            <w:tcW w:w="200" w:type="dxa"/>
            <w:vAlign w:val="bottom"/>
          </w:tcPr>
          <w:p>
            <w:pPr>
              <w:spacing w:after="0"/>
              <w:rPr>
                <w:sz w:val="23"/>
                <w:szCs w:val="23"/>
                <w:color w:val="auto"/>
              </w:rPr>
            </w:pPr>
          </w:p>
        </w:tc>
        <w:tc>
          <w:tcPr>
            <w:tcW w:w="86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rPr>
              <w:t>—</w:t>
            </w:r>
          </w:p>
        </w:tc>
        <w:tc>
          <w:tcPr>
            <w:tcW w:w="200" w:type="dxa"/>
            <w:vAlign w:val="bottom"/>
          </w:tcPr>
          <w:p>
            <w:pPr>
              <w:spacing w:after="0"/>
              <w:rPr>
                <w:sz w:val="23"/>
                <w:szCs w:val="23"/>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3"/>
                <w:szCs w:val="23"/>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3"/>
                <w:szCs w:val="23"/>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rPr>
              <w:t>—</w:t>
            </w:r>
          </w:p>
        </w:tc>
        <w:tc>
          <w:tcPr>
            <w:tcW w:w="200" w:type="dxa"/>
            <w:vAlign w:val="bottom"/>
          </w:tcPr>
          <w:p>
            <w:pPr>
              <w:spacing w:after="0"/>
              <w:rPr>
                <w:sz w:val="23"/>
                <w:szCs w:val="23"/>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3"/>
                <w:szCs w:val="23"/>
                <w:color w:val="auto"/>
              </w:rPr>
            </w:pPr>
          </w:p>
        </w:tc>
        <w:tc>
          <w:tcPr>
            <w:tcW w:w="74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1"/>
        </w:trPr>
        <w:tc>
          <w:tcPr>
            <w:tcW w:w="5380" w:type="dxa"/>
            <w:vAlign w:val="bottom"/>
            <w:shd w:val="clear" w:color="auto" w:fill="CCEEFF"/>
          </w:tcPr>
          <w:p>
            <w:pPr>
              <w:ind w:left="40"/>
              <w:spacing w:after="0"/>
              <w:rPr>
                <w:sz w:val="20"/>
                <w:szCs w:val="20"/>
                <w:color w:val="auto"/>
              </w:rPr>
            </w:pPr>
            <w:r>
              <w:rPr>
                <w:rFonts w:ascii="Arial" w:cs="Arial" w:eastAsia="Arial" w:hAnsi="Arial"/>
                <w:sz w:val="14"/>
                <w:szCs w:val="14"/>
                <w:color w:val="auto"/>
              </w:rPr>
              <w:t>Less: Cash payments for income taxes</w:t>
            </w:r>
          </w:p>
        </w:tc>
        <w:tc>
          <w:tcPr>
            <w:tcW w:w="200" w:type="dxa"/>
            <w:vAlign w:val="bottom"/>
            <w:shd w:val="clear" w:color="auto" w:fill="CCEEFF"/>
          </w:tcPr>
          <w:p>
            <w:pPr>
              <w:spacing w:after="0"/>
              <w:rPr>
                <w:sz w:val="23"/>
                <w:szCs w:val="23"/>
                <w:color w:val="auto"/>
              </w:rPr>
            </w:pPr>
          </w:p>
        </w:tc>
        <w:tc>
          <w:tcPr>
            <w:tcW w:w="86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b w:val="1"/>
                <w:bCs w:val="1"/>
                <w:color w:val="auto"/>
              </w:rPr>
              <w:t>—</w:t>
            </w:r>
          </w:p>
        </w:tc>
        <w:tc>
          <w:tcPr>
            <w:tcW w:w="200" w:type="dxa"/>
            <w:vAlign w:val="bottom"/>
            <w:shd w:val="clear" w:color="auto" w:fill="CCEEFF"/>
          </w:tcPr>
          <w:p>
            <w:pPr>
              <w:spacing w:after="0"/>
              <w:rPr>
                <w:sz w:val="23"/>
                <w:szCs w:val="23"/>
                <w:color w:val="auto"/>
              </w:rPr>
            </w:pP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3"/>
                <w:szCs w:val="23"/>
                <w:color w:val="auto"/>
              </w:rPr>
            </w:pP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23"/>
                <w:szCs w:val="23"/>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b w:val="1"/>
                <w:bCs w:val="1"/>
                <w:color w:val="auto"/>
              </w:rPr>
              <w:t>—</w:t>
            </w:r>
          </w:p>
        </w:tc>
        <w:tc>
          <w:tcPr>
            <w:tcW w:w="200" w:type="dxa"/>
            <w:vAlign w:val="bottom"/>
            <w:shd w:val="clear" w:color="auto" w:fill="CCEEFF"/>
          </w:tcPr>
          <w:p>
            <w:pPr>
              <w:spacing w:after="0"/>
              <w:rPr>
                <w:sz w:val="23"/>
                <w:szCs w:val="23"/>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3"/>
                <w:szCs w:val="23"/>
                <w:color w:val="auto"/>
              </w:rPr>
            </w:pPr>
          </w:p>
        </w:tc>
        <w:tc>
          <w:tcPr>
            <w:tcW w:w="7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69"/>
        </w:trPr>
        <w:tc>
          <w:tcPr>
            <w:tcW w:w="5380" w:type="dxa"/>
            <w:vAlign w:val="bottom"/>
          </w:tcPr>
          <w:p>
            <w:pPr>
              <w:ind w:left="40"/>
              <w:spacing w:after="0"/>
              <w:rPr>
                <w:sz w:val="20"/>
                <w:szCs w:val="20"/>
                <w:color w:val="auto"/>
              </w:rPr>
            </w:pPr>
            <w:r>
              <w:rPr>
                <w:rFonts w:ascii="Arial" w:cs="Arial" w:eastAsia="Arial" w:hAnsi="Arial"/>
                <w:sz w:val="14"/>
                <w:szCs w:val="14"/>
                <w:color w:val="auto"/>
              </w:rPr>
              <w:t>Less: Equity in earnings of unconsolidated entities</w:t>
            </w:r>
          </w:p>
        </w:tc>
        <w:tc>
          <w:tcPr>
            <w:tcW w:w="200" w:type="dxa"/>
            <w:vAlign w:val="bottom"/>
          </w:tcPr>
          <w:p>
            <w:pPr>
              <w:spacing w:after="0"/>
              <w:rPr>
                <w:sz w:val="23"/>
                <w:szCs w:val="23"/>
                <w:color w:val="auto"/>
              </w:rPr>
            </w:pPr>
          </w:p>
        </w:tc>
        <w:tc>
          <w:tcPr>
            <w:tcW w:w="86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rPr>
              <w:t>—</w:t>
            </w:r>
          </w:p>
        </w:tc>
        <w:tc>
          <w:tcPr>
            <w:tcW w:w="200" w:type="dxa"/>
            <w:vAlign w:val="bottom"/>
          </w:tcPr>
          <w:p>
            <w:pPr>
              <w:spacing w:after="0"/>
              <w:rPr>
                <w:sz w:val="23"/>
                <w:szCs w:val="23"/>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3"/>
                <w:szCs w:val="23"/>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3"/>
                <w:szCs w:val="23"/>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rPr>
              <w:t>—</w:t>
            </w:r>
          </w:p>
        </w:tc>
        <w:tc>
          <w:tcPr>
            <w:tcW w:w="200" w:type="dxa"/>
            <w:vAlign w:val="bottom"/>
          </w:tcPr>
          <w:p>
            <w:pPr>
              <w:spacing w:after="0"/>
              <w:rPr>
                <w:sz w:val="23"/>
                <w:szCs w:val="23"/>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3"/>
                <w:szCs w:val="23"/>
                <w:color w:val="auto"/>
              </w:rPr>
            </w:pPr>
          </w:p>
        </w:tc>
        <w:tc>
          <w:tcPr>
            <w:tcW w:w="74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1"/>
        </w:trPr>
        <w:tc>
          <w:tcPr>
            <w:tcW w:w="5380" w:type="dxa"/>
            <w:vAlign w:val="bottom"/>
            <w:shd w:val="clear" w:color="auto" w:fill="CCEEFF"/>
          </w:tcPr>
          <w:p>
            <w:pPr>
              <w:ind w:left="40"/>
              <w:spacing w:after="0"/>
              <w:rPr>
                <w:sz w:val="20"/>
                <w:szCs w:val="20"/>
                <w:color w:val="auto"/>
              </w:rPr>
            </w:pPr>
            <w:r>
              <w:rPr>
                <w:rFonts w:ascii="Arial" w:cs="Arial" w:eastAsia="Arial" w:hAnsi="Arial"/>
                <w:sz w:val="14"/>
                <w:szCs w:val="14"/>
                <w:color w:val="auto"/>
              </w:rPr>
              <w:t xml:space="preserve">Less: Non-controlling share of Adjusted Net Income </w:t>
            </w:r>
            <w:r>
              <w:rPr>
                <w:rFonts w:ascii="Arial" w:cs="Arial" w:eastAsia="Arial" w:hAnsi="Arial"/>
                <w:sz w:val="17"/>
                <w:szCs w:val="17"/>
                <w:color w:val="auto"/>
                <w:vertAlign w:val="superscript"/>
              </w:rPr>
              <w:t>(1)</w:t>
            </w:r>
          </w:p>
        </w:tc>
        <w:tc>
          <w:tcPr>
            <w:tcW w:w="200" w:type="dxa"/>
            <w:vAlign w:val="bottom"/>
            <w:tcBorders>
              <w:bottom w:val="single" w:sz="8" w:color="auto"/>
            </w:tcBorders>
            <w:shd w:val="clear" w:color="auto" w:fill="CCEEFF"/>
          </w:tcPr>
          <w:p>
            <w:pPr>
              <w:spacing w:after="0"/>
              <w:rPr>
                <w:sz w:val="23"/>
                <w:szCs w:val="23"/>
                <w:color w:val="auto"/>
              </w:rPr>
            </w:pPr>
          </w:p>
        </w:tc>
        <w:tc>
          <w:tcPr>
            <w:tcW w:w="74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(7)</w:t>
            </w:r>
          </w:p>
        </w:tc>
        <w:tc>
          <w:tcPr>
            <w:tcW w:w="12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w:t>
            </w:r>
          </w:p>
        </w:tc>
        <w:tc>
          <w:tcPr>
            <w:tcW w:w="12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7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w:t>
            </w:r>
          </w:p>
        </w:tc>
        <w:tc>
          <w:tcPr>
            <w:tcW w:w="10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(28)</w:t>
            </w:r>
          </w:p>
        </w:tc>
        <w:tc>
          <w:tcPr>
            <w:tcW w:w="10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(19)</w:t>
            </w:r>
          </w:p>
        </w:tc>
        <w:tc>
          <w:tcPr>
            <w:tcW w:w="10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w:t>
            </w:r>
          </w:p>
        </w:tc>
        <w:tc>
          <w:tcPr>
            <w:tcW w:w="0" w:type="dxa"/>
            <w:vAlign w:val="bottom"/>
          </w:tcPr>
          <w:p>
            <w:pPr>
              <w:spacing w:after="0"/>
              <w:rPr>
                <w:sz w:val="1"/>
                <w:szCs w:val="1"/>
                <w:color w:val="auto"/>
              </w:rPr>
            </w:pPr>
          </w:p>
        </w:tc>
      </w:tr>
      <w:tr>
        <w:trPr>
          <w:trHeight w:val="237"/>
        </w:trPr>
        <w:tc>
          <w:tcPr>
            <w:tcW w:w="5380" w:type="dxa"/>
            <w:vAlign w:val="bottom"/>
          </w:tcPr>
          <w:p>
            <w:pPr>
              <w:ind w:left="40"/>
              <w:spacing w:after="0"/>
              <w:rPr>
                <w:sz w:val="20"/>
                <w:szCs w:val="20"/>
                <w:color w:val="auto"/>
              </w:rPr>
            </w:pPr>
            <w:r>
              <w:rPr>
                <w:rFonts w:ascii="Arial" w:cs="Arial" w:eastAsia="Arial" w:hAnsi="Arial"/>
                <w:sz w:val="14"/>
                <w:szCs w:val="14"/>
                <w:b w:val="1"/>
                <w:bCs w:val="1"/>
                <w:color w:val="auto"/>
              </w:rPr>
              <w:t>Adjusted Net Income (Loss)</w:t>
            </w:r>
          </w:p>
        </w:tc>
        <w:tc>
          <w:tcPr>
            <w:tcW w:w="2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w:t>
            </w:r>
          </w:p>
        </w:tc>
        <w:tc>
          <w:tcPr>
            <w:tcW w:w="7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517</w:t>
            </w:r>
          </w:p>
        </w:tc>
        <w:tc>
          <w:tcPr>
            <w:tcW w:w="120" w:type="dxa"/>
            <w:vAlign w:val="bottom"/>
          </w:tcPr>
          <w:p>
            <w:pPr>
              <w:spacing w:after="0"/>
              <w:rPr>
                <w:sz w:val="20"/>
                <w:szCs w:val="20"/>
                <w:color w:val="auto"/>
              </w:rPr>
            </w:pPr>
          </w:p>
        </w:tc>
        <w:tc>
          <w:tcPr>
            <w:tcW w:w="2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342</w:t>
            </w:r>
          </w:p>
        </w:tc>
        <w:tc>
          <w:tcPr>
            <w:tcW w:w="120" w:type="dxa"/>
            <w:vAlign w:val="bottom"/>
          </w:tcPr>
          <w:p>
            <w:pPr>
              <w:spacing w:after="0"/>
              <w:rPr>
                <w:sz w:val="20"/>
                <w:szCs w:val="20"/>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175</w:t>
            </w:r>
          </w:p>
        </w:tc>
        <w:tc>
          <w:tcPr>
            <w:tcW w:w="100" w:type="dxa"/>
            <w:vAlign w:val="bottom"/>
          </w:tcPr>
          <w:p>
            <w:pPr>
              <w:spacing w:after="0"/>
              <w:rPr>
                <w:sz w:val="20"/>
                <w:szCs w:val="20"/>
                <w:color w:val="auto"/>
              </w:rPr>
            </w:pPr>
          </w:p>
        </w:tc>
        <w:tc>
          <w:tcPr>
            <w:tcW w:w="2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(67)</w:t>
            </w:r>
          </w:p>
        </w:tc>
        <w:tc>
          <w:tcPr>
            <w:tcW w:w="100" w:type="dxa"/>
            <w:vAlign w:val="bottom"/>
          </w:tcPr>
          <w:p>
            <w:pPr>
              <w:spacing w:after="0"/>
              <w:rPr>
                <w:sz w:val="20"/>
                <w:szCs w:val="20"/>
                <w:color w:val="auto"/>
              </w:rPr>
            </w:pPr>
          </w:p>
        </w:tc>
        <w:tc>
          <w:tcPr>
            <w:tcW w:w="2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702</w:t>
            </w:r>
          </w:p>
        </w:tc>
        <w:tc>
          <w:tcPr>
            <w:tcW w:w="100" w:type="dxa"/>
            <w:vAlign w:val="bottom"/>
          </w:tcPr>
          <w:p>
            <w:pPr>
              <w:spacing w:after="0"/>
              <w:rPr>
                <w:sz w:val="20"/>
                <w:szCs w:val="20"/>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(769)</w:t>
            </w:r>
          </w:p>
        </w:tc>
        <w:tc>
          <w:tcPr>
            <w:tcW w:w="0" w:type="dxa"/>
            <w:vAlign w:val="bottom"/>
          </w:tcPr>
          <w:p>
            <w:pPr>
              <w:spacing w:after="0"/>
              <w:rPr>
                <w:sz w:val="1"/>
                <w:szCs w:val="1"/>
                <w:color w:val="auto"/>
              </w:rPr>
            </w:pPr>
          </w:p>
        </w:tc>
      </w:tr>
      <w:tr>
        <w:trPr>
          <w:trHeight w:val="20"/>
        </w:trPr>
        <w:tc>
          <w:tcPr>
            <w:tcW w:w="53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9"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______________________________________________________</w:t>
      </w:r>
    </w:p>
    <w:p>
      <w:pPr>
        <w:spacing w:after="0" w:line="163" w:lineRule="exact"/>
        <w:rPr>
          <w:sz w:val="20"/>
          <w:szCs w:val="20"/>
          <w:color w:val="auto"/>
        </w:rPr>
      </w:pPr>
    </w:p>
    <w:p>
      <w:pPr>
        <w:ind w:left="500" w:hanging="492"/>
        <w:spacing w:after="0" w:line="481" w:lineRule="auto"/>
        <w:tabs>
          <w:tab w:leader="none" w:pos="149" w:val="left"/>
        </w:tabs>
        <w:numPr>
          <w:ilvl w:val="0"/>
          <w:numId w:val="23"/>
        </w:numPr>
        <w:rPr>
          <w:rFonts w:ascii="Arial" w:cs="Arial" w:eastAsia="Arial" w:hAnsi="Arial"/>
          <w:sz w:val="17"/>
          <w:szCs w:val="17"/>
          <w:color w:val="auto"/>
          <w:vertAlign w:val="superscript"/>
        </w:rPr>
      </w:pPr>
      <w:r>
        <w:rPr>
          <w:rFonts w:ascii="Arial" w:cs="Arial" w:eastAsia="Arial" w:hAnsi="Arial"/>
          <w:sz w:val="14"/>
          <w:szCs w:val="14"/>
          <w:color w:val="auto"/>
        </w:rPr>
        <w:t>Non-controlling share of Adjusted Net Income is comprised of equity-based compensation of $7 and $6 for the three months ended September 30, 2017 and 2016, respectively. Non-controlling share of Adjusted Net Income is comprised of equity-based compensation of $28 and $19 for the nine months ended September 30, 2017 and 2016, respectively.</w:t>
      </w:r>
    </w:p>
    <w:p>
      <w:pPr>
        <w:spacing w:after="0" w:line="1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62</w:t>
      </w:r>
    </w:p>
    <w:p>
      <w:pPr>
        <w:sectPr>
          <w:pgSz w:w="11900" w:h="16838" w:orient="portrait"/>
          <w:cols w:equalWidth="0" w:num="1">
            <w:col w:w="11420"/>
          </w:cols>
          <w:pgMar w:left="240" w:top="579" w:right="239" w:bottom="1440" w:gutter="0" w:footer="0" w:header="0"/>
        </w:sectPr>
      </w:pPr>
    </w:p>
    <w:bookmarkStart w:id="62" w:name="page63"/>
    <w:bookmarkEnd w:id="62"/>
    <w:p>
      <w:pPr>
        <w:ind w:right="220"/>
        <w:spacing w:after="0" w:line="291" w:lineRule="auto"/>
        <w:rPr>
          <w:sz w:val="20"/>
          <w:szCs w:val="20"/>
          <w:color w:val="auto"/>
        </w:rPr>
      </w:pPr>
      <w:r>
        <w:rPr>
          <w:rFonts w:ascii="Arial" w:cs="Arial" w:eastAsia="Arial" w:hAnsi="Arial"/>
          <w:sz w:val="16"/>
          <w:szCs w:val="16"/>
          <w:color w:val="auto"/>
        </w:rPr>
        <w:t>The following table sets forth a reconciliation of net income (loss) attributable to shareholders to Adjusted EBITDA for the Railroad segment for the three and nine months ended September 30, 2017 and September 30, 2016:</w:t>
      </w: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3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900" w:type="dxa"/>
            <w:vAlign w:val="bottom"/>
            <w:gridSpan w:val="5"/>
          </w:tcPr>
          <w:p>
            <w:pPr>
              <w:jc w:val="center"/>
              <w:ind w:right="280"/>
              <w:spacing w:after="0"/>
              <w:rPr>
                <w:sz w:val="20"/>
                <w:szCs w:val="20"/>
                <w:color w:val="auto"/>
              </w:rPr>
            </w:pPr>
            <w:r>
              <w:rPr>
                <w:rFonts w:ascii="Arial" w:cs="Arial" w:eastAsia="Arial" w:hAnsi="Arial"/>
                <w:sz w:val="14"/>
                <w:szCs w:val="14"/>
                <w:b w:val="1"/>
                <w:bCs w:val="1"/>
                <w:color w:val="auto"/>
              </w:rPr>
              <w:t>Three Months Ended</w:t>
            </w:r>
          </w:p>
        </w:tc>
        <w:tc>
          <w:tcPr>
            <w:tcW w:w="1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00" w:type="dxa"/>
            <w:vAlign w:val="bottom"/>
            <w:gridSpan w:val="5"/>
          </w:tcPr>
          <w:p>
            <w:pPr>
              <w:ind w:left="100"/>
              <w:spacing w:after="0"/>
              <w:rPr>
                <w:sz w:val="20"/>
                <w:szCs w:val="20"/>
                <w:color w:val="auto"/>
              </w:rPr>
            </w:pPr>
            <w:r>
              <w:rPr>
                <w:rFonts w:ascii="Arial" w:cs="Arial" w:eastAsia="Arial" w:hAnsi="Arial"/>
                <w:sz w:val="14"/>
                <w:szCs w:val="14"/>
                <w:b w:val="1"/>
                <w:bCs w:val="1"/>
                <w:color w:val="auto"/>
              </w:rPr>
              <w:t>Nine Months Ended</w:t>
            </w:r>
          </w:p>
        </w:tc>
        <w:tc>
          <w:tcPr>
            <w:tcW w:w="1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53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900" w:type="dxa"/>
            <w:vAlign w:val="bottom"/>
            <w:gridSpan w:val="5"/>
          </w:tcPr>
          <w:p>
            <w:pPr>
              <w:jc w:val="center"/>
              <w:ind w:right="280"/>
              <w:spacing w:after="0"/>
              <w:rPr>
                <w:sz w:val="20"/>
                <w:szCs w:val="20"/>
                <w:color w:val="auto"/>
              </w:rPr>
            </w:pPr>
            <w:r>
              <w:rPr>
                <w:rFonts w:ascii="Arial" w:cs="Arial" w:eastAsia="Arial" w:hAnsi="Arial"/>
                <w:sz w:val="14"/>
                <w:szCs w:val="14"/>
                <w:b w:val="1"/>
                <w:bCs w:val="1"/>
                <w:color w:val="auto"/>
              </w:rPr>
              <w:t>September 30,</w:t>
            </w: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0" w:type="dxa"/>
            <w:vAlign w:val="bottom"/>
            <w:gridSpan w:val="5"/>
          </w:tcPr>
          <w:p>
            <w:pPr>
              <w:ind w:left="280"/>
              <w:spacing w:after="0"/>
              <w:rPr>
                <w:sz w:val="20"/>
                <w:szCs w:val="20"/>
                <w:color w:val="auto"/>
              </w:rPr>
            </w:pPr>
            <w:r>
              <w:rPr>
                <w:rFonts w:ascii="Arial" w:cs="Arial" w:eastAsia="Arial" w:hAnsi="Arial"/>
                <w:sz w:val="14"/>
                <w:szCs w:val="14"/>
                <w:b w:val="1"/>
                <w:bCs w:val="1"/>
                <w:color w:val="auto"/>
              </w:rPr>
              <w:t>September 30,</w:t>
            </w: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64"/>
        </w:trPr>
        <w:tc>
          <w:tcPr>
            <w:tcW w:w="5380" w:type="dxa"/>
            <w:vAlign w:val="bottom"/>
          </w:tcPr>
          <w:p>
            <w:pPr>
              <w:ind w:left="40"/>
              <w:spacing w:after="0"/>
              <w:rPr>
                <w:sz w:val="20"/>
                <w:szCs w:val="20"/>
                <w:color w:val="auto"/>
              </w:rPr>
            </w:pPr>
            <w:r>
              <w:rPr>
                <w:rFonts w:ascii="Arial" w:cs="Arial" w:eastAsia="Arial" w:hAnsi="Arial"/>
                <w:sz w:val="14"/>
                <w:szCs w:val="14"/>
                <w:i w:val="1"/>
                <w:iCs w:val="1"/>
                <w:color w:val="auto"/>
              </w:rPr>
              <w:t>(Dollar amounts in thousands)</w:t>
            </w:r>
          </w:p>
        </w:tc>
        <w:tc>
          <w:tcPr>
            <w:tcW w:w="200" w:type="dxa"/>
            <w:vAlign w:val="bottom"/>
            <w:tcBorders>
              <w:top w:val="single" w:sz="8" w:color="auto"/>
            </w:tcBorders>
          </w:tcPr>
          <w:p>
            <w:pPr>
              <w:spacing w:after="0"/>
              <w:rPr>
                <w:sz w:val="22"/>
                <w:szCs w:val="22"/>
                <w:color w:val="auto"/>
              </w:rPr>
            </w:pPr>
          </w:p>
        </w:tc>
        <w:tc>
          <w:tcPr>
            <w:tcW w:w="740" w:type="dxa"/>
            <w:vAlign w:val="bottom"/>
            <w:tcBorders>
              <w:top w:val="single" w:sz="8" w:color="auto"/>
            </w:tcBorders>
          </w:tcPr>
          <w:p>
            <w:pPr>
              <w:jc w:val="right"/>
              <w:ind w:right="248"/>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top w:val="single" w:sz="8" w:color="auto"/>
            </w:tcBorders>
          </w:tcPr>
          <w:p>
            <w:pPr>
              <w:spacing w:after="0"/>
              <w:rPr>
                <w:sz w:val="22"/>
                <w:szCs w:val="22"/>
                <w:color w:val="auto"/>
              </w:rPr>
            </w:pPr>
          </w:p>
        </w:tc>
        <w:tc>
          <w:tcPr>
            <w:tcW w:w="200" w:type="dxa"/>
            <w:vAlign w:val="bottom"/>
            <w:tcBorders>
              <w:top w:val="single" w:sz="8" w:color="auto"/>
            </w:tcBorders>
          </w:tcPr>
          <w:p>
            <w:pPr>
              <w:spacing w:after="0"/>
              <w:rPr>
                <w:sz w:val="22"/>
                <w:szCs w:val="22"/>
                <w:color w:val="auto"/>
              </w:rPr>
            </w:pPr>
          </w:p>
        </w:tc>
        <w:tc>
          <w:tcPr>
            <w:tcW w:w="720" w:type="dxa"/>
            <w:vAlign w:val="bottom"/>
            <w:tcBorders>
              <w:top w:val="single" w:sz="8" w:color="auto"/>
            </w:tcBorders>
          </w:tcPr>
          <w:p>
            <w:pPr>
              <w:jc w:val="right"/>
              <w:ind w:right="228"/>
              <w:spacing w:after="0"/>
              <w:rPr>
                <w:sz w:val="20"/>
                <w:szCs w:val="20"/>
                <w:color w:val="auto"/>
              </w:rPr>
            </w:pPr>
            <w:r>
              <w:rPr>
                <w:rFonts w:ascii="Arial" w:cs="Arial" w:eastAsia="Arial" w:hAnsi="Arial"/>
                <w:sz w:val="14"/>
                <w:szCs w:val="14"/>
                <w:b w:val="1"/>
                <w:bCs w:val="1"/>
                <w:color w:val="auto"/>
              </w:rPr>
              <w:t>2016</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80" w:type="dxa"/>
            <w:vAlign w:val="bottom"/>
            <w:gridSpan w:val="2"/>
          </w:tcPr>
          <w:p>
            <w:pPr>
              <w:ind w:left="60"/>
              <w:spacing w:after="0"/>
              <w:rPr>
                <w:sz w:val="20"/>
                <w:szCs w:val="20"/>
                <w:color w:val="auto"/>
              </w:rPr>
            </w:pPr>
            <w:r>
              <w:rPr>
                <w:rFonts w:ascii="Arial" w:cs="Arial" w:eastAsia="Arial" w:hAnsi="Arial"/>
                <w:sz w:val="14"/>
                <w:szCs w:val="14"/>
                <w:b w:val="1"/>
                <w:bCs w:val="1"/>
                <w:color w:val="auto"/>
              </w:rPr>
              <w:t>Change</w:t>
            </w:r>
          </w:p>
        </w:tc>
        <w:tc>
          <w:tcPr>
            <w:tcW w:w="200" w:type="dxa"/>
            <w:vAlign w:val="bottom"/>
            <w:tcBorders>
              <w:top w:val="single" w:sz="8" w:color="auto"/>
            </w:tcBorders>
          </w:tcPr>
          <w:p>
            <w:pPr>
              <w:spacing w:after="0"/>
              <w:rPr>
                <w:sz w:val="22"/>
                <w:szCs w:val="22"/>
                <w:color w:val="auto"/>
              </w:rPr>
            </w:pPr>
          </w:p>
        </w:tc>
        <w:tc>
          <w:tcPr>
            <w:tcW w:w="700" w:type="dxa"/>
            <w:vAlign w:val="bottom"/>
            <w:tcBorders>
              <w:top w:val="single" w:sz="8" w:color="auto"/>
            </w:tcBorders>
          </w:tcPr>
          <w:p>
            <w:pPr>
              <w:ind w:left="100"/>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top w:val="single" w:sz="8" w:color="auto"/>
            </w:tcBorders>
          </w:tcPr>
          <w:p>
            <w:pPr>
              <w:spacing w:after="0"/>
              <w:rPr>
                <w:sz w:val="22"/>
                <w:szCs w:val="22"/>
                <w:color w:val="auto"/>
              </w:rPr>
            </w:pPr>
          </w:p>
        </w:tc>
        <w:tc>
          <w:tcPr>
            <w:tcW w:w="200" w:type="dxa"/>
            <w:vAlign w:val="bottom"/>
            <w:tcBorders>
              <w:top w:val="single" w:sz="8" w:color="auto"/>
            </w:tcBorders>
          </w:tcPr>
          <w:p>
            <w:pPr>
              <w:spacing w:after="0"/>
              <w:rPr>
                <w:sz w:val="22"/>
                <w:szCs w:val="22"/>
                <w:color w:val="auto"/>
              </w:rPr>
            </w:pPr>
          </w:p>
        </w:tc>
        <w:tc>
          <w:tcPr>
            <w:tcW w:w="700" w:type="dxa"/>
            <w:vAlign w:val="bottom"/>
            <w:tcBorders>
              <w:top w:val="single" w:sz="8" w:color="auto"/>
            </w:tcBorders>
          </w:tcPr>
          <w:p>
            <w:pPr>
              <w:jc w:val="right"/>
              <w:ind w:right="208"/>
              <w:spacing w:after="0"/>
              <w:rPr>
                <w:sz w:val="20"/>
                <w:szCs w:val="20"/>
                <w:color w:val="auto"/>
              </w:rPr>
            </w:pPr>
            <w:r>
              <w:rPr>
                <w:rFonts w:ascii="Arial" w:cs="Arial" w:eastAsia="Arial" w:hAnsi="Arial"/>
                <w:sz w:val="14"/>
                <w:szCs w:val="14"/>
                <w:b w:val="1"/>
                <w:bCs w:val="1"/>
                <w:color w:val="auto"/>
              </w:rPr>
              <w:t>2016</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40" w:type="dxa"/>
            <w:vAlign w:val="bottom"/>
          </w:tcPr>
          <w:p>
            <w:pPr>
              <w:jc w:val="right"/>
              <w:ind w:right="108"/>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250"/>
        </w:trPr>
        <w:tc>
          <w:tcPr>
            <w:tcW w:w="5380" w:type="dxa"/>
            <w:vAlign w:val="bottom"/>
          </w:tcPr>
          <w:p>
            <w:pPr>
              <w:ind w:left="40"/>
              <w:spacing w:after="0"/>
              <w:rPr>
                <w:sz w:val="20"/>
                <w:szCs w:val="20"/>
                <w:color w:val="auto"/>
              </w:rPr>
            </w:pPr>
            <w:r>
              <w:rPr>
                <w:rFonts w:ascii="Arial" w:cs="Arial" w:eastAsia="Arial" w:hAnsi="Arial"/>
                <w:sz w:val="14"/>
                <w:szCs w:val="14"/>
                <w:b w:val="1"/>
                <w:bCs w:val="1"/>
                <w:color w:val="auto"/>
              </w:rPr>
              <w:t>Net income (loss) attributable to shareholders</w:t>
            </w:r>
          </w:p>
        </w:tc>
        <w:tc>
          <w:tcPr>
            <w:tcW w:w="200" w:type="dxa"/>
            <w:vAlign w:val="bottom"/>
            <w:tcBorders>
              <w:top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w:t>
            </w:r>
          </w:p>
        </w:tc>
        <w:tc>
          <w:tcPr>
            <w:tcW w:w="740" w:type="dxa"/>
            <w:vAlign w:val="bottom"/>
            <w:tcBorders>
              <w:top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449</w:t>
            </w:r>
          </w:p>
        </w:tc>
        <w:tc>
          <w:tcPr>
            <w:tcW w:w="120" w:type="dxa"/>
            <w:vAlign w:val="bottom"/>
          </w:tcPr>
          <w:p>
            <w:pPr>
              <w:spacing w:after="0"/>
              <w:rPr>
                <w:sz w:val="21"/>
                <w:szCs w:val="21"/>
                <w:color w:val="auto"/>
              </w:rPr>
            </w:pPr>
          </w:p>
        </w:tc>
        <w:tc>
          <w:tcPr>
            <w:tcW w:w="200" w:type="dxa"/>
            <w:vAlign w:val="bottom"/>
            <w:tcBorders>
              <w:top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720" w:type="dxa"/>
            <w:vAlign w:val="bottom"/>
            <w:tcBorders>
              <w:top w:val="single" w:sz="8" w:color="auto"/>
            </w:tcBorders>
          </w:tcPr>
          <w:p>
            <w:pPr>
              <w:jc w:val="right"/>
              <w:ind w:right="48"/>
              <w:spacing w:after="0"/>
              <w:rPr>
                <w:sz w:val="20"/>
                <w:szCs w:val="20"/>
                <w:color w:val="auto"/>
              </w:rPr>
            </w:pPr>
            <w:r>
              <w:rPr>
                <w:rFonts w:ascii="Arial" w:cs="Arial" w:eastAsia="Arial" w:hAnsi="Arial"/>
                <w:sz w:val="14"/>
                <w:szCs w:val="14"/>
                <w:color w:val="auto"/>
              </w:rPr>
              <w:t>320</w:t>
            </w:r>
          </w:p>
        </w:tc>
        <w:tc>
          <w:tcPr>
            <w:tcW w:w="120" w:type="dxa"/>
            <w:vAlign w:val="bottom"/>
          </w:tcPr>
          <w:p>
            <w:pPr>
              <w:spacing w:after="0"/>
              <w:rPr>
                <w:sz w:val="21"/>
                <w:szCs w:val="21"/>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80" w:type="dxa"/>
            <w:vAlign w:val="bottom"/>
            <w:tcBorders>
              <w:top w:val="single" w:sz="8" w:color="auto"/>
            </w:tcBorders>
          </w:tcPr>
          <w:p>
            <w:pPr>
              <w:jc w:val="right"/>
              <w:ind w:right="48"/>
              <w:spacing w:after="0"/>
              <w:rPr>
                <w:sz w:val="20"/>
                <w:szCs w:val="20"/>
                <w:color w:val="auto"/>
              </w:rPr>
            </w:pPr>
            <w:r>
              <w:rPr>
                <w:rFonts w:ascii="Arial" w:cs="Arial" w:eastAsia="Arial" w:hAnsi="Arial"/>
                <w:sz w:val="14"/>
                <w:szCs w:val="14"/>
                <w:color w:val="auto"/>
              </w:rPr>
              <w:t>129</w:t>
            </w:r>
          </w:p>
        </w:tc>
        <w:tc>
          <w:tcPr>
            <w:tcW w:w="100" w:type="dxa"/>
            <w:vAlign w:val="bottom"/>
          </w:tcPr>
          <w:p>
            <w:pPr>
              <w:spacing w:after="0"/>
              <w:rPr>
                <w:sz w:val="21"/>
                <w:szCs w:val="21"/>
                <w:color w:val="auto"/>
              </w:rPr>
            </w:pPr>
          </w:p>
        </w:tc>
        <w:tc>
          <w:tcPr>
            <w:tcW w:w="200" w:type="dxa"/>
            <w:vAlign w:val="bottom"/>
            <w:tcBorders>
              <w:top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w:t>
            </w: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auto"/>
              </w:rPr>
              <w:t>(506)</w:t>
            </w:r>
          </w:p>
        </w:tc>
        <w:tc>
          <w:tcPr>
            <w:tcW w:w="100" w:type="dxa"/>
            <w:vAlign w:val="bottom"/>
          </w:tcPr>
          <w:p>
            <w:pPr>
              <w:spacing w:after="0"/>
              <w:rPr>
                <w:sz w:val="21"/>
                <w:szCs w:val="21"/>
                <w:color w:val="auto"/>
              </w:rPr>
            </w:pPr>
          </w:p>
        </w:tc>
        <w:tc>
          <w:tcPr>
            <w:tcW w:w="200" w:type="dxa"/>
            <w:vAlign w:val="bottom"/>
            <w:tcBorders>
              <w:top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700" w:type="dxa"/>
            <w:vAlign w:val="bottom"/>
            <w:tcBorders>
              <w:top w:val="single" w:sz="8" w:color="auto"/>
            </w:tcBorders>
          </w:tcPr>
          <w:p>
            <w:pPr>
              <w:jc w:val="right"/>
              <w:ind w:right="28"/>
              <w:spacing w:after="0"/>
              <w:rPr>
                <w:sz w:val="20"/>
                <w:szCs w:val="20"/>
                <w:color w:val="auto"/>
              </w:rPr>
            </w:pPr>
            <w:r>
              <w:rPr>
                <w:rFonts w:ascii="Arial" w:cs="Arial" w:eastAsia="Arial" w:hAnsi="Arial"/>
                <w:sz w:val="14"/>
                <w:szCs w:val="14"/>
                <w:color w:val="auto"/>
              </w:rPr>
              <w:t>371</w:t>
            </w:r>
          </w:p>
        </w:tc>
        <w:tc>
          <w:tcPr>
            <w:tcW w:w="100" w:type="dxa"/>
            <w:vAlign w:val="bottom"/>
          </w:tcPr>
          <w:p>
            <w:pPr>
              <w:spacing w:after="0"/>
              <w:rPr>
                <w:sz w:val="21"/>
                <w:szCs w:val="21"/>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(877)</w:t>
            </w:r>
          </w:p>
        </w:tc>
        <w:tc>
          <w:tcPr>
            <w:tcW w:w="0" w:type="dxa"/>
            <w:vAlign w:val="bottom"/>
          </w:tcPr>
          <w:p>
            <w:pPr>
              <w:spacing w:after="0"/>
              <w:rPr>
                <w:sz w:val="1"/>
                <w:szCs w:val="1"/>
                <w:color w:val="auto"/>
              </w:rPr>
            </w:pPr>
          </w:p>
        </w:tc>
      </w:tr>
      <w:tr>
        <w:trPr>
          <w:trHeight w:val="271"/>
        </w:trPr>
        <w:tc>
          <w:tcPr>
            <w:tcW w:w="5380" w:type="dxa"/>
            <w:vAlign w:val="bottom"/>
            <w:shd w:val="clear" w:color="auto" w:fill="CCEEFF"/>
          </w:tcPr>
          <w:p>
            <w:pPr>
              <w:ind w:left="40"/>
              <w:spacing w:after="0"/>
              <w:rPr>
                <w:sz w:val="20"/>
                <w:szCs w:val="20"/>
                <w:color w:val="auto"/>
              </w:rPr>
            </w:pPr>
            <w:r>
              <w:rPr>
                <w:rFonts w:ascii="Arial" w:cs="Arial" w:eastAsia="Arial" w:hAnsi="Arial"/>
                <w:sz w:val="14"/>
                <w:szCs w:val="14"/>
                <w:color w:val="auto"/>
              </w:rPr>
              <w:t>Add: Provision for income taxes</w:t>
            </w:r>
          </w:p>
        </w:tc>
        <w:tc>
          <w:tcPr>
            <w:tcW w:w="200" w:type="dxa"/>
            <w:vAlign w:val="bottom"/>
            <w:shd w:val="clear" w:color="auto" w:fill="CCEEFF"/>
          </w:tcPr>
          <w:p>
            <w:pPr>
              <w:spacing w:after="0"/>
              <w:rPr>
                <w:sz w:val="23"/>
                <w:szCs w:val="23"/>
                <w:color w:val="auto"/>
              </w:rPr>
            </w:pPr>
          </w:p>
        </w:tc>
        <w:tc>
          <w:tcPr>
            <w:tcW w:w="86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b w:val="1"/>
                <w:bCs w:val="1"/>
                <w:color w:val="auto"/>
              </w:rPr>
              <w:t>—</w:t>
            </w:r>
          </w:p>
        </w:tc>
        <w:tc>
          <w:tcPr>
            <w:tcW w:w="200" w:type="dxa"/>
            <w:vAlign w:val="bottom"/>
            <w:shd w:val="clear" w:color="auto" w:fill="CCEEFF"/>
          </w:tcPr>
          <w:p>
            <w:pPr>
              <w:spacing w:after="0"/>
              <w:rPr>
                <w:sz w:val="23"/>
                <w:szCs w:val="23"/>
                <w:color w:val="auto"/>
              </w:rPr>
            </w:pP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3"/>
                <w:szCs w:val="23"/>
                <w:color w:val="auto"/>
              </w:rPr>
            </w:pP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23"/>
                <w:szCs w:val="23"/>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b w:val="1"/>
                <w:bCs w:val="1"/>
                <w:color w:val="auto"/>
              </w:rPr>
              <w:t>—</w:t>
            </w:r>
          </w:p>
        </w:tc>
        <w:tc>
          <w:tcPr>
            <w:tcW w:w="200" w:type="dxa"/>
            <w:vAlign w:val="bottom"/>
            <w:shd w:val="clear" w:color="auto" w:fill="CCEEFF"/>
          </w:tcPr>
          <w:p>
            <w:pPr>
              <w:spacing w:after="0"/>
              <w:rPr>
                <w:sz w:val="23"/>
                <w:szCs w:val="23"/>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3"/>
                <w:szCs w:val="23"/>
                <w:color w:val="auto"/>
              </w:rPr>
            </w:pPr>
          </w:p>
        </w:tc>
        <w:tc>
          <w:tcPr>
            <w:tcW w:w="7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69"/>
        </w:trPr>
        <w:tc>
          <w:tcPr>
            <w:tcW w:w="5380" w:type="dxa"/>
            <w:vAlign w:val="bottom"/>
          </w:tcPr>
          <w:p>
            <w:pPr>
              <w:ind w:left="40"/>
              <w:spacing w:after="0"/>
              <w:rPr>
                <w:sz w:val="20"/>
                <w:szCs w:val="20"/>
                <w:color w:val="auto"/>
              </w:rPr>
            </w:pPr>
            <w:r>
              <w:rPr>
                <w:rFonts w:ascii="Arial" w:cs="Arial" w:eastAsia="Arial" w:hAnsi="Arial"/>
                <w:sz w:val="14"/>
                <w:szCs w:val="14"/>
                <w:color w:val="auto"/>
              </w:rPr>
              <w:t>Add: Equity-based compensation expense</w:t>
            </w:r>
          </w:p>
        </w:tc>
        <w:tc>
          <w:tcPr>
            <w:tcW w:w="200" w:type="dxa"/>
            <w:vAlign w:val="bottom"/>
          </w:tcPr>
          <w:p>
            <w:pPr>
              <w:spacing w:after="0"/>
              <w:rPr>
                <w:sz w:val="23"/>
                <w:szCs w:val="23"/>
                <w:color w:val="auto"/>
              </w:rPr>
            </w:pPr>
          </w:p>
        </w:tc>
        <w:tc>
          <w:tcPr>
            <w:tcW w:w="740" w:type="dxa"/>
            <w:vAlign w:val="bottom"/>
          </w:tcPr>
          <w:p>
            <w:pPr>
              <w:jc w:val="right"/>
              <w:ind w:right="48"/>
              <w:spacing w:after="0"/>
              <w:rPr>
                <w:sz w:val="20"/>
                <w:szCs w:val="20"/>
                <w:color w:val="auto"/>
              </w:rPr>
            </w:pPr>
            <w:r>
              <w:rPr>
                <w:rFonts w:ascii="Arial" w:cs="Arial" w:eastAsia="Arial" w:hAnsi="Arial"/>
                <w:sz w:val="14"/>
                <w:szCs w:val="14"/>
                <w:b w:val="1"/>
                <w:bCs w:val="1"/>
                <w:color w:val="auto"/>
              </w:rPr>
              <w:t>75</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20" w:type="dxa"/>
            <w:vAlign w:val="bottom"/>
          </w:tcPr>
          <w:p>
            <w:pPr>
              <w:jc w:val="right"/>
              <w:ind w:right="48"/>
              <w:spacing w:after="0"/>
              <w:rPr>
                <w:sz w:val="20"/>
                <w:szCs w:val="20"/>
                <w:color w:val="auto"/>
              </w:rPr>
            </w:pPr>
            <w:r>
              <w:rPr>
                <w:rFonts w:ascii="Arial" w:cs="Arial" w:eastAsia="Arial" w:hAnsi="Arial"/>
                <w:sz w:val="14"/>
                <w:szCs w:val="14"/>
                <w:color w:val="auto"/>
              </w:rPr>
              <w:t>28</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80" w:type="dxa"/>
            <w:vAlign w:val="bottom"/>
          </w:tcPr>
          <w:p>
            <w:pPr>
              <w:jc w:val="right"/>
              <w:ind w:right="48"/>
              <w:spacing w:after="0"/>
              <w:rPr>
                <w:sz w:val="20"/>
                <w:szCs w:val="20"/>
                <w:color w:val="auto"/>
              </w:rPr>
            </w:pPr>
            <w:r>
              <w:rPr>
                <w:rFonts w:ascii="Arial" w:cs="Arial" w:eastAsia="Arial" w:hAnsi="Arial"/>
                <w:sz w:val="14"/>
                <w:szCs w:val="14"/>
                <w:color w:val="auto"/>
              </w:rPr>
              <w:t>47</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00" w:type="dxa"/>
            <w:vAlign w:val="bottom"/>
          </w:tcPr>
          <w:p>
            <w:pPr>
              <w:jc w:val="right"/>
              <w:ind w:right="28"/>
              <w:spacing w:after="0"/>
              <w:rPr>
                <w:sz w:val="20"/>
                <w:szCs w:val="20"/>
                <w:color w:val="auto"/>
              </w:rPr>
            </w:pPr>
            <w:r>
              <w:rPr>
                <w:rFonts w:ascii="Arial" w:cs="Arial" w:eastAsia="Arial" w:hAnsi="Arial"/>
                <w:sz w:val="14"/>
                <w:szCs w:val="14"/>
                <w:b w:val="1"/>
                <w:bCs w:val="1"/>
                <w:color w:val="auto"/>
              </w:rPr>
              <w:t>467</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00" w:type="dxa"/>
            <w:vAlign w:val="bottom"/>
          </w:tcPr>
          <w:p>
            <w:pPr>
              <w:jc w:val="right"/>
              <w:ind w:right="28"/>
              <w:spacing w:after="0"/>
              <w:rPr>
                <w:sz w:val="20"/>
                <w:szCs w:val="20"/>
                <w:color w:val="auto"/>
              </w:rPr>
            </w:pPr>
            <w:r>
              <w:rPr>
                <w:rFonts w:ascii="Arial" w:cs="Arial" w:eastAsia="Arial" w:hAnsi="Arial"/>
                <w:sz w:val="14"/>
                <w:szCs w:val="14"/>
                <w:color w:val="auto"/>
              </w:rPr>
              <w:t>350</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40" w:type="dxa"/>
            <w:vAlign w:val="bottom"/>
          </w:tcPr>
          <w:p>
            <w:pPr>
              <w:jc w:val="right"/>
              <w:ind w:right="28"/>
              <w:spacing w:after="0"/>
              <w:rPr>
                <w:sz w:val="20"/>
                <w:szCs w:val="20"/>
                <w:color w:val="auto"/>
              </w:rPr>
            </w:pPr>
            <w:r>
              <w:rPr>
                <w:rFonts w:ascii="Arial" w:cs="Arial" w:eastAsia="Arial" w:hAnsi="Arial"/>
                <w:sz w:val="14"/>
                <w:szCs w:val="14"/>
                <w:color w:val="auto"/>
              </w:rPr>
              <w:t>117</w:t>
            </w:r>
          </w:p>
        </w:tc>
        <w:tc>
          <w:tcPr>
            <w:tcW w:w="0" w:type="dxa"/>
            <w:vAlign w:val="bottom"/>
          </w:tcPr>
          <w:p>
            <w:pPr>
              <w:spacing w:after="0"/>
              <w:rPr>
                <w:sz w:val="1"/>
                <w:szCs w:val="1"/>
                <w:color w:val="auto"/>
              </w:rPr>
            </w:pPr>
          </w:p>
        </w:tc>
      </w:tr>
      <w:tr>
        <w:trPr>
          <w:trHeight w:val="271"/>
        </w:trPr>
        <w:tc>
          <w:tcPr>
            <w:tcW w:w="5380" w:type="dxa"/>
            <w:vAlign w:val="bottom"/>
            <w:shd w:val="clear" w:color="auto" w:fill="CCEEFF"/>
          </w:tcPr>
          <w:p>
            <w:pPr>
              <w:ind w:left="40"/>
              <w:spacing w:after="0"/>
              <w:rPr>
                <w:sz w:val="20"/>
                <w:szCs w:val="20"/>
                <w:color w:val="auto"/>
              </w:rPr>
            </w:pPr>
            <w:r>
              <w:rPr>
                <w:rFonts w:ascii="Arial" w:cs="Arial" w:eastAsia="Arial" w:hAnsi="Arial"/>
                <w:sz w:val="14"/>
                <w:szCs w:val="14"/>
                <w:color w:val="auto"/>
              </w:rPr>
              <w:t>Add: Acquisition and transaction expenses</w:t>
            </w:r>
          </w:p>
        </w:tc>
        <w:tc>
          <w:tcPr>
            <w:tcW w:w="200" w:type="dxa"/>
            <w:vAlign w:val="bottom"/>
            <w:shd w:val="clear" w:color="auto" w:fill="CCEEFF"/>
          </w:tcPr>
          <w:p>
            <w:pPr>
              <w:spacing w:after="0"/>
              <w:rPr>
                <w:sz w:val="23"/>
                <w:szCs w:val="23"/>
                <w:color w:val="auto"/>
              </w:rPr>
            </w:pPr>
          </w:p>
        </w:tc>
        <w:tc>
          <w:tcPr>
            <w:tcW w:w="86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b w:val="1"/>
                <w:bCs w:val="1"/>
                <w:color w:val="auto"/>
              </w:rPr>
              <w:t>—</w:t>
            </w:r>
          </w:p>
        </w:tc>
        <w:tc>
          <w:tcPr>
            <w:tcW w:w="200" w:type="dxa"/>
            <w:vAlign w:val="bottom"/>
            <w:shd w:val="clear" w:color="auto" w:fill="CCEEFF"/>
          </w:tcPr>
          <w:p>
            <w:pPr>
              <w:spacing w:after="0"/>
              <w:rPr>
                <w:sz w:val="23"/>
                <w:szCs w:val="23"/>
                <w:color w:val="auto"/>
              </w:rPr>
            </w:pP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3"/>
                <w:szCs w:val="23"/>
                <w:color w:val="auto"/>
              </w:rPr>
            </w:pP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23"/>
                <w:szCs w:val="23"/>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b w:val="1"/>
                <w:bCs w:val="1"/>
                <w:color w:val="auto"/>
              </w:rPr>
              <w:t>—</w:t>
            </w:r>
          </w:p>
        </w:tc>
        <w:tc>
          <w:tcPr>
            <w:tcW w:w="200" w:type="dxa"/>
            <w:vAlign w:val="bottom"/>
            <w:shd w:val="clear" w:color="auto" w:fill="CCEEFF"/>
          </w:tcPr>
          <w:p>
            <w:pPr>
              <w:spacing w:after="0"/>
              <w:rPr>
                <w:sz w:val="23"/>
                <w:szCs w:val="23"/>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3"/>
                <w:szCs w:val="23"/>
                <w:color w:val="auto"/>
              </w:rPr>
            </w:pPr>
          </w:p>
        </w:tc>
        <w:tc>
          <w:tcPr>
            <w:tcW w:w="7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6"/>
        </w:trPr>
        <w:tc>
          <w:tcPr>
            <w:tcW w:w="5380" w:type="dxa"/>
            <w:vAlign w:val="bottom"/>
          </w:tcPr>
          <w:p>
            <w:pPr>
              <w:ind w:left="40"/>
              <w:spacing w:after="0"/>
              <w:rPr>
                <w:sz w:val="20"/>
                <w:szCs w:val="20"/>
                <w:color w:val="auto"/>
              </w:rPr>
            </w:pPr>
            <w:r>
              <w:rPr>
                <w:rFonts w:ascii="Arial" w:cs="Arial" w:eastAsia="Arial" w:hAnsi="Arial"/>
                <w:sz w:val="14"/>
                <w:szCs w:val="14"/>
                <w:color w:val="auto"/>
              </w:rPr>
              <w:t>Add: Losses on the modification or extinguishment of debt and capital lease</w:t>
            </w:r>
          </w:p>
        </w:tc>
        <w:tc>
          <w:tcPr>
            <w:tcW w:w="200" w:type="dxa"/>
            <w:vAlign w:val="bottom"/>
          </w:tcPr>
          <w:p>
            <w:pPr>
              <w:spacing w:after="0"/>
              <w:rPr>
                <w:sz w:val="15"/>
                <w:szCs w:val="15"/>
                <w:color w:val="auto"/>
              </w:rPr>
            </w:pPr>
          </w:p>
        </w:tc>
        <w:tc>
          <w:tcPr>
            <w:tcW w:w="860" w:type="dxa"/>
            <w:vAlign w:val="bottom"/>
            <w:gridSpan w:val="2"/>
            <w:vMerge w:val="restart"/>
          </w:tcPr>
          <w:p>
            <w:pPr>
              <w:jc w:val="right"/>
              <w:ind w:right="240"/>
              <w:spacing w:after="0"/>
              <w:rPr>
                <w:sz w:val="20"/>
                <w:szCs w:val="20"/>
                <w:color w:val="auto"/>
              </w:rPr>
            </w:pPr>
            <w:r>
              <w:rPr>
                <w:rFonts w:ascii="Arial" w:cs="Arial" w:eastAsia="Arial" w:hAnsi="Arial"/>
                <w:sz w:val="14"/>
                <w:szCs w:val="14"/>
                <w:b w:val="1"/>
                <w:bCs w:val="1"/>
                <w:color w:val="auto"/>
              </w:rPr>
              <w:t>—</w:t>
            </w:r>
          </w:p>
        </w:tc>
        <w:tc>
          <w:tcPr>
            <w:tcW w:w="2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0" w:type="dxa"/>
            <w:vAlign w:val="bottom"/>
            <w:gridSpan w:val="2"/>
            <w:vMerge w:val="restart"/>
          </w:tcPr>
          <w:p>
            <w:pPr>
              <w:jc w:val="right"/>
              <w:ind w:right="200"/>
              <w:spacing w:after="0"/>
              <w:rPr>
                <w:sz w:val="20"/>
                <w:szCs w:val="20"/>
                <w:color w:val="auto"/>
              </w:rPr>
            </w:pPr>
            <w:r>
              <w:rPr>
                <w:rFonts w:ascii="Arial" w:cs="Arial" w:eastAsia="Arial" w:hAnsi="Arial"/>
                <w:sz w:val="14"/>
                <w:szCs w:val="14"/>
                <w:b w:val="1"/>
                <w:bCs w:val="1"/>
                <w:color w:val="auto"/>
              </w:rPr>
              <w:t>—</w:t>
            </w:r>
          </w:p>
        </w:tc>
        <w:tc>
          <w:tcPr>
            <w:tcW w:w="2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1"/>
        </w:trPr>
        <w:tc>
          <w:tcPr>
            <w:tcW w:w="5380" w:type="dxa"/>
            <w:vAlign w:val="bottom"/>
          </w:tcPr>
          <w:p>
            <w:pPr>
              <w:ind w:left="40"/>
              <w:spacing w:after="0"/>
              <w:rPr>
                <w:sz w:val="20"/>
                <w:szCs w:val="20"/>
                <w:color w:val="auto"/>
              </w:rPr>
            </w:pPr>
            <w:r>
              <w:rPr>
                <w:rFonts w:ascii="Arial" w:cs="Arial" w:eastAsia="Arial" w:hAnsi="Arial"/>
                <w:sz w:val="14"/>
                <w:szCs w:val="14"/>
                <w:color w:val="auto"/>
              </w:rPr>
              <w:t>obligations</w:t>
            </w:r>
          </w:p>
        </w:tc>
        <w:tc>
          <w:tcPr>
            <w:tcW w:w="200" w:type="dxa"/>
            <w:vAlign w:val="bottom"/>
          </w:tcPr>
          <w:p>
            <w:pPr>
              <w:spacing w:after="0"/>
              <w:rPr>
                <w:sz w:val="17"/>
                <w:szCs w:val="17"/>
                <w:color w:val="auto"/>
              </w:rPr>
            </w:pPr>
          </w:p>
        </w:tc>
        <w:tc>
          <w:tcPr>
            <w:tcW w:w="860" w:type="dxa"/>
            <w:vAlign w:val="bottom"/>
            <w:gridSpan w:val="2"/>
            <w:vMerge w:val="continue"/>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7"/>
                <w:szCs w:val="17"/>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7"/>
                <w:szCs w:val="17"/>
                <w:color w:val="auto"/>
              </w:rPr>
            </w:pPr>
          </w:p>
        </w:tc>
        <w:tc>
          <w:tcPr>
            <w:tcW w:w="800" w:type="dxa"/>
            <w:vAlign w:val="bottom"/>
            <w:gridSpan w:val="2"/>
            <w:vMerge w:val="continue"/>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7"/>
                <w:szCs w:val="17"/>
                <w:color w:val="auto"/>
              </w:rPr>
            </w:pPr>
          </w:p>
        </w:tc>
        <w:tc>
          <w:tcPr>
            <w:tcW w:w="74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1"/>
        </w:trPr>
        <w:tc>
          <w:tcPr>
            <w:tcW w:w="5380" w:type="dxa"/>
            <w:vAlign w:val="bottom"/>
            <w:shd w:val="clear" w:color="auto" w:fill="CCEEFF"/>
          </w:tcPr>
          <w:p>
            <w:pPr>
              <w:ind w:left="40"/>
              <w:spacing w:after="0"/>
              <w:rPr>
                <w:sz w:val="20"/>
                <w:szCs w:val="20"/>
                <w:color w:val="auto"/>
              </w:rPr>
            </w:pPr>
            <w:r>
              <w:rPr>
                <w:rFonts w:ascii="Arial" w:cs="Arial" w:eastAsia="Arial" w:hAnsi="Arial"/>
                <w:sz w:val="14"/>
                <w:szCs w:val="14"/>
                <w:color w:val="auto"/>
              </w:rPr>
              <w:t>Add: Changes in fair value of non-hedge derivative instruments</w:t>
            </w:r>
          </w:p>
        </w:tc>
        <w:tc>
          <w:tcPr>
            <w:tcW w:w="200" w:type="dxa"/>
            <w:vAlign w:val="bottom"/>
            <w:shd w:val="clear" w:color="auto" w:fill="CCEEFF"/>
          </w:tcPr>
          <w:p>
            <w:pPr>
              <w:spacing w:after="0"/>
              <w:rPr>
                <w:sz w:val="23"/>
                <w:szCs w:val="23"/>
                <w:color w:val="auto"/>
              </w:rPr>
            </w:pPr>
          </w:p>
        </w:tc>
        <w:tc>
          <w:tcPr>
            <w:tcW w:w="86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b w:val="1"/>
                <w:bCs w:val="1"/>
                <w:color w:val="auto"/>
              </w:rPr>
              <w:t>—</w:t>
            </w:r>
          </w:p>
        </w:tc>
        <w:tc>
          <w:tcPr>
            <w:tcW w:w="200" w:type="dxa"/>
            <w:vAlign w:val="bottom"/>
            <w:shd w:val="clear" w:color="auto" w:fill="CCEEFF"/>
          </w:tcPr>
          <w:p>
            <w:pPr>
              <w:spacing w:after="0"/>
              <w:rPr>
                <w:sz w:val="23"/>
                <w:szCs w:val="23"/>
                <w:color w:val="auto"/>
              </w:rPr>
            </w:pP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3"/>
                <w:szCs w:val="23"/>
                <w:color w:val="auto"/>
              </w:rPr>
            </w:pP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23"/>
                <w:szCs w:val="23"/>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b w:val="1"/>
                <w:bCs w:val="1"/>
                <w:color w:val="auto"/>
              </w:rPr>
              <w:t>—</w:t>
            </w:r>
          </w:p>
        </w:tc>
        <w:tc>
          <w:tcPr>
            <w:tcW w:w="200" w:type="dxa"/>
            <w:vAlign w:val="bottom"/>
            <w:shd w:val="clear" w:color="auto" w:fill="CCEEFF"/>
          </w:tcPr>
          <w:p>
            <w:pPr>
              <w:spacing w:after="0"/>
              <w:rPr>
                <w:sz w:val="23"/>
                <w:szCs w:val="23"/>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3"/>
                <w:szCs w:val="23"/>
                <w:color w:val="auto"/>
              </w:rPr>
            </w:pPr>
          </w:p>
        </w:tc>
        <w:tc>
          <w:tcPr>
            <w:tcW w:w="7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69"/>
        </w:trPr>
        <w:tc>
          <w:tcPr>
            <w:tcW w:w="5380" w:type="dxa"/>
            <w:vAlign w:val="bottom"/>
          </w:tcPr>
          <w:p>
            <w:pPr>
              <w:ind w:left="40"/>
              <w:spacing w:after="0"/>
              <w:rPr>
                <w:sz w:val="20"/>
                <w:szCs w:val="20"/>
                <w:color w:val="auto"/>
              </w:rPr>
            </w:pPr>
            <w:r>
              <w:rPr>
                <w:rFonts w:ascii="Arial" w:cs="Arial" w:eastAsia="Arial" w:hAnsi="Arial"/>
                <w:sz w:val="14"/>
                <w:szCs w:val="14"/>
                <w:color w:val="auto"/>
              </w:rPr>
              <w:t>Add: Asset impairment charges</w:t>
            </w:r>
          </w:p>
        </w:tc>
        <w:tc>
          <w:tcPr>
            <w:tcW w:w="200" w:type="dxa"/>
            <w:vAlign w:val="bottom"/>
          </w:tcPr>
          <w:p>
            <w:pPr>
              <w:spacing w:after="0"/>
              <w:rPr>
                <w:sz w:val="23"/>
                <w:szCs w:val="23"/>
                <w:color w:val="auto"/>
              </w:rPr>
            </w:pPr>
          </w:p>
        </w:tc>
        <w:tc>
          <w:tcPr>
            <w:tcW w:w="86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rPr>
              <w:t>—</w:t>
            </w:r>
          </w:p>
        </w:tc>
        <w:tc>
          <w:tcPr>
            <w:tcW w:w="200" w:type="dxa"/>
            <w:vAlign w:val="bottom"/>
          </w:tcPr>
          <w:p>
            <w:pPr>
              <w:spacing w:after="0"/>
              <w:rPr>
                <w:sz w:val="23"/>
                <w:szCs w:val="23"/>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3"/>
                <w:szCs w:val="23"/>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3"/>
                <w:szCs w:val="23"/>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rPr>
              <w:t>—</w:t>
            </w:r>
          </w:p>
        </w:tc>
        <w:tc>
          <w:tcPr>
            <w:tcW w:w="200" w:type="dxa"/>
            <w:vAlign w:val="bottom"/>
          </w:tcPr>
          <w:p>
            <w:pPr>
              <w:spacing w:after="0"/>
              <w:rPr>
                <w:sz w:val="23"/>
                <w:szCs w:val="23"/>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3"/>
                <w:szCs w:val="23"/>
                <w:color w:val="auto"/>
              </w:rPr>
            </w:pPr>
          </w:p>
        </w:tc>
        <w:tc>
          <w:tcPr>
            <w:tcW w:w="74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1"/>
        </w:trPr>
        <w:tc>
          <w:tcPr>
            <w:tcW w:w="5380" w:type="dxa"/>
            <w:vAlign w:val="bottom"/>
            <w:shd w:val="clear" w:color="auto" w:fill="CCEEFF"/>
          </w:tcPr>
          <w:p>
            <w:pPr>
              <w:ind w:left="40"/>
              <w:spacing w:after="0"/>
              <w:rPr>
                <w:sz w:val="20"/>
                <w:szCs w:val="20"/>
                <w:color w:val="auto"/>
              </w:rPr>
            </w:pPr>
            <w:r>
              <w:rPr>
                <w:rFonts w:ascii="Arial" w:cs="Arial" w:eastAsia="Arial" w:hAnsi="Arial"/>
                <w:sz w:val="14"/>
                <w:szCs w:val="14"/>
                <w:color w:val="auto"/>
              </w:rPr>
              <w:t>Add: Incentive allocations</w:t>
            </w:r>
          </w:p>
        </w:tc>
        <w:tc>
          <w:tcPr>
            <w:tcW w:w="200" w:type="dxa"/>
            <w:vAlign w:val="bottom"/>
            <w:shd w:val="clear" w:color="auto" w:fill="CCEEFF"/>
          </w:tcPr>
          <w:p>
            <w:pPr>
              <w:spacing w:after="0"/>
              <w:rPr>
                <w:sz w:val="23"/>
                <w:szCs w:val="23"/>
                <w:color w:val="auto"/>
              </w:rPr>
            </w:pPr>
          </w:p>
        </w:tc>
        <w:tc>
          <w:tcPr>
            <w:tcW w:w="86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b w:val="1"/>
                <w:bCs w:val="1"/>
                <w:color w:val="auto"/>
              </w:rPr>
              <w:t>—</w:t>
            </w:r>
          </w:p>
        </w:tc>
        <w:tc>
          <w:tcPr>
            <w:tcW w:w="200" w:type="dxa"/>
            <w:vAlign w:val="bottom"/>
            <w:shd w:val="clear" w:color="auto" w:fill="CCEEFF"/>
          </w:tcPr>
          <w:p>
            <w:pPr>
              <w:spacing w:after="0"/>
              <w:rPr>
                <w:sz w:val="23"/>
                <w:szCs w:val="23"/>
                <w:color w:val="auto"/>
              </w:rPr>
            </w:pP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3"/>
                <w:szCs w:val="23"/>
                <w:color w:val="auto"/>
              </w:rPr>
            </w:pP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23"/>
                <w:szCs w:val="23"/>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b w:val="1"/>
                <w:bCs w:val="1"/>
                <w:color w:val="auto"/>
              </w:rPr>
              <w:t>—</w:t>
            </w:r>
          </w:p>
        </w:tc>
        <w:tc>
          <w:tcPr>
            <w:tcW w:w="200" w:type="dxa"/>
            <w:vAlign w:val="bottom"/>
            <w:shd w:val="clear" w:color="auto" w:fill="CCEEFF"/>
          </w:tcPr>
          <w:p>
            <w:pPr>
              <w:spacing w:after="0"/>
              <w:rPr>
                <w:sz w:val="23"/>
                <w:szCs w:val="23"/>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3"/>
                <w:szCs w:val="23"/>
                <w:color w:val="auto"/>
              </w:rPr>
            </w:pPr>
          </w:p>
        </w:tc>
        <w:tc>
          <w:tcPr>
            <w:tcW w:w="7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69"/>
        </w:trPr>
        <w:tc>
          <w:tcPr>
            <w:tcW w:w="5380" w:type="dxa"/>
            <w:vAlign w:val="bottom"/>
          </w:tcPr>
          <w:p>
            <w:pPr>
              <w:ind w:left="40"/>
              <w:spacing w:after="0"/>
              <w:rPr>
                <w:sz w:val="20"/>
                <w:szCs w:val="20"/>
                <w:color w:val="auto"/>
              </w:rPr>
            </w:pPr>
            <w:r>
              <w:rPr>
                <w:rFonts w:ascii="Arial" w:cs="Arial" w:eastAsia="Arial" w:hAnsi="Arial"/>
                <w:sz w:val="14"/>
                <w:szCs w:val="14"/>
                <w:color w:val="auto"/>
              </w:rPr>
              <w:t>Add: Depreciation and amortization expense</w:t>
            </w:r>
          </w:p>
        </w:tc>
        <w:tc>
          <w:tcPr>
            <w:tcW w:w="200" w:type="dxa"/>
            <w:vAlign w:val="bottom"/>
          </w:tcPr>
          <w:p>
            <w:pPr>
              <w:spacing w:after="0"/>
              <w:rPr>
                <w:sz w:val="23"/>
                <w:szCs w:val="23"/>
                <w:color w:val="auto"/>
              </w:rPr>
            </w:pPr>
          </w:p>
        </w:tc>
        <w:tc>
          <w:tcPr>
            <w:tcW w:w="740" w:type="dxa"/>
            <w:vAlign w:val="bottom"/>
          </w:tcPr>
          <w:p>
            <w:pPr>
              <w:jc w:val="right"/>
              <w:ind w:right="48"/>
              <w:spacing w:after="0"/>
              <w:rPr>
                <w:sz w:val="20"/>
                <w:szCs w:val="20"/>
                <w:color w:val="auto"/>
              </w:rPr>
            </w:pPr>
            <w:r>
              <w:rPr>
                <w:rFonts w:ascii="Arial" w:cs="Arial" w:eastAsia="Arial" w:hAnsi="Arial"/>
                <w:sz w:val="14"/>
                <w:szCs w:val="14"/>
                <w:b w:val="1"/>
                <w:bCs w:val="1"/>
                <w:color w:val="auto"/>
              </w:rPr>
              <w:t>507</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20" w:type="dxa"/>
            <w:vAlign w:val="bottom"/>
          </w:tcPr>
          <w:p>
            <w:pPr>
              <w:jc w:val="right"/>
              <w:ind w:right="48"/>
              <w:spacing w:after="0"/>
              <w:rPr>
                <w:sz w:val="20"/>
                <w:szCs w:val="20"/>
                <w:color w:val="auto"/>
              </w:rPr>
            </w:pPr>
            <w:r>
              <w:rPr>
                <w:rFonts w:ascii="Arial" w:cs="Arial" w:eastAsia="Arial" w:hAnsi="Arial"/>
                <w:sz w:val="14"/>
                <w:szCs w:val="14"/>
                <w:color w:val="auto"/>
              </w:rPr>
              <w:t>411</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80" w:type="dxa"/>
            <w:vAlign w:val="bottom"/>
          </w:tcPr>
          <w:p>
            <w:pPr>
              <w:jc w:val="right"/>
              <w:ind w:right="48"/>
              <w:spacing w:after="0"/>
              <w:rPr>
                <w:sz w:val="20"/>
                <w:szCs w:val="20"/>
                <w:color w:val="auto"/>
              </w:rPr>
            </w:pPr>
            <w:r>
              <w:rPr>
                <w:rFonts w:ascii="Arial" w:cs="Arial" w:eastAsia="Arial" w:hAnsi="Arial"/>
                <w:sz w:val="14"/>
                <w:szCs w:val="14"/>
                <w:color w:val="auto"/>
              </w:rPr>
              <w:t>96</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00" w:type="dxa"/>
            <w:vAlign w:val="bottom"/>
          </w:tcPr>
          <w:p>
            <w:pPr>
              <w:jc w:val="right"/>
              <w:ind w:right="28"/>
              <w:spacing w:after="0"/>
              <w:rPr>
                <w:sz w:val="20"/>
                <w:szCs w:val="20"/>
                <w:color w:val="auto"/>
              </w:rPr>
            </w:pPr>
            <w:r>
              <w:rPr>
                <w:rFonts w:ascii="Arial" w:cs="Arial" w:eastAsia="Arial" w:hAnsi="Arial"/>
                <w:sz w:val="14"/>
                <w:szCs w:val="14"/>
                <w:b w:val="1"/>
                <w:bCs w:val="1"/>
                <w:color w:val="auto"/>
              </w:rPr>
              <w:t>1,525</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00" w:type="dxa"/>
            <w:vAlign w:val="bottom"/>
          </w:tcPr>
          <w:p>
            <w:pPr>
              <w:jc w:val="right"/>
              <w:ind w:right="28"/>
              <w:spacing w:after="0"/>
              <w:rPr>
                <w:sz w:val="20"/>
                <w:szCs w:val="20"/>
                <w:color w:val="auto"/>
              </w:rPr>
            </w:pPr>
            <w:r>
              <w:rPr>
                <w:rFonts w:ascii="Arial" w:cs="Arial" w:eastAsia="Arial" w:hAnsi="Arial"/>
                <w:sz w:val="14"/>
                <w:szCs w:val="14"/>
                <w:color w:val="auto"/>
              </w:rPr>
              <w:t>1,471</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40" w:type="dxa"/>
            <w:vAlign w:val="bottom"/>
          </w:tcPr>
          <w:p>
            <w:pPr>
              <w:jc w:val="right"/>
              <w:ind w:right="28"/>
              <w:spacing w:after="0"/>
              <w:rPr>
                <w:sz w:val="20"/>
                <w:szCs w:val="20"/>
                <w:color w:val="auto"/>
              </w:rPr>
            </w:pPr>
            <w:r>
              <w:rPr>
                <w:rFonts w:ascii="Arial" w:cs="Arial" w:eastAsia="Arial" w:hAnsi="Arial"/>
                <w:sz w:val="14"/>
                <w:szCs w:val="14"/>
                <w:color w:val="auto"/>
              </w:rPr>
              <w:t>54</w:t>
            </w:r>
          </w:p>
        </w:tc>
        <w:tc>
          <w:tcPr>
            <w:tcW w:w="0" w:type="dxa"/>
            <w:vAlign w:val="bottom"/>
          </w:tcPr>
          <w:p>
            <w:pPr>
              <w:spacing w:after="0"/>
              <w:rPr>
                <w:sz w:val="1"/>
                <w:szCs w:val="1"/>
                <w:color w:val="auto"/>
              </w:rPr>
            </w:pPr>
          </w:p>
        </w:tc>
      </w:tr>
      <w:tr>
        <w:trPr>
          <w:trHeight w:val="271"/>
        </w:trPr>
        <w:tc>
          <w:tcPr>
            <w:tcW w:w="5380" w:type="dxa"/>
            <w:vAlign w:val="bottom"/>
            <w:shd w:val="clear" w:color="auto" w:fill="CCEEFF"/>
          </w:tcPr>
          <w:p>
            <w:pPr>
              <w:ind w:left="40"/>
              <w:spacing w:after="0"/>
              <w:rPr>
                <w:sz w:val="20"/>
                <w:szCs w:val="20"/>
                <w:color w:val="auto"/>
              </w:rPr>
            </w:pPr>
            <w:r>
              <w:rPr>
                <w:rFonts w:ascii="Arial" w:cs="Arial" w:eastAsia="Arial" w:hAnsi="Arial"/>
                <w:sz w:val="14"/>
                <w:szCs w:val="14"/>
                <w:color w:val="auto"/>
              </w:rPr>
              <w:t>Add: Interest expense</w:t>
            </w:r>
          </w:p>
        </w:tc>
        <w:tc>
          <w:tcPr>
            <w:tcW w:w="200" w:type="dxa"/>
            <w:vAlign w:val="bottom"/>
            <w:shd w:val="clear" w:color="auto" w:fill="CCEEFF"/>
          </w:tcPr>
          <w:p>
            <w:pPr>
              <w:spacing w:after="0"/>
              <w:rPr>
                <w:sz w:val="23"/>
                <w:szCs w:val="23"/>
                <w:color w:val="auto"/>
              </w:rPr>
            </w:pPr>
          </w:p>
        </w:tc>
        <w:tc>
          <w:tcPr>
            <w:tcW w:w="74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264</w:t>
            </w: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7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182</w:t>
            </w: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7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82</w:t>
            </w: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70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710</w:t>
            </w: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7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536</w:t>
            </w: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7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174</w:t>
            </w:r>
          </w:p>
        </w:tc>
        <w:tc>
          <w:tcPr>
            <w:tcW w:w="0" w:type="dxa"/>
            <w:vAlign w:val="bottom"/>
          </w:tcPr>
          <w:p>
            <w:pPr>
              <w:spacing w:after="0"/>
              <w:rPr>
                <w:sz w:val="1"/>
                <w:szCs w:val="1"/>
                <w:color w:val="auto"/>
              </w:rPr>
            </w:pPr>
          </w:p>
        </w:tc>
      </w:tr>
      <w:tr>
        <w:trPr>
          <w:trHeight w:val="269"/>
        </w:trPr>
        <w:tc>
          <w:tcPr>
            <w:tcW w:w="5380" w:type="dxa"/>
            <w:vAlign w:val="bottom"/>
          </w:tcPr>
          <w:p>
            <w:pPr>
              <w:ind w:left="40"/>
              <w:spacing w:after="0"/>
              <w:rPr>
                <w:sz w:val="20"/>
                <w:szCs w:val="20"/>
                <w:color w:val="auto"/>
              </w:rPr>
            </w:pPr>
            <w:r>
              <w:rPr>
                <w:rFonts w:ascii="Arial" w:cs="Arial" w:eastAsia="Arial" w:hAnsi="Arial"/>
                <w:sz w:val="14"/>
                <w:szCs w:val="14"/>
                <w:color w:val="auto"/>
              </w:rPr>
              <w:t>Add: Pro-rata share of Adjusted EBITDA from unconsolidated entities</w:t>
            </w:r>
          </w:p>
        </w:tc>
        <w:tc>
          <w:tcPr>
            <w:tcW w:w="200" w:type="dxa"/>
            <w:vAlign w:val="bottom"/>
          </w:tcPr>
          <w:p>
            <w:pPr>
              <w:spacing w:after="0"/>
              <w:rPr>
                <w:sz w:val="23"/>
                <w:szCs w:val="23"/>
                <w:color w:val="auto"/>
              </w:rPr>
            </w:pPr>
          </w:p>
        </w:tc>
        <w:tc>
          <w:tcPr>
            <w:tcW w:w="86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rPr>
              <w:t>—</w:t>
            </w:r>
          </w:p>
        </w:tc>
        <w:tc>
          <w:tcPr>
            <w:tcW w:w="200" w:type="dxa"/>
            <w:vAlign w:val="bottom"/>
          </w:tcPr>
          <w:p>
            <w:pPr>
              <w:spacing w:after="0"/>
              <w:rPr>
                <w:sz w:val="23"/>
                <w:szCs w:val="23"/>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3"/>
                <w:szCs w:val="23"/>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3"/>
                <w:szCs w:val="23"/>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rPr>
              <w:t>—</w:t>
            </w:r>
          </w:p>
        </w:tc>
        <w:tc>
          <w:tcPr>
            <w:tcW w:w="200" w:type="dxa"/>
            <w:vAlign w:val="bottom"/>
          </w:tcPr>
          <w:p>
            <w:pPr>
              <w:spacing w:after="0"/>
              <w:rPr>
                <w:sz w:val="23"/>
                <w:szCs w:val="23"/>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3"/>
                <w:szCs w:val="23"/>
                <w:color w:val="auto"/>
              </w:rPr>
            </w:pPr>
          </w:p>
        </w:tc>
        <w:tc>
          <w:tcPr>
            <w:tcW w:w="74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1"/>
        </w:trPr>
        <w:tc>
          <w:tcPr>
            <w:tcW w:w="5380" w:type="dxa"/>
            <w:vAlign w:val="bottom"/>
            <w:shd w:val="clear" w:color="auto" w:fill="CCEEFF"/>
          </w:tcPr>
          <w:p>
            <w:pPr>
              <w:ind w:left="40"/>
              <w:spacing w:after="0"/>
              <w:rPr>
                <w:sz w:val="20"/>
                <w:szCs w:val="20"/>
                <w:color w:val="auto"/>
              </w:rPr>
            </w:pPr>
            <w:r>
              <w:rPr>
                <w:rFonts w:ascii="Arial" w:cs="Arial" w:eastAsia="Arial" w:hAnsi="Arial"/>
                <w:sz w:val="14"/>
                <w:szCs w:val="14"/>
                <w:color w:val="auto"/>
              </w:rPr>
              <w:t>Less: Equity in earnings of unconsolidated entities</w:t>
            </w:r>
          </w:p>
        </w:tc>
        <w:tc>
          <w:tcPr>
            <w:tcW w:w="200" w:type="dxa"/>
            <w:vAlign w:val="bottom"/>
            <w:shd w:val="clear" w:color="auto" w:fill="CCEEFF"/>
          </w:tcPr>
          <w:p>
            <w:pPr>
              <w:spacing w:after="0"/>
              <w:rPr>
                <w:sz w:val="23"/>
                <w:szCs w:val="23"/>
                <w:color w:val="auto"/>
              </w:rPr>
            </w:pPr>
          </w:p>
        </w:tc>
        <w:tc>
          <w:tcPr>
            <w:tcW w:w="86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b w:val="1"/>
                <w:bCs w:val="1"/>
                <w:color w:val="auto"/>
              </w:rPr>
              <w:t>—</w:t>
            </w:r>
          </w:p>
        </w:tc>
        <w:tc>
          <w:tcPr>
            <w:tcW w:w="200" w:type="dxa"/>
            <w:vAlign w:val="bottom"/>
            <w:shd w:val="clear" w:color="auto" w:fill="CCEEFF"/>
          </w:tcPr>
          <w:p>
            <w:pPr>
              <w:spacing w:after="0"/>
              <w:rPr>
                <w:sz w:val="23"/>
                <w:szCs w:val="23"/>
                <w:color w:val="auto"/>
              </w:rPr>
            </w:pP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3"/>
                <w:szCs w:val="23"/>
                <w:color w:val="auto"/>
              </w:rPr>
            </w:pP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23"/>
                <w:szCs w:val="23"/>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b w:val="1"/>
                <w:bCs w:val="1"/>
                <w:color w:val="auto"/>
              </w:rPr>
              <w:t>—</w:t>
            </w:r>
          </w:p>
        </w:tc>
        <w:tc>
          <w:tcPr>
            <w:tcW w:w="200" w:type="dxa"/>
            <w:vAlign w:val="bottom"/>
            <w:shd w:val="clear" w:color="auto" w:fill="CCEEFF"/>
          </w:tcPr>
          <w:p>
            <w:pPr>
              <w:spacing w:after="0"/>
              <w:rPr>
                <w:sz w:val="23"/>
                <w:szCs w:val="23"/>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3"/>
                <w:szCs w:val="23"/>
                <w:color w:val="auto"/>
              </w:rPr>
            </w:pPr>
          </w:p>
        </w:tc>
        <w:tc>
          <w:tcPr>
            <w:tcW w:w="7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0"/>
        </w:trPr>
        <w:tc>
          <w:tcPr>
            <w:tcW w:w="538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 xml:space="preserve">Less: Non-controlling share of Adjusted EBITDA </w:t>
            </w:r>
            <w:r>
              <w:rPr>
                <w:rFonts w:ascii="Arial" w:cs="Arial" w:eastAsia="Arial" w:hAnsi="Arial"/>
                <w:sz w:val="17"/>
                <w:szCs w:val="17"/>
                <w:color w:val="auto"/>
                <w:vertAlign w:val="superscript"/>
              </w:rPr>
              <w:t>(2)</w:t>
            </w:r>
          </w:p>
        </w:tc>
        <w:tc>
          <w:tcPr>
            <w:tcW w:w="200" w:type="dxa"/>
            <w:vAlign w:val="bottom"/>
            <w:tcBorders>
              <w:bottom w:val="single" w:sz="8" w:color="auto"/>
            </w:tcBorders>
          </w:tcPr>
          <w:p>
            <w:pPr>
              <w:spacing w:after="0"/>
              <w:rPr>
                <w:sz w:val="23"/>
                <w:szCs w:val="23"/>
                <w:color w:val="auto"/>
              </w:rPr>
            </w:pPr>
          </w:p>
        </w:tc>
        <w:tc>
          <w:tcPr>
            <w:tcW w:w="7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(61)</w:t>
            </w:r>
          </w:p>
        </w:tc>
        <w:tc>
          <w:tcPr>
            <w:tcW w:w="120" w:type="dxa"/>
            <w:vAlign w:val="bottom"/>
            <w:tcBorders>
              <w:bottom w:val="single" w:sz="8" w:color="CCEEFF"/>
            </w:tcBorders>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(59)</w:t>
            </w:r>
          </w:p>
        </w:tc>
        <w:tc>
          <w:tcPr>
            <w:tcW w:w="120" w:type="dxa"/>
            <w:vAlign w:val="bottom"/>
            <w:tcBorders>
              <w:bottom w:val="single" w:sz="8" w:color="CCEEFF"/>
            </w:tcBorders>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7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(2)</w:t>
            </w:r>
          </w:p>
        </w:tc>
        <w:tc>
          <w:tcPr>
            <w:tcW w:w="100" w:type="dxa"/>
            <w:vAlign w:val="bottom"/>
            <w:tcBorders>
              <w:bottom w:val="single" w:sz="8" w:color="CCEEFF"/>
            </w:tcBorders>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(162)</w:t>
            </w:r>
          </w:p>
        </w:tc>
        <w:tc>
          <w:tcPr>
            <w:tcW w:w="100" w:type="dxa"/>
            <w:vAlign w:val="bottom"/>
            <w:tcBorders>
              <w:bottom w:val="single" w:sz="8" w:color="CCEEFF"/>
            </w:tcBorders>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(128)</w:t>
            </w:r>
          </w:p>
        </w:tc>
        <w:tc>
          <w:tcPr>
            <w:tcW w:w="100" w:type="dxa"/>
            <w:vAlign w:val="bottom"/>
            <w:tcBorders>
              <w:bottom w:val="single" w:sz="8" w:color="CCEEFF"/>
            </w:tcBorders>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(34)</w:t>
            </w:r>
          </w:p>
        </w:tc>
        <w:tc>
          <w:tcPr>
            <w:tcW w:w="0" w:type="dxa"/>
            <w:vAlign w:val="bottom"/>
          </w:tcPr>
          <w:p>
            <w:pPr>
              <w:spacing w:after="0"/>
              <w:rPr>
                <w:sz w:val="1"/>
                <w:szCs w:val="1"/>
                <w:color w:val="auto"/>
              </w:rPr>
            </w:pPr>
          </w:p>
        </w:tc>
      </w:tr>
      <w:tr>
        <w:trPr>
          <w:trHeight w:val="237"/>
        </w:trPr>
        <w:tc>
          <w:tcPr>
            <w:tcW w:w="5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4"/>
                <w:szCs w:val="14"/>
                <w:b w:val="1"/>
                <w:bCs w:val="1"/>
                <w:color w:val="auto"/>
              </w:rPr>
              <w:t>Adjusted EBITDA (non-GAAP)</w:t>
            </w:r>
          </w:p>
        </w:tc>
        <w:tc>
          <w:tcPr>
            <w:tcW w:w="20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w:t>
            </w:r>
          </w:p>
        </w:tc>
        <w:tc>
          <w:tcPr>
            <w:tcW w:w="74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1,234</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882</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352</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w:t>
            </w:r>
          </w:p>
        </w:tc>
        <w:tc>
          <w:tcPr>
            <w:tcW w:w="7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2,034</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2,600</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(566)</w:t>
            </w:r>
          </w:p>
        </w:tc>
        <w:tc>
          <w:tcPr>
            <w:tcW w:w="0" w:type="dxa"/>
            <w:vAlign w:val="bottom"/>
          </w:tcPr>
          <w:p>
            <w:pPr>
              <w:spacing w:after="0"/>
              <w:rPr>
                <w:sz w:val="1"/>
                <w:szCs w:val="1"/>
                <w:color w:val="auto"/>
              </w:rPr>
            </w:pPr>
          </w:p>
        </w:tc>
      </w:tr>
      <w:tr>
        <w:trPr>
          <w:trHeight w:val="20"/>
        </w:trPr>
        <w:tc>
          <w:tcPr>
            <w:tcW w:w="53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4" w:lineRule="exact"/>
        <w:rPr>
          <w:sz w:val="20"/>
          <w:szCs w:val="20"/>
          <w:color w:val="auto"/>
        </w:rPr>
      </w:pPr>
    </w:p>
    <w:p>
      <w:pPr>
        <w:spacing w:after="0"/>
        <w:rPr>
          <w:sz w:val="20"/>
          <w:szCs w:val="20"/>
          <w:color w:val="auto"/>
        </w:rPr>
      </w:pPr>
      <w:r>
        <w:rPr>
          <w:rFonts w:ascii="Arial" w:cs="Arial" w:eastAsia="Arial" w:hAnsi="Arial"/>
          <w:sz w:val="16"/>
          <w:szCs w:val="16"/>
          <w:color w:val="auto"/>
        </w:rPr>
        <w:t>________________________________________________________</w:t>
      </w:r>
    </w:p>
    <w:p>
      <w:pPr>
        <w:spacing w:after="0" w:line="172" w:lineRule="exact"/>
        <w:rPr>
          <w:sz w:val="20"/>
          <w:szCs w:val="20"/>
          <w:color w:val="auto"/>
        </w:rPr>
      </w:pPr>
    </w:p>
    <w:p>
      <w:pPr>
        <w:ind w:left="500" w:hanging="492"/>
        <w:spacing w:after="0" w:line="236" w:lineRule="auto"/>
        <w:tabs>
          <w:tab w:leader="none" w:pos="172" w:val="left"/>
        </w:tabs>
        <w:numPr>
          <w:ilvl w:val="0"/>
          <w:numId w:val="24"/>
        </w:numPr>
        <w:rPr>
          <w:rFonts w:ascii="Arial" w:cs="Arial" w:eastAsia="Arial" w:hAnsi="Arial"/>
          <w:sz w:val="18"/>
          <w:szCs w:val="18"/>
          <w:color w:val="auto"/>
          <w:vertAlign w:val="superscript"/>
        </w:rPr>
      </w:pPr>
      <w:r>
        <w:rPr>
          <w:rFonts w:ascii="Arial" w:cs="Arial" w:eastAsia="Arial" w:hAnsi="Arial"/>
          <w:sz w:val="14"/>
          <w:szCs w:val="14"/>
          <w:color w:val="auto"/>
        </w:rPr>
        <w:t>Non-controlling share of Adjusted EBITDA is comprised of the following items for the three months ended September 30, 2017 and 2016: (i) equity-based compensation of $7 and $6, (ii) interest expense of $19 and $15, and (iii) depreciation and amortization expense of $35 and $38, respectively. Non-controlling share of Adjusted EBITDA is comprised of the following items for the nine months ended September 30, 2017 and 2016: (i) equity-based compensation of $28 and $19, (ii) interest expense of $43 and $29, and (iii) depreciation and amortization expense of $91 and $80, respectively.</w:t>
      </w:r>
    </w:p>
    <w:p>
      <w:pPr>
        <w:spacing w:after="0" w:line="12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00497F"/>
        </w:rPr>
        <w:t>Revenues</w:t>
      </w:r>
    </w:p>
    <w:p>
      <w:pPr>
        <w:spacing w:after="0" w:line="167" w:lineRule="exact"/>
        <w:rPr>
          <w:sz w:val="20"/>
          <w:szCs w:val="20"/>
          <w:color w:val="auto"/>
        </w:rPr>
      </w:pPr>
    </w:p>
    <w:p>
      <w:pPr>
        <w:jc w:val="both"/>
        <w:spacing w:after="0" w:line="269" w:lineRule="auto"/>
        <w:rPr>
          <w:sz w:val="20"/>
          <w:szCs w:val="20"/>
          <w:color w:val="auto"/>
        </w:rPr>
      </w:pPr>
      <w:r>
        <w:rPr>
          <w:rFonts w:ascii="Arial" w:cs="Arial" w:eastAsia="Arial" w:hAnsi="Arial"/>
          <w:sz w:val="16"/>
          <w:szCs w:val="16"/>
          <w:color w:val="auto"/>
        </w:rPr>
        <w:t>Total revenues in the Railroad segment increased $857 in the three months ended September 30, 2017 compared to the same period of 2016 due to higher transportation revenue per car and the seasonal volume shift to energy products. The increase reflects $625 of higher freight transportation revenue and $284 in higher switching and other rail service revenue. Partially offsetting the increase was lower car hire income of $52.</w:t>
      </w:r>
    </w:p>
    <w:p>
      <w:pPr>
        <w:spacing w:after="0" w:line="111" w:lineRule="exact"/>
        <w:rPr>
          <w:sz w:val="20"/>
          <w:szCs w:val="20"/>
          <w:color w:val="auto"/>
        </w:rPr>
      </w:pPr>
    </w:p>
    <w:p>
      <w:pPr>
        <w:jc w:val="both"/>
        <w:spacing w:after="0" w:line="269" w:lineRule="auto"/>
        <w:rPr>
          <w:sz w:val="20"/>
          <w:szCs w:val="20"/>
          <w:color w:val="auto"/>
        </w:rPr>
      </w:pPr>
      <w:r>
        <w:rPr>
          <w:rFonts w:ascii="Arial" w:cs="Arial" w:eastAsia="Arial" w:hAnsi="Arial"/>
          <w:sz w:val="16"/>
          <w:szCs w:val="16"/>
          <w:color w:val="auto"/>
        </w:rPr>
        <w:t>Total revenues in the Railroad segment increased by $1,216 in the nine months ended September 30, 2017 compared to the same period of 2016 due to higher traffic and expanded service offerings to customers. The increase reflects $897 of higher freight transportation revenue and $495 in higher switching and other rail service revenue. Partially offsetting the increase was lower car hire income of $176.</w:t>
      </w:r>
    </w:p>
    <w:p>
      <w:pPr>
        <w:spacing w:after="0" w:line="11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00497F"/>
        </w:rPr>
        <w:t>Expenses</w:t>
      </w:r>
    </w:p>
    <w:p>
      <w:pPr>
        <w:spacing w:after="0" w:line="167" w:lineRule="exact"/>
        <w:rPr>
          <w:sz w:val="20"/>
          <w:szCs w:val="20"/>
          <w:color w:val="auto"/>
        </w:rPr>
      </w:pPr>
    </w:p>
    <w:p>
      <w:pPr>
        <w:jc w:val="both"/>
        <w:spacing w:after="0" w:line="259" w:lineRule="auto"/>
        <w:rPr>
          <w:sz w:val="20"/>
          <w:szCs w:val="20"/>
          <w:color w:val="auto"/>
        </w:rPr>
      </w:pPr>
      <w:r>
        <w:rPr>
          <w:rFonts w:ascii="Arial" w:cs="Arial" w:eastAsia="Arial" w:hAnsi="Arial"/>
          <w:sz w:val="16"/>
          <w:szCs w:val="16"/>
          <w:color w:val="auto"/>
        </w:rPr>
        <w:t>Total expenses in the Railroad segment increased $644 in the three months ended September 30, 2017 as compared to the three months ended September 30, 2016 primarily due to higher operating expenses. The increase in operating expenses of $466 reflects higher (i) general operating expense of $516 due to certain tax benefits taken in the three months ended September 30, 2016 not available in the three months ended September 30, 2017, (ii) compensation and benefits of $291 and (iii) fuel expense of $87. Partially offsetting these increases was lower (i) professional fees of $89, (ii) bad debt of $79 and (iii) other expenses of $260.</w:t>
      </w:r>
    </w:p>
    <w:p>
      <w:pPr>
        <w:spacing w:after="0" w:line="313" w:lineRule="exact"/>
        <w:rPr>
          <w:sz w:val="20"/>
          <w:szCs w:val="20"/>
          <w:color w:val="auto"/>
        </w:rPr>
      </w:pPr>
    </w:p>
    <w:p>
      <w:pPr>
        <w:jc w:val="both"/>
        <w:spacing w:after="0" w:line="255" w:lineRule="auto"/>
        <w:rPr>
          <w:sz w:val="20"/>
          <w:szCs w:val="20"/>
          <w:color w:val="auto"/>
        </w:rPr>
      </w:pPr>
      <w:r>
        <w:rPr>
          <w:rFonts w:ascii="Arial" w:cs="Arial" w:eastAsia="Arial" w:hAnsi="Arial"/>
          <w:sz w:val="16"/>
          <w:szCs w:val="16"/>
          <w:color w:val="auto"/>
        </w:rPr>
        <w:t>Total expenses in the Railroad segment increased $1,655 in the nine months ended September 30, 2017 as compared to the nine months ended September 30, 2016 primarily due to higher operating expenses. The increase in operating expenses of $1,427 reflects (i) general operating expense of $1,562 due to certain tax benefits taken in the nine months ended September 30, 2016 not available in the nine months ended September 30, 2017, (ii) an increase in compensation and benefits of $534 and (iii) fuel expense of $425. Partially offsetting these increases was lower (i) professional fees of $369, (ii) bad debt of $71 and (iii) other expenses of $654. Also contributing to the increase was $174 of increased interest expense related to borrowings under the CMQR Credit Agreement used to finance construction and improvements to the railroad.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63</w:t>
      </w:r>
    </w:p>
    <w:p>
      <w:pPr>
        <w:sectPr>
          <w:pgSz w:w="11900" w:h="16838" w:orient="portrait"/>
          <w:cols w:equalWidth="0" w:num="1">
            <w:col w:w="11420"/>
          </w:cols>
          <w:pgMar w:left="240" w:top="527" w:right="239" w:bottom="1440" w:gutter="0" w:footer="0" w:header="0"/>
        </w:sectPr>
      </w:pPr>
    </w:p>
    <w:bookmarkStart w:id="63" w:name="page64"/>
    <w:bookmarkEnd w:id="63"/>
    <w:p>
      <w:pPr>
        <w:spacing w:after="0"/>
        <w:rPr>
          <w:sz w:val="20"/>
          <w:szCs w:val="20"/>
          <w:color w:val="auto"/>
        </w:rPr>
      </w:pPr>
      <w:r>
        <w:rPr>
          <w:rFonts w:ascii="Arial" w:cs="Arial" w:eastAsia="Arial" w:hAnsi="Arial"/>
          <w:sz w:val="16"/>
          <w:szCs w:val="16"/>
          <w:b w:val="1"/>
          <w:bCs w:val="1"/>
          <w:i w:val="1"/>
          <w:iCs w:val="1"/>
          <w:color w:val="00497F"/>
        </w:rPr>
        <w:t>Adjusted Net Income (Loss)</w:t>
      </w:r>
    </w:p>
    <w:p>
      <w:pPr>
        <w:spacing w:after="0" w:line="167"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Adjusted Net Income increased $175 in the three months ended September 30, 2017 as compared to the three months ended September 30, 2016. In addition to the changes in net loss attributable to shareholders noted above, Adjusted Net Loss was impacted by higher equity-based compensation expense of $47.</w:t>
      </w:r>
    </w:p>
    <w:p>
      <w:pPr>
        <w:spacing w:after="0" w:line="94" w:lineRule="exact"/>
        <w:rPr>
          <w:sz w:val="20"/>
          <w:szCs w:val="20"/>
          <w:color w:val="auto"/>
        </w:rPr>
      </w:pPr>
    </w:p>
    <w:p>
      <w:pPr>
        <w:jc w:val="both"/>
        <w:spacing w:after="0" w:line="269" w:lineRule="auto"/>
        <w:rPr>
          <w:sz w:val="20"/>
          <w:szCs w:val="20"/>
          <w:color w:val="auto"/>
        </w:rPr>
      </w:pPr>
      <w:r>
        <w:rPr>
          <w:rFonts w:ascii="Arial" w:cs="Arial" w:eastAsia="Arial" w:hAnsi="Arial"/>
          <w:sz w:val="16"/>
          <w:szCs w:val="16"/>
          <w:color w:val="auto"/>
        </w:rPr>
        <w:t>Adjusted Net Income decreased $769 in the nine months ended September 30, 2017 as compared to the nine months ended September 30, 2016. In addition to the changes in net income (loss) attributable to shareholders noted above, Adjusted Net Income was impacted by higher equity-based compensation expense of $117.</w:t>
      </w:r>
    </w:p>
    <w:p>
      <w:pPr>
        <w:spacing w:after="0" w:line="11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00497F"/>
        </w:rPr>
        <w:t>Adjusted EBITDA (Non-GAAP)</w:t>
      </w:r>
    </w:p>
    <w:p>
      <w:pPr>
        <w:spacing w:after="0" w:line="167" w:lineRule="exact"/>
        <w:rPr>
          <w:sz w:val="20"/>
          <w:szCs w:val="20"/>
          <w:color w:val="auto"/>
        </w:rPr>
      </w:pPr>
    </w:p>
    <w:p>
      <w:pPr>
        <w:jc w:val="both"/>
        <w:spacing w:after="0" w:line="259" w:lineRule="auto"/>
        <w:rPr>
          <w:sz w:val="20"/>
          <w:szCs w:val="20"/>
          <w:color w:val="auto"/>
        </w:rPr>
      </w:pPr>
      <w:r>
        <w:rPr>
          <w:rFonts w:ascii="Arial" w:cs="Arial" w:eastAsia="Arial" w:hAnsi="Arial"/>
          <w:sz w:val="16"/>
          <w:szCs w:val="16"/>
          <w:color w:val="auto"/>
        </w:rPr>
        <w:t>Adjusted EBITDA was $1,234 and $2,034 in the three and nine months ended September 30, 2017, respectively, increasing $352 and decreasing $566 as compared to the three and nine months ended September 30, 2016, respectively. In addition to the changes in net income (loss) attributable to shareholders noted above, Adjusted EBITDA was also impacted primarily by higher equity-based compensation expense of $47 and $117, and an increase in interest expense of $82 and $174, in the three and nine months ended September 30, 2017, respectively, as compared to the three and nine months ended September 30, 2016.</w:t>
      </w:r>
    </w:p>
    <w:p>
      <w:pPr>
        <w:spacing w:after="0" w:line="365" w:lineRule="exact"/>
        <w:rPr>
          <w:sz w:val="20"/>
          <w:szCs w:val="20"/>
          <w:color w:val="auto"/>
        </w:rPr>
      </w:pPr>
    </w:p>
    <w:p>
      <w:pPr>
        <w:spacing w:after="0"/>
        <w:rPr>
          <w:sz w:val="20"/>
          <w:szCs w:val="20"/>
          <w:color w:val="auto"/>
        </w:rPr>
      </w:pPr>
      <w:r>
        <w:rPr>
          <w:rFonts w:ascii="Arial" w:cs="Arial" w:eastAsia="Arial" w:hAnsi="Arial"/>
          <w:sz w:val="16"/>
          <w:szCs w:val="16"/>
          <w:b w:val="1"/>
          <w:bCs w:val="1"/>
          <w:color w:val="00497F"/>
        </w:rPr>
        <w:t>Ports and Terminals</w:t>
      </w:r>
    </w:p>
    <w:p>
      <w:pPr>
        <w:spacing w:after="0" w:line="129" w:lineRule="exact"/>
        <w:rPr>
          <w:sz w:val="20"/>
          <w:szCs w:val="20"/>
          <w:color w:val="auto"/>
        </w:rPr>
      </w:pPr>
    </w:p>
    <w:p>
      <w:pPr>
        <w:ind w:right="20"/>
        <w:spacing w:after="0" w:line="327" w:lineRule="auto"/>
        <w:rPr>
          <w:sz w:val="20"/>
          <w:szCs w:val="20"/>
          <w:color w:val="auto"/>
        </w:rPr>
      </w:pPr>
      <w:r>
        <w:rPr>
          <w:rFonts w:ascii="Arial" w:cs="Arial" w:eastAsia="Arial" w:hAnsi="Arial"/>
          <w:sz w:val="16"/>
          <w:szCs w:val="16"/>
          <w:color w:val="auto"/>
        </w:rPr>
        <w:t>The following table presents our results of operations and reconciliation of net loss attributable to shareholders to Adjusted Net Loss for Ports and Terminals for the three and nine months ended September 30, 2017 and September 30, 2016:</w:t>
      </w:r>
    </w:p>
    <w:p>
      <w:pPr>
        <w:spacing w:after="0" w:line="82"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3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900" w:type="dxa"/>
            <w:vAlign w:val="bottom"/>
            <w:gridSpan w:val="5"/>
          </w:tcPr>
          <w:p>
            <w:pPr>
              <w:jc w:val="center"/>
              <w:ind w:right="280"/>
              <w:spacing w:after="0"/>
              <w:rPr>
                <w:sz w:val="20"/>
                <w:szCs w:val="20"/>
                <w:color w:val="auto"/>
              </w:rPr>
            </w:pPr>
            <w:r>
              <w:rPr>
                <w:rFonts w:ascii="Arial" w:cs="Arial" w:eastAsia="Arial" w:hAnsi="Arial"/>
                <w:sz w:val="14"/>
                <w:szCs w:val="14"/>
                <w:b w:val="1"/>
                <w:bCs w:val="1"/>
                <w:color w:val="auto"/>
              </w:rPr>
              <w:t>Three Months Ended</w:t>
            </w:r>
          </w:p>
        </w:tc>
        <w:tc>
          <w:tcPr>
            <w:tcW w:w="1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00" w:type="dxa"/>
            <w:vAlign w:val="bottom"/>
            <w:gridSpan w:val="5"/>
          </w:tcPr>
          <w:p>
            <w:pPr>
              <w:ind w:left="100"/>
              <w:spacing w:after="0"/>
              <w:rPr>
                <w:sz w:val="20"/>
                <w:szCs w:val="20"/>
                <w:color w:val="auto"/>
              </w:rPr>
            </w:pPr>
            <w:r>
              <w:rPr>
                <w:rFonts w:ascii="Arial" w:cs="Arial" w:eastAsia="Arial" w:hAnsi="Arial"/>
                <w:sz w:val="14"/>
                <w:szCs w:val="14"/>
                <w:b w:val="1"/>
                <w:bCs w:val="1"/>
                <w:color w:val="auto"/>
              </w:rPr>
              <w:t>Nine Months Ended</w:t>
            </w:r>
          </w:p>
        </w:tc>
        <w:tc>
          <w:tcPr>
            <w:tcW w:w="1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2"/>
        </w:trPr>
        <w:tc>
          <w:tcPr>
            <w:tcW w:w="53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900" w:type="dxa"/>
            <w:vAlign w:val="bottom"/>
            <w:gridSpan w:val="5"/>
          </w:tcPr>
          <w:p>
            <w:pPr>
              <w:jc w:val="center"/>
              <w:ind w:right="280"/>
              <w:spacing w:after="0"/>
              <w:rPr>
                <w:sz w:val="20"/>
                <w:szCs w:val="20"/>
                <w:color w:val="auto"/>
              </w:rPr>
            </w:pPr>
            <w:r>
              <w:rPr>
                <w:rFonts w:ascii="Arial" w:cs="Arial" w:eastAsia="Arial" w:hAnsi="Arial"/>
                <w:sz w:val="14"/>
                <w:szCs w:val="14"/>
                <w:b w:val="1"/>
                <w:bCs w:val="1"/>
                <w:color w:val="auto"/>
              </w:rPr>
              <w:t>September 30,</w:t>
            </w: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0" w:type="dxa"/>
            <w:vAlign w:val="bottom"/>
            <w:gridSpan w:val="5"/>
          </w:tcPr>
          <w:p>
            <w:pPr>
              <w:ind w:left="280"/>
              <w:spacing w:after="0"/>
              <w:rPr>
                <w:sz w:val="20"/>
                <w:szCs w:val="20"/>
                <w:color w:val="auto"/>
              </w:rPr>
            </w:pPr>
            <w:r>
              <w:rPr>
                <w:rFonts w:ascii="Arial" w:cs="Arial" w:eastAsia="Arial" w:hAnsi="Arial"/>
                <w:sz w:val="14"/>
                <w:szCs w:val="14"/>
                <w:b w:val="1"/>
                <w:bCs w:val="1"/>
                <w:color w:val="auto"/>
              </w:rPr>
              <w:t>September 30,</w:t>
            </w: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64"/>
        </w:trPr>
        <w:tc>
          <w:tcPr>
            <w:tcW w:w="5380" w:type="dxa"/>
            <w:vAlign w:val="bottom"/>
          </w:tcPr>
          <w:p>
            <w:pPr>
              <w:ind w:left="40"/>
              <w:spacing w:after="0"/>
              <w:rPr>
                <w:sz w:val="20"/>
                <w:szCs w:val="20"/>
                <w:color w:val="auto"/>
              </w:rPr>
            </w:pPr>
            <w:r>
              <w:rPr>
                <w:rFonts w:ascii="Arial" w:cs="Arial" w:eastAsia="Arial" w:hAnsi="Arial"/>
                <w:sz w:val="14"/>
                <w:szCs w:val="14"/>
                <w:i w:val="1"/>
                <w:iCs w:val="1"/>
                <w:color w:val="auto"/>
              </w:rPr>
              <w:t>(Dollar amounts in thousands)</w:t>
            </w:r>
          </w:p>
        </w:tc>
        <w:tc>
          <w:tcPr>
            <w:tcW w:w="200" w:type="dxa"/>
            <w:vAlign w:val="bottom"/>
            <w:tcBorders>
              <w:top w:val="single" w:sz="8" w:color="auto"/>
              <w:bottom w:val="single" w:sz="8" w:color="auto"/>
            </w:tcBorders>
          </w:tcPr>
          <w:p>
            <w:pPr>
              <w:spacing w:after="0"/>
              <w:rPr>
                <w:sz w:val="22"/>
                <w:szCs w:val="22"/>
                <w:color w:val="auto"/>
              </w:rPr>
            </w:pPr>
          </w:p>
        </w:tc>
        <w:tc>
          <w:tcPr>
            <w:tcW w:w="740" w:type="dxa"/>
            <w:vAlign w:val="bottom"/>
            <w:tcBorders>
              <w:top w:val="single" w:sz="8" w:color="auto"/>
              <w:bottom w:val="single" w:sz="8" w:color="auto"/>
            </w:tcBorders>
          </w:tcPr>
          <w:p>
            <w:pPr>
              <w:jc w:val="right"/>
              <w:ind w:right="248"/>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top w:val="single" w:sz="8" w:color="auto"/>
              <w:bottom w:val="single" w:sz="8" w:color="auto"/>
            </w:tcBorders>
          </w:tcPr>
          <w:p>
            <w:pPr>
              <w:spacing w:after="0"/>
              <w:rPr>
                <w:sz w:val="22"/>
                <w:szCs w:val="22"/>
                <w:color w:val="auto"/>
              </w:rPr>
            </w:pPr>
          </w:p>
        </w:tc>
        <w:tc>
          <w:tcPr>
            <w:tcW w:w="200" w:type="dxa"/>
            <w:vAlign w:val="bottom"/>
            <w:tcBorders>
              <w:top w:val="single" w:sz="8" w:color="auto"/>
              <w:bottom w:val="single" w:sz="8" w:color="auto"/>
            </w:tcBorders>
          </w:tcPr>
          <w:p>
            <w:pPr>
              <w:spacing w:after="0"/>
              <w:rPr>
                <w:sz w:val="22"/>
                <w:szCs w:val="22"/>
                <w:color w:val="auto"/>
              </w:rPr>
            </w:pPr>
          </w:p>
        </w:tc>
        <w:tc>
          <w:tcPr>
            <w:tcW w:w="720" w:type="dxa"/>
            <w:vAlign w:val="bottom"/>
            <w:tcBorders>
              <w:top w:val="single" w:sz="8" w:color="auto"/>
              <w:bottom w:val="single" w:sz="8" w:color="auto"/>
            </w:tcBorders>
          </w:tcPr>
          <w:p>
            <w:pPr>
              <w:jc w:val="right"/>
              <w:ind w:right="228"/>
              <w:spacing w:after="0"/>
              <w:rPr>
                <w:sz w:val="20"/>
                <w:szCs w:val="20"/>
                <w:color w:val="auto"/>
              </w:rPr>
            </w:pPr>
            <w:r>
              <w:rPr>
                <w:rFonts w:ascii="Arial" w:cs="Arial" w:eastAsia="Arial" w:hAnsi="Arial"/>
                <w:sz w:val="14"/>
                <w:szCs w:val="14"/>
                <w:b w:val="1"/>
                <w:bCs w:val="1"/>
                <w:color w:val="auto"/>
              </w:rPr>
              <w:t>2016</w:t>
            </w:r>
          </w:p>
        </w:tc>
        <w:tc>
          <w:tcPr>
            <w:tcW w:w="120" w:type="dxa"/>
            <w:vAlign w:val="bottom"/>
            <w:tcBorders>
              <w:bottom w:val="single" w:sz="8" w:color="auto"/>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gridSpan w:val="2"/>
          </w:tcPr>
          <w:p>
            <w:pPr>
              <w:ind w:left="60"/>
              <w:spacing w:after="0"/>
              <w:rPr>
                <w:sz w:val="20"/>
                <w:szCs w:val="20"/>
                <w:color w:val="auto"/>
              </w:rPr>
            </w:pPr>
            <w:r>
              <w:rPr>
                <w:rFonts w:ascii="Arial" w:cs="Arial" w:eastAsia="Arial" w:hAnsi="Arial"/>
                <w:sz w:val="14"/>
                <w:szCs w:val="14"/>
                <w:b w:val="1"/>
                <w:bCs w:val="1"/>
                <w:color w:val="auto"/>
              </w:rPr>
              <w:t>Change</w:t>
            </w:r>
          </w:p>
        </w:tc>
        <w:tc>
          <w:tcPr>
            <w:tcW w:w="200" w:type="dxa"/>
            <w:vAlign w:val="bottom"/>
            <w:tcBorders>
              <w:top w:val="single" w:sz="8" w:color="auto"/>
              <w:bottom w:val="single" w:sz="8" w:color="auto"/>
            </w:tcBorders>
          </w:tcPr>
          <w:p>
            <w:pPr>
              <w:spacing w:after="0"/>
              <w:rPr>
                <w:sz w:val="22"/>
                <w:szCs w:val="22"/>
                <w:color w:val="auto"/>
              </w:rPr>
            </w:pPr>
          </w:p>
        </w:tc>
        <w:tc>
          <w:tcPr>
            <w:tcW w:w="700" w:type="dxa"/>
            <w:vAlign w:val="bottom"/>
            <w:tcBorders>
              <w:top w:val="single" w:sz="8" w:color="auto"/>
              <w:bottom w:val="single" w:sz="8" w:color="auto"/>
            </w:tcBorders>
          </w:tcPr>
          <w:p>
            <w:pPr>
              <w:ind w:left="100"/>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top w:val="single" w:sz="8" w:color="auto"/>
              <w:bottom w:val="single" w:sz="8" w:color="auto"/>
            </w:tcBorders>
          </w:tcPr>
          <w:p>
            <w:pPr>
              <w:spacing w:after="0"/>
              <w:rPr>
                <w:sz w:val="22"/>
                <w:szCs w:val="22"/>
                <w:color w:val="auto"/>
              </w:rPr>
            </w:pPr>
          </w:p>
        </w:tc>
        <w:tc>
          <w:tcPr>
            <w:tcW w:w="200" w:type="dxa"/>
            <w:vAlign w:val="bottom"/>
            <w:tcBorders>
              <w:top w:val="single" w:sz="8" w:color="auto"/>
              <w:bottom w:val="single" w:sz="8" w:color="auto"/>
            </w:tcBorders>
          </w:tcPr>
          <w:p>
            <w:pPr>
              <w:spacing w:after="0"/>
              <w:rPr>
                <w:sz w:val="22"/>
                <w:szCs w:val="22"/>
                <w:color w:val="auto"/>
              </w:rPr>
            </w:pPr>
          </w:p>
        </w:tc>
        <w:tc>
          <w:tcPr>
            <w:tcW w:w="700" w:type="dxa"/>
            <w:vAlign w:val="bottom"/>
            <w:tcBorders>
              <w:top w:val="single" w:sz="8" w:color="auto"/>
              <w:bottom w:val="single" w:sz="8" w:color="auto"/>
            </w:tcBorders>
          </w:tcPr>
          <w:p>
            <w:pPr>
              <w:jc w:val="right"/>
              <w:ind w:right="208"/>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auto"/>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211"/>
        </w:trPr>
        <w:tc>
          <w:tcPr>
            <w:tcW w:w="5380" w:type="dxa"/>
            <w:vAlign w:val="bottom"/>
          </w:tcPr>
          <w:p>
            <w:pPr>
              <w:ind w:left="40"/>
              <w:spacing w:after="0"/>
              <w:rPr>
                <w:sz w:val="20"/>
                <w:szCs w:val="20"/>
                <w:color w:val="auto"/>
              </w:rPr>
            </w:pPr>
            <w:r>
              <w:rPr>
                <w:rFonts w:ascii="Arial" w:cs="Arial" w:eastAsia="Arial" w:hAnsi="Arial"/>
                <w:sz w:val="14"/>
                <w:szCs w:val="14"/>
                <w:b w:val="1"/>
                <w:bCs w:val="1"/>
                <w:color w:val="auto"/>
              </w:rPr>
              <w:t>Revenues</w:t>
            </w: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1"/>
        </w:trPr>
        <w:tc>
          <w:tcPr>
            <w:tcW w:w="538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Infrastructure revenues</w:t>
            </w:r>
          </w:p>
        </w:tc>
        <w:tc>
          <w:tcPr>
            <w:tcW w:w="200" w:type="dxa"/>
            <w:vAlign w:val="bottom"/>
            <w:shd w:val="clear" w:color="auto" w:fill="CCEEFF"/>
          </w:tcPr>
          <w:p>
            <w:pPr>
              <w:spacing w:after="0"/>
              <w:rPr>
                <w:sz w:val="23"/>
                <w:szCs w:val="23"/>
                <w:color w:val="auto"/>
              </w:rPr>
            </w:pPr>
          </w:p>
        </w:tc>
        <w:tc>
          <w:tcPr>
            <w:tcW w:w="7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7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7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7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7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74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9"/>
        </w:trPr>
        <w:tc>
          <w:tcPr>
            <w:tcW w:w="5380" w:type="dxa"/>
            <w:vAlign w:val="bottom"/>
          </w:tcPr>
          <w:p>
            <w:pPr>
              <w:ind w:left="80"/>
              <w:spacing w:after="0"/>
              <w:rPr>
                <w:sz w:val="20"/>
                <w:szCs w:val="20"/>
                <w:color w:val="auto"/>
              </w:rPr>
            </w:pPr>
            <w:r>
              <w:rPr>
                <w:rFonts w:ascii="Arial" w:cs="Arial" w:eastAsia="Arial" w:hAnsi="Arial"/>
                <w:sz w:val="14"/>
                <w:szCs w:val="14"/>
                <w:color w:val="auto"/>
              </w:rPr>
              <w:t>Lease income</w:t>
            </w:r>
          </w:p>
        </w:tc>
        <w:tc>
          <w:tcPr>
            <w:tcW w:w="200" w:type="dxa"/>
            <w:vAlign w:val="bottom"/>
          </w:tcPr>
          <w:p>
            <w:pPr>
              <w:jc w:val="right"/>
              <w:ind w:right="8"/>
              <w:spacing w:after="0"/>
              <w:rPr>
                <w:sz w:val="20"/>
                <w:szCs w:val="20"/>
                <w:color w:val="auto"/>
              </w:rPr>
            </w:pPr>
            <w:r>
              <w:rPr>
                <w:rFonts w:ascii="Arial" w:cs="Arial" w:eastAsia="Arial" w:hAnsi="Arial"/>
                <w:sz w:val="14"/>
                <w:szCs w:val="14"/>
                <w:b w:val="1"/>
                <w:bCs w:val="1"/>
                <w:color w:val="auto"/>
              </w:rPr>
              <w:t>$</w:t>
            </w:r>
          </w:p>
        </w:tc>
        <w:tc>
          <w:tcPr>
            <w:tcW w:w="740" w:type="dxa"/>
            <w:vAlign w:val="bottom"/>
          </w:tcPr>
          <w:p>
            <w:pPr>
              <w:jc w:val="right"/>
              <w:ind w:right="48"/>
              <w:spacing w:after="0"/>
              <w:rPr>
                <w:sz w:val="20"/>
                <w:szCs w:val="20"/>
                <w:color w:val="auto"/>
              </w:rPr>
            </w:pPr>
            <w:r>
              <w:rPr>
                <w:rFonts w:ascii="Arial" w:cs="Arial" w:eastAsia="Arial" w:hAnsi="Arial"/>
                <w:sz w:val="14"/>
                <w:szCs w:val="14"/>
                <w:b w:val="1"/>
                <w:bCs w:val="1"/>
                <w:color w:val="auto"/>
              </w:rPr>
              <w:t>455</w:t>
            </w:r>
          </w:p>
        </w:tc>
        <w:tc>
          <w:tcPr>
            <w:tcW w:w="120" w:type="dxa"/>
            <w:vAlign w:val="bottom"/>
          </w:tcPr>
          <w:p>
            <w:pPr>
              <w:spacing w:after="0"/>
              <w:rPr>
                <w:sz w:val="23"/>
                <w:szCs w:val="23"/>
                <w:color w:val="auto"/>
              </w:rPr>
            </w:pP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720" w:type="dxa"/>
            <w:vAlign w:val="bottom"/>
          </w:tcPr>
          <w:p>
            <w:pPr>
              <w:jc w:val="right"/>
              <w:ind w:right="48"/>
              <w:spacing w:after="0"/>
              <w:rPr>
                <w:sz w:val="20"/>
                <w:szCs w:val="20"/>
                <w:color w:val="auto"/>
              </w:rPr>
            </w:pPr>
            <w:r>
              <w:rPr>
                <w:rFonts w:ascii="Arial" w:cs="Arial" w:eastAsia="Arial" w:hAnsi="Arial"/>
                <w:sz w:val="14"/>
                <w:szCs w:val="14"/>
                <w:color w:val="auto"/>
              </w:rPr>
              <w:t>16</w:t>
            </w:r>
          </w:p>
        </w:tc>
        <w:tc>
          <w:tcPr>
            <w:tcW w:w="120" w:type="dxa"/>
            <w:vAlign w:val="bottom"/>
          </w:tcPr>
          <w:p>
            <w:pPr>
              <w:spacing w:after="0"/>
              <w:rPr>
                <w:sz w:val="23"/>
                <w:szCs w:val="23"/>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780" w:type="dxa"/>
            <w:vAlign w:val="bottom"/>
          </w:tcPr>
          <w:p>
            <w:pPr>
              <w:jc w:val="right"/>
              <w:ind w:right="48"/>
              <w:spacing w:after="0"/>
              <w:rPr>
                <w:sz w:val="20"/>
                <w:szCs w:val="20"/>
                <w:color w:val="auto"/>
              </w:rPr>
            </w:pPr>
            <w:r>
              <w:rPr>
                <w:rFonts w:ascii="Arial" w:cs="Arial" w:eastAsia="Arial" w:hAnsi="Arial"/>
                <w:sz w:val="14"/>
                <w:szCs w:val="14"/>
                <w:color w:val="auto"/>
              </w:rPr>
              <w:t>439</w:t>
            </w:r>
          </w:p>
        </w:tc>
        <w:tc>
          <w:tcPr>
            <w:tcW w:w="100" w:type="dxa"/>
            <w:vAlign w:val="bottom"/>
          </w:tcPr>
          <w:p>
            <w:pPr>
              <w:spacing w:after="0"/>
              <w:rPr>
                <w:sz w:val="23"/>
                <w:szCs w:val="23"/>
                <w:color w:val="auto"/>
              </w:rPr>
            </w:pPr>
          </w:p>
        </w:tc>
        <w:tc>
          <w:tcPr>
            <w:tcW w:w="200" w:type="dxa"/>
            <w:vAlign w:val="bottom"/>
          </w:tcPr>
          <w:p>
            <w:pPr>
              <w:jc w:val="right"/>
              <w:ind w:right="8"/>
              <w:spacing w:after="0"/>
              <w:rPr>
                <w:sz w:val="20"/>
                <w:szCs w:val="20"/>
                <w:color w:val="auto"/>
              </w:rPr>
            </w:pPr>
            <w:r>
              <w:rPr>
                <w:rFonts w:ascii="Arial" w:cs="Arial" w:eastAsia="Arial" w:hAnsi="Arial"/>
                <w:sz w:val="14"/>
                <w:szCs w:val="14"/>
                <w:b w:val="1"/>
                <w:bCs w:val="1"/>
                <w:color w:val="auto"/>
              </w:rPr>
              <w:t>$</w:t>
            </w:r>
          </w:p>
        </w:tc>
        <w:tc>
          <w:tcPr>
            <w:tcW w:w="700" w:type="dxa"/>
            <w:vAlign w:val="bottom"/>
          </w:tcPr>
          <w:p>
            <w:pPr>
              <w:jc w:val="right"/>
              <w:ind w:right="28"/>
              <w:spacing w:after="0"/>
              <w:rPr>
                <w:sz w:val="20"/>
                <w:szCs w:val="20"/>
                <w:color w:val="auto"/>
              </w:rPr>
            </w:pPr>
            <w:r>
              <w:rPr>
                <w:rFonts w:ascii="Arial" w:cs="Arial" w:eastAsia="Arial" w:hAnsi="Arial"/>
                <w:sz w:val="14"/>
                <w:szCs w:val="14"/>
                <w:b w:val="1"/>
                <w:bCs w:val="1"/>
                <w:color w:val="auto"/>
              </w:rPr>
              <w:t>594</w:t>
            </w:r>
          </w:p>
        </w:tc>
        <w:tc>
          <w:tcPr>
            <w:tcW w:w="100" w:type="dxa"/>
            <w:vAlign w:val="bottom"/>
          </w:tcPr>
          <w:p>
            <w:pPr>
              <w:spacing w:after="0"/>
              <w:rPr>
                <w:sz w:val="23"/>
                <w:szCs w:val="23"/>
                <w:color w:val="auto"/>
              </w:rPr>
            </w:pPr>
          </w:p>
        </w:tc>
        <w:tc>
          <w:tcPr>
            <w:tcW w:w="20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700" w:type="dxa"/>
            <w:vAlign w:val="bottom"/>
          </w:tcPr>
          <w:p>
            <w:pPr>
              <w:jc w:val="right"/>
              <w:ind w:right="28"/>
              <w:spacing w:after="0"/>
              <w:rPr>
                <w:sz w:val="20"/>
                <w:szCs w:val="20"/>
                <w:color w:val="auto"/>
              </w:rPr>
            </w:pPr>
            <w:r>
              <w:rPr>
                <w:rFonts w:ascii="Arial" w:cs="Arial" w:eastAsia="Arial" w:hAnsi="Arial"/>
                <w:sz w:val="14"/>
                <w:szCs w:val="14"/>
                <w:color w:val="auto"/>
              </w:rPr>
              <w:t>16</w:t>
            </w:r>
          </w:p>
        </w:tc>
        <w:tc>
          <w:tcPr>
            <w:tcW w:w="100" w:type="dxa"/>
            <w:vAlign w:val="bottom"/>
          </w:tcPr>
          <w:p>
            <w:pPr>
              <w:spacing w:after="0"/>
              <w:rPr>
                <w:sz w:val="23"/>
                <w:szCs w:val="23"/>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740" w:type="dxa"/>
            <w:vAlign w:val="bottom"/>
          </w:tcPr>
          <w:p>
            <w:pPr>
              <w:jc w:val="right"/>
              <w:ind w:right="28"/>
              <w:spacing w:after="0"/>
              <w:rPr>
                <w:sz w:val="20"/>
                <w:szCs w:val="20"/>
                <w:color w:val="auto"/>
              </w:rPr>
            </w:pPr>
            <w:r>
              <w:rPr>
                <w:rFonts w:ascii="Arial" w:cs="Arial" w:eastAsia="Arial" w:hAnsi="Arial"/>
                <w:sz w:val="14"/>
                <w:szCs w:val="14"/>
                <w:color w:val="auto"/>
              </w:rPr>
              <w:t>578</w:t>
            </w:r>
          </w:p>
        </w:tc>
        <w:tc>
          <w:tcPr>
            <w:tcW w:w="0" w:type="dxa"/>
            <w:vAlign w:val="bottom"/>
          </w:tcPr>
          <w:p>
            <w:pPr>
              <w:spacing w:after="0"/>
              <w:rPr>
                <w:sz w:val="1"/>
                <w:szCs w:val="1"/>
                <w:color w:val="auto"/>
              </w:rPr>
            </w:pPr>
          </w:p>
        </w:tc>
      </w:tr>
      <w:tr>
        <w:trPr>
          <w:trHeight w:val="270"/>
        </w:trPr>
        <w:tc>
          <w:tcPr>
            <w:tcW w:w="5380" w:type="dxa"/>
            <w:vAlign w:val="bottom"/>
            <w:shd w:val="clear" w:color="auto" w:fill="CCEEFF"/>
          </w:tcPr>
          <w:p>
            <w:pPr>
              <w:ind w:left="40"/>
              <w:spacing w:after="0"/>
              <w:rPr>
                <w:sz w:val="20"/>
                <w:szCs w:val="20"/>
                <w:color w:val="auto"/>
              </w:rPr>
            </w:pPr>
            <w:r>
              <w:rPr>
                <w:rFonts w:ascii="Arial" w:cs="Arial" w:eastAsia="Arial" w:hAnsi="Arial"/>
                <w:sz w:val="14"/>
                <w:szCs w:val="14"/>
                <w:color w:val="auto"/>
              </w:rPr>
              <w:t>Other revenue</w:t>
            </w:r>
          </w:p>
        </w:tc>
        <w:tc>
          <w:tcPr>
            <w:tcW w:w="200" w:type="dxa"/>
            <w:vAlign w:val="bottom"/>
            <w:shd w:val="clear" w:color="auto" w:fill="CCEEFF"/>
          </w:tcPr>
          <w:p>
            <w:pPr>
              <w:spacing w:after="0"/>
              <w:rPr>
                <w:sz w:val="23"/>
                <w:szCs w:val="23"/>
                <w:color w:val="auto"/>
              </w:rPr>
            </w:pPr>
          </w:p>
        </w:tc>
        <w:tc>
          <w:tcPr>
            <w:tcW w:w="74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303</w:t>
            </w: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3"/>
                <w:szCs w:val="23"/>
                <w:color w:val="auto"/>
              </w:rPr>
            </w:pPr>
          </w:p>
        </w:tc>
        <w:tc>
          <w:tcPr>
            <w:tcW w:w="7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303</w:t>
            </w: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70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303</w:t>
            </w: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3"/>
                <w:szCs w:val="23"/>
                <w:color w:val="auto"/>
              </w:rPr>
            </w:pPr>
          </w:p>
        </w:tc>
        <w:tc>
          <w:tcPr>
            <w:tcW w:w="7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303</w:t>
            </w:r>
          </w:p>
        </w:tc>
        <w:tc>
          <w:tcPr>
            <w:tcW w:w="0" w:type="dxa"/>
            <w:vAlign w:val="bottom"/>
          </w:tcPr>
          <w:p>
            <w:pPr>
              <w:spacing w:after="0"/>
              <w:rPr>
                <w:sz w:val="1"/>
                <w:szCs w:val="1"/>
                <w:color w:val="auto"/>
              </w:rPr>
            </w:pPr>
          </w:p>
        </w:tc>
      </w:tr>
      <w:tr>
        <w:trPr>
          <w:trHeight w:val="250"/>
        </w:trPr>
        <w:tc>
          <w:tcPr>
            <w:tcW w:w="538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Total revenues</w:t>
            </w:r>
          </w:p>
        </w:tc>
        <w:tc>
          <w:tcPr>
            <w:tcW w:w="200" w:type="dxa"/>
            <w:vAlign w:val="bottom"/>
            <w:tcBorders>
              <w:top w:val="single" w:sz="8" w:color="auto"/>
              <w:bottom w:val="single" w:sz="8" w:color="auto"/>
            </w:tcBorders>
          </w:tcPr>
          <w:p>
            <w:pPr>
              <w:spacing w:after="0"/>
              <w:rPr>
                <w:sz w:val="21"/>
                <w:szCs w:val="21"/>
                <w:color w:val="auto"/>
              </w:rPr>
            </w:pPr>
          </w:p>
        </w:tc>
        <w:tc>
          <w:tcPr>
            <w:tcW w:w="74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758</w:t>
            </w:r>
          </w:p>
        </w:tc>
        <w:tc>
          <w:tcPr>
            <w:tcW w:w="120" w:type="dxa"/>
            <w:vAlign w:val="bottom"/>
            <w:tcBorders>
              <w:bottom w:val="single" w:sz="8" w:color="CCEEFF"/>
            </w:tcBorders>
          </w:tcPr>
          <w:p>
            <w:pPr>
              <w:spacing w:after="0"/>
              <w:rPr>
                <w:sz w:val="21"/>
                <w:szCs w:val="21"/>
                <w:color w:val="auto"/>
              </w:rPr>
            </w:pPr>
          </w:p>
        </w:tc>
        <w:tc>
          <w:tcPr>
            <w:tcW w:w="200" w:type="dxa"/>
            <w:vAlign w:val="bottom"/>
            <w:tcBorders>
              <w:top w:val="single" w:sz="8" w:color="auto"/>
              <w:bottom w:val="single" w:sz="8" w:color="auto"/>
            </w:tcBorders>
          </w:tcPr>
          <w:p>
            <w:pPr>
              <w:spacing w:after="0"/>
              <w:rPr>
                <w:sz w:val="21"/>
                <w:szCs w:val="21"/>
                <w:color w:val="auto"/>
              </w:rPr>
            </w:pPr>
          </w:p>
        </w:tc>
        <w:tc>
          <w:tcPr>
            <w:tcW w:w="72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16</w:t>
            </w:r>
          </w:p>
        </w:tc>
        <w:tc>
          <w:tcPr>
            <w:tcW w:w="120" w:type="dxa"/>
            <w:vAlign w:val="bottom"/>
            <w:tcBorders>
              <w:bottom w:val="single" w:sz="8" w:color="CCEEFF"/>
            </w:tcBorders>
          </w:tcPr>
          <w:p>
            <w:pPr>
              <w:spacing w:after="0"/>
              <w:rPr>
                <w:sz w:val="21"/>
                <w:szCs w:val="21"/>
                <w:color w:val="auto"/>
              </w:rPr>
            </w:pPr>
          </w:p>
        </w:tc>
        <w:tc>
          <w:tcPr>
            <w:tcW w:w="160" w:type="dxa"/>
            <w:vAlign w:val="bottom"/>
            <w:tcBorders>
              <w:top w:val="single" w:sz="8" w:color="auto"/>
              <w:bottom w:val="single" w:sz="8" w:color="auto"/>
            </w:tcBorders>
          </w:tcPr>
          <w:p>
            <w:pPr>
              <w:spacing w:after="0"/>
              <w:rPr>
                <w:sz w:val="21"/>
                <w:szCs w:val="21"/>
                <w:color w:val="auto"/>
              </w:rPr>
            </w:pPr>
          </w:p>
        </w:tc>
        <w:tc>
          <w:tcPr>
            <w:tcW w:w="78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742</w:t>
            </w:r>
          </w:p>
        </w:tc>
        <w:tc>
          <w:tcPr>
            <w:tcW w:w="100" w:type="dxa"/>
            <w:vAlign w:val="bottom"/>
            <w:tcBorders>
              <w:bottom w:val="single" w:sz="8" w:color="CCEEFF"/>
            </w:tcBorders>
          </w:tcPr>
          <w:p>
            <w:pPr>
              <w:spacing w:after="0"/>
              <w:rPr>
                <w:sz w:val="21"/>
                <w:szCs w:val="21"/>
                <w:color w:val="auto"/>
              </w:rPr>
            </w:pPr>
          </w:p>
        </w:tc>
        <w:tc>
          <w:tcPr>
            <w:tcW w:w="200" w:type="dxa"/>
            <w:vAlign w:val="bottom"/>
            <w:tcBorders>
              <w:top w:val="single" w:sz="8" w:color="auto"/>
              <w:bottom w:val="single" w:sz="8" w:color="auto"/>
            </w:tcBorders>
          </w:tcPr>
          <w:p>
            <w:pPr>
              <w:spacing w:after="0"/>
              <w:rPr>
                <w:sz w:val="21"/>
                <w:szCs w:val="21"/>
                <w:color w:val="auto"/>
              </w:rPr>
            </w:pPr>
          </w:p>
        </w:tc>
        <w:tc>
          <w:tcPr>
            <w:tcW w:w="70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897</w:t>
            </w:r>
          </w:p>
        </w:tc>
        <w:tc>
          <w:tcPr>
            <w:tcW w:w="100" w:type="dxa"/>
            <w:vAlign w:val="bottom"/>
            <w:tcBorders>
              <w:bottom w:val="single" w:sz="8" w:color="CCEEFF"/>
            </w:tcBorders>
          </w:tcPr>
          <w:p>
            <w:pPr>
              <w:spacing w:after="0"/>
              <w:rPr>
                <w:sz w:val="21"/>
                <w:szCs w:val="21"/>
                <w:color w:val="auto"/>
              </w:rPr>
            </w:pPr>
          </w:p>
        </w:tc>
        <w:tc>
          <w:tcPr>
            <w:tcW w:w="200" w:type="dxa"/>
            <w:vAlign w:val="bottom"/>
            <w:tcBorders>
              <w:top w:val="single" w:sz="8" w:color="auto"/>
              <w:bottom w:val="single" w:sz="8" w:color="auto"/>
            </w:tcBorders>
          </w:tcPr>
          <w:p>
            <w:pPr>
              <w:spacing w:after="0"/>
              <w:rPr>
                <w:sz w:val="21"/>
                <w:szCs w:val="21"/>
                <w:color w:val="auto"/>
              </w:rPr>
            </w:pPr>
          </w:p>
        </w:tc>
        <w:tc>
          <w:tcPr>
            <w:tcW w:w="70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16</w:t>
            </w:r>
          </w:p>
        </w:tc>
        <w:tc>
          <w:tcPr>
            <w:tcW w:w="100" w:type="dxa"/>
            <w:vAlign w:val="bottom"/>
            <w:tcBorders>
              <w:bottom w:val="single" w:sz="8" w:color="CCEEFF"/>
            </w:tcBorders>
          </w:tcPr>
          <w:p>
            <w:pPr>
              <w:spacing w:after="0"/>
              <w:rPr>
                <w:sz w:val="21"/>
                <w:szCs w:val="21"/>
                <w:color w:val="auto"/>
              </w:rPr>
            </w:pPr>
          </w:p>
        </w:tc>
        <w:tc>
          <w:tcPr>
            <w:tcW w:w="160" w:type="dxa"/>
            <w:vAlign w:val="bottom"/>
            <w:tcBorders>
              <w:top w:val="single" w:sz="8" w:color="auto"/>
              <w:bottom w:val="single" w:sz="8" w:color="auto"/>
            </w:tcBorders>
          </w:tcPr>
          <w:p>
            <w:pPr>
              <w:spacing w:after="0"/>
              <w:rPr>
                <w:sz w:val="21"/>
                <w:szCs w:val="21"/>
                <w:color w:val="auto"/>
              </w:rPr>
            </w:pPr>
          </w:p>
        </w:tc>
        <w:tc>
          <w:tcPr>
            <w:tcW w:w="74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881</w:t>
            </w:r>
          </w:p>
        </w:tc>
        <w:tc>
          <w:tcPr>
            <w:tcW w:w="0" w:type="dxa"/>
            <w:vAlign w:val="bottom"/>
          </w:tcPr>
          <w:p>
            <w:pPr>
              <w:spacing w:after="0"/>
              <w:rPr>
                <w:sz w:val="1"/>
                <w:szCs w:val="1"/>
                <w:color w:val="auto"/>
              </w:rPr>
            </w:pPr>
          </w:p>
        </w:tc>
      </w:tr>
      <w:tr>
        <w:trPr>
          <w:trHeight w:val="265"/>
        </w:trPr>
        <w:tc>
          <w:tcPr>
            <w:tcW w:w="538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7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7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7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7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7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74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9"/>
        </w:trPr>
        <w:tc>
          <w:tcPr>
            <w:tcW w:w="5380" w:type="dxa"/>
            <w:vAlign w:val="bottom"/>
          </w:tcPr>
          <w:p>
            <w:pPr>
              <w:ind w:left="40"/>
              <w:spacing w:after="0"/>
              <w:rPr>
                <w:sz w:val="20"/>
                <w:szCs w:val="20"/>
                <w:color w:val="auto"/>
              </w:rPr>
            </w:pPr>
            <w:r>
              <w:rPr>
                <w:rFonts w:ascii="Arial" w:cs="Arial" w:eastAsia="Arial" w:hAnsi="Arial"/>
                <w:sz w:val="14"/>
                <w:szCs w:val="14"/>
                <w:b w:val="1"/>
                <w:bCs w:val="1"/>
                <w:color w:val="auto"/>
              </w:rPr>
              <w:t>Expenses</w:t>
            </w:r>
          </w:p>
        </w:tc>
        <w:tc>
          <w:tcPr>
            <w:tcW w:w="2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1"/>
        </w:trPr>
        <w:tc>
          <w:tcPr>
            <w:tcW w:w="5380" w:type="dxa"/>
            <w:vAlign w:val="bottom"/>
            <w:shd w:val="clear" w:color="auto" w:fill="CCEEFF"/>
          </w:tcPr>
          <w:p>
            <w:pPr>
              <w:ind w:left="40"/>
              <w:spacing w:after="0"/>
              <w:rPr>
                <w:sz w:val="20"/>
                <w:szCs w:val="20"/>
                <w:color w:val="auto"/>
              </w:rPr>
            </w:pPr>
            <w:r>
              <w:rPr>
                <w:rFonts w:ascii="Arial" w:cs="Arial" w:eastAsia="Arial" w:hAnsi="Arial"/>
                <w:sz w:val="14"/>
                <w:szCs w:val="14"/>
                <w:color w:val="auto"/>
              </w:rPr>
              <w:t>Operating expenses</w:t>
            </w:r>
          </w:p>
        </w:tc>
        <w:tc>
          <w:tcPr>
            <w:tcW w:w="200" w:type="dxa"/>
            <w:vAlign w:val="bottom"/>
            <w:shd w:val="clear" w:color="auto" w:fill="CCEEFF"/>
          </w:tcPr>
          <w:p>
            <w:pPr>
              <w:spacing w:after="0"/>
              <w:rPr>
                <w:sz w:val="23"/>
                <w:szCs w:val="23"/>
                <w:color w:val="auto"/>
              </w:rPr>
            </w:pPr>
          </w:p>
        </w:tc>
        <w:tc>
          <w:tcPr>
            <w:tcW w:w="74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2,852</w:t>
            </w: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7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417</w:t>
            </w: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7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2,435</w:t>
            </w: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70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4,510</w:t>
            </w: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7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417</w:t>
            </w: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7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4,093</w:t>
            </w:r>
          </w:p>
        </w:tc>
        <w:tc>
          <w:tcPr>
            <w:tcW w:w="0" w:type="dxa"/>
            <w:vAlign w:val="bottom"/>
          </w:tcPr>
          <w:p>
            <w:pPr>
              <w:spacing w:after="0"/>
              <w:rPr>
                <w:sz w:val="1"/>
                <w:szCs w:val="1"/>
                <w:color w:val="auto"/>
              </w:rPr>
            </w:pPr>
          </w:p>
        </w:tc>
      </w:tr>
      <w:tr>
        <w:trPr>
          <w:trHeight w:val="269"/>
        </w:trPr>
        <w:tc>
          <w:tcPr>
            <w:tcW w:w="5380" w:type="dxa"/>
            <w:vAlign w:val="bottom"/>
          </w:tcPr>
          <w:p>
            <w:pPr>
              <w:ind w:left="40"/>
              <w:spacing w:after="0"/>
              <w:rPr>
                <w:sz w:val="20"/>
                <w:szCs w:val="20"/>
                <w:color w:val="auto"/>
              </w:rPr>
            </w:pPr>
            <w:r>
              <w:rPr>
                <w:rFonts w:ascii="Arial" w:cs="Arial" w:eastAsia="Arial" w:hAnsi="Arial"/>
                <w:sz w:val="14"/>
                <w:szCs w:val="14"/>
                <w:color w:val="auto"/>
              </w:rPr>
              <w:t>Depreciation and amortization</w:t>
            </w:r>
          </w:p>
        </w:tc>
        <w:tc>
          <w:tcPr>
            <w:tcW w:w="200" w:type="dxa"/>
            <w:vAlign w:val="bottom"/>
          </w:tcPr>
          <w:p>
            <w:pPr>
              <w:spacing w:after="0"/>
              <w:rPr>
                <w:sz w:val="23"/>
                <w:szCs w:val="23"/>
                <w:color w:val="auto"/>
              </w:rPr>
            </w:pPr>
          </w:p>
        </w:tc>
        <w:tc>
          <w:tcPr>
            <w:tcW w:w="740" w:type="dxa"/>
            <w:vAlign w:val="bottom"/>
          </w:tcPr>
          <w:p>
            <w:pPr>
              <w:jc w:val="right"/>
              <w:ind w:right="48"/>
              <w:spacing w:after="0"/>
              <w:rPr>
                <w:sz w:val="20"/>
                <w:szCs w:val="20"/>
                <w:color w:val="auto"/>
              </w:rPr>
            </w:pPr>
            <w:r>
              <w:rPr>
                <w:rFonts w:ascii="Arial" w:cs="Arial" w:eastAsia="Arial" w:hAnsi="Arial"/>
                <w:sz w:val="14"/>
                <w:szCs w:val="14"/>
                <w:b w:val="1"/>
                <w:bCs w:val="1"/>
                <w:color w:val="auto"/>
              </w:rPr>
              <w:t>783</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3"/>
                <w:szCs w:val="23"/>
                <w:color w:val="auto"/>
              </w:rPr>
            </w:pPr>
          </w:p>
        </w:tc>
        <w:tc>
          <w:tcPr>
            <w:tcW w:w="780" w:type="dxa"/>
            <w:vAlign w:val="bottom"/>
          </w:tcPr>
          <w:p>
            <w:pPr>
              <w:jc w:val="right"/>
              <w:ind w:right="48"/>
              <w:spacing w:after="0"/>
              <w:rPr>
                <w:sz w:val="20"/>
                <w:szCs w:val="20"/>
                <w:color w:val="auto"/>
              </w:rPr>
            </w:pPr>
            <w:r>
              <w:rPr>
                <w:rFonts w:ascii="Arial" w:cs="Arial" w:eastAsia="Arial" w:hAnsi="Arial"/>
                <w:sz w:val="14"/>
                <w:szCs w:val="14"/>
                <w:color w:val="auto"/>
              </w:rPr>
              <w:t>783</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00" w:type="dxa"/>
            <w:vAlign w:val="bottom"/>
          </w:tcPr>
          <w:p>
            <w:pPr>
              <w:jc w:val="right"/>
              <w:ind w:right="28"/>
              <w:spacing w:after="0"/>
              <w:rPr>
                <w:sz w:val="20"/>
                <w:szCs w:val="20"/>
                <w:color w:val="auto"/>
              </w:rPr>
            </w:pPr>
            <w:r>
              <w:rPr>
                <w:rFonts w:ascii="Arial" w:cs="Arial" w:eastAsia="Arial" w:hAnsi="Arial"/>
                <w:sz w:val="14"/>
                <w:szCs w:val="14"/>
                <w:b w:val="1"/>
                <w:bCs w:val="1"/>
                <w:color w:val="auto"/>
              </w:rPr>
              <w:t>868</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3"/>
                <w:szCs w:val="23"/>
                <w:color w:val="auto"/>
              </w:rPr>
            </w:pPr>
          </w:p>
        </w:tc>
        <w:tc>
          <w:tcPr>
            <w:tcW w:w="740" w:type="dxa"/>
            <w:vAlign w:val="bottom"/>
          </w:tcPr>
          <w:p>
            <w:pPr>
              <w:jc w:val="right"/>
              <w:ind w:right="28"/>
              <w:spacing w:after="0"/>
              <w:rPr>
                <w:sz w:val="20"/>
                <w:szCs w:val="20"/>
                <w:color w:val="auto"/>
              </w:rPr>
            </w:pPr>
            <w:r>
              <w:rPr>
                <w:rFonts w:ascii="Arial" w:cs="Arial" w:eastAsia="Arial" w:hAnsi="Arial"/>
                <w:sz w:val="14"/>
                <w:szCs w:val="14"/>
                <w:color w:val="auto"/>
              </w:rPr>
              <w:t>868</w:t>
            </w:r>
          </w:p>
        </w:tc>
        <w:tc>
          <w:tcPr>
            <w:tcW w:w="0" w:type="dxa"/>
            <w:vAlign w:val="bottom"/>
          </w:tcPr>
          <w:p>
            <w:pPr>
              <w:spacing w:after="0"/>
              <w:rPr>
                <w:sz w:val="1"/>
                <w:szCs w:val="1"/>
                <w:color w:val="auto"/>
              </w:rPr>
            </w:pPr>
          </w:p>
        </w:tc>
      </w:tr>
      <w:tr>
        <w:trPr>
          <w:trHeight w:val="270"/>
        </w:trPr>
        <w:tc>
          <w:tcPr>
            <w:tcW w:w="5380" w:type="dxa"/>
            <w:vAlign w:val="bottom"/>
            <w:shd w:val="clear" w:color="auto" w:fill="CCEEFF"/>
          </w:tcPr>
          <w:p>
            <w:pPr>
              <w:ind w:left="40"/>
              <w:spacing w:after="0"/>
              <w:rPr>
                <w:sz w:val="20"/>
                <w:szCs w:val="20"/>
                <w:color w:val="auto"/>
              </w:rPr>
            </w:pPr>
            <w:r>
              <w:rPr>
                <w:rFonts w:ascii="Arial" w:cs="Arial" w:eastAsia="Arial" w:hAnsi="Arial"/>
                <w:sz w:val="14"/>
                <w:szCs w:val="14"/>
                <w:color w:val="auto"/>
              </w:rPr>
              <w:t>Interest expense</w:t>
            </w:r>
          </w:p>
        </w:tc>
        <w:tc>
          <w:tcPr>
            <w:tcW w:w="200" w:type="dxa"/>
            <w:vAlign w:val="bottom"/>
            <w:tcBorders>
              <w:bottom w:val="single" w:sz="8" w:color="auto"/>
            </w:tcBorders>
            <w:shd w:val="clear" w:color="auto" w:fill="CCEEFF"/>
          </w:tcPr>
          <w:p>
            <w:pPr>
              <w:spacing w:after="0"/>
              <w:rPr>
                <w:sz w:val="23"/>
                <w:szCs w:val="23"/>
                <w:color w:val="auto"/>
              </w:rPr>
            </w:pPr>
          </w:p>
        </w:tc>
        <w:tc>
          <w:tcPr>
            <w:tcW w:w="74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273</w:t>
            </w:r>
          </w:p>
        </w:tc>
        <w:tc>
          <w:tcPr>
            <w:tcW w:w="12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7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284</w:t>
            </w:r>
          </w:p>
        </w:tc>
        <w:tc>
          <w:tcPr>
            <w:tcW w:w="12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7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(11)</w:t>
            </w:r>
          </w:p>
        </w:tc>
        <w:tc>
          <w:tcPr>
            <w:tcW w:w="10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7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817</w:t>
            </w:r>
          </w:p>
        </w:tc>
        <w:tc>
          <w:tcPr>
            <w:tcW w:w="10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7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284</w:t>
            </w:r>
          </w:p>
        </w:tc>
        <w:tc>
          <w:tcPr>
            <w:tcW w:w="10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7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533</w:t>
            </w:r>
          </w:p>
        </w:tc>
        <w:tc>
          <w:tcPr>
            <w:tcW w:w="0" w:type="dxa"/>
            <w:vAlign w:val="bottom"/>
          </w:tcPr>
          <w:p>
            <w:pPr>
              <w:spacing w:after="0"/>
              <w:rPr>
                <w:sz w:val="1"/>
                <w:szCs w:val="1"/>
                <w:color w:val="auto"/>
              </w:rPr>
            </w:pPr>
          </w:p>
        </w:tc>
      </w:tr>
      <w:tr>
        <w:trPr>
          <w:trHeight w:val="250"/>
        </w:trPr>
        <w:tc>
          <w:tcPr>
            <w:tcW w:w="538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Total expenses</w:t>
            </w:r>
          </w:p>
        </w:tc>
        <w:tc>
          <w:tcPr>
            <w:tcW w:w="200" w:type="dxa"/>
            <w:vAlign w:val="bottom"/>
            <w:tcBorders>
              <w:bottom w:val="single" w:sz="8" w:color="auto"/>
            </w:tcBorders>
          </w:tcPr>
          <w:p>
            <w:pPr>
              <w:spacing w:after="0"/>
              <w:rPr>
                <w:sz w:val="21"/>
                <w:szCs w:val="21"/>
                <w:color w:val="auto"/>
              </w:rPr>
            </w:pPr>
          </w:p>
        </w:tc>
        <w:tc>
          <w:tcPr>
            <w:tcW w:w="7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3,908</w:t>
            </w:r>
          </w:p>
        </w:tc>
        <w:tc>
          <w:tcPr>
            <w:tcW w:w="12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7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701</w:t>
            </w:r>
          </w:p>
        </w:tc>
        <w:tc>
          <w:tcPr>
            <w:tcW w:w="12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3,207</w:t>
            </w:r>
          </w:p>
        </w:tc>
        <w:tc>
          <w:tcPr>
            <w:tcW w:w="10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7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6,195</w:t>
            </w:r>
          </w:p>
        </w:tc>
        <w:tc>
          <w:tcPr>
            <w:tcW w:w="10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7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701</w:t>
            </w:r>
          </w:p>
        </w:tc>
        <w:tc>
          <w:tcPr>
            <w:tcW w:w="10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7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5,494</w:t>
            </w:r>
          </w:p>
        </w:tc>
        <w:tc>
          <w:tcPr>
            <w:tcW w:w="0" w:type="dxa"/>
            <w:vAlign w:val="bottom"/>
          </w:tcPr>
          <w:p>
            <w:pPr>
              <w:spacing w:after="0"/>
              <w:rPr>
                <w:sz w:val="1"/>
                <w:szCs w:val="1"/>
                <w:color w:val="auto"/>
              </w:rPr>
            </w:pPr>
          </w:p>
        </w:tc>
      </w:tr>
      <w:tr>
        <w:trPr>
          <w:trHeight w:val="251"/>
        </w:trPr>
        <w:tc>
          <w:tcPr>
            <w:tcW w:w="538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Loss before income taxes</w:t>
            </w:r>
          </w:p>
        </w:tc>
        <w:tc>
          <w:tcPr>
            <w:tcW w:w="200" w:type="dxa"/>
            <w:vAlign w:val="bottom"/>
            <w:shd w:val="clear" w:color="auto" w:fill="CCEEFF"/>
          </w:tcPr>
          <w:p>
            <w:pPr>
              <w:spacing w:after="0"/>
              <w:rPr>
                <w:sz w:val="21"/>
                <w:szCs w:val="21"/>
                <w:color w:val="auto"/>
              </w:rPr>
            </w:pPr>
          </w:p>
        </w:tc>
        <w:tc>
          <w:tcPr>
            <w:tcW w:w="740" w:type="dxa"/>
            <w:vAlign w:val="bottom"/>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(3,150)</w:t>
            </w:r>
          </w:p>
        </w:tc>
        <w:tc>
          <w:tcPr>
            <w:tcW w:w="1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(685)</w:t>
            </w: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7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(2,465)</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(5,298)</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(685)</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(4,613)</w:t>
            </w:r>
          </w:p>
        </w:tc>
        <w:tc>
          <w:tcPr>
            <w:tcW w:w="0" w:type="dxa"/>
            <w:vAlign w:val="bottom"/>
          </w:tcPr>
          <w:p>
            <w:pPr>
              <w:spacing w:after="0"/>
              <w:rPr>
                <w:sz w:val="1"/>
                <w:szCs w:val="1"/>
                <w:color w:val="auto"/>
              </w:rPr>
            </w:pPr>
          </w:p>
        </w:tc>
      </w:tr>
      <w:tr>
        <w:trPr>
          <w:trHeight w:val="269"/>
        </w:trPr>
        <w:tc>
          <w:tcPr>
            <w:tcW w:w="5380" w:type="dxa"/>
            <w:vAlign w:val="bottom"/>
          </w:tcPr>
          <w:p>
            <w:pPr>
              <w:ind w:left="40"/>
              <w:spacing w:after="0"/>
              <w:rPr>
                <w:sz w:val="20"/>
                <w:szCs w:val="20"/>
                <w:color w:val="auto"/>
              </w:rPr>
            </w:pPr>
            <w:r>
              <w:rPr>
                <w:rFonts w:ascii="Arial" w:cs="Arial" w:eastAsia="Arial" w:hAnsi="Arial"/>
                <w:sz w:val="14"/>
                <w:szCs w:val="14"/>
                <w:color w:val="auto"/>
              </w:rPr>
              <w:t>Provision for income taxes</w:t>
            </w:r>
          </w:p>
        </w:tc>
        <w:tc>
          <w:tcPr>
            <w:tcW w:w="200" w:type="dxa"/>
            <w:vAlign w:val="bottom"/>
          </w:tcPr>
          <w:p>
            <w:pPr>
              <w:spacing w:after="0"/>
              <w:rPr>
                <w:sz w:val="23"/>
                <w:szCs w:val="23"/>
                <w:color w:val="auto"/>
              </w:rPr>
            </w:pPr>
          </w:p>
        </w:tc>
        <w:tc>
          <w:tcPr>
            <w:tcW w:w="86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rPr>
              <w:t>—</w:t>
            </w:r>
          </w:p>
        </w:tc>
        <w:tc>
          <w:tcPr>
            <w:tcW w:w="200" w:type="dxa"/>
            <w:vAlign w:val="bottom"/>
          </w:tcPr>
          <w:p>
            <w:pPr>
              <w:spacing w:after="0"/>
              <w:rPr>
                <w:sz w:val="23"/>
                <w:szCs w:val="23"/>
                <w:color w:val="auto"/>
              </w:rPr>
            </w:pPr>
          </w:p>
        </w:tc>
        <w:tc>
          <w:tcPr>
            <w:tcW w:w="720" w:type="dxa"/>
            <w:vAlign w:val="bottom"/>
          </w:tcPr>
          <w:p>
            <w:pPr>
              <w:jc w:val="right"/>
              <w:ind w:right="48"/>
              <w:spacing w:after="0"/>
              <w:rPr>
                <w:sz w:val="20"/>
                <w:szCs w:val="20"/>
                <w:color w:val="auto"/>
              </w:rPr>
            </w:pPr>
            <w:r>
              <w:rPr>
                <w:rFonts w:ascii="Arial" w:cs="Arial" w:eastAsia="Arial" w:hAnsi="Arial"/>
                <w:sz w:val="14"/>
                <w:szCs w:val="14"/>
                <w:color w:val="auto"/>
              </w:rPr>
              <w:t>4</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80" w:type="dxa"/>
            <w:vAlign w:val="bottom"/>
          </w:tcPr>
          <w:p>
            <w:pPr>
              <w:jc w:val="right"/>
              <w:ind w:right="8"/>
              <w:spacing w:after="0"/>
              <w:rPr>
                <w:sz w:val="20"/>
                <w:szCs w:val="20"/>
                <w:color w:val="auto"/>
              </w:rPr>
            </w:pPr>
            <w:r>
              <w:rPr>
                <w:rFonts w:ascii="Arial" w:cs="Arial" w:eastAsia="Arial" w:hAnsi="Arial"/>
                <w:sz w:val="14"/>
                <w:szCs w:val="14"/>
                <w:color w:val="auto"/>
              </w:rPr>
              <w:t>(4)</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rPr>
              <w:t>—</w:t>
            </w:r>
          </w:p>
        </w:tc>
        <w:tc>
          <w:tcPr>
            <w:tcW w:w="200" w:type="dxa"/>
            <w:vAlign w:val="bottom"/>
          </w:tcPr>
          <w:p>
            <w:pPr>
              <w:spacing w:after="0"/>
              <w:rPr>
                <w:sz w:val="23"/>
                <w:szCs w:val="23"/>
                <w:color w:val="auto"/>
              </w:rPr>
            </w:pPr>
          </w:p>
        </w:tc>
        <w:tc>
          <w:tcPr>
            <w:tcW w:w="700" w:type="dxa"/>
            <w:vAlign w:val="bottom"/>
          </w:tcPr>
          <w:p>
            <w:pPr>
              <w:jc w:val="right"/>
              <w:ind w:right="28"/>
              <w:spacing w:after="0"/>
              <w:rPr>
                <w:sz w:val="20"/>
                <w:szCs w:val="20"/>
                <w:color w:val="auto"/>
              </w:rPr>
            </w:pPr>
            <w:r>
              <w:rPr>
                <w:rFonts w:ascii="Arial" w:cs="Arial" w:eastAsia="Arial" w:hAnsi="Arial"/>
                <w:sz w:val="14"/>
                <w:szCs w:val="14"/>
                <w:color w:val="auto"/>
              </w:rPr>
              <w:t>5</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(5)</w:t>
            </w:r>
          </w:p>
        </w:tc>
        <w:tc>
          <w:tcPr>
            <w:tcW w:w="0" w:type="dxa"/>
            <w:vAlign w:val="bottom"/>
          </w:tcPr>
          <w:p>
            <w:pPr>
              <w:spacing w:after="0"/>
              <w:rPr>
                <w:sz w:val="1"/>
                <w:szCs w:val="1"/>
                <w:color w:val="auto"/>
              </w:rPr>
            </w:pPr>
          </w:p>
        </w:tc>
      </w:tr>
      <w:tr>
        <w:trPr>
          <w:trHeight w:val="250"/>
        </w:trPr>
        <w:tc>
          <w:tcPr>
            <w:tcW w:w="538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4"/>
                <w:szCs w:val="14"/>
                <w:b w:val="1"/>
                <w:bCs w:val="1"/>
                <w:color w:val="auto"/>
              </w:rPr>
              <w:t>Net loss</w:t>
            </w:r>
          </w:p>
        </w:tc>
        <w:tc>
          <w:tcPr>
            <w:tcW w:w="200" w:type="dxa"/>
            <w:vAlign w:val="bottom"/>
            <w:tcBorders>
              <w:top w:val="single" w:sz="8" w:color="auto"/>
              <w:bottom w:val="single" w:sz="8" w:color="auto"/>
            </w:tcBorders>
            <w:shd w:val="clear" w:color="auto" w:fill="CCEEFF"/>
          </w:tcPr>
          <w:p>
            <w:pPr>
              <w:spacing w:after="0"/>
              <w:rPr>
                <w:sz w:val="21"/>
                <w:szCs w:val="21"/>
                <w:color w:val="auto"/>
              </w:rPr>
            </w:pPr>
          </w:p>
        </w:tc>
        <w:tc>
          <w:tcPr>
            <w:tcW w:w="74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(3,150)</w:t>
            </w:r>
          </w:p>
        </w:tc>
        <w:tc>
          <w:tcPr>
            <w:tcW w:w="120" w:type="dxa"/>
            <w:vAlign w:val="bottom"/>
            <w:tcBorders>
              <w:top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spacing w:after="0"/>
              <w:rPr>
                <w:sz w:val="21"/>
                <w:szCs w:val="21"/>
                <w:color w:val="auto"/>
              </w:rPr>
            </w:pP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(689)</w:t>
            </w:r>
          </w:p>
        </w:tc>
        <w:tc>
          <w:tcPr>
            <w:tcW w:w="120" w:type="dxa"/>
            <w:vAlign w:val="bottom"/>
            <w:tcBorders>
              <w:top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spacing w:after="0"/>
              <w:rPr>
                <w:sz w:val="21"/>
                <w:szCs w:val="21"/>
                <w:color w:val="auto"/>
              </w:rPr>
            </w:pPr>
          </w:p>
        </w:tc>
        <w:tc>
          <w:tcPr>
            <w:tcW w:w="78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(2,461)</w:t>
            </w:r>
          </w:p>
        </w:tc>
        <w:tc>
          <w:tcPr>
            <w:tcW w:w="100" w:type="dxa"/>
            <w:vAlign w:val="bottom"/>
            <w:tcBorders>
              <w:top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spacing w:after="0"/>
              <w:rPr>
                <w:sz w:val="21"/>
                <w:szCs w:val="21"/>
                <w:color w:val="auto"/>
              </w:rPr>
            </w:pP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(5,298)</w:t>
            </w:r>
          </w:p>
        </w:tc>
        <w:tc>
          <w:tcPr>
            <w:tcW w:w="100" w:type="dxa"/>
            <w:vAlign w:val="bottom"/>
            <w:tcBorders>
              <w:top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spacing w:after="0"/>
              <w:rPr>
                <w:sz w:val="21"/>
                <w:szCs w:val="21"/>
                <w:color w:val="auto"/>
              </w:rPr>
            </w:pP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(690)</w:t>
            </w:r>
          </w:p>
        </w:tc>
        <w:tc>
          <w:tcPr>
            <w:tcW w:w="100" w:type="dxa"/>
            <w:vAlign w:val="bottom"/>
            <w:tcBorders>
              <w:top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spacing w:after="0"/>
              <w:rPr>
                <w:sz w:val="21"/>
                <w:szCs w:val="21"/>
                <w:color w:val="auto"/>
              </w:rPr>
            </w:pP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(4,608)</w:t>
            </w:r>
          </w:p>
        </w:tc>
        <w:tc>
          <w:tcPr>
            <w:tcW w:w="0" w:type="dxa"/>
            <w:vAlign w:val="bottom"/>
          </w:tcPr>
          <w:p>
            <w:pPr>
              <w:spacing w:after="0"/>
              <w:rPr>
                <w:sz w:val="1"/>
                <w:szCs w:val="1"/>
                <w:color w:val="auto"/>
              </w:rPr>
            </w:pPr>
          </w:p>
        </w:tc>
      </w:tr>
      <w:tr>
        <w:trPr>
          <w:trHeight w:val="250"/>
        </w:trPr>
        <w:tc>
          <w:tcPr>
            <w:tcW w:w="5380" w:type="dxa"/>
            <w:vAlign w:val="bottom"/>
          </w:tcPr>
          <w:p>
            <w:pPr>
              <w:ind w:left="40"/>
              <w:spacing w:after="0"/>
              <w:rPr>
                <w:sz w:val="20"/>
                <w:szCs w:val="20"/>
                <w:color w:val="auto"/>
              </w:rPr>
            </w:pPr>
            <w:r>
              <w:rPr>
                <w:rFonts w:ascii="Arial" w:cs="Arial" w:eastAsia="Arial" w:hAnsi="Arial"/>
                <w:sz w:val="14"/>
                <w:szCs w:val="14"/>
                <w:color w:val="auto"/>
              </w:rPr>
              <w:t>Less: Net loss attributable to non-controlling interest in consolidated subsidiaries</w:t>
            </w:r>
          </w:p>
        </w:tc>
        <w:tc>
          <w:tcPr>
            <w:tcW w:w="200" w:type="dxa"/>
            <w:vAlign w:val="bottom"/>
          </w:tcPr>
          <w:p>
            <w:pPr>
              <w:spacing w:after="0"/>
              <w:rPr>
                <w:sz w:val="21"/>
                <w:szCs w:val="21"/>
                <w:color w:val="auto"/>
              </w:rPr>
            </w:pPr>
          </w:p>
        </w:tc>
        <w:tc>
          <w:tcPr>
            <w:tcW w:w="86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rPr>
              <w:t>—</w:t>
            </w:r>
          </w:p>
        </w:tc>
        <w:tc>
          <w:tcPr>
            <w:tcW w:w="20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(69)</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80" w:type="dxa"/>
            <w:vAlign w:val="bottom"/>
          </w:tcPr>
          <w:p>
            <w:pPr>
              <w:jc w:val="right"/>
              <w:ind w:right="48"/>
              <w:spacing w:after="0"/>
              <w:rPr>
                <w:sz w:val="20"/>
                <w:szCs w:val="20"/>
                <w:color w:val="auto"/>
              </w:rPr>
            </w:pPr>
            <w:r>
              <w:rPr>
                <w:rFonts w:ascii="Arial" w:cs="Arial" w:eastAsia="Arial" w:hAnsi="Arial"/>
                <w:sz w:val="14"/>
                <w:szCs w:val="14"/>
                <w:color w:val="auto"/>
              </w:rPr>
              <w:t>69</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4"/>
                <w:szCs w:val="14"/>
                <w:b w:val="1"/>
                <w:bCs w:val="1"/>
                <w:color w:val="auto"/>
              </w:rPr>
              <w:t>(483)</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(69)</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(414)</w:t>
            </w:r>
          </w:p>
        </w:tc>
        <w:tc>
          <w:tcPr>
            <w:tcW w:w="0" w:type="dxa"/>
            <w:vAlign w:val="bottom"/>
          </w:tcPr>
          <w:p>
            <w:pPr>
              <w:spacing w:after="0"/>
              <w:rPr>
                <w:sz w:val="1"/>
                <w:szCs w:val="1"/>
                <w:color w:val="auto"/>
              </w:rPr>
            </w:pPr>
          </w:p>
        </w:tc>
      </w:tr>
      <w:tr>
        <w:trPr>
          <w:trHeight w:val="250"/>
        </w:trPr>
        <w:tc>
          <w:tcPr>
            <w:tcW w:w="538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4"/>
                <w:szCs w:val="14"/>
                <w:b w:val="1"/>
                <w:bCs w:val="1"/>
                <w:color w:val="auto"/>
              </w:rPr>
              <w:t>Net loss attributable to shareholders</w:t>
            </w:r>
          </w:p>
        </w:tc>
        <w:tc>
          <w:tcPr>
            <w:tcW w:w="20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w:t>
            </w:r>
          </w:p>
        </w:tc>
        <w:tc>
          <w:tcPr>
            <w:tcW w:w="74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(3,150)</w:t>
            </w:r>
          </w:p>
        </w:tc>
        <w:tc>
          <w:tcPr>
            <w:tcW w:w="120" w:type="dxa"/>
            <w:vAlign w:val="bottom"/>
            <w:tcBorders>
              <w:top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(620)</w:t>
            </w:r>
          </w:p>
        </w:tc>
        <w:tc>
          <w:tcPr>
            <w:tcW w:w="120" w:type="dxa"/>
            <w:vAlign w:val="bottom"/>
            <w:tcBorders>
              <w:top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8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(2,530)</w:t>
            </w:r>
          </w:p>
        </w:tc>
        <w:tc>
          <w:tcPr>
            <w:tcW w:w="100" w:type="dxa"/>
            <w:vAlign w:val="bottom"/>
            <w:tcBorders>
              <w:top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(4,815)</w:t>
            </w:r>
          </w:p>
        </w:tc>
        <w:tc>
          <w:tcPr>
            <w:tcW w:w="100" w:type="dxa"/>
            <w:vAlign w:val="bottom"/>
            <w:tcBorders>
              <w:top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(621)</w:t>
            </w:r>
          </w:p>
        </w:tc>
        <w:tc>
          <w:tcPr>
            <w:tcW w:w="100" w:type="dxa"/>
            <w:vAlign w:val="bottom"/>
            <w:tcBorders>
              <w:top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(4,194)</w:t>
            </w:r>
          </w:p>
        </w:tc>
        <w:tc>
          <w:tcPr>
            <w:tcW w:w="0" w:type="dxa"/>
            <w:vAlign w:val="bottom"/>
          </w:tcPr>
          <w:p>
            <w:pPr>
              <w:spacing w:after="0"/>
              <w:rPr>
                <w:sz w:val="1"/>
                <w:szCs w:val="1"/>
                <w:color w:val="auto"/>
              </w:rPr>
            </w:pPr>
          </w:p>
        </w:tc>
      </w:tr>
      <w:tr>
        <w:trPr>
          <w:trHeight w:val="250"/>
        </w:trPr>
        <w:tc>
          <w:tcPr>
            <w:tcW w:w="5380" w:type="dxa"/>
            <w:vAlign w:val="bottom"/>
          </w:tcPr>
          <w:p>
            <w:pPr>
              <w:ind w:left="40"/>
              <w:spacing w:after="0"/>
              <w:rPr>
                <w:sz w:val="20"/>
                <w:szCs w:val="20"/>
                <w:color w:val="auto"/>
              </w:rPr>
            </w:pPr>
            <w:r>
              <w:rPr>
                <w:rFonts w:ascii="Arial" w:cs="Arial" w:eastAsia="Arial" w:hAnsi="Arial"/>
                <w:sz w:val="14"/>
                <w:szCs w:val="14"/>
                <w:color w:val="auto"/>
              </w:rPr>
              <w:t>Add: Provision for income taxes</w:t>
            </w:r>
          </w:p>
        </w:tc>
        <w:tc>
          <w:tcPr>
            <w:tcW w:w="200" w:type="dxa"/>
            <w:vAlign w:val="bottom"/>
          </w:tcPr>
          <w:p>
            <w:pPr>
              <w:spacing w:after="0"/>
              <w:rPr>
                <w:sz w:val="21"/>
                <w:szCs w:val="21"/>
                <w:color w:val="auto"/>
              </w:rPr>
            </w:pPr>
          </w:p>
        </w:tc>
        <w:tc>
          <w:tcPr>
            <w:tcW w:w="86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rPr>
              <w:t>—</w:t>
            </w:r>
          </w:p>
        </w:tc>
        <w:tc>
          <w:tcPr>
            <w:tcW w:w="200" w:type="dxa"/>
            <w:vAlign w:val="bottom"/>
          </w:tcPr>
          <w:p>
            <w:pPr>
              <w:spacing w:after="0"/>
              <w:rPr>
                <w:sz w:val="21"/>
                <w:szCs w:val="21"/>
                <w:color w:val="auto"/>
              </w:rPr>
            </w:pPr>
          </w:p>
        </w:tc>
        <w:tc>
          <w:tcPr>
            <w:tcW w:w="720" w:type="dxa"/>
            <w:vAlign w:val="bottom"/>
          </w:tcPr>
          <w:p>
            <w:pPr>
              <w:jc w:val="right"/>
              <w:ind w:right="48"/>
              <w:spacing w:after="0"/>
              <w:rPr>
                <w:sz w:val="20"/>
                <w:szCs w:val="20"/>
                <w:color w:val="auto"/>
              </w:rPr>
            </w:pPr>
            <w:r>
              <w:rPr>
                <w:rFonts w:ascii="Arial" w:cs="Arial" w:eastAsia="Arial" w:hAnsi="Arial"/>
                <w:sz w:val="14"/>
                <w:szCs w:val="14"/>
                <w:color w:val="auto"/>
              </w:rPr>
              <w:t>4</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80" w:type="dxa"/>
            <w:vAlign w:val="bottom"/>
          </w:tcPr>
          <w:p>
            <w:pPr>
              <w:jc w:val="right"/>
              <w:ind w:right="8"/>
              <w:spacing w:after="0"/>
              <w:rPr>
                <w:sz w:val="20"/>
                <w:szCs w:val="20"/>
                <w:color w:val="auto"/>
              </w:rPr>
            </w:pPr>
            <w:r>
              <w:rPr>
                <w:rFonts w:ascii="Arial" w:cs="Arial" w:eastAsia="Arial" w:hAnsi="Arial"/>
                <w:sz w:val="14"/>
                <w:szCs w:val="14"/>
                <w:color w:val="auto"/>
              </w:rPr>
              <w:t>(4)</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rPr>
              <w:t>—</w:t>
            </w:r>
          </w:p>
        </w:tc>
        <w:tc>
          <w:tcPr>
            <w:tcW w:w="200" w:type="dxa"/>
            <w:vAlign w:val="bottom"/>
          </w:tcPr>
          <w:p>
            <w:pPr>
              <w:spacing w:after="0"/>
              <w:rPr>
                <w:sz w:val="21"/>
                <w:szCs w:val="21"/>
                <w:color w:val="auto"/>
              </w:rPr>
            </w:pPr>
          </w:p>
        </w:tc>
        <w:tc>
          <w:tcPr>
            <w:tcW w:w="700" w:type="dxa"/>
            <w:vAlign w:val="bottom"/>
          </w:tcPr>
          <w:p>
            <w:pPr>
              <w:jc w:val="right"/>
              <w:ind w:right="28"/>
              <w:spacing w:after="0"/>
              <w:rPr>
                <w:sz w:val="20"/>
                <w:szCs w:val="20"/>
                <w:color w:val="auto"/>
              </w:rPr>
            </w:pPr>
            <w:r>
              <w:rPr>
                <w:rFonts w:ascii="Arial" w:cs="Arial" w:eastAsia="Arial" w:hAnsi="Arial"/>
                <w:sz w:val="14"/>
                <w:szCs w:val="14"/>
                <w:color w:val="auto"/>
              </w:rPr>
              <w:t>5</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(5)</w:t>
            </w:r>
          </w:p>
        </w:tc>
        <w:tc>
          <w:tcPr>
            <w:tcW w:w="0" w:type="dxa"/>
            <w:vAlign w:val="bottom"/>
          </w:tcPr>
          <w:p>
            <w:pPr>
              <w:spacing w:after="0"/>
              <w:rPr>
                <w:sz w:val="1"/>
                <w:szCs w:val="1"/>
                <w:color w:val="auto"/>
              </w:rPr>
            </w:pPr>
          </w:p>
        </w:tc>
      </w:tr>
      <w:tr>
        <w:trPr>
          <w:trHeight w:val="271"/>
        </w:trPr>
        <w:tc>
          <w:tcPr>
            <w:tcW w:w="5380" w:type="dxa"/>
            <w:vAlign w:val="bottom"/>
            <w:shd w:val="clear" w:color="auto" w:fill="CCEEFF"/>
          </w:tcPr>
          <w:p>
            <w:pPr>
              <w:ind w:left="40"/>
              <w:spacing w:after="0"/>
              <w:rPr>
                <w:sz w:val="20"/>
                <w:szCs w:val="20"/>
                <w:color w:val="auto"/>
              </w:rPr>
            </w:pPr>
            <w:r>
              <w:rPr>
                <w:rFonts w:ascii="Arial" w:cs="Arial" w:eastAsia="Arial" w:hAnsi="Arial"/>
                <w:sz w:val="14"/>
                <w:szCs w:val="14"/>
                <w:color w:val="auto"/>
              </w:rPr>
              <w:t>Add: Equity-based compensation expense</w:t>
            </w:r>
          </w:p>
        </w:tc>
        <w:tc>
          <w:tcPr>
            <w:tcW w:w="200" w:type="dxa"/>
            <w:vAlign w:val="bottom"/>
            <w:shd w:val="clear" w:color="auto" w:fill="CCEEFF"/>
          </w:tcPr>
          <w:p>
            <w:pPr>
              <w:spacing w:after="0"/>
              <w:rPr>
                <w:sz w:val="23"/>
                <w:szCs w:val="23"/>
                <w:color w:val="auto"/>
              </w:rPr>
            </w:pPr>
          </w:p>
        </w:tc>
        <w:tc>
          <w:tcPr>
            <w:tcW w:w="86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b w:val="1"/>
                <w:bCs w:val="1"/>
                <w:color w:val="auto"/>
              </w:rPr>
              <w:t>—</w:t>
            </w:r>
          </w:p>
        </w:tc>
        <w:tc>
          <w:tcPr>
            <w:tcW w:w="200" w:type="dxa"/>
            <w:vAlign w:val="bottom"/>
            <w:shd w:val="clear" w:color="auto" w:fill="CCEEFF"/>
          </w:tcPr>
          <w:p>
            <w:pPr>
              <w:spacing w:after="0"/>
              <w:rPr>
                <w:sz w:val="23"/>
                <w:szCs w:val="23"/>
                <w:color w:val="auto"/>
              </w:rPr>
            </w:pP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3"/>
                <w:szCs w:val="23"/>
                <w:color w:val="auto"/>
              </w:rPr>
            </w:pP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23"/>
                <w:szCs w:val="23"/>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b w:val="1"/>
                <w:bCs w:val="1"/>
                <w:color w:val="auto"/>
              </w:rPr>
              <w:t>—</w:t>
            </w:r>
          </w:p>
        </w:tc>
        <w:tc>
          <w:tcPr>
            <w:tcW w:w="200" w:type="dxa"/>
            <w:vAlign w:val="bottom"/>
            <w:shd w:val="clear" w:color="auto" w:fill="CCEEFF"/>
          </w:tcPr>
          <w:p>
            <w:pPr>
              <w:spacing w:after="0"/>
              <w:rPr>
                <w:sz w:val="23"/>
                <w:szCs w:val="23"/>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3"/>
                <w:szCs w:val="23"/>
                <w:color w:val="auto"/>
              </w:rPr>
            </w:pPr>
          </w:p>
        </w:tc>
        <w:tc>
          <w:tcPr>
            <w:tcW w:w="7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69"/>
        </w:trPr>
        <w:tc>
          <w:tcPr>
            <w:tcW w:w="5380" w:type="dxa"/>
            <w:vAlign w:val="bottom"/>
          </w:tcPr>
          <w:p>
            <w:pPr>
              <w:ind w:left="40"/>
              <w:spacing w:after="0"/>
              <w:rPr>
                <w:sz w:val="20"/>
                <w:szCs w:val="20"/>
                <w:color w:val="auto"/>
              </w:rPr>
            </w:pPr>
            <w:r>
              <w:rPr>
                <w:rFonts w:ascii="Arial" w:cs="Arial" w:eastAsia="Arial" w:hAnsi="Arial"/>
                <w:sz w:val="14"/>
                <w:szCs w:val="14"/>
                <w:color w:val="auto"/>
              </w:rPr>
              <w:t>Add: Acquisition and transaction expenses</w:t>
            </w:r>
          </w:p>
        </w:tc>
        <w:tc>
          <w:tcPr>
            <w:tcW w:w="200" w:type="dxa"/>
            <w:vAlign w:val="bottom"/>
          </w:tcPr>
          <w:p>
            <w:pPr>
              <w:spacing w:after="0"/>
              <w:rPr>
                <w:sz w:val="23"/>
                <w:szCs w:val="23"/>
                <w:color w:val="auto"/>
              </w:rPr>
            </w:pPr>
          </w:p>
        </w:tc>
        <w:tc>
          <w:tcPr>
            <w:tcW w:w="86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rPr>
              <w:t>—</w:t>
            </w:r>
          </w:p>
        </w:tc>
        <w:tc>
          <w:tcPr>
            <w:tcW w:w="200" w:type="dxa"/>
            <w:vAlign w:val="bottom"/>
          </w:tcPr>
          <w:p>
            <w:pPr>
              <w:spacing w:after="0"/>
              <w:rPr>
                <w:sz w:val="23"/>
                <w:szCs w:val="23"/>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3"/>
                <w:szCs w:val="23"/>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3"/>
                <w:szCs w:val="23"/>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rPr>
              <w:t>—</w:t>
            </w:r>
          </w:p>
        </w:tc>
        <w:tc>
          <w:tcPr>
            <w:tcW w:w="200" w:type="dxa"/>
            <w:vAlign w:val="bottom"/>
          </w:tcPr>
          <w:p>
            <w:pPr>
              <w:spacing w:after="0"/>
              <w:rPr>
                <w:sz w:val="23"/>
                <w:szCs w:val="23"/>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3"/>
                <w:szCs w:val="23"/>
                <w:color w:val="auto"/>
              </w:rPr>
            </w:pPr>
          </w:p>
        </w:tc>
        <w:tc>
          <w:tcPr>
            <w:tcW w:w="74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7"/>
        </w:trPr>
        <w:tc>
          <w:tcPr>
            <w:tcW w:w="5380" w:type="dxa"/>
            <w:vAlign w:val="bottom"/>
            <w:shd w:val="clear" w:color="auto" w:fill="CCEEFF"/>
          </w:tcPr>
          <w:p>
            <w:pPr>
              <w:ind w:left="40"/>
              <w:spacing w:after="0"/>
              <w:rPr>
                <w:sz w:val="20"/>
                <w:szCs w:val="20"/>
                <w:color w:val="auto"/>
              </w:rPr>
            </w:pPr>
            <w:r>
              <w:rPr>
                <w:rFonts w:ascii="Arial" w:cs="Arial" w:eastAsia="Arial" w:hAnsi="Arial"/>
                <w:sz w:val="14"/>
                <w:szCs w:val="14"/>
                <w:color w:val="auto"/>
              </w:rPr>
              <w:t>Add: Losses on the modification or extinguishment of debt and capital lease</w:t>
            </w:r>
          </w:p>
        </w:tc>
        <w:tc>
          <w:tcPr>
            <w:tcW w:w="200" w:type="dxa"/>
            <w:vAlign w:val="bottom"/>
            <w:shd w:val="clear" w:color="auto" w:fill="CCEEFF"/>
          </w:tcPr>
          <w:p>
            <w:pPr>
              <w:spacing w:after="0"/>
              <w:rPr>
                <w:sz w:val="15"/>
                <w:szCs w:val="15"/>
                <w:color w:val="auto"/>
              </w:rPr>
            </w:pPr>
          </w:p>
        </w:tc>
        <w:tc>
          <w:tcPr>
            <w:tcW w:w="86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4"/>
                <w:szCs w:val="14"/>
                <w:b w:val="1"/>
                <w:bCs w:val="1"/>
                <w:color w:val="auto"/>
              </w:rPr>
              <w:t>—</w:t>
            </w:r>
          </w:p>
        </w:tc>
        <w:tc>
          <w:tcPr>
            <w:tcW w:w="20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0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4"/>
                <w:szCs w:val="14"/>
                <w:b w:val="1"/>
                <w:bCs w:val="1"/>
                <w:color w:val="auto"/>
              </w:rPr>
              <w:t>—</w:t>
            </w:r>
          </w:p>
        </w:tc>
        <w:tc>
          <w:tcPr>
            <w:tcW w:w="20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2"/>
        </w:trPr>
        <w:tc>
          <w:tcPr>
            <w:tcW w:w="5380" w:type="dxa"/>
            <w:vAlign w:val="bottom"/>
            <w:shd w:val="clear" w:color="auto" w:fill="CCEEFF"/>
          </w:tcPr>
          <w:p>
            <w:pPr>
              <w:ind w:left="40"/>
              <w:spacing w:after="0"/>
              <w:rPr>
                <w:sz w:val="20"/>
                <w:szCs w:val="20"/>
                <w:color w:val="auto"/>
              </w:rPr>
            </w:pPr>
            <w:r>
              <w:rPr>
                <w:rFonts w:ascii="Arial" w:cs="Arial" w:eastAsia="Arial" w:hAnsi="Arial"/>
                <w:sz w:val="14"/>
                <w:szCs w:val="14"/>
                <w:color w:val="auto"/>
              </w:rPr>
              <w:t>obligations</w:t>
            </w:r>
          </w:p>
        </w:tc>
        <w:tc>
          <w:tcPr>
            <w:tcW w:w="200" w:type="dxa"/>
            <w:vAlign w:val="bottom"/>
            <w:shd w:val="clear" w:color="auto" w:fill="CCEEFF"/>
          </w:tcPr>
          <w:p>
            <w:pPr>
              <w:spacing w:after="0"/>
              <w:rPr>
                <w:sz w:val="17"/>
                <w:szCs w:val="17"/>
                <w:color w:val="auto"/>
              </w:rPr>
            </w:pPr>
          </w:p>
        </w:tc>
        <w:tc>
          <w:tcPr>
            <w:tcW w:w="860" w:type="dxa"/>
            <w:vAlign w:val="bottom"/>
            <w:gridSpan w:val="2"/>
            <w:vMerge w:val="continue"/>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7"/>
                <w:szCs w:val="17"/>
                <w:color w:val="auto"/>
              </w:rPr>
            </w:pPr>
          </w:p>
        </w:tc>
        <w:tc>
          <w:tcPr>
            <w:tcW w:w="800" w:type="dxa"/>
            <w:vAlign w:val="bottom"/>
            <w:gridSpan w:val="2"/>
            <w:vMerge w:val="continue"/>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7"/>
                <w:szCs w:val="17"/>
                <w:color w:val="auto"/>
              </w:rPr>
            </w:pPr>
          </w:p>
        </w:tc>
        <w:tc>
          <w:tcPr>
            <w:tcW w:w="7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69"/>
        </w:trPr>
        <w:tc>
          <w:tcPr>
            <w:tcW w:w="5380" w:type="dxa"/>
            <w:vAlign w:val="bottom"/>
          </w:tcPr>
          <w:p>
            <w:pPr>
              <w:ind w:left="40"/>
              <w:spacing w:after="0"/>
              <w:rPr>
                <w:sz w:val="20"/>
                <w:szCs w:val="20"/>
                <w:color w:val="auto"/>
              </w:rPr>
            </w:pPr>
            <w:r>
              <w:rPr>
                <w:rFonts w:ascii="Arial" w:cs="Arial" w:eastAsia="Arial" w:hAnsi="Arial"/>
                <w:sz w:val="14"/>
                <w:szCs w:val="14"/>
                <w:color w:val="auto"/>
              </w:rPr>
              <w:t>Add: Changes in fair value of non-hedge derivative instruments</w:t>
            </w:r>
          </w:p>
        </w:tc>
        <w:tc>
          <w:tcPr>
            <w:tcW w:w="200" w:type="dxa"/>
            <w:vAlign w:val="bottom"/>
          </w:tcPr>
          <w:p>
            <w:pPr>
              <w:spacing w:after="0"/>
              <w:rPr>
                <w:sz w:val="23"/>
                <w:szCs w:val="23"/>
                <w:color w:val="auto"/>
              </w:rPr>
            </w:pPr>
          </w:p>
        </w:tc>
        <w:tc>
          <w:tcPr>
            <w:tcW w:w="86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rPr>
              <w:t>—</w:t>
            </w:r>
          </w:p>
        </w:tc>
        <w:tc>
          <w:tcPr>
            <w:tcW w:w="200" w:type="dxa"/>
            <w:vAlign w:val="bottom"/>
          </w:tcPr>
          <w:p>
            <w:pPr>
              <w:spacing w:after="0"/>
              <w:rPr>
                <w:sz w:val="23"/>
                <w:szCs w:val="23"/>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3"/>
                <w:szCs w:val="23"/>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3"/>
                <w:szCs w:val="23"/>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rPr>
              <w:t>—</w:t>
            </w:r>
          </w:p>
        </w:tc>
        <w:tc>
          <w:tcPr>
            <w:tcW w:w="200" w:type="dxa"/>
            <w:vAlign w:val="bottom"/>
          </w:tcPr>
          <w:p>
            <w:pPr>
              <w:spacing w:after="0"/>
              <w:rPr>
                <w:sz w:val="23"/>
                <w:szCs w:val="23"/>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3"/>
                <w:szCs w:val="23"/>
                <w:color w:val="auto"/>
              </w:rPr>
            </w:pPr>
          </w:p>
        </w:tc>
        <w:tc>
          <w:tcPr>
            <w:tcW w:w="74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1"/>
        </w:trPr>
        <w:tc>
          <w:tcPr>
            <w:tcW w:w="5380" w:type="dxa"/>
            <w:vAlign w:val="bottom"/>
            <w:shd w:val="clear" w:color="auto" w:fill="CCEEFF"/>
          </w:tcPr>
          <w:p>
            <w:pPr>
              <w:ind w:left="40"/>
              <w:spacing w:after="0"/>
              <w:rPr>
                <w:sz w:val="20"/>
                <w:szCs w:val="20"/>
                <w:color w:val="auto"/>
              </w:rPr>
            </w:pPr>
            <w:r>
              <w:rPr>
                <w:rFonts w:ascii="Arial" w:cs="Arial" w:eastAsia="Arial" w:hAnsi="Arial"/>
                <w:sz w:val="14"/>
                <w:szCs w:val="14"/>
                <w:color w:val="auto"/>
              </w:rPr>
              <w:t>Add: Asset impairment charges</w:t>
            </w:r>
          </w:p>
        </w:tc>
        <w:tc>
          <w:tcPr>
            <w:tcW w:w="200" w:type="dxa"/>
            <w:vAlign w:val="bottom"/>
            <w:shd w:val="clear" w:color="auto" w:fill="CCEEFF"/>
          </w:tcPr>
          <w:p>
            <w:pPr>
              <w:spacing w:after="0"/>
              <w:rPr>
                <w:sz w:val="23"/>
                <w:szCs w:val="23"/>
                <w:color w:val="auto"/>
              </w:rPr>
            </w:pPr>
          </w:p>
        </w:tc>
        <w:tc>
          <w:tcPr>
            <w:tcW w:w="86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b w:val="1"/>
                <w:bCs w:val="1"/>
                <w:color w:val="auto"/>
              </w:rPr>
              <w:t>—</w:t>
            </w:r>
          </w:p>
        </w:tc>
        <w:tc>
          <w:tcPr>
            <w:tcW w:w="200" w:type="dxa"/>
            <w:vAlign w:val="bottom"/>
            <w:shd w:val="clear" w:color="auto" w:fill="CCEEFF"/>
          </w:tcPr>
          <w:p>
            <w:pPr>
              <w:spacing w:after="0"/>
              <w:rPr>
                <w:sz w:val="23"/>
                <w:szCs w:val="23"/>
                <w:color w:val="auto"/>
              </w:rPr>
            </w:pP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3"/>
                <w:szCs w:val="23"/>
                <w:color w:val="auto"/>
              </w:rPr>
            </w:pP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23"/>
                <w:szCs w:val="23"/>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b w:val="1"/>
                <w:bCs w:val="1"/>
                <w:color w:val="auto"/>
              </w:rPr>
              <w:t>—</w:t>
            </w:r>
          </w:p>
        </w:tc>
        <w:tc>
          <w:tcPr>
            <w:tcW w:w="200" w:type="dxa"/>
            <w:vAlign w:val="bottom"/>
            <w:shd w:val="clear" w:color="auto" w:fill="CCEEFF"/>
          </w:tcPr>
          <w:p>
            <w:pPr>
              <w:spacing w:after="0"/>
              <w:rPr>
                <w:sz w:val="23"/>
                <w:szCs w:val="23"/>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3"/>
                <w:szCs w:val="23"/>
                <w:color w:val="auto"/>
              </w:rPr>
            </w:pPr>
          </w:p>
        </w:tc>
        <w:tc>
          <w:tcPr>
            <w:tcW w:w="7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69"/>
        </w:trPr>
        <w:tc>
          <w:tcPr>
            <w:tcW w:w="5380" w:type="dxa"/>
            <w:vAlign w:val="bottom"/>
          </w:tcPr>
          <w:p>
            <w:pPr>
              <w:ind w:left="40"/>
              <w:spacing w:after="0"/>
              <w:rPr>
                <w:sz w:val="20"/>
                <w:szCs w:val="20"/>
                <w:color w:val="auto"/>
              </w:rPr>
            </w:pPr>
            <w:r>
              <w:rPr>
                <w:rFonts w:ascii="Arial" w:cs="Arial" w:eastAsia="Arial" w:hAnsi="Arial"/>
                <w:sz w:val="14"/>
                <w:szCs w:val="14"/>
                <w:color w:val="auto"/>
              </w:rPr>
              <w:t>Add: Pro-rata share of Adjusted Net Income from unconsolidated entities</w:t>
            </w:r>
          </w:p>
        </w:tc>
        <w:tc>
          <w:tcPr>
            <w:tcW w:w="200" w:type="dxa"/>
            <w:vAlign w:val="bottom"/>
          </w:tcPr>
          <w:p>
            <w:pPr>
              <w:spacing w:after="0"/>
              <w:rPr>
                <w:sz w:val="23"/>
                <w:szCs w:val="23"/>
                <w:color w:val="auto"/>
              </w:rPr>
            </w:pPr>
          </w:p>
        </w:tc>
        <w:tc>
          <w:tcPr>
            <w:tcW w:w="86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rPr>
              <w:t>—</w:t>
            </w:r>
          </w:p>
        </w:tc>
        <w:tc>
          <w:tcPr>
            <w:tcW w:w="200" w:type="dxa"/>
            <w:vAlign w:val="bottom"/>
          </w:tcPr>
          <w:p>
            <w:pPr>
              <w:spacing w:after="0"/>
              <w:rPr>
                <w:sz w:val="23"/>
                <w:szCs w:val="23"/>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3"/>
                <w:szCs w:val="23"/>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3"/>
                <w:szCs w:val="23"/>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rPr>
              <w:t>—</w:t>
            </w:r>
          </w:p>
        </w:tc>
        <w:tc>
          <w:tcPr>
            <w:tcW w:w="200" w:type="dxa"/>
            <w:vAlign w:val="bottom"/>
          </w:tcPr>
          <w:p>
            <w:pPr>
              <w:spacing w:after="0"/>
              <w:rPr>
                <w:sz w:val="23"/>
                <w:szCs w:val="23"/>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3"/>
                <w:szCs w:val="23"/>
                <w:color w:val="auto"/>
              </w:rPr>
            </w:pPr>
          </w:p>
        </w:tc>
        <w:tc>
          <w:tcPr>
            <w:tcW w:w="74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1"/>
        </w:trPr>
        <w:tc>
          <w:tcPr>
            <w:tcW w:w="5380" w:type="dxa"/>
            <w:vAlign w:val="bottom"/>
            <w:shd w:val="clear" w:color="auto" w:fill="CCEEFF"/>
          </w:tcPr>
          <w:p>
            <w:pPr>
              <w:ind w:left="40"/>
              <w:spacing w:after="0"/>
              <w:rPr>
                <w:sz w:val="20"/>
                <w:szCs w:val="20"/>
                <w:color w:val="auto"/>
              </w:rPr>
            </w:pPr>
            <w:r>
              <w:rPr>
                <w:rFonts w:ascii="Arial" w:cs="Arial" w:eastAsia="Arial" w:hAnsi="Arial"/>
                <w:sz w:val="14"/>
                <w:szCs w:val="14"/>
                <w:color w:val="auto"/>
              </w:rPr>
              <w:t>Add: Incentive allocations</w:t>
            </w:r>
          </w:p>
        </w:tc>
        <w:tc>
          <w:tcPr>
            <w:tcW w:w="200" w:type="dxa"/>
            <w:vAlign w:val="bottom"/>
            <w:shd w:val="clear" w:color="auto" w:fill="CCEEFF"/>
          </w:tcPr>
          <w:p>
            <w:pPr>
              <w:spacing w:after="0"/>
              <w:rPr>
                <w:sz w:val="23"/>
                <w:szCs w:val="23"/>
                <w:color w:val="auto"/>
              </w:rPr>
            </w:pPr>
          </w:p>
        </w:tc>
        <w:tc>
          <w:tcPr>
            <w:tcW w:w="86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b w:val="1"/>
                <w:bCs w:val="1"/>
                <w:color w:val="auto"/>
              </w:rPr>
              <w:t>—</w:t>
            </w:r>
          </w:p>
        </w:tc>
        <w:tc>
          <w:tcPr>
            <w:tcW w:w="200" w:type="dxa"/>
            <w:vAlign w:val="bottom"/>
            <w:shd w:val="clear" w:color="auto" w:fill="CCEEFF"/>
          </w:tcPr>
          <w:p>
            <w:pPr>
              <w:spacing w:after="0"/>
              <w:rPr>
                <w:sz w:val="23"/>
                <w:szCs w:val="23"/>
                <w:color w:val="auto"/>
              </w:rPr>
            </w:pP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3"/>
                <w:szCs w:val="23"/>
                <w:color w:val="auto"/>
              </w:rPr>
            </w:pP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23"/>
                <w:szCs w:val="23"/>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b w:val="1"/>
                <w:bCs w:val="1"/>
                <w:color w:val="auto"/>
              </w:rPr>
              <w:t>—</w:t>
            </w:r>
          </w:p>
        </w:tc>
        <w:tc>
          <w:tcPr>
            <w:tcW w:w="200" w:type="dxa"/>
            <w:vAlign w:val="bottom"/>
            <w:shd w:val="clear" w:color="auto" w:fill="CCEEFF"/>
          </w:tcPr>
          <w:p>
            <w:pPr>
              <w:spacing w:after="0"/>
              <w:rPr>
                <w:sz w:val="23"/>
                <w:szCs w:val="23"/>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3"/>
                <w:szCs w:val="23"/>
                <w:color w:val="auto"/>
              </w:rPr>
            </w:pPr>
          </w:p>
        </w:tc>
        <w:tc>
          <w:tcPr>
            <w:tcW w:w="7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69"/>
        </w:trPr>
        <w:tc>
          <w:tcPr>
            <w:tcW w:w="5380" w:type="dxa"/>
            <w:vAlign w:val="bottom"/>
          </w:tcPr>
          <w:p>
            <w:pPr>
              <w:ind w:left="40"/>
              <w:spacing w:after="0"/>
              <w:rPr>
                <w:sz w:val="20"/>
                <w:szCs w:val="20"/>
                <w:color w:val="auto"/>
              </w:rPr>
            </w:pPr>
            <w:r>
              <w:rPr>
                <w:rFonts w:ascii="Arial" w:cs="Arial" w:eastAsia="Arial" w:hAnsi="Arial"/>
                <w:sz w:val="14"/>
                <w:szCs w:val="14"/>
                <w:color w:val="auto"/>
              </w:rPr>
              <w:t>Less: Cash payments for income taxes</w:t>
            </w:r>
          </w:p>
        </w:tc>
        <w:tc>
          <w:tcPr>
            <w:tcW w:w="200" w:type="dxa"/>
            <w:vAlign w:val="bottom"/>
          </w:tcPr>
          <w:p>
            <w:pPr>
              <w:spacing w:after="0"/>
              <w:rPr>
                <w:sz w:val="23"/>
                <w:szCs w:val="23"/>
                <w:color w:val="auto"/>
              </w:rPr>
            </w:pPr>
          </w:p>
        </w:tc>
        <w:tc>
          <w:tcPr>
            <w:tcW w:w="86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rPr>
              <w:t>—</w:t>
            </w:r>
          </w:p>
        </w:tc>
        <w:tc>
          <w:tcPr>
            <w:tcW w:w="200" w:type="dxa"/>
            <w:vAlign w:val="bottom"/>
          </w:tcPr>
          <w:p>
            <w:pPr>
              <w:spacing w:after="0"/>
              <w:rPr>
                <w:sz w:val="23"/>
                <w:szCs w:val="23"/>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3"/>
                <w:szCs w:val="23"/>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3"/>
                <w:szCs w:val="23"/>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rPr>
              <w:t>—</w:t>
            </w:r>
          </w:p>
        </w:tc>
        <w:tc>
          <w:tcPr>
            <w:tcW w:w="200" w:type="dxa"/>
            <w:vAlign w:val="bottom"/>
          </w:tcPr>
          <w:p>
            <w:pPr>
              <w:spacing w:after="0"/>
              <w:rPr>
                <w:sz w:val="23"/>
                <w:szCs w:val="23"/>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(5)</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40" w:type="dxa"/>
            <w:vAlign w:val="bottom"/>
          </w:tcPr>
          <w:p>
            <w:pPr>
              <w:jc w:val="right"/>
              <w:ind w:right="28"/>
              <w:spacing w:after="0"/>
              <w:rPr>
                <w:sz w:val="20"/>
                <w:szCs w:val="20"/>
                <w:color w:val="auto"/>
              </w:rPr>
            </w:pPr>
            <w:r>
              <w:rPr>
                <w:rFonts w:ascii="Arial" w:cs="Arial" w:eastAsia="Arial" w:hAnsi="Arial"/>
                <w:sz w:val="14"/>
                <w:szCs w:val="14"/>
                <w:color w:val="auto"/>
              </w:rPr>
              <w:t>5</w:t>
            </w:r>
          </w:p>
        </w:tc>
        <w:tc>
          <w:tcPr>
            <w:tcW w:w="0" w:type="dxa"/>
            <w:vAlign w:val="bottom"/>
          </w:tcPr>
          <w:p>
            <w:pPr>
              <w:spacing w:after="0"/>
              <w:rPr>
                <w:sz w:val="1"/>
                <w:szCs w:val="1"/>
                <w:color w:val="auto"/>
              </w:rPr>
            </w:pPr>
          </w:p>
        </w:tc>
      </w:tr>
      <w:tr>
        <w:trPr>
          <w:trHeight w:val="271"/>
        </w:trPr>
        <w:tc>
          <w:tcPr>
            <w:tcW w:w="5380" w:type="dxa"/>
            <w:vAlign w:val="bottom"/>
            <w:shd w:val="clear" w:color="auto" w:fill="CCEEFF"/>
          </w:tcPr>
          <w:p>
            <w:pPr>
              <w:ind w:left="40"/>
              <w:spacing w:after="0"/>
              <w:rPr>
                <w:sz w:val="20"/>
                <w:szCs w:val="20"/>
                <w:color w:val="auto"/>
              </w:rPr>
            </w:pPr>
            <w:r>
              <w:rPr>
                <w:rFonts w:ascii="Arial" w:cs="Arial" w:eastAsia="Arial" w:hAnsi="Arial"/>
                <w:sz w:val="14"/>
                <w:szCs w:val="14"/>
                <w:color w:val="auto"/>
              </w:rPr>
              <w:t>Less: Equity in earnings of unconsolidated entities</w:t>
            </w:r>
          </w:p>
        </w:tc>
        <w:tc>
          <w:tcPr>
            <w:tcW w:w="200" w:type="dxa"/>
            <w:vAlign w:val="bottom"/>
            <w:shd w:val="clear" w:color="auto" w:fill="CCEEFF"/>
          </w:tcPr>
          <w:p>
            <w:pPr>
              <w:spacing w:after="0"/>
              <w:rPr>
                <w:sz w:val="23"/>
                <w:szCs w:val="23"/>
                <w:color w:val="auto"/>
              </w:rPr>
            </w:pPr>
          </w:p>
        </w:tc>
        <w:tc>
          <w:tcPr>
            <w:tcW w:w="86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b w:val="1"/>
                <w:bCs w:val="1"/>
                <w:color w:val="auto"/>
              </w:rPr>
              <w:t>—</w:t>
            </w:r>
          </w:p>
        </w:tc>
        <w:tc>
          <w:tcPr>
            <w:tcW w:w="200" w:type="dxa"/>
            <w:vAlign w:val="bottom"/>
            <w:shd w:val="clear" w:color="auto" w:fill="CCEEFF"/>
          </w:tcPr>
          <w:p>
            <w:pPr>
              <w:spacing w:after="0"/>
              <w:rPr>
                <w:sz w:val="23"/>
                <w:szCs w:val="23"/>
                <w:color w:val="auto"/>
              </w:rPr>
            </w:pP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3"/>
                <w:szCs w:val="23"/>
                <w:color w:val="auto"/>
              </w:rPr>
            </w:pP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23"/>
                <w:szCs w:val="23"/>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b w:val="1"/>
                <w:bCs w:val="1"/>
                <w:color w:val="auto"/>
              </w:rPr>
              <w:t>—</w:t>
            </w:r>
          </w:p>
        </w:tc>
        <w:tc>
          <w:tcPr>
            <w:tcW w:w="200" w:type="dxa"/>
            <w:vAlign w:val="bottom"/>
            <w:shd w:val="clear" w:color="auto" w:fill="CCEEFF"/>
          </w:tcPr>
          <w:p>
            <w:pPr>
              <w:spacing w:after="0"/>
              <w:rPr>
                <w:sz w:val="23"/>
                <w:szCs w:val="23"/>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3"/>
                <w:szCs w:val="23"/>
                <w:color w:val="auto"/>
              </w:rPr>
            </w:pPr>
          </w:p>
        </w:tc>
        <w:tc>
          <w:tcPr>
            <w:tcW w:w="7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69"/>
        </w:trPr>
        <w:tc>
          <w:tcPr>
            <w:tcW w:w="5380" w:type="dxa"/>
            <w:vAlign w:val="bottom"/>
          </w:tcPr>
          <w:p>
            <w:pPr>
              <w:ind w:left="40"/>
              <w:spacing w:after="0"/>
              <w:rPr>
                <w:sz w:val="20"/>
                <w:szCs w:val="20"/>
                <w:color w:val="auto"/>
              </w:rPr>
            </w:pPr>
            <w:r>
              <w:rPr>
                <w:rFonts w:ascii="Arial" w:cs="Arial" w:eastAsia="Arial" w:hAnsi="Arial"/>
                <w:sz w:val="14"/>
                <w:szCs w:val="14"/>
                <w:color w:val="auto"/>
              </w:rPr>
              <w:t>Less: Non-controlling share of Adjusted Net Income</w:t>
            </w:r>
          </w:p>
        </w:tc>
        <w:tc>
          <w:tcPr>
            <w:tcW w:w="200" w:type="dxa"/>
            <w:vAlign w:val="bottom"/>
          </w:tcPr>
          <w:p>
            <w:pPr>
              <w:spacing w:after="0"/>
              <w:rPr>
                <w:sz w:val="23"/>
                <w:szCs w:val="23"/>
                <w:color w:val="auto"/>
              </w:rPr>
            </w:pPr>
          </w:p>
        </w:tc>
        <w:tc>
          <w:tcPr>
            <w:tcW w:w="86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rPr>
              <w:t>—</w:t>
            </w:r>
          </w:p>
        </w:tc>
        <w:tc>
          <w:tcPr>
            <w:tcW w:w="200" w:type="dxa"/>
            <w:vAlign w:val="bottom"/>
          </w:tcPr>
          <w:p>
            <w:pPr>
              <w:spacing w:after="0"/>
              <w:rPr>
                <w:sz w:val="23"/>
                <w:szCs w:val="23"/>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3"/>
                <w:szCs w:val="23"/>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3"/>
                <w:szCs w:val="23"/>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rPr>
              <w:t>—</w:t>
            </w:r>
          </w:p>
        </w:tc>
        <w:tc>
          <w:tcPr>
            <w:tcW w:w="200" w:type="dxa"/>
            <w:vAlign w:val="bottom"/>
          </w:tcPr>
          <w:p>
            <w:pPr>
              <w:spacing w:after="0"/>
              <w:rPr>
                <w:sz w:val="23"/>
                <w:szCs w:val="23"/>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3"/>
                <w:szCs w:val="23"/>
                <w:color w:val="auto"/>
              </w:rPr>
            </w:pPr>
          </w:p>
        </w:tc>
        <w:tc>
          <w:tcPr>
            <w:tcW w:w="74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38"/>
        </w:trPr>
        <w:tc>
          <w:tcPr>
            <w:tcW w:w="538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4"/>
                <w:szCs w:val="14"/>
                <w:b w:val="1"/>
                <w:bCs w:val="1"/>
                <w:color w:val="auto"/>
              </w:rPr>
              <w:t>Adjusted Net Loss</w:t>
            </w:r>
          </w:p>
        </w:tc>
        <w:tc>
          <w:tcPr>
            <w:tcW w:w="20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w:t>
            </w:r>
          </w:p>
        </w:tc>
        <w:tc>
          <w:tcPr>
            <w:tcW w:w="74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(3,150)</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(616)</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8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(2,534)</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(4,815)</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(621)</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(4,194)</w:t>
            </w:r>
          </w:p>
        </w:tc>
        <w:tc>
          <w:tcPr>
            <w:tcW w:w="0" w:type="dxa"/>
            <w:vAlign w:val="bottom"/>
          </w:tcPr>
          <w:p>
            <w:pPr>
              <w:spacing w:after="0"/>
              <w:rPr>
                <w:sz w:val="1"/>
                <w:szCs w:val="1"/>
                <w:color w:val="auto"/>
              </w:rPr>
            </w:pPr>
          </w:p>
        </w:tc>
      </w:tr>
      <w:tr>
        <w:trPr>
          <w:trHeight w:val="20"/>
        </w:trPr>
        <w:tc>
          <w:tcPr>
            <w:tcW w:w="53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64</w:t>
      </w:r>
    </w:p>
    <w:p>
      <w:pPr>
        <w:sectPr>
          <w:pgSz w:w="11900" w:h="16838" w:orient="portrait"/>
          <w:cols w:equalWidth="0" w:num="1">
            <w:col w:w="11420"/>
          </w:cols>
          <w:pgMar w:left="240" w:top="527" w:right="239" w:bottom="1440" w:gutter="0" w:footer="0" w:header="0"/>
        </w:sectPr>
      </w:pPr>
    </w:p>
    <w:bookmarkStart w:id="64" w:name="page65"/>
    <w:bookmarkEnd w:id="64"/>
    <w:p>
      <w:pPr>
        <w:ind w:right="80"/>
        <w:spacing w:after="0" w:line="291" w:lineRule="auto"/>
        <w:rPr>
          <w:sz w:val="20"/>
          <w:szCs w:val="20"/>
          <w:color w:val="auto"/>
        </w:rPr>
      </w:pPr>
      <w:r>
        <w:rPr>
          <w:rFonts w:ascii="Arial" w:cs="Arial" w:eastAsia="Arial" w:hAnsi="Arial"/>
          <w:sz w:val="16"/>
          <w:szCs w:val="16"/>
          <w:color w:val="auto"/>
        </w:rPr>
        <w:t>The following table sets forth a reconciliation of net loss attributable to shareholders to Adjusted EBITDA for Ports and Terminals for the three and nine months ended September 30, 2017 and September 30, 2016:</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3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900" w:type="dxa"/>
            <w:vAlign w:val="bottom"/>
            <w:gridSpan w:val="5"/>
          </w:tcPr>
          <w:p>
            <w:pPr>
              <w:jc w:val="center"/>
              <w:ind w:right="280"/>
              <w:spacing w:after="0"/>
              <w:rPr>
                <w:sz w:val="20"/>
                <w:szCs w:val="20"/>
                <w:color w:val="auto"/>
              </w:rPr>
            </w:pPr>
            <w:r>
              <w:rPr>
                <w:rFonts w:ascii="Arial" w:cs="Arial" w:eastAsia="Arial" w:hAnsi="Arial"/>
                <w:sz w:val="14"/>
                <w:szCs w:val="14"/>
                <w:b w:val="1"/>
                <w:bCs w:val="1"/>
                <w:color w:val="auto"/>
              </w:rPr>
              <w:t>Three Months Ended</w:t>
            </w:r>
          </w:p>
        </w:tc>
        <w:tc>
          <w:tcPr>
            <w:tcW w:w="1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00" w:type="dxa"/>
            <w:vAlign w:val="bottom"/>
            <w:gridSpan w:val="5"/>
          </w:tcPr>
          <w:p>
            <w:pPr>
              <w:ind w:left="100"/>
              <w:spacing w:after="0"/>
              <w:rPr>
                <w:sz w:val="20"/>
                <w:szCs w:val="20"/>
                <w:color w:val="auto"/>
              </w:rPr>
            </w:pPr>
            <w:r>
              <w:rPr>
                <w:rFonts w:ascii="Arial" w:cs="Arial" w:eastAsia="Arial" w:hAnsi="Arial"/>
                <w:sz w:val="14"/>
                <w:szCs w:val="14"/>
                <w:b w:val="1"/>
                <w:bCs w:val="1"/>
                <w:color w:val="auto"/>
              </w:rPr>
              <w:t>Nine Months Ended</w:t>
            </w:r>
          </w:p>
        </w:tc>
        <w:tc>
          <w:tcPr>
            <w:tcW w:w="1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53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900" w:type="dxa"/>
            <w:vAlign w:val="bottom"/>
            <w:gridSpan w:val="5"/>
          </w:tcPr>
          <w:p>
            <w:pPr>
              <w:jc w:val="center"/>
              <w:ind w:right="280"/>
              <w:spacing w:after="0"/>
              <w:rPr>
                <w:sz w:val="20"/>
                <w:szCs w:val="20"/>
                <w:color w:val="auto"/>
              </w:rPr>
            </w:pPr>
            <w:r>
              <w:rPr>
                <w:rFonts w:ascii="Arial" w:cs="Arial" w:eastAsia="Arial" w:hAnsi="Arial"/>
                <w:sz w:val="14"/>
                <w:szCs w:val="14"/>
                <w:b w:val="1"/>
                <w:bCs w:val="1"/>
                <w:color w:val="auto"/>
              </w:rPr>
              <w:t>September 30,</w:t>
            </w: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0" w:type="dxa"/>
            <w:vAlign w:val="bottom"/>
            <w:gridSpan w:val="5"/>
          </w:tcPr>
          <w:p>
            <w:pPr>
              <w:ind w:left="280"/>
              <w:spacing w:after="0"/>
              <w:rPr>
                <w:sz w:val="20"/>
                <w:szCs w:val="20"/>
                <w:color w:val="auto"/>
              </w:rPr>
            </w:pPr>
            <w:r>
              <w:rPr>
                <w:rFonts w:ascii="Arial" w:cs="Arial" w:eastAsia="Arial" w:hAnsi="Arial"/>
                <w:sz w:val="14"/>
                <w:szCs w:val="14"/>
                <w:b w:val="1"/>
                <w:bCs w:val="1"/>
                <w:color w:val="auto"/>
              </w:rPr>
              <w:t>September 30,</w:t>
            </w: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64"/>
        </w:trPr>
        <w:tc>
          <w:tcPr>
            <w:tcW w:w="5380" w:type="dxa"/>
            <w:vAlign w:val="bottom"/>
          </w:tcPr>
          <w:p>
            <w:pPr>
              <w:ind w:left="40"/>
              <w:spacing w:after="0"/>
              <w:rPr>
                <w:sz w:val="20"/>
                <w:szCs w:val="20"/>
                <w:color w:val="auto"/>
              </w:rPr>
            </w:pPr>
            <w:r>
              <w:rPr>
                <w:rFonts w:ascii="Arial" w:cs="Arial" w:eastAsia="Arial" w:hAnsi="Arial"/>
                <w:sz w:val="14"/>
                <w:szCs w:val="14"/>
                <w:i w:val="1"/>
                <w:iCs w:val="1"/>
                <w:color w:val="auto"/>
              </w:rPr>
              <w:t>(Dollar amounts in thousands)</w:t>
            </w:r>
          </w:p>
        </w:tc>
        <w:tc>
          <w:tcPr>
            <w:tcW w:w="200" w:type="dxa"/>
            <w:vAlign w:val="bottom"/>
            <w:tcBorders>
              <w:top w:val="single" w:sz="8" w:color="auto"/>
            </w:tcBorders>
          </w:tcPr>
          <w:p>
            <w:pPr>
              <w:spacing w:after="0"/>
              <w:rPr>
                <w:sz w:val="22"/>
                <w:szCs w:val="22"/>
                <w:color w:val="auto"/>
              </w:rPr>
            </w:pPr>
          </w:p>
        </w:tc>
        <w:tc>
          <w:tcPr>
            <w:tcW w:w="740" w:type="dxa"/>
            <w:vAlign w:val="bottom"/>
            <w:tcBorders>
              <w:top w:val="single" w:sz="8" w:color="auto"/>
            </w:tcBorders>
          </w:tcPr>
          <w:p>
            <w:pPr>
              <w:jc w:val="right"/>
              <w:ind w:right="248"/>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top w:val="single" w:sz="8" w:color="auto"/>
            </w:tcBorders>
          </w:tcPr>
          <w:p>
            <w:pPr>
              <w:spacing w:after="0"/>
              <w:rPr>
                <w:sz w:val="22"/>
                <w:szCs w:val="22"/>
                <w:color w:val="auto"/>
              </w:rPr>
            </w:pPr>
          </w:p>
        </w:tc>
        <w:tc>
          <w:tcPr>
            <w:tcW w:w="200" w:type="dxa"/>
            <w:vAlign w:val="bottom"/>
            <w:tcBorders>
              <w:top w:val="single" w:sz="8" w:color="auto"/>
            </w:tcBorders>
          </w:tcPr>
          <w:p>
            <w:pPr>
              <w:spacing w:after="0"/>
              <w:rPr>
                <w:sz w:val="22"/>
                <w:szCs w:val="22"/>
                <w:color w:val="auto"/>
              </w:rPr>
            </w:pPr>
          </w:p>
        </w:tc>
        <w:tc>
          <w:tcPr>
            <w:tcW w:w="720" w:type="dxa"/>
            <w:vAlign w:val="bottom"/>
            <w:tcBorders>
              <w:top w:val="single" w:sz="8" w:color="auto"/>
            </w:tcBorders>
          </w:tcPr>
          <w:p>
            <w:pPr>
              <w:jc w:val="right"/>
              <w:ind w:right="228"/>
              <w:spacing w:after="0"/>
              <w:rPr>
                <w:sz w:val="20"/>
                <w:szCs w:val="20"/>
                <w:color w:val="auto"/>
              </w:rPr>
            </w:pPr>
            <w:r>
              <w:rPr>
                <w:rFonts w:ascii="Arial" w:cs="Arial" w:eastAsia="Arial" w:hAnsi="Arial"/>
                <w:sz w:val="14"/>
                <w:szCs w:val="14"/>
                <w:b w:val="1"/>
                <w:bCs w:val="1"/>
                <w:color w:val="auto"/>
              </w:rPr>
              <w:t>2016</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80" w:type="dxa"/>
            <w:vAlign w:val="bottom"/>
            <w:gridSpan w:val="2"/>
          </w:tcPr>
          <w:p>
            <w:pPr>
              <w:ind w:left="60"/>
              <w:spacing w:after="0"/>
              <w:rPr>
                <w:sz w:val="20"/>
                <w:szCs w:val="20"/>
                <w:color w:val="auto"/>
              </w:rPr>
            </w:pPr>
            <w:r>
              <w:rPr>
                <w:rFonts w:ascii="Arial" w:cs="Arial" w:eastAsia="Arial" w:hAnsi="Arial"/>
                <w:sz w:val="14"/>
                <w:szCs w:val="14"/>
                <w:b w:val="1"/>
                <w:bCs w:val="1"/>
                <w:color w:val="auto"/>
              </w:rPr>
              <w:t>Change</w:t>
            </w:r>
          </w:p>
        </w:tc>
        <w:tc>
          <w:tcPr>
            <w:tcW w:w="200" w:type="dxa"/>
            <w:vAlign w:val="bottom"/>
            <w:tcBorders>
              <w:top w:val="single" w:sz="8" w:color="auto"/>
            </w:tcBorders>
          </w:tcPr>
          <w:p>
            <w:pPr>
              <w:spacing w:after="0"/>
              <w:rPr>
                <w:sz w:val="22"/>
                <w:szCs w:val="22"/>
                <w:color w:val="auto"/>
              </w:rPr>
            </w:pPr>
          </w:p>
        </w:tc>
        <w:tc>
          <w:tcPr>
            <w:tcW w:w="700" w:type="dxa"/>
            <w:vAlign w:val="bottom"/>
            <w:tcBorders>
              <w:top w:val="single" w:sz="8" w:color="auto"/>
            </w:tcBorders>
          </w:tcPr>
          <w:p>
            <w:pPr>
              <w:ind w:left="100"/>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top w:val="single" w:sz="8" w:color="auto"/>
            </w:tcBorders>
          </w:tcPr>
          <w:p>
            <w:pPr>
              <w:spacing w:after="0"/>
              <w:rPr>
                <w:sz w:val="22"/>
                <w:szCs w:val="22"/>
                <w:color w:val="auto"/>
              </w:rPr>
            </w:pPr>
          </w:p>
        </w:tc>
        <w:tc>
          <w:tcPr>
            <w:tcW w:w="200" w:type="dxa"/>
            <w:vAlign w:val="bottom"/>
            <w:tcBorders>
              <w:top w:val="single" w:sz="8" w:color="auto"/>
            </w:tcBorders>
          </w:tcPr>
          <w:p>
            <w:pPr>
              <w:spacing w:after="0"/>
              <w:rPr>
                <w:sz w:val="22"/>
                <w:szCs w:val="22"/>
                <w:color w:val="auto"/>
              </w:rPr>
            </w:pPr>
          </w:p>
        </w:tc>
        <w:tc>
          <w:tcPr>
            <w:tcW w:w="700" w:type="dxa"/>
            <w:vAlign w:val="bottom"/>
            <w:tcBorders>
              <w:top w:val="single" w:sz="8" w:color="auto"/>
            </w:tcBorders>
          </w:tcPr>
          <w:p>
            <w:pPr>
              <w:jc w:val="right"/>
              <w:ind w:right="208"/>
              <w:spacing w:after="0"/>
              <w:rPr>
                <w:sz w:val="20"/>
                <w:szCs w:val="20"/>
                <w:color w:val="auto"/>
              </w:rPr>
            </w:pPr>
            <w:r>
              <w:rPr>
                <w:rFonts w:ascii="Arial" w:cs="Arial" w:eastAsia="Arial" w:hAnsi="Arial"/>
                <w:sz w:val="14"/>
                <w:szCs w:val="14"/>
                <w:b w:val="1"/>
                <w:bCs w:val="1"/>
                <w:color w:val="auto"/>
              </w:rPr>
              <w:t>2016</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40" w:type="dxa"/>
            <w:vAlign w:val="bottom"/>
          </w:tcPr>
          <w:p>
            <w:pPr>
              <w:jc w:val="right"/>
              <w:ind w:right="108"/>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250"/>
        </w:trPr>
        <w:tc>
          <w:tcPr>
            <w:tcW w:w="5380" w:type="dxa"/>
            <w:vAlign w:val="bottom"/>
          </w:tcPr>
          <w:p>
            <w:pPr>
              <w:ind w:left="40"/>
              <w:spacing w:after="0"/>
              <w:rPr>
                <w:sz w:val="20"/>
                <w:szCs w:val="20"/>
                <w:color w:val="auto"/>
              </w:rPr>
            </w:pPr>
            <w:r>
              <w:rPr>
                <w:rFonts w:ascii="Arial" w:cs="Arial" w:eastAsia="Arial" w:hAnsi="Arial"/>
                <w:sz w:val="14"/>
                <w:szCs w:val="14"/>
                <w:b w:val="1"/>
                <w:bCs w:val="1"/>
                <w:color w:val="auto"/>
              </w:rPr>
              <w:t>Net loss attributable to shareholders</w:t>
            </w:r>
          </w:p>
        </w:tc>
        <w:tc>
          <w:tcPr>
            <w:tcW w:w="200" w:type="dxa"/>
            <w:vAlign w:val="bottom"/>
            <w:tcBorders>
              <w:top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w:t>
            </w:r>
          </w:p>
        </w:tc>
        <w:tc>
          <w:tcPr>
            <w:tcW w:w="740" w:type="dxa"/>
            <w:vAlign w:val="bottom"/>
            <w:tcBorders>
              <w:top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(3,150)</w:t>
            </w:r>
          </w:p>
        </w:tc>
        <w:tc>
          <w:tcPr>
            <w:tcW w:w="120" w:type="dxa"/>
            <w:vAlign w:val="bottom"/>
          </w:tcPr>
          <w:p>
            <w:pPr>
              <w:spacing w:after="0"/>
              <w:rPr>
                <w:sz w:val="21"/>
                <w:szCs w:val="21"/>
                <w:color w:val="auto"/>
              </w:rPr>
            </w:pPr>
          </w:p>
        </w:tc>
        <w:tc>
          <w:tcPr>
            <w:tcW w:w="200" w:type="dxa"/>
            <w:vAlign w:val="bottom"/>
            <w:tcBorders>
              <w:top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(620)</w:t>
            </w:r>
          </w:p>
        </w:tc>
        <w:tc>
          <w:tcPr>
            <w:tcW w:w="120" w:type="dxa"/>
            <w:vAlign w:val="bottom"/>
          </w:tcPr>
          <w:p>
            <w:pPr>
              <w:spacing w:after="0"/>
              <w:rPr>
                <w:sz w:val="21"/>
                <w:szCs w:val="21"/>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80" w:type="dxa"/>
            <w:vAlign w:val="bottom"/>
            <w:tcBorders>
              <w:top w:val="single" w:sz="8" w:color="auto"/>
            </w:tcBorders>
          </w:tcPr>
          <w:p>
            <w:pPr>
              <w:jc w:val="right"/>
              <w:ind w:right="8"/>
              <w:spacing w:after="0"/>
              <w:rPr>
                <w:sz w:val="20"/>
                <w:szCs w:val="20"/>
                <w:color w:val="auto"/>
              </w:rPr>
            </w:pPr>
            <w:r>
              <w:rPr>
                <w:rFonts w:ascii="Arial" w:cs="Arial" w:eastAsia="Arial" w:hAnsi="Arial"/>
                <w:sz w:val="14"/>
                <w:szCs w:val="14"/>
                <w:color w:val="auto"/>
              </w:rPr>
              <w:t>(2,530)</w:t>
            </w:r>
          </w:p>
        </w:tc>
        <w:tc>
          <w:tcPr>
            <w:tcW w:w="100" w:type="dxa"/>
            <w:vAlign w:val="bottom"/>
          </w:tcPr>
          <w:p>
            <w:pPr>
              <w:spacing w:after="0"/>
              <w:rPr>
                <w:sz w:val="21"/>
                <w:szCs w:val="21"/>
                <w:color w:val="auto"/>
              </w:rPr>
            </w:pPr>
          </w:p>
        </w:tc>
        <w:tc>
          <w:tcPr>
            <w:tcW w:w="200" w:type="dxa"/>
            <w:vAlign w:val="bottom"/>
            <w:tcBorders>
              <w:top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w:t>
            </w: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auto"/>
              </w:rPr>
              <w:t>(4,815)</w:t>
            </w:r>
          </w:p>
        </w:tc>
        <w:tc>
          <w:tcPr>
            <w:tcW w:w="100" w:type="dxa"/>
            <w:vAlign w:val="bottom"/>
          </w:tcPr>
          <w:p>
            <w:pPr>
              <w:spacing w:after="0"/>
              <w:rPr>
                <w:sz w:val="21"/>
                <w:szCs w:val="21"/>
                <w:color w:val="auto"/>
              </w:rPr>
            </w:pPr>
          </w:p>
        </w:tc>
        <w:tc>
          <w:tcPr>
            <w:tcW w:w="200" w:type="dxa"/>
            <w:vAlign w:val="bottom"/>
            <w:tcBorders>
              <w:top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(621)</w:t>
            </w:r>
          </w:p>
        </w:tc>
        <w:tc>
          <w:tcPr>
            <w:tcW w:w="100" w:type="dxa"/>
            <w:vAlign w:val="bottom"/>
          </w:tcPr>
          <w:p>
            <w:pPr>
              <w:spacing w:after="0"/>
              <w:rPr>
                <w:sz w:val="21"/>
                <w:szCs w:val="21"/>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(4,194)</w:t>
            </w:r>
          </w:p>
        </w:tc>
        <w:tc>
          <w:tcPr>
            <w:tcW w:w="0" w:type="dxa"/>
            <w:vAlign w:val="bottom"/>
          </w:tcPr>
          <w:p>
            <w:pPr>
              <w:spacing w:after="0"/>
              <w:rPr>
                <w:sz w:val="1"/>
                <w:szCs w:val="1"/>
                <w:color w:val="auto"/>
              </w:rPr>
            </w:pPr>
          </w:p>
        </w:tc>
      </w:tr>
      <w:tr>
        <w:trPr>
          <w:trHeight w:val="271"/>
        </w:trPr>
        <w:tc>
          <w:tcPr>
            <w:tcW w:w="5380" w:type="dxa"/>
            <w:vAlign w:val="bottom"/>
            <w:shd w:val="clear" w:color="auto" w:fill="CCEEFF"/>
          </w:tcPr>
          <w:p>
            <w:pPr>
              <w:ind w:left="40"/>
              <w:spacing w:after="0"/>
              <w:rPr>
                <w:sz w:val="20"/>
                <w:szCs w:val="20"/>
                <w:color w:val="auto"/>
              </w:rPr>
            </w:pPr>
            <w:r>
              <w:rPr>
                <w:rFonts w:ascii="Arial" w:cs="Arial" w:eastAsia="Arial" w:hAnsi="Arial"/>
                <w:sz w:val="14"/>
                <w:szCs w:val="14"/>
                <w:color w:val="auto"/>
              </w:rPr>
              <w:t>Add: Benefit from income taxes</w:t>
            </w:r>
          </w:p>
        </w:tc>
        <w:tc>
          <w:tcPr>
            <w:tcW w:w="200" w:type="dxa"/>
            <w:vAlign w:val="bottom"/>
            <w:shd w:val="clear" w:color="auto" w:fill="CCEEFF"/>
          </w:tcPr>
          <w:p>
            <w:pPr>
              <w:spacing w:after="0"/>
              <w:rPr>
                <w:sz w:val="23"/>
                <w:szCs w:val="23"/>
                <w:color w:val="auto"/>
              </w:rPr>
            </w:pPr>
          </w:p>
        </w:tc>
        <w:tc>
          <w:tcPr>
            <w:tcW w:w="86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b w:val="1"/>
                <w:bCs w:val="1"/>
                <w:color w:val="auto"/>
              </w:rPr>
              <w:t>—</w:t>
            </w:r>
          </w:p>
        </w:tc>
        <w:tc>
          <w:tcPr>
            <w:tcW w:w="200" w:type="dxa"/>
            <w:vAlign w:val="bottom"/>
            <w:shd w:val="clear" w:color="auto" w:fill="CCEEFF"/>
          </w:tcPr>
          <w:p>
            <w:pPr>
              <w:spacing w:after="0"/>
              <w:rPr>
                <w:sz w:val="23"/>
                <w:szCs w:val="23"/>
                <w:color w:val="auto"/>
              </w:rPr>
            </w:pPr>
          </w:p>
        </w:tc>
        <w:tc>
          <w:tcPr>
            <w:tcW w:w="7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w:t>
            </w: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7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(4)</w:t>
            </w: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b w:val="1"/>
                <w:bCs w:val="1"/>
                <w:color w:val="auto"/>
              </w:rPr>
              <w:t>—</w:t>
            </w:r>
          </w:p>
        </w:tc>
        <w:tc>
          <w:tcPr>
            <w:tcW w:w="200" w:type="dxa"/>
            <w:vAlign w:val="bottom"/>
            <w:shd w:val="clear" w:color="auto" w:fill="CCEEFF"/>
          </w:tcPr>
          <w:p>
            <w:pPr>
              <w:spacing w:after="0"/>
              <w:rPr>
                <w:sz w:val="23"/>
                <w:szCs w:val="23"/>
                <w:color w:val="auto"/>
              </w:rPr>
            </w:pPr>
          </w:p>
        </w:tc>
        <w:tc>
          <w:tcPr>
            <w:tcW w:w="7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w:t>
            </w: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w:t>
            </w:r>
          </w:p>
        </w:tc>
        <w:tc>
          <w:tcPr>
            <w:tcW w:w="0" w:type="dxa"/>
            <w:vAlign w:val="bottom"/>
          </w:tcPr>
          <w:p>
            <w:pPr>
              <w:spacing w:after="0"/>
              <w:rPr>
                <w:sz w:val="1"/>
                <w:szCs w:val="1"/>
                <w:color w:val="auto"/>
              </w:rPr>
            </w:pPr>
          </w:p>
        </w:tc>
      </w:tr>
      <w:tr>
        <w:trPr>
          <w:trHeight w:val="269"/>
        </w:trPr>
        <w:tc>
          <w:tcPr>
            <w:tcW w:w="5380" w:type="dxa"/>
            <w:vAlign w:val="bottom"/>
          </w:tcPr>
          <w:p>
            <w:pPr>
              <w:ind w:left="40"/>
              <w:spacing w:after="0"/>
              <w:rPr>
                <w:sz w:val="20"/>
                <w:szCs w:val="20"/>
                <w:color w:val="auto"/>
              </w:rPr>
            </w:pPr>
            <w:r>
              <w:rPr>
                <w:rFonts w:ascii="Arial" w:cs="Arial" w:eastAsia="Arial" w:hAnsi="Arial"/>
                <w:sz w:val="14"/>
                <w:szCs w:val="14"/>
                <w:color w:val="auto"/>
              </w:rPr>
              <w:t>Add: Equity-based compensation expense</w:t>
            </w:r>
          </w:p>
        </w:tc>
        <w:tc>
          <w:tcPr>
            <w:tcW w:w="200" w:type="dxa"/>
            <w:vAlign w:val="bottom"/>
          </w:tcPr>
          <w:p>
            <w:pPr>
              <w:spacing w:after="0"/>
              <w:rPr>
                <w:sz w:val="23"/>
                <w:szCs w:val="23"/>
                <w:color w:val="auto"/>
              </w:rPr>
            </w:pPr>
          </w:p>
        </w:tc>
        <w:tc>
          <w:tcPr>
            <w:tcW w:w="86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rPr>
              <w:t>—</w:t>
            </w:r>
          </w:p>
        </w:tc>
        <w:tc>
          <w:tcPr>
            <w:tcW w:w="200" w:type="dxa"/>
            <w:vAlign w:val="bottom"/>
          </w:tcPr>
          <w:p>
            <w:pPr>
              <w:spacing w:after="0"/>
              <w:rPr>
                <w:sz w:val="23"/>
                <w:szCs w:val="23"/>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3"/>
                <w:szCs w:val="23"/>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3"/>
                <w:szCs w:val="23"/>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rPr>
              <w:t>—</w:t>
            </w:r>
          </w:p>
        </w:tc>
        <w:tc>
          <w:tcPr>
            <w:tcW w:w="200" w:type="dxa"/>
            <w:vAlign w:val="bottom"/>
          </w:tcPr>
          <w:p>
            <w:pPr>
              <w:spacing w:after="0"/>
              <w:rPr>
                <w:sz w:val="23"/>
                <w:szCs w:val="23"/>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3"/>
                <w:szCs w:val="23"/>
                <w:color w:val="auto"/>
              </w:rPr>
            </w:pPr>
          </w:p>
        </w:tc>
        <w:tc>
          <w:tcPr>
            <w:tcW w:w="74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1"/>
        </w:trPr>
        <w:tc>
          <w:tcPr>
            <w:tcW w:w="5380" w:type="dxa"/>
            <w:vAlign w:val="bottom"/>
            <w:shd w:val="clear" w:color="auto" w:fill="CCEEFF"/>
          </w:tcPr>
          <w:p>
            <w:pPr>
              <w:ind w:left="40"/>
              <w:spacing w:after="0"/>
              <w:rPr>
                <w:sz w:val="20"/>
                <w:szCs w:val="20"/>
                <w:color w:val="auto"/>
              </w:rPr>
            </w:pPr>
            <w:r>
              <w:rPr>
                <w:rFonts w:ascii="Arial" w:cs="Arial" w:eastAsia="Arial" w:hAnsi="Arial"/>
                <w:sz w:val="14"/>
                <w:szCs w:val="14"/>
                <w:color w:val="auto"/>
              </w:rPr>
              <w:t>Add: Acquisition and transaction expenses</w:t>
            </w:r>
          </w:p>
        </w:tc>
        <w:tc>
          <w:tcPr>
            <w:tcW w:w="200" w:type="dxa"/>
            <w:vAlign w:val="bottom"/>
            <w:shd w:val="clear" w:color="auto" w:fill="CCEEFF"/>
          </w:tcPr>
          <w:p>
            <w:pPr>
              <w:spacing w:after="0"/>
              <w:rPr>
                <w:sz w:val="23"/>
                <w:szCs w:val="23"/>
                <w:color w:val="auto"/>
              </w:rPr>
            </w:pPr>
          </w:p>
        </w:tc>
        <w:tc>
          <w:tcPr>
            <w:tcW w:w="86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b w:val="1"/>
                <w:bCs w:val="1"/>
                <w:color w:val="auto"/>
              </w:rPr>
              <w:t>—</w:t>
            </w:r>
          </w:p>
        </w:tc>
        <w:tc>
          <w:tcPr>
            <w:tcW w:w="200" w:type="dxa"/>
            <w:vAlign w:val="bottom"/>
            <w:shd w:val="clear" w:color="auto" w:fill="CCEEFF"/>
          </w:tcPr>
          <w:p>
            <w:pPr>
              <w:spacing w:after="0"/>
              <w:rPr>
                <w:sz w:val="23"/>
                <w:szCs w:val="23"/>
                <w:color w:val="auto"/>
              </w:rPr>
            </w:pP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3"/>
                <w:szCs w:val="23"/>
                <w:color w:val="auto"/>
              </w:rPr>
            </w:pP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23"/>
                <w:szCs w:val="23"/>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b w:val="1"/>
                <w:bCs w:val="1"/>
                <w:color w:val="auto"/>
              </w:rPr>
              <w:t>—</w:t>
            </w:r>
          </w:p>
        </w:tc>
        <w:tc>
          <w:tcPr>
            <w:tcW w:w="200" w:type="dxa"/>
            <w:vAlign w:val="bottom"/>
            <w:shd w:val="clear" w:color="auto" w:fill="CCEEFF"/>
          </w:tcPr>
          <w:p>
            <w:pPr>
              <w:spacing w:after="0"/>
              <w:rPr>
                <w:sz w:val="23"/>
                <w:szCs w:val="23"/>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3"/>
                <w:szCs w:val="23"/>
                <w:color w:val="auto"/>
              </w:rPr>
            </w:pPr>
          </w:p>
        </w:tc>
        <w:tc>
          <w:tcPr>
            <w:tcW w:w="7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6"/>
        </w:trPr>
        <w:tc>
          <w:tcPr>
            <w:tcW w:w="5380" w:type="dxa"/>
            <w:vAlign w:val="bottom"/>
          </w:tcPr>
          <w:p>
            <w:pPr>
              <w:ind w:left="40"/>
              <w:spacing w:after="0"/>
              <w:rPr>
                <w:sz w:val="20"/>
                <w:szCs w:val="20"/>
                <w:color w:val="auto"/>
              </w:rPr>
            </w:pPr>
            <w:r>
              <w:rPr>
                <w:rFonts w:ascii="Arial" w:cs="Arial" w:eastAsia="Arial" w:hAnsi="Arial"/>
                <w:sz w:val="14"/>
                <w:szCs w:val="14"/>
                <w:color w:val="auto"/>
              </w:rPr>
              <w:t>Add: Losses on the modification or extinguishment of debt and capital lease</w:t>
            </w:r>
          </w:p>
        </w:tc>
        <w:tc>
          <w:tcPr>
            <w:tcW w:w="200" w:type="dxa"/>
            <w:vAlign w:val="bottom"/>
          </w:tcPr>
          <w:p>
            <w:pPr>
              <w:spacing w:after="0"/>
              <w:rPr>
                <w:sz w:val="15"/>
                <w:szCs w:val="15"/>
                <w:color w:val="auto"/>
              </w:rPr>
            </w:pPr>
          </w:p>
        </w:tc>
        <w:tc>
          <w:tcPr>
            <w:tcW w:w="860" w:type="dxa"/>
            <w:vAlign w:val="bottom"/>
            <w:gridSpan w:val="2"/>
            <w:vMerge w:val="restart"/>
          </w:tcPr>
          <w:p>
            <w:pPr>
              <w:jc w:val="right"/>
              <w:ind w:right="240"/>
              <w:spacing w:after="0"/>
              <w:rPr>
                <w:sz w:val="20"/>
                <w:szCs w:val="20"/>
                <w:color w:val="auto"/>
              </w:rPr>
            </w:pPr>
            <w:r>
              <w:rPr>
                <w:rFonts w:ascii="Arial" w:cs="Arial" w:eastAsia="Arial" w:hAnsi="Arial"/>
                <w:sz w:val="14"/>
                <w:szCs w:val="14"/>
                <w:b w:val="1"/>
                <w:bCs w:val="1"/>
                <w:color w:val="auto"/>
              </w:rPr>
              <w:t>—</w:t>
            </w:r>
          </w:p>
        </w:tc>
        <w:tc>
          <w:tcPr>
            <w:tcW w:w="2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0" w:type="dxa"/>
            <w:vAlign w:val="bottom"/>
            <w:gridSpan w:val="2"/>
            <w:vMerge w:val="restart"/>
          </w:tcPr>
          <w:p>
            <w:pPr>
              <w:jc w:val="right"/>
              <w:ind w:right="200"/>
              <w:spacing w:after="0"/>
              <w:rPr>
                <w:sz w:val="20"/>
                <w:szCs w:val="20"/>
                <w:color w:val="auto"/>
              </w:rPr>
            </w:pPr>
            <w:r>
              <w:rPr>
                <w:rFonts w:ascii="Arial" w:cs="Arial" w:eastAsia="Arial" w:hAnsi="Arial"/>
                <w:sz w:val="14"/>
                <w:szCs w:val="14"/>
                <w:b w:val="1"/>
                <w:bCs w:val="1"/>
                <w:color w:val="auto"/>
              </w:rPr>
              <w:t>—</w:t>
            </w:r>
          </w:p>
        </w:tc>
        <w:tc>
          <w:tcPr>
            <w:tcW w:w="2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1"/>
        </w:trPr>
        <w:tc>
          <w:tcPr>
            <w:tcW w:w="5380" w:type="dxa"/>
            <w:vAlign w:val="bottom"/>
          </w:tcPr>
          <w:p>
            <w:pPr>
              <w:ind w:left="40"/>
              <w:spacing w:after="0"/>
              <w:rPr>
                <w:sz w:val="20"/>
                <w:szCs w:val="20"/>
                <w:color w:val="auto"/>
              </w:rPr>
            </w:pPr>
            <w:r>
              <w:rPr>
                <w:rFonts w:ascii="Arial" w:cs="Arial" w:eastAsia="Arial" w:hAnsi="Arial"/>
                <w:sz w:val="14"/>
                <w:szCs w:val="14"/>
                <w:color w:val="auto"/>
              </w:rPr>
              <w:t>obligations</w:t>
            </w:r>
          </w:p>
        </w:tc>
        <w:tc>
          <w:tcPr>
            <w:tcW w:w="200" w:type="dxa"/>
            <w:vAlign w:val="bottom"/>
          </w:tcPr>
          <w:p>
            <w:pPr>
              <w:spacing w:after="0"/>
              <w:rPr>
                <w:sz w:val="17"/>
                <w:szCs w:val="17"/>
                <w:color w:val="auto"/>
              </w:rPr>
            </w:pPr>
          </w:p>
        </w:tc>
        <w:tc>
          <w:tcPr>
            <w:tcW w:w="860" w:type="dxa"/>
            <w:vAlign w:val="bottom"/>
            <w:gridSpan w:val="2"/>
            <w:vMerge w:val="continue"/>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7"/>
                <w:szCs w:val="17"/>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7"/>
                <w:szCs w:val="17"/>
                <w:color w:val="auto"/>
              </w:rPr>
            </w:pPr>
          </w:p>
        </w:tc>
        <w:tc>
          <w:tcPr>
            <w:tcW w:w="800" w:type="dxa"/>
            <w:vAlign w:val="bottom"/>
            <w:gridSpan w:val="2"/>
            <w:vMerge w:val="continue"/>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7"/>
                <w:szCs w:val="17"/>
                <w:color w:val="auto"/>
              </w:rPr>
            </w:pPr>
          </w:p>
        </w:tc>
        <w:tc>
          <w:tcPr>
            <w:tcW w:w="74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1"/>
        </w:trPr>
        <w:tc>
          <w:tcPr>
            <w:tcW w:w="5380" w:type="dxa"/>
            <w:vAlign w:val="bottom"/>
            <w:shd w:val="clear" w:color="auto" w:fill="CCEEFF"/>
          </w:tcPr>
          <w:p>
            <w:pPr>
              <w:ind w:left="40"/>
              <w:spacing w:after="0"/>
              <w:rPr>
                <w:sz w:val="20"/>
                <w:szCs w:val="20"/>
                <w:color w:val="auto"/>
              </w:rPr>
            </w:pPr>
            <w:r>
              <w:rPr>
                <w:rFonts w:ascii="Arial" w:cs="Arial" w:eastAsia="Arial" w:hAnsi="Arial"/>
                <w:sz w:val="14"/>
                <w:szCs w:val="14"/>
                <w:color w:val="auto"/>
              </w:rPr>
              <w:t>Add: Changes in fair value of non-hedge derivative instruments</w:t>
            </w:r>
          </w:p>
        </w:tc>
        <w:tc>
          <w:tcPr>
            <w:tcW w:w="200" w:type="dxa"/>
            <w:vAlign w:val="bottom"/>
            <w:shd w:val="clear" w:color="auto" w:fill="CCEEFF"/>
          </w:tcPr>
          <w:p>
            <w:pPr>
              <w:spacing w:after="0"/>
              <w:rPr>
                <w:sz w:val="23"/>
                <w:szCs w:val="23"/>
                <w:color w:val="auto"/>
              </w:rPr>
            </w:pPr>
          </w:p>
        </w:tc>
        <w:tc>
          <w:tcPr>
            <w:tcW w:w="86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b w:val="1"/>
                <w:bCs w:val="1"/>
                <w:color w:val="auto"/>
              </w:rPr>
              <w:t>—</w:t>
            </w:r>
          </w:p>
        </w:tc>
        <w:tc>
          <w:tcPr>
            <w:tcW w:w="200" w:type="dxa"/>
            <w:vAlign w:val="bottom"/>
            <w:shd w:val="clear" w:color="auto" w:fill="CCEEFF"/>
          </w:tcPr>
          <w:p>
            <w:pPr>
              <w:spacing w:after="0"/>
              <w:rPr>
                <w:sz w:val="23"/>
                <w:szCs w:val="23"/>
                <w:color w:val="auto"/>
              </w:rPr>
            </w:pP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3"/>
                <w:szCs w:val="23"/>
                <w:color w:val="auto"/>
              </w:rPr>
            </w:pP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23"/>
                <w:szCs w:val="23"/>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b w:val="1"/>
                <w:bCs w:val="1"/>
                <w:color w:val="auto"/>
              </w:rPr>
              <w:t>—</w:t>
            </w:r>
          </w:p>
        </w:tc>
        <w:tc>
          <w:tcPr>
            <w:tcW w:w="200" w:type="dxa"/>
            <w:vAlign w:val="bottom"/>
            <w:shd w:val="clear" w:color="auto" w:fill="CCEEFF"/>
          </w:tcPr>
          <w:p>
            <w:pPr>
              <w:spacing w:after="0"/>
              <w:rPr>
                <w:sz w:val="23"/>
                <w:szCs w:val="23"/>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3"/>
                <w:szCs w:val="23"/>
                <w:color w:val="auto"/>
              </w:rPr>
            </w:pPr>
          </w:p>
        </w:tc>
        <w:tc>
          <w:tcPr>
            <w:tcW w:w="7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69"/>
        </w:trPr>
        <w:tc>
          <w:tcPr>
            <w:tcW w:w="5380" w:type="dxa"/>
            <w:vAlign w:val="bottom"/>
          </w:tcPr>
          <w:p>
            <w:pPr>
              <w:ind w:left="40"/>
              <w:spacing w:after="0"/>
              <w:rPr>
                <w:sz w:val="20"/>
                <w:szCs w:val="20"/>
                <w:color w:val="auto"/>
              </w:rPr>
            </w:pPr>
            <w:r>
              <w:rPr>
                <w:rFonts w:ascii="Arial" w:cs="Arial" w:eastAsia="Arial" w:hAnsi="Arial"/>
                <w:sz w:val="14"/>
                <w:szCs w:val="14"/>
                <w:color w:val="auto"/>
              </w:rPr>
              <w:t>Add: Asset impairment charges</w:t>
            </w:r>
          </w:p>
        </w:tc>
        <w:tc>
          <w:tcPr>
            <w:tcW w:w="200" w:type="dxa"/>
            <w:vAlign w:val="bottom"/>
          </w:tcPr>
          <w:p>
            <w:pPr>
              <w:spacing w:after="0"/>
              <w:rPr>
                <w:sz w:val="23"/>
                <w:szCs w:val="23"/>
                <w:color w:val="auto"/>
              </w:rPr>
            </w:pPr>
          </w:p>
        </w:tc>
        <w:tc>
          <w:tcPr>
            <w:tcW w:w="86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rPr>
              <w:t>—</w:t>
            </w:r>
          </w:p>
        </w:tc>
        <w:tc>
          <w:tcPr>
            <w:tcW w:w="200" w:type="dxa"/>
            <w:vAlign w:val="bottom"/>
          </w:tcPr>
          <w:p>
            <w:pPr>
              <w:spacing w:after="0"/>
              <w:rPr>
                <w:sz w:val="23"/>
                <w:szCs w:val="23"/>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3"/>
                <w:szCs w:val="23"/>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3"/>
                <w:szCs w:val="23"/>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rPr>
              <w:t>—</w:t>
            </w:r>
          </w:p>
        </w:tc>
        <w:tc>
          <w:tcPr>
            <w:tcW w:w="200" w:type="dxa"/>
            <w:vAlign w:val="bottom"/>
          </w:tcPr>
          <w:p>
            <w:pPr>
              <w:spacing w:after="0"/>
              <w:rPr>
                <w:sz w:val="23"/>
                <w:szCs w:val="23"/>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3"/>
                <w:szCs w:val="23"/>
                <w:color w:val="auto"/>
              </w:rPr>
            </w:pPr>
          </w:p>
        </w:tc>
        <w:tc>
          <w:tcPr>
            <w:tcW w:w="74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1"/>
        </w:trPr>
        <w:tc>
          <w:tcPr>
            <w:tcW w:w="5380" w:type="dxa"/>
            <w:vAlign w:val="bottom"/>
            <w:shd w:val="clear" w:color="auto" w:fill="CCEEFF"/>
          </w:tcPr>
          <w:p>
            <w:pPr>
              <w:ind w:left="40"/>
              <w:spacing w:after="0"/>
              <w:rPr>
                <w:sz w:val="20"/>
                <w:szCs w:val="20"/>
                <w:color w:val="auto"/>
              </w:rPr>
            </w:pPr>
            <w:r>
              <w:rPr>
                <w:rFonts w:ascii="Arial" w:cs="Arial" w:eastAsia="Arial" w:hAnsi="Arial"/>
                <w:sz w:val="14"/>
                <w:szCs w:val="14"/>
                <w:color w:val="auto"/>
              </w:rPr>
              <w:t>Add: Depreciation and amortization expense</w:t>
            </w:r>
          </w:p>
        </w:tc>
        <w:tc>
          <w:tcPr>
            <w:tcW w:w="200" w:type="dxa"/>
            <w:vAlign w:val="bottom"/>
            <w:shd w:val="clear" w:color="auto" w:fill="CCEEFF"/>
          </w:tcPr>
          <w:p>
            <w:pPr>
              <w:spacing w:after="0"/>
              <w:rPr>
                <w:sz w:val="23"/>
                <w:szCs w:val="23"/>
                <w:color w:val="auto"/>
              </w:rPr>
            </w:pPr>
          </w:p>
        </w:tc>
        <w:tc>
          <w:tcPr>
            <w:tcW w:w="74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783</w:t>
            </w: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3"/>
                <w:szCs w:val="23"/>
                <w:color w:val="auto"/>
              </w:rPr>
            </w:pPr>
          </w:p>
        </w:tc>
        <w:tc>
          <w:tcPr>
            <w:tcW w:w="7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783</w:t>
            </w: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70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868</w:t>
            </w: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3"/>
                <w:szCs w:val="23"/>
                <w:color w:val="auto"/>
              </w:rPr>
            </w:pPr>
          </w:p>
        </w:tc>
        <w:tc>
          <w:tcPr>
            <w:tcW w:w="7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868</w:t>
            </w:r>
          </w:p>
        </w:tc>
        <w:tc>
          <w:tcPr>
            <w:tcW w:w="0" w:type="dxa"/>
            <w:vAlign w:val="bottom"/>
          </w:tcPr>
          <w:p>
            <w:pPr>
              <w:spacing w:after="0"/>
              <w:rPr>
                <w:sz w:val="1"/>
                <w:szCs w:val="1"/>
                <w:color w:val="auto"/>
              </w:rPr>
            </w:pPr>
          </w:p>
        </w:tc>
      </w:tr>
      <w:tr>
        <w:trPr>
          <w:trHeight w:val="269"/>
        </w:trPr>
        <w:tc>
          <w:tcPr>
            <w:tcW w:w="5380" w:type="dxa"/>
            <w:vAlign w:val="bottom"/>
          </w:tcPr>
          <w:p>
            <w:pPr>
              <w:ind w:left="40"/>
              <w:spacing w:after="0"/>
              <w:rPr>
                <w:sz w:val="20"/>
                <w:szCs w:val="20"/>
                <w:color w:val="auto"/>
              </w:rPr>
            </w:pPr>
            <w:r>
              <w:rPr>
                <w:rFonts w:ascii="Arial" w:cs="Arial" w:eastAsia="Arial" w:hAnsi="Arial"/>
                <w:sz w:val="14"/>
                <w:szCs w:val="14"/>
                <w:color w:val="auto"/>
              </w:rPr>
              <w:t>Add: Interest expense</w:t>
            </w:r>
          </w:p>
        </w:tc>
        <w:tc>
          <w:tcPr>
            <w:tcW w:w="200" w:type="dxa"/>
            <w:vAlign w:val="bottom"/>
          </w:tcPr>
          <w:p>
            <w:pPr>
              <w:spacing w:after="0"/>
              <w:rPr>
                <w:sz w:val="23"/>
                <w:szCs w:val="23"/>
                <w:color w:val="auto"/>
              </w:rPr>
            </w:pPr>
          </w:p>
        </w:tc>
        <w:tc>
          <w:tcPr>
            <w:tcW w:w="740" w:type="dxa"/>
            <w:vAlign w:val="bottom"/>
          </w:tcPr>
          <w:p>
            <w:pPr>
              <w:jc w:val="right"/>
              <w:ind w:right="48"/>
              <w:spacing w:after="0"/>
              <w:rPr>
                <w:sz w:val="20"/>
                <w:szCs w:val="20"/>
                <w:color w:val="auto"/>
              </w:rPr>
            </w:pPr>
            <w:r>
              <w:rPr>
                <w:rFonts w:ascii="Arial" w:cs="Arial" w:eastAsia="Arial" w:hAnsi="Arial"/>
                <w:sz w:val="14"/>
                <w:szCs w:val="14"/>
                <w:b w:val="1"/>
                <w:bCs w:val="1"/>
                <w:color w:val="auto"/>
              </w:rPr>
              <w:t>273</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20" w:type="dxa"/>
            <w:vAlign w:val="bottom"/>
          </w:tcPr>
          <w:p>
            <w:pPr>
              <w:jc w:val="right"/>
              <w:ind w:right="48"/>
              <w:spacing w:after="0"/>
              <w:rPr>
                <w:sz w:val="20"/>
                <w:szCs w:val="20"/>
                <w:color w:val="auto"/>
              </w:rPr>
            </w:pPr>
            <w:r>
              <w:rPr>
                <w:rFonts w:ascii="Arial" w:cs="Arial" w:eastAsia="Arial" w:hAnsi="Arial"/>
                <w:sz w:val="14"/>
                <w:szCs w:val="14"/>
                <w:color w:val="auto"/>
              </w:rPr>
              <w:t>284</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80" w:type="dxa"/>
            <w:vAlign w:val="bottom"/>
          </w:tcPr>
          <w:p>
            <w:pPr>
              <w:jc w:val="right"/>
              <w:ind w:right="8"/>
              <w:spacing w:after="0"/>
              <w:rPr>
                <w:sz w:val="20"/>
                <w:szCs w:val="20"/>
                <w:color w:val="auto"/>
              </w:rPr>
            </w:pPr>
            <w:r>
              <w:rPr>
                <w:rFonts w:ascii="Arial" w:cs="Arial" w:eastAsia="Arial" w:hAnsi="Arial"/>
                <w:sz w:val="14"/>
                <w:szCs w:val="14"/>
                <w:color w:val="auto"/>
              </w:rPr>
              <w:t>(11)</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00" w:type="dxa"/>
            <w:vAlign w:val="bottom"/>
          </w:tcPr>
          <w:p>
            <w:pPr>
              <w:jc w:val="right"/>
              <w:ind w:right="28"/>
              <w:spacing w:after="0"/>
              <w:rPr>
                <w:sz w:val="20"/>
                <w:szCs w:val="20"/>
                <w:color w:val="auto"/>
              </w:rPr>
            </w:pPr>
            <w:r>
              <w:rPr>
                <w:rFonts w:ascii="Arial" w:cs="Arial" w:eastAsia="Arial" w:hAnsi="Arial"/>
                <w:sz w:val="14"/>
                <w:szCs w:val="14"/>
                <w:b w:val="1"/>
                <w:bCs w:val="1"/>
                <w:color w:val="auto"/>
              </w:rPr>
              <w:t>817</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00" w:type="dxa"/>
            <w:vAlign w:val="bottom"/>
          </w:tcPr>
          <w:p>
            <w:pPr>
              <w:jc w:val="right"/>
              <w:ind w:right="28"/>
              <w:spacing w:after="0"/>
              <w:rPr>
                <w:sz w:val="20"/>
                <w:szCs w:val="20"/>
                <w:color w:val="auto"/>
              </w:rPr>
            </w:pPr>
            <w:r>
              <w:rPr>
                <w:rFonts w:ascii="Arial" w:cs="Arial" w:eastAsia="Arial" w:hAnsi="Arial"/>
                <w:sz w:val="14"/>
                <w:szCs w:val="14"/>
                <w:color w:val="auto"/>
              </w:rPr>
              <w:t>284</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40" w:type="dxa"/>
            <w:vAlign w:val="bottom"/>
          </w:tcPr>
          <w:p>
            <w:pPr>
              <w:jc w:val="right"/>
              <w:ind w:right="28"/>
              <w:spacing w:after="0"/>
              <w:rPr>
                <w:sz w:val="20"/>
                <w:szCs w:val="20"/>
                <w:color w:val="auto"/>
              </w:rPr>
            </w:pPr>
            <w:r>
              <w:rPr>
                <w:rFonts w:ascii="Arial" w:cs="Arial" w:eastAsia="Arial" w:hAnsi="Arial"/>
                <w:sz w:val="14"/>
                <w:szCs w:val="14"/>
                <w:color w:val="auto"/>
              </w:rPr>
              <w:t>533</w:t>
            </w:r>
          </w:p>
        </w:tc>
        <w:tc>
          <w:tcPr>
            <w:tcW w:w="0" w:type="dxa"/>
            <w:vAlign w:val="bottom"/>
          </w:tcPr>
          <w:p>
            <w:pPr>
              <w:spacing w:after="0"/>
              <w:rPr>
                <w:sz w:val="1"/>
                <w:szCs w:val="1"/>
                <w:color w:val="auto"/>
              </w:rPr>
            </w:pPr>
          </w:p>
        </w:tc>
      </w:tr>
      <w:tr>
        <w:trPr>
          <w:trHeight w:val="271"/>
        </w:trPr>
        <w:tc>
          <w:tcPr>
            <w:tcW w:w="5380" w:type="dxa"/>
            <w:vAlign w:val="bottom"/>
            <w:shd w:val="clear" w:color="auto" w:fill="CCEEFF"/>
          </w:tcPr>
          <w:p>
            <w:pPr>
              <w:ind w:left="40"/>
              <w:spacing w:after="0"/>
              <w:rPr>
                <w:sz w:val="20"/>
                <w:szCs w:val="20"/>
                <w:color w:val="auto"/>
              </w:rPr>
            </w:pPr>
            <w:r>
              <w:rPr>
                <w:rFonts w:ascii="Arial" w:cs="Arial" w:eastAsia="Arial" w:hAnsi="Arial"/>
                <w:sz w:val="14"/>
                <w:szCs w:val="14"/>
                <w:color w:val="auto"/>
              </w:rPr>
              <w:t>Add: Pro-rata share of Adjusted EBITDA from unconsolidated entities</w:t>
            </w:r>
          </w:p>
        </w:tc>
        <w:tc>
          <w:tcPr>
            <w:tcW w:w="200" w:type="dxa"/>
            <w:vAlign w:val="bottom"/>
            <w:shd w:val="clear" w:color="auto" w:fill="CCEEFF"/>
          </w:tcPr>
          <w:p>
            <w:pPr>
              <w:spacing w:after="0"/>
              <w:rPr>
                <w:sz w:val="23"/>
                <w:szCs w:val="23"/>
                <w:color w:val="auto"/>
              </w:rPr>
            </w:pPr>
          </w:p>
        </w:tc>
        <w:tc>
          <w:tcPr>
            <w:tcW w:w="86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b w:val="1"/>
                <w:bCs w:val="1"/>
                <w:color w:val="auto"/>
              </w:rPr>
              <w:t>—</w:t>
            </w:r>
          </w:p>
        </w:tc>
        <w:tc>
          <w:tcPr>
            <w:tcW w:w="200" w:type="dxa"/>
            <w:vAlign w:val="bottom"/>
            <w:shd w:val="clear" w:color="auto" w:fill="CCEEFF"/>
          </w:tcPr>
          <w:p>
            <w:pPr>
              <w:spacing w:after="0"/>
              <w:rPr>
                <w:sz w:val="23"/>
                <w:szCs w:val="23"/>
                <w:color w:val="auto"/>
              </w:rPr>
            </w:pP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3"/>
                <w:szCs w:val="23"/>
                <w:color w:val="auto"/>
              </w:rPr>
            </w:pP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23"/>
                <w:szCs w:val="23"/>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b w:val="1"/>
                <w:bCs w:val="1"/>
                <w:color w:val="auto"/>
              </w:rPr>
              <w:t>—</w:t>
            </w:r>
          </w:p>
        </w:tc>
        <w:tc>
          <w:tcPr>
            <w:tcW w:w="200" w:type="dxa"/>
            <w:vAlign w:val="bottom"/>
            <w:shd w:val="clear" w:color="auto" w:fill="CCEEFF"/>
          </w:tcPr>
          <w:p>
            <w:pPr>
              <w:spacing w:after="0"/>
              <w:rPr>
                <w:sz w:val="23"/>
                <w:szCs w:val="23"/>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3"/>
                <w:szCs w:val="23"/>
                <w:color w:val="auto"/>
              </w:rPr>
            </w:pPr>
          </w:p>
        </w:tc>
        <w:tc>
          <w:tcPr>
            <w:tcW w:w="7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69"/>
        </w:trPr>
        <w:tc>
          <w:tcPr>
            <w:tcW w:w="5380" w:type="dxa"/>
            <w:vAlign w:val="bottom"/>
          </w:tcPr>
          <w:p>
            <w:pPr>
              <w:ind w:left="40"/>
              <w:spacing w:after="0"/>
              <w:rPr>
                <w:sz w:val="20"/>
                <w:szCs w:val="20"/>
                <w:color w:val="auto"/>
              </w:rPr>
            </w:pPr>
            <w:r>
              <w:rPr>
                <w:rFonts w:ascii="Arial" w:cs="Arial" w:eastAsia="Arial" w:hAnsi="Arial"/>
                <w:sz w:val="14"/>
                <w:szCs w:val="14"/>
                <w:color w:val="auto"/>
              </w:rPr>
              <w:t>Less: Equity in earnings of unconsolidated entities</w:t>
            </w:r>
          </w:p>
        </w:tc>
        <w:tc>
          <w:tcPr>
            <w:tcW w:w="200" w:type="dxa"/>
            <w:vAlign w:val="bottom"/>
          </w:tcPr>
          <w:p>
            <w:pPr>
              <w:spacing w:after="0"/>
              <w:rPr>
                <w:sz w:val="23"/>
                <w:szCs w:val="23"/>
                <w:color w:val="auto"/>
              </w:rPr>
            </w:pPr>
          </w:p>
        </w:tc>
        <w:tc>
          <w:tcPr>
            <w:tcW w:w="86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rPr>
              <w:t>—</w:t>
            </w:r>
          </w:p>
        </w:tc>
        <w:tc>
          <w:tcPr>
            <w:tcW w:w="200" w:type="dxa"/>
            <w:vAlign w:val="bottom"/>
          </w:tcPr>
          <w:p>
            <w:pPr>
              <w:spacing w:after="0"/>
              <w:rPr>
                <w:sz w:val="23"/>
                <w:szCs w:val="23"/>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3"/>
                <w:szCs w:val="23"/>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3"/>
                <w:szCs w:val="23"/>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rPr>
              <w:t>—</w:t>
            </w:r>
          </w:p>
        </w:tc>
        <w:tc>
          <w:tcPr>
            <w:tcW w:w="200" w:type="dxa"/>
            <w:vAlign w:val="bottom"/>
          </w:tcPr>
          <w:p>
            <w:pPr>
              <w:spacing w:after="0"/>
              <w:rPr>
                <w:sz w:val="23"/>
                <w:szCs w:val="23"/>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3"/>
                <w:szCs w:val="23"/>
                <w:color w:val="auto"/>
              </w:rPr>
            </w:pPr>
          </w:p>
        </w:tc>
        <w:tc>
          <w:tcPr>
            <w:tcW w:w="74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1"/>
        </w:trPr>
        <w:tc>
          <w:tcPr>
            <w:tcW w:w="5380" w:type="dxa"/>
            <w:vAlign w:val="bottom"/>
            <w:shd w:val="clear" w:color="auto" w:fill="CCEEFF"/>
          </w:tcPr>
          <w:p>
            <w:pPr>
              <w:ind w:left="40"/>
              <w:spacing w:after="0"/>
              <w:rPr>
                <w:sz w:val="20"/>
                <w:szCs w:val="20"/>
                <w:color w:val="auto"/>
              </w:rPr>
            </w:pPr>
            <w:r>
              <w:rPr>
                <w:rFonts w:ascii="Arial" w:cs="Arial" w:eastAsia="Arial" w:hAnsi="Arial"/>
                <w:sz w:val="14"/>
                <w:szCs w:val="14"/>
                <w:color w:val="auto"/>
              </w:rPr>
              <w:t xml:space="preserve">Less: Non-controlling share of Adjusted EBITDA </w:t>
            </w:r>
            <w:r>
              <w:rPr>
                <w:rFonts w:ascii="Arial" w:cs="Arial" w:eastAsia="Arial" w:hAnsi="Arial"/>
                <w:sz w:val="17"/>
                <w:szCs w:val="17"/>
                <w:color w:val="auto"/>
                <w:vertAlign w:val="superscript"/>
              </w:rPr>
              <w:t>(1)</w:t>
            </w:r>
          </w:p>
        </w:tc>
        <w:tc>
          <w:tcPr>
            <w:tcW w:w="200" w:type="dxa"/>
            <w:vAlign w:val="bottom"/>
            <w:shd w:val="clear" w:color="auto" w:fill="CCEEFF"/>
          </w:tcPr>
          <w:p>
            <w:pPr>
              <w:spacing w:after="0"/>
              <w:rPr>
                <w:sz w:val="23"/>
                <w:szCs w:val="23"/>
                <w:color w:val="auto"/>
              </w:rPr>
            </w:pPr>
          </w:p>
        </w:tc>
        <w:tc>
          <w:tcPr>
            <w:tcW w:w="86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b w:val="1"/>
                <w:bCs w:val="1"/>
                <w:color w:val="auto"/>
              </w:rPr>
              <w:t>—</w:t>
            </w:r>
          </w:p>
        </w:tc>
        <w:tc>
          <w:tcPr>
            <w:tcW w:w="200" w:type="dxa"/>
            <w:vAlign w:val="bottom"/>
            <w:shd w:val="clear" w:color="auto" w:fill="CCEEFF"/>
          </w:tcPr>
          <w:p>
            <w:pPr>
              <w:spacing w:after="0"/>
              <w:rPr>
                <w:sz w:val="23"/>
                <w:szCs w:val="23"/>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w:t>
            </w: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7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28</w:t>
            </w: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b w:val="1"/>
                <w:bCs w:val="1"/>
                <w:color w:val="auto"/>
              </w:rPr>
              <w:t>—</w:t>
            </w:r>
          </w:p>
        </w:tc>
        <w:tc>
          <w:tcPr>
            <w:tcW w:w="200" w:type="dxa"/>
            <w:vAlign w:val="bottom"/>
            <w:shd w:val="clear" w:color="auto" w:fill="CCEEFF"/>
          </w:tcPr>
          <w:p>
            <w:pPr>
              <w:spacing w:after="0"/>
              <w:rPr>
                <w:sz w:val="23"/>
                <w:szCs w:val="23"/>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w:t>
            </w: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7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28</w:t>
            </w:r>
          </w:p>
        </w:tc>
        <w:tc>
          <w:tcPr>
            <w:tcW w:w="0" w:type="dxa"/>
            <w:vAlign w:val="bottom"/>
          </w:tcPr>
          <w:p>
            <w:pPr>
              <w:spacing w:after="0"/>
              <w:rPr>
                <w:sz w:val="1"/>
                <w:szCs w:val="1"/>
                <w:color w:val="auto"/>
              </w:rPr>
            </w:pPr>
          </w:p>
        </w:tc>
      </w:tr>
      <w:tr>
        <w:trPr>
          <w:trHeight w:val="237"/>
        </w:trPr>
        <w:tc>
          <w:tcPr>
            <w:tcW w:w="5380" w:type="dxa"/>
            <w:vAlign w:val="bottom"/>
          </w:tcPr>
          <w:p>
            <w:pPr>
              <w:ind w:left="40"/>
              <w:spacing w:after="0"/>
              <w:rPr>
                <w:sz w:val="20"/>
                <w:szCs w:val="20"/>
                <w:color w:val="auto"/>
              </w:rPr>
            </w:pPr>
            <w:r>
              <w:rPr>
                <w:rFonts w:ascii="Arial" w:cs="Arial" w:eastAsia="Arial" w:hAnsi="Arial"/>
                <w:sz w:val="14"/>
                <w:szCs w:val="14"/>
                <w:b w:val="1"/>
                <w:bCs w:val="1"/>
                <w:color w:val="auto"/>
              </w:rPr>
              <w:t>Adjusted EBITDA</w:t>
            </w:r>
          </w:p>
        </w:tc>
        <w:tc>
          <w:tcPr>
            <w:tcW w:w="20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w:t>
            </w:r>
          </w:p>
        </w:tc>
        <w:tc>
          <w:tcPr>
            <w:tcW w:w="74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(2,094)</w:t>
            </w:r>
          </w:p>
        </w:tc>
        <w:tc>
          <w:tcPr>
            <w:tcW w:w="120" w:type="dxa"/>
            <w:vAlign w:val="bottom"/>
          </w:tcPr>
          <w:p>
            <w:pPr>
              <w:spacing w:after="0"/>
              <w:rPr>
                <w:sz w:val="20"/>
                <w:szCs w:val="20"/>
                <w:color w:val="auto"/>
              </w:rPr>
            </w:pPr>
          </w:p>
        </w:tc>
        <w:tc>
          <w:tcPr>
            <w:tcW w:w="20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(360)</w:t>
            </w:r>
          </w:p>
        </w:tc>
        <w:tc>
          <w:tcPr>
            <w:tcW w:w="120" w:type="dxa"/>
            <w:vAlign w:val="bottom"/>
          </w:tcPr>
          <w:p>
            <w:pPr>
              <w:spacing w:after="0"/>
              <w:rPr>
                <w:sz w:val="20"/>
                <w:szCs w:val="20"/>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8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rPr>
              <w:t>(1,734)</w:t>
            </w:r>
          </w:p>
        </w:tc>
        <w:tc>
          <w:tcPr>
            <w:tcW w:w="100" w:type="dxa"/>
            <w:vAlign w:val="bottom"/>
          </w:tcPr>
          <w:p>
            <w:pPr>
              <w:spacing w:after="0"/>
              <w:rPr>
                <w:sz w:val="20"/>
                <w:szCs w:val="20"/>
                <w:color w:val="auto"/>
              </w:rPr>
            </w:pPr>
          </w:p>
        </w:tc>
        <w:tc>
          <w:tcPr>
            <w:tcW w:w="20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(3,130)</w:t>
            </w:r>
          </w:p>
        </w:tc>
        <w:tc>
          <w:tcPr>
            <w:tcW w:w="100" w:type="dxa"/>
            <w:vAlign w:val="bottom"/>
          </w:tcPr>
          <w:p>
            <w:pPr>
              <w:spacing w:after="0"/>
              <w:rPr>
                <w:sz w:val="20"/>
                <w:szCs w:val="20"/>
                <w:color w:val="auto"/>
              </w:rPr>
            </w:pPr>
          </w:p>
        </w:tc>
        <w:tc>
          <w:tcPr>
            <w:tcW w:w="20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(360)</w:t>
            </w:r>
          </w:p>
        </w:tc>
        <w:tc>
          <w:tcPr>
            <w:tcW w:w="100" w:type="dxa"/>
            <w:vAlign w:val="bottom"/>
          </w:tcPr>
          <w:p>
            <w:pPr>
              <w:spacing w:after="0"/>
              <w:rPr>
                <w:sz w:val="20"/>
                <w:szCs w:val="20"/>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(2,770)</w:t>
            </w:r>
          </w:p>
        </w:tc>
        <w:tc>
          <w:tcPr>
            <w:tcW w:w="0" w:type="dxa"/>
            <w:vAlign w:val="bottom"/>
          </w:tcPr>
          <w:p>
            <w:pPr>
              <w:spacing w:after="0"/>
              <w:rPr>
                <w:sz w:val="1"/>
                <w:szCs w:val="1"/>
                <w:color w:val="auto"/>
              </w:rPr>
            </w:pPr>
          </w:p>
        </w:tc>
      </w:tr>
      <w:tr>
        <w:trPr>
          <w:trHeight w:val="20"/>
        </w:trPr>
        <w:tc>
          <w:tcPr>
            <w:tcW w:w="53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0" w:lineRule="exact"/>
        <w:rPr>
          <w:sz w:val="20"/>
          <w:szCs w:val="20"/>
          <w:color w:val="auto"/>
        </w:rPr>
      </w:pPr>
    </w:p>
    <w:p>
      <w:pPr>
        <w:spacing w:after="0"/>
        <w:rPr>
          <w:sz w:val="20"/>
          <w:szCs w:val="20"/>
          <w:color w:val="auto"/>
        </w:rPr>
      </w:pPr>
      <w:r>
        <w:rPr>
          <w:rFonts w:ascii="Arial" w:cs="Arial" w:eastAsia="Arial" w:hAnsi="Arial"/>
          <w:sz w:val="16"/>
          <w:szCs w:val="16"/>
          <w:color w:val="auto"/>
        </w:rPr>
        <w:t>________________________________________________________</w:t>
      </w:r>
    </w:p>
    <w:p>
      <w:pPr>
        <w:spacing w:after="0" w:line="23" w:lineRule="exact"/>
        <w:rPr>
          <w:sz w:val="20"/>
          <w:szCs w:val="20"/>
          <w:color w:val="auto"/>
        </w:rPr>
      </w:pPr>
    </w:p>
    <w:p>
      <w:pPr>
        <w:ind w:left="500" w:hanging="492"/>
        <w:spacing w:after="0" w:line="229" w:lineRule="auto"/>
        <w:tabs>
          <w:tab w:leader="none" w:pos="175" w:val="left"/>
        </w:tabs>
        <w:numPr>
          <w:ilvl w:val="0"/>
          <w:numId w:val="25"/>
        </w:numPr>
        <w:rPr>
          <w:rFonts w:ascii="Arial" w:cs="Arial" w:eastAsia="Arial" w:hAnsi="Arial"/>
          <w:sz w:val="18"/>
          <w:szCs w:val="18"/>
          <w:color w:val="auto"/>
          <w:vertAlign w:val="superscript"/>
        </w:rPr>
      </w:pPr>
      <w:r>
        <w:rPr>
          <w:rFonts w:ascii="Arial" w:cs="Arial" w:eastAsia="Arial" w:hAnsi="Arial"/>
          <w:sz w:val="14"/>
          <w:szCs w:val="14"/>
          <w:color w:val="auto"/>
        </w:rPr>
        <w:t>Non-controlling share of Adjusted EBITDA is comprised of the following items for the three months ended September 30, 2017 and 2016: (i) interest expense of $0 and $28, respectively. Non-controlling share of Adjusted EBITDA is comprised of the following items for the nine months ended September 30, 2017 and 2016: (i) interest expense of $0 and $28, respectively.</w:t>
      </w:r>
    </w:p>
    <w:p>
      <w:pPr>
        <w:spacing w:after="0" w:line="7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00497F"/>
        </w:rPr>
        <w:t>Revenues</w:t>
      </w:r>
    </w:p>
    <w:p>
      <w:pPr>
        <w:spacing w:after="0" w:line="113" w:lineRule="exact"/>
        <w:rPr>
          <w:sz w:val="20"/>
          <w:szCs w:val="20"/>
          <w:color w:val="auto"/>
        </w:rPr>
      </w:pPr>
    </w:p>
    <w:p>
      <w:pPr>
        <w:jc w:val="both"/>
        <w:spacing w:after="0" w:line="269" w:lineRule="auto"/>
        <w:rPr>
          <w:sz w:val="20"/>
          <w:szCs w:val="20"/>
          <w:color w:val="auto"/>
        </w:rPr>
      </w:pPr>
      <w:r>
        <w:rPr>
          <w:rFonts w:ascii="Arial" w:cs="Arial" w:eastAsia="Arial" w:hAnsi="Arial"/>
          <w:sz w:val="16"/>
          <w:szCs w:val="16"/>
          <w:color w:val="auto"/>
        </w:rPr>
        <w:t>For the three and nine months ended September 30, 2017, there was $455 and $594, respectively, of lease income from existing lease agreements acquired with the acquisitions of Repauno and Hannibal. For the three and nine months ended September 30, 2017, there was $303 of other revenue, relating to the reimbursement of costs from leases at Hannibal.</w:t>
      </w:r>
    </w:p>
    <w:p>
      <w:pPr>
        <w:spacing w:after="0" w:line="5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00497F"/>
        </w:rPr>
        <w:t>Expenses</w:t>
      </w:r>
    </w:p>
    <w:p>
      <w:pPr>
        <w:spacing w:after="0" w:line="113" w:lineRule="exact"/>
        <w:rPr>
          <w:sz w:val="20"/>
          <w:szCs w:val="20"/>
          <w:color w:val="auto"/>
        </w:rPr>
      </w:pPr>
    </w:p>
    <w:p>
      <w:pPr>
        <w:jc w:val="both"/>
        <w:spacing w:after="0" w:line="257" w:lineRule="auto"/>
        <w:rPr>
          <w:sz w:val="20"/>
          <w:szCs w:val="20"/>
          <w:color w:val="auto"/>
        </w:rPr>
      </w:pPr>
      <w:r>
        <w:rPr>
          <w:rFonts w:ascii="Arial" w:cs="Arial" w:eastAsia="Arial" w:hAnsi="Arial"/>
          <w:sz w:val="16"/>
          <w:szCs w:val="16"/>
          <w:color w:val="auto"/>
        </w:rPr>
        <w:t>Total expenses increased by $3,207 for the three months ended September 30, 2017 as compared to the three months ended September 30, 2016. The increase in expenses for the three months ended September 30, 2017 primarily consisted of increases in operating expenses of $2,435 , which consisted of (i) professional fees of $1,173 , (ii) facility operations of $772, (iii) compensation and benefits of $306, (iv) insurance expense of $79, and (v) other operating expenses of $105. There was depreciation expense of $783, due to the acquisition of Hannibal in the second quarter, as well as the placement of assets into service at Repauno during the third quarter of 2017.</w:t>
      </w:r>
    </w:p>
    <w:p>
      <w:pPr>
        <w:spacing w:after="0" w:line="68" w:lineRule="exact"/>
        <w:rPr>
          <w:sz w:val="20"/>
          <w:szCs w:val="20"/>
          <w:color w:val="auto"/>
        </w:rPr>
      </w:pPr>
    </w:p>
    <w:p>
      <w:pPr>
        <w:jc w:val="both"/>
        <w:spacing w:after="0" w:line="255" w:lineRule="auto"/>
        <w:rPr>
          <w:sz w:val="20"/>
          <w:szCs w:val="20"/>
          <w:color w:val="auto"/>
        </w:rPr>
      </w:pPr>
      <w:r>
        <w:rPr>
          <w:rFonts w:ascii="Arial" w:cs="Arial" w:eastAsia="Arial" w:hAnsi="Arial"/>
          <w:sz w:val="16"/>
          <w:szCs w:val="16"/>
          <w:color w:val="auto"/>
        </w:rPr>
        <w:t>Total expenses increased by $5,494 for the nine months ended September 30, 2017 as compared to the nine months ended September 30, 2016. The increase in expenses primarily consisted of increases in operating expenses of $4,093, which consisted of (i) professional fees of $1,323, (ii) facility operations of $879, (iii) compensation and benefits of $1,248, (iv) insurance expense of $159, and (v) other operating expenses of $484. There was depreciation expense of $868, due to the acquisition of Hannibal in the second quarter, as well as the placement of assets into service at Repauno during the third quarter of 2017. Interest expense increased by $533 in the nine months ended September 30, 2017 as compared to the nine months ended September 30, 2016 due to the payment obligation to the non-controlling interest holder as part of the Repauno purchase.</w:t>
      </w:r>
    </w:p>
    <w:p>
      <w:pPr>
        <w:spacing w:after="0" w:line="70"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00497F"/>
        </w:rPr>
        <w:t>Adjusted Net Loss</w:t>
      </w:r>
    </w:p>
    <w:p>
      <w:pPr>
        <w:spacing w:after="0" w:line="113"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Adjusted Net Loss increased by $2,534 and $4,194 for the three and nine months ended September 30, 2017, respectively, due to the changes in net loss attributable to shareholders noted above.</w:t>
      </w:r>
    </w:p>
    <w:p>
      <w:pPr>
        <w:spacing w:after="0" w:line="40"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00497F"/>
        </w:rPr>
        <w:t>Adjusted EBITDA (non-GAAP)</w:t>
      </w:r>
    </w:p>
    <w:p>
      <w:pPr>
        <w:spacing w:after="0" w:line="113" w:lineRule="exact"/>
        <w:rPr>
          <w:sz w:val="20"/>
          <w:szCs w:val="20"/>
          <w:color w:val="auto"/>
        </w:rPr>
      </w:pPr>
    </w:p>
    <w:p>
      <w:pPr>
        <w:jc w:val="both"/>
        <w:spacing w:after="0" w:line="261" w:lineRule="auto"/>
        <w:rPr>
          <w:sz w:val="20"/>
          <w:szCs w:val="20"/>
          <w:color w:val="auto"/>
        </w:rPr>
      </w:pPr>
      <w:r>
        <w:rPr>
          <w:rFonts w:ascii="Arial" w:cs="Arial" w:eastAsia="Arial" w:hAnsi="Arial"/>
          <w:sz w:val="16"/>
          <w:szCs w:val="16"/>
          <w:color w:val="auto"/>
        </w:rPr>
        <w:t>Adjusted EBITDA was $(2,094) and $(3,130) for the three and nine months ended September 30, 2017, respectively. In addition to the changes in net loss attributable to shareholders noted above, Adjusted EBITDA for the three and nine months ended September 30, 2017 includes the impact of depreciation expense of $783 and $868, as well as interest expense of $273 and $817 as a result of interest expense related to an obligation payable to the non-controlling interest as part of the Repauno purchase, respectively.</w:t>
      </w:r>
    </w:p>
    <w:p>
      <w:pPr>
        <w:spacing w:after="0" w:line="38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65</w:t>
      </w:r>
    </w:p>
    <w:p>
      <w:pPr>
        <w:sectPr>
          <w:pgSz w:w="11900" w:h="16838" w:orient="portrait"/>
          <w:cols w:equalWidth="0" w:num="1">
            <w:col w:w="11420"/>
          </w:cols>
          <w:pgMar w:left="240" w:top="473" w:right="239" w:bottom="1440" w:gutter="0" w:footer="0" w:header="0"/>
        </w:sectPr>
      </w:pPr>
    </w:p>
    <w:bookmarkStart w:id="65" w:name="page66"/>
    <w:bookmarkEnd w:id="65"/>
    <w:p>
      <w:pPr>
        <w:spacing w:after="0"/>
        <w:rPr>
          <w:sz w:val="20"/>
          <w:szCs w:val="20"/>
          <w:color w:val="auto"/>
        </w:rPr>
      </w:pPr>
      <w:r>
        <w:rPr>
          <w:rFonts w:ascii="Arial" w:cs="Arial" w:eastAsia="Arial" w:hAnsi="Arial"/>
          <w:sz w:val="16"/>
          <w:szCs w:val="16"/>
          <w:b w:val="1"/>
          <w:bCs w:val="1"/>
          <w:color w:val="00497F"/>
        </w:rPr>
        <w:t>Corporate</w:t>
      </w:r>
    </w:p>
    <w:p>
      <w:pPr>
        <w:spacing w:after="0" w:line="129" w:lineRule="exact"/>
        <w:rPr>
          <w:sz w:val="20"/>
          <w:szCs w:val="20"/>
          <w:color w:val="auto"/>
        </w:rPr>
      </w:pPr>
    </w:p>
    <w:p>
      <w:pPr>
        <w:ind w:right="60"/>
        <w:spacing w:after="0" w:line="327" w:lineRule="auto"/>
        <w:rPr>
          <w:sz w:val="20"/>
          <w:szCs w:val="20"/>
          <w:color w:val="auto"/>
        </w:rPr>
      </w:pPr>
      <w:r>
        <w:rPr>
          <w:rFonts w:ascii="Arial" w:cs="Arial" w:eastAsia="Arial" w:hAnsi="Arial"/>
          <w:sz w:val="16"/>
          <w:szCs w:val="16"/>
          <w:color w:val="auto"/>
        </w:rPr>
        <w:t>The following table presents our results of operations and reconciliation of net loss attributable to shareholders to Adjusted Net Loss for Corporate for the three and nine months ended September 30, 2017 and September 30, 2016:</w:t>
      </w:r>
    </w:p>
    <w:p>
      <w:pPr>
        <w:spacing w:after="0" w:line="82"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2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980" w:type="dxa"/>
            <w:vAlign w:val="bottom"/>
            <w:gridSpan w:val="5"/>
          </w:tcPr>
          <w:p>
            <w:pPr>
              <w:jc w:val="center"/>
              <w:ind w:right="320"/>
              <w:spacing w:after="0"/>
              <w:rPr>
                <w:sz w:val="20"/>
                <w:szCs w:val="20"/>
                <w:color w:val="auto"/>
              </w:rPr>
            </w:pPr>
            <w:r>
              <w:rPr>
                <w:rFonts w:ascii="Arial" w:cs="Arial" w:eastAsia="Arial" w:hAnsi="Arial"/>
                <w:sz w:val="14"/>
                <w:szCs w:val="14"/>
                <w:b w:val="1"/>
                <w:bCs w:val="1"/>
                <w:color w:val="auto"/>
              </w:rPr>
              <w:t>Three Months Ended</w:t>
            </w:r>
          </w:p>
        </w:tc>
        <w:tc>
          <w:tcPr>
            <w:tcW w:w="1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00" w:type="dxa"/>
            <w:vAlign w:val="bottom"/>
            <w:gridSpan w:val="5"/>
          </w:tcPr>
          <w:p>
            <w:pPr>
              <w:ind w:left="100"/>
              <w:spacing w:after="0"/>
              <w:rPr>
                <w:sz w:val="20"/>
                <w:szCs w:val="20"/>
                <w:color w:val="auto"/>
              </w:rPr>
            </w:pPr>
            <w:r>
              <w:rPr>
                <w:rFonts w:ascii="Arial" w:cs="Arial" w:eastAsia="Arial" w:hAnsi="Arial"/>
                <w:sz w:val="14"/>
                <w:szCs w:val="14"/>
                <w:b w:val="1"/>
                <w:bCs w:val="1"/>
                <w:color w:val="auto"/>
              </w:rPr>
              <w:t>Nine Months Ended</w:t>
            </w:r>
          </w:p>
        </w:tc>
        <w:tc>
          <w:tcPr>
            <w:tcW w:w="1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2"/>
        </w:trPr>
        <w:tc>
          <w:tcPr>
            <w:tcW w:w="5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980" w:type="dxa"/>
            <w:vAlign w:val="bottom"/>
            <w:gridSpan w:val="5"/>
          </w:tcPr>
          <w:p>
            <w:pPr>
              <w:jc w:val="center"/>
              <w:ind w:right="320"/>
              <w:spacing w:after="0"/>
              <w:rPr>
                <w:sz w:val="20"/>
                <w:szCs w:val="20"/>
                <w:color w:val="auto"/>
              </w:rPr>
            </w:pPr>
            <w:r>
              <w:rPr>
                <w:rFonts w:ascii="Arial" w:cs="Arial" w:eastAsia="Arial" w:hAnsi="Arial"/>
                <w:sz w:val="14"/>
                <w:szCs w:val="14"/>
                <w:b w:val="1"/>
                <w:bCs w:val="1"/>
                <w:color w:val="auto"/>
              </w:rPr>
              <w:t>September 30,</w:t>
            </w: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0" w:type="dxa"/>
            <w:vAlign w:val="bottom"/>
            <w:gridSpan w:val="5"/>
          </w:tcPr>
          <w:p>
            <w:pPr>
              <w:ind w:left="280"/>
              <w:spacing w:after="0"/>
              <w:rPr>
                <w:sz w:val="20"/>
                <w:szCs w:val="20"/>
                <w:color w:val="auto"/>
              </w:rPr>
            </w:pPr>
            <w:r>
              <w:rPr>
                <w:rFonts w:ascii="Arial" w:cs="Arial" w:eastAsia="Arial" w:hAnsi="Arial"/>
                <w:sz w:val="14"/>
                <w:szCs w:val="14"/>
                <w:b w:val="1"/>
                <w:bCs w:val="1"/>
                <w:color w:val="auto"/>
              </w:rPr>
              <w:t>September 30,</w:t>
            </w: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64"/>
        </w:trPr>
        <w:tc>
          <w:tcPr>
            <w:tcW w:w="5260" w:type="dxa"/>
            <w:vAlign w:val="bottom"/>
          </w:tcPr>
          <w:p>
            <w:pPr>
              <w:ind w:left="40"/>
              <w:spacing w:after="0"/>
              <w:rPr>
                <w:sz w:val="20"/>
                <w:szCs w:val="20"/>
                <w:color w:val="auto"/>
              </w:rPr>
            </w:pPr>
            <w:r>
              <w:rPr>
                <w:rFonts w:ascii="Arial" w:cs="Arial" w:eastAsia="Arial" w:hAnsi="Arial"/>
                <w:sz w:val="14"/>
                <w:szCs w:val="14"/>
                <w:i w:val="1"/>
                <w:iCs w:val="1"/>
                <w:color w:val="auto"/>
              </w:rPr>
              <w:t>(Dollar amounts in thousands)</w:t>
            </w:r>
          </w:p>
        </w:tc>
        <w:tc>
          <w:tcPr>
            <w:tcW w:w="240" w:type="dxa"/>
            <w:vAlign w:val="bottom"/>
            <w:tcBorders>
              <w:top w:val="single" w:sz="8" w:color="auto"/>
            </w:tcBorders>
          </w:tcPr>
          <w:p>
            <w:pPr>
              <w:spacing w:after="0"/>
              <w:rPr>
                <w:sz w:val="22"/>
                <w:szCs w:val="22"/>
                <w:color w:val="auto"/>
              </w:rPr>
            </w:pPr>
          </w:p>
        </w:tc>
        <w:tc>
          <w:tcPr>
            <w:tcW w:w="820" w:type="dxa"/>
            <w:vAlign w:val="bottom"/>
            <w:tcBorders>
              <w:top w:val="single" w:sz="8" w:color="auto"/>
            </w:tcBorders>
          </w:tcPr>
          <w:p>
            <w:pPr>
              <w:jc w:val="right"/>
              <w:ind w:right="308"/>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top w:val="single" w:sz="8" w:color="auto"/>
            </w:tcBorders>
          </w:tcPr>
          <w:p>
            <w:pPr>
              <w:spacing w:after="0"/>
              <w:rPr>
                <w:sz w:val="22"/>
                <w:szCs w:val="22"/>
                <w:color w:val="auto"/>
              </w:rPr>
            </w:pPr>
          </w:p>
        </w:tc>
        <w:tc>
          <w:tcPr>
            <w:tcW w:w="200" w:type="dxa"/>
            <w:vAlign w:val="bottom"/>
            <w:tcBorders>
              <w:top w:val="single" w:sz="8" w:color="auto"/>
            </w:tcBorders>
          </w:tcPr>
          <w:p>
            <w:pPr>
              <w:spacing w:after="0"/>
              <w:rPr>
                <w:sz w:val="22"/>
                <w:szCs w:val="22"/>
                <w:color w:val="auto"/>
              </w:rPr>
            </w:pPr>
          </w:p>
        </w:tc>
        <w:tc>
          <w:tcPr>
            <w:tcW w:w="720" w:type="dxa"/>
            <w:vAlign w:val="bottom"/>
            <w:tcBorders>
              <w:top w:val="single" w:sz="8" w:color="auto"/>
            </w:tcBorders>
          </w:tcPr>
          <w:p>
            <w:pPr>
              <w:jc w:val="right"/>
              <w:ind w:right="228"/>
              <w:spacing w:after="0"/>
              <w:rPr>
                <w:sz w:val="20"/>
                <w:szCs w:val="20"/>
                <w:color w:val="auto"/>
              </w:rPr>
            </w:pPr>
            <w:r>
              <w:rPr>
                <w:rFonts w:ascii="Arial" w:cs="Arial" w:eastAsia="Arial" w:hAnsi="Arial"/>
                <w:sz w:val="14"/>
                <w:szCs w:val="14"/>
                <w:b w:val="1"/>
                <w:bCs w:val="1"/>
                <w:color w:val="auto"/>
              </w:rPr>
              <w:t>2016</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80" w:type="dxa"/>
            <w:vAlign w:val="bottom"/>
            <w:gridSpan w:val="2"/>
          </w:tcPr>
          <w:p>
            <w:pPr>
              <w:ind w:left="60"/>
              <w:spacing w:after="0"/>
              <w:rPr>
                <w:sz w:val="20"/>
                <w:szCs w:val="20"/>
                <w:color w:val="auto"/>
              </w:rPr>
            </w:pPr>
            <w:r>
              <w:rPr>
                <w:rFonts w:ascii="Arial" w:cs="Arial" w:eastAsia="Arial" w:hAnsi="Arial"/>
                <w:sz w:val="14"/>
                <w:szCs w:val="14"/>
                <w:b w:val="1"/>
                <w:bCs w:val="1"/>
                <w:color w:val="auto"/>
              </w:rPr>
              <w:t>Change</w:t>
            </w:r>
          </w:p>
        </w:tc>
        <w:tc>
          <w:tcPr>
            <w:tcW w:w="200" w:type="dxa"/>
            <w:vAlign w:val="bottom"/>
            <w:tcBorders>
              <w:top w:val="single" w:sz="8" w:color="auto"/>
            </w:tcBorders>
          </w:tcPr>
          <w:p>
            <w:pPr>
              <w:spacing w:after="0"/>
              <w:rPr>
                <w:sz w:val="22"/>
                <w:szCs w:val="22"/>
                <w:color w:val="auto"/>
              </w:rPr>
            </w:pPr>
          </w:p>
        </w:tc>
        <w:tc>
          <w:tcPr>
            <w:tcW w:w="700" w:type="dxa"/>
            <w:vAlign w:val="bottom"/>
            <w:tcBorders>
              <w:top w:val="single" w:sz="8" w:color="auto"/>
            </w:tcBorders>
          </w:tcPr>
          <w:p>
            <w:pPr>
              <w:ind w:left="100"/>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top w:val="single" w:sz="8" w:color="auto"/>
            </w:tcBorders>
          </w:tcPr>
          <w:p>
            <w:pPr>
              <w:spacing w:after="0"/>
              <w:rPr>
                <w:sz w:val="22"/>
                <w:szCs w:val="22"/>
                <w:color w:val="auto"/>
              </w:rPr>
            </w:pPr>
          </w:p>
        </w:tc>
        <w:tc>
          <w:tcPr>
            <w:tcW w:w="200" w:type="dxa"/>
            <w:vAlign w:val="bottom"/>
            <w:tcBorders>
              <w:top w:val="single" w:sz="8" w:color="auto"/>
            </w:tcBorders>
          </w:tcPr>
          <w:p>
            <w:pPr>
              <w:spacing w:after="0"/>
              <w:rPr>
                <w:sz w:val="22"/>
                <w:szCs w:val="22"/>
                <w:color w:val="auto"/>
              </w:rPr>
            </w:pPr>
          </w:p>
        </w:tc>
        <w:tc>
          <w:tcPr>
            <w:tcW w:w="700" w:type="dxa"/>
            <w:vAlign w:val="bottom"/>
            <w:tcBorders>
              <w:top w:val="single" w:sz="8" w:color="auto"/>
            </w:tcBorders>
          </w:tcPr>
          <w:p>
            <w:pPr>
              <w:jc w:val="right"/>
              <w:ind w:right="208"/>
              <w:spacing w:after="0"/>
              <w:rPr>
                <w:sz w:val="20"/>
                <w:szCs w:val="20"/>
                <w:color w:val="auto"/>
              </w:rPr>
            </w:pPr>
            <w:r>
              <w:rPr>
                <w:rFonts w:ascii="Arial" w:cs="Arial" w:eastAsia="Arial" w:hAnsi="Arial"/>
                <w:sz w:val="14"/>
                <w:szCs w:val="14"/>
                <w:b w:val="1"/>
                <w:bCs w:val="1"/>
                <w:color w:val="auto"/>
              </w:rPr>
              <w:t>2016</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40" w:type="dxa"/>
            <w:vAlign w:val="bottom"/>
          </w:tcPr>
          <w:p>
            <w:pPr>
              <w:jc w:val="right"/>
              <w:ind w:right="108"/>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265"/>
        </w:trPr>
        <w:tc>
          <w:tcPr>
            <w:tcW w:w="5260" w:type="dxa"/>
            <w:vAlign w:val="bottom"/>
          </w:tcPr>
          <w:p>
            <w:pPr>
              <w:ind w:left="40"/>
              <w:spacing w:after="0"/>
              <w:rPr>
                <w:sz w:val="20"/>
                <w:szCs w:val="20"/>
                <w:color w:val="auto"/>
              </w:rPr>
            </w:pPr>
            <w:r>
              <w:rPr>
                <w:rFonts w:ascii="Arial" w:cs="Arial" w:eastAsia="Arial" w:hAnsi="Arial"/>
                <w:sz w:val="14"/>
                <w:szCs w:val="14"/>
                <w:b w:val="1"/>
                <w:bCs w:val="1"/>
                <w:color w:val="auto"/>
              </w:rPr>
              <w:t>Expenses</w:t>
            </w:r>
          </w:p>
        </w:tc>
        <w:tc>
          <w:tcPr>
            <w:tcW w:w="240" w:type="dxa"/>
            <w:vAlign w:val="bottom"/>
            <w:tcBorders>
              <w:top w:val="single" w:sz="8" w:color="auto"/>
            </w:tcBorders>
          </w:tcPr>
          <w:p>
            <w:pPr>
              <w:spacing w:after="0"/>
              <w:rPr>
                <w:sz w:val="23"/>
                <w:szCs w:val="23"/>
                <w:color w:val="auto"/>
              </w:rPr>
            </w:pPr>
          </w:p>
        </w:tc>
        <w:tc>
          <w:tcPr>
            <w:tcW w:w="820" w:type="dxa"/>
            <w:vAlign w:val="bottom"/>
            <w:tcBorders>
              <w:top w:val="single" w:sz="8" w:color="auto"/>
            </w:tcBorders>
          </w:tcPr>
          <w:p>
            <w:pPr>
              <w:spacing w:after="0"/>
              <w:rPr>
                <w:sz w:val="23"/>
                <w:szCs w:val="23"/>
                <w:color w:val="auto"/>
              </w:rPr>
            </w:pPr>
          </w:p>
        </w:tc>
        <w:tc>
          <w:tcPr>
            <w:tcW w:w="120" w:type="dxa"/>
            <w:vAlign w:val="bottom"/>
          </w:tcPr>
          <w:p>
            <w:pPr>
              <w:spacing w:after="0"/>
              <w:rPr>
                <w:sz w:val="23"/>
                <w:szCs w:val="23"/>
                <w:color w:val="auto"/>
              </w:rPr>
            </w:pPr>
          </w:p>
        </w:tc>
        <w:tc>
          <w:tcPr>
            <w:tcW w:w="200" w:type="dxa"/>
            <w:vAlign w:val="bottom"/>
            <w:tcBorders>
              <w:top w:val="single" w:sz="8" w:color="auto"/>
            </w:tcBorders>
          </w:tcPr>
          <w:p>
            <w:pPr>
              <w:spacing w:after="0"/>
              <w:rPr>
                <w:sz w:val="23"/>
                <w:szCs w:val="23"/>
                <w:color w:val="auto"/>
              </w:rPr>
            </w:pPr>
          </w:p>
        </w:tc>
        <w:tc>
          <w:tcPr>
            <w:tcW w:w="720" w:type="dxa"/>
            <w:vAlign w:val="bottom"/>
            <w:tcBorders>
              <w:top w:val="single" w:sz="8" w:color="auto"/>
            </w:tcBorders>
          </w:tcPr>
          <w:p>
            <w:pPr>
              <w:spacing w:after="0"/>
              <w:rPr>
                <w:sz w:val="23"/>
                <w:szCs w:val="23"/>
                <w:color w:val="auto"/>
              </w:rPr>
            </w:pPr>
          </w:p>
        </w:tc>
        <w:tc>
          <w:tcPr>
            <w:tcW w:w="120" w:type="dxa"/>
            <w:vAlign w:val="bottom"/>
          </w:tcPr>
          <w:p>
            <w:pPr>
              <w:spacing w:after="0"/>
              <w:rPr>
                <w:sz w:val="23"/>
                <w:szCs w:val="23"/>
                <w:color w:val="auto"/>
              </w:rPr>
            </w:pPr>
          </w:p>
        </w:tc>
        <w:tc>
          <w:tcPr>
            <w:tcW w:w="160" w:type="dxa"/>
            <w:vAlign w:val="bottom"/>
            <w:tcBorders>
              <w:top w:val="single" w:sz="8" w:color="auto"/>
            </w:tcBorders>
          </w:tcPr>
          <w:p>
            <w:pPr>
              <w:spacing w:after="0"/>
              <w:rPr>
                <w:sz w:val="23"/>
                <w:szCs w:val="23"/>
                <w:color w:val="auto"/>
              </w:rPr>
            </w:pPr>
          </w:p>
        </w:tc>
        <w:tc>
          <w:tcPr>
            <w:tcW w:w="780" w:type="dxa"/>
            <w:vAlign w:val="bottom"/>
            <w:tcBorders>
              <w:top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Borders>
              <w:top w:val="single" w:sz="8" w:color="auto"/>
            </w:tcBorders>
          </w:tcPr>
          <w:p>
            <w:pPr>
              <w:spacing w:after="0"/>
              <w:rPr>
                <w:sz w:val="23"/>
                <w:szCs w:val="23"/>
                <w:color w:val="auto"/>
              </w:rPr>
            </w:pPr>
          </w:p>
        </w:tc>
        <w:tc>
          <w:tcPr>
            <w:tcW w:w="700" w:type="dxa"/>
            <w:vAlign w:val="bottom"/>
            <w:tcBorders>
              <w:top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Borders>
              <w:top w:val="single" w:sz="8" w:color="auto"/>
            </w:tcBorders>
          </w:tcPr>
          <w:p>
            <w:pPr>
              <w:spacing w:after="0"/>
              <w:rPr>
                <w:sz w:val="23"/>
                <w:szCs w:val="23"/>
                <w:color w:val="auto"/>
              </w:rPr>
            </w:pPr>
          </w:p>
        </w:tc>
        <w:tc>
          <w:tcPr>
            <w:tcW w:w="700" w:type="dxa"/>
            <w:vAlign w:val="bottom"/>
            <w:tcBorders>
              <w:top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Borders>
              <w:top w:val="single" w:sz="8" w:color="auto"/>
            </w:tcBorders>
          </w:tcPr>
          <w:p>
            <w:pPr>
              <w:spacing w:after="0"/>
              <w:rPr>
                <w:sz w:val="23"/>
                <w:szCs w:val="23"/>
                <w:color w:val="auto"/>
              </w:rPr>
            </w:pPr>
          </w:p>
        </w:tc>
        <w:tc>
          <w:tcPr>
            <w:tcW w:w="740" w:type="dxa"/>
            <w:vAlign w:val="bottom"/>
            <w:tcBorders>
              <w:top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17"/>
        </w:trPr>
        <w:tc>
          <w:tcPr>
            <w:tcW w:w="5260" w:type="dxa"/>
            <w:vAlign w:val="bottom"/>
            <w:shd w:val="clear" w:color="auto" w:fill="CCEEFF"/>
          </w:tcPr>
          <w:p>
            <w:pPr>
              <w:ind w:left="40"/>
              <w:spacing w:after="0"/>
              <w:rPr>
                <w:sz w:val="20"/>
                <w:szCs w:val="20"/>
                <w:color w:val="auto"/>
              </w:rPr>
            </w:pPr>
            <w:r>
              <w:rPr>
                <w:rFonts w:ascii="Arial" w:cs="Arial" w:eastAsia="Arial" w:hAnsi="Arial"/>
                <w:sz w:val="14"/>
                <w:szCs w:val="14"/>
                <w:color w:val="auto"/>
              </w:rPr>
              <w:t>Operating expenses</w:t>
            </w:r>
          </w:p>
        </w:tc>
        <w:tc>
          <w:tcPr>
            <w:tcW w:w="240" w:type="dxa"/>
            <w:vAlign w:val="bottom"/>
            <w:shd w:val="clear" w:color="auto" w:fill="CCEEFF"/>
          </w:tcPr>
          <w:p>
            <w:pPr>
              <w:jc w:val="right"/>
              <w:ind w:right="68"/>
              <w:spacing w:after="0"/>
              <w:rPr>
                <w:sz w:val="20"/>
                <w:szCs w:val="20"/>
                <w:color w:val="auto"/>
              </w:rPr>
            </w:pPr>
            <w:r>
              <w:rPr>
                <w:rFonts w:ascii="Arial" w:cs="Arial" w:eastAsia="Arial" w:hAnsi="Arial"/>
                <w:sz w:val="14"/>
                <w:szCs w:val="14"/>
                <w:b w:val="1"/>
                <w:bCs w:val="1"/>
                <w:color w:val="auto"/>
              </w:rPr>
              <w:t>$</w:t>
            </w: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b w:val="1"/>
                <w:bCs w:val="1"/>
                <w:color w:val="auto"/>
              </w:rPr>
              <w:t>—</w:t>
            </w:r>
          </w:p>
        </w:tc>
        <w:tc>
          <w:tcPr>
            <w:tcW w:w="2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w:t>
            </w: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b w:val="1"/>
                <w:bCs w:val="1"/>
                <w:color w:val="auto"/>
              </w:rPr>
              <w:t>—</w:t>
            </w:r>
          </w:p>
        </w:tc>
        <w:tc>
          <w:tcPr>
            <w:tcW w:w="2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6</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w:t>
            </w:r>
          </w:p>
        </w:tc>
        <w:tc>
          <w:tcPr>
            <w:tcW w:w="0" w:type="dxa"/>
            <w:vAlign w:val="bottom"/>
          </w:tcPr>
          <w:p>
            <w:pPr>
              <w:spacing w:after="0"/>
              <w:rPr>
                <w:sz w:val="1"/>
                <w:szCs w:val="1"/>
                <w:color w:val="auto"/>
              </w:rPr>
            </w:pPr>
          </w:p>
        </w:tc>
      </w:tr>
      <w:tr>
        <w:trPr>
          <w:trHeight w:val="269"/>
        </w:trPr>
        <w:tc>
          <w:tcPr>
            <w:tcW w:w="5260" w:type="dxa"/>
            <w:vAlign w:val="bottom"/>
          </w:tcPr>
          <w:p>
            <w:pPr>
              <w:ind w:left="40"/>
              <w:spacing w:after="0"/>
              <w:rPr>
                <w:sz w:val="20"/>
                <w:szCs w:val="20"/>
                <w:color w:val="auto"/>
              </w:rPr>
            </w:pPr>
            <w:r>
              <w:rPr>
                <w:rFonts w:ascii="Arial" w:cs="Arial" w:eastAsia="Arial" w:hAnsi="Arial"/>
                <w:sz w:val="14"/>
                <w:szCs w:val="14"/>
                <w:color w:val="auto"/>
              </w:rPr>
              <w:t>General and administrative</w:t>
            </w:r>
          </w:p>
        </w:tc>
        <w:tc>
          <w:tcPr>
            <w:tcW w:w="240" w:type="dxa"/>
            <w:vAlign w:val="bottom"/>
          </w:tcPr>
          <w:p>
            <w:pPr>
              <w:spacing w:after="0"/>
              <w:rPr>
                <w:sz w:val="23"/>
                <w:szCs w:val="23"/>
                <w:color w:val="auto"/>
              </w:rPr>
            </w:pPr>
          </w:p>
        </w:tc>
        <w:tc>
          <w:tcPr>
            <w:tcW w:w="820" w:type="dxa"/>
            <w:vAlign w:val="bottom"/>
          </w:tcPr>
          <w:p>
            <w:pPr>
              <w:jc w:val="right"/>
              <w:ind w:right="48"/>
              <w:spacing w:after="0"/>
              <w:rPr>
                <w:sz w:val="20"/>
                <w:szCs w:val="20"/>
                <w:color w:val="auto"/>
              </w:rPr>
            </w:pPr>
            <w:r>
              <w:rPr>
                <w:rFonts w:ascii="Arial" w:cs="Arial" w:eastAsia="Arial" w:hAnsi="Arial"/>
                <w:sz w:val="14"/>
                <w:szCs w:val="14"/>
                <w:b w:val="1"/>
                <w:bCs w:val="1"/>
                <w:color w:val="auto"/>
              </w:rPr>
              <w:t>3,439</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20" w:type="dxa"/>
            <w:vAlign w:val="bottom"/>
          </w:tcPr>
          <w:p>
            <w:pPr>
              <w:jc w:val="right"/>
              <w:ind w:right="48"/>
              <w:spacing w:after="0"/>
              <w:rPr>
                <w:sz w:val="20"/>
                <w:szCs w:val="20"/>
                <w:color w:val="auto"/>
              </w:rPr>
            </w:pPr>
            <w:r>
              <w:rPr>
                <w:rFonts w:ascii="Arial" w:cs="Arial" w:eastAsia="Arial" w:hAnsi="Arial"/>
                <w:sz w:val="14"/>
                <w:szCs w:val="14"/>
                <w:color w:val="auto"/>
              </w:rPr>
              <w:t>3,205</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80" w:type="dxa"/>
            <w:vAlign w:val="bottom"/>
          </w:tcPr>
          <w:p>
            <w:pPr>
              <w:jc w:val="right"/>
              <w:ind w:right="48"/>
              <w:spacing w:after="0"/>
              <w:rPr>
                <w:sz w:val="20"/>
                <w:szCs w:val="20"/>
                <w:color w:val="auto"/>
              </w:rPr>
            </w:pPr>
            <w:r>
              <w:rPr>
                <w:rFonts w:ascii="Arial" w:cs="Arial" w:eastAsia="Arial" w:hAnsi="Arial"/>
                <w:sz w:val="14"/>
                <w:szCs w:val="14"/>
                <w:color w:val="auto"/>
              </w:rPr>
              <w:t>234</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00" w:type="dxa"/>
            <w:vAlign w:val="bottom"/>
          </w:tcPr>
          <w:p>
            <w:pPr>
              <w:jc w:val="right"/>
              <w:ind w:right="28"/>
              <w:spacing w:after="0"/>
              <w:rPr>
                <w:sz w:val="20"/>
                <w:szCs w:val="20"/>
                <w:color w:val="auto"/>
              </w:rPr>
            </w:pPr>
            <w:r>
              <w:rPr>
                <w:rFonts w:ascii="Arial" w:cs="Arial" w:eastAsia="Arial" w:hAnsi="Arial"/>
                <w:sz w:val="14"/>
                <w:szCs w:val="14"/>
                <w:b w:val="1"/>
                <w:bCs w:val="1"/>
                <w:color w:val="auto"/>
              </w:rPr>
              <w:t>10,615</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00" w:type="dxa"/>
            <w:vAlign w:val="bottom"/>
          </w:tcPr>
          <w:p>
            <w:pPr>
              <w:jc w:val="right"/>
              <w:ind w:right="28"/>
              <w:spacing w:after="0"/>
              <w:rPr>
                <w:sz w:val="20"/>
                <w:szCs w:val="20"/>
                <w:color w:val="auto"/>
              </w:rPr>
            </w:pPr>
            <w:r>
              <w:rPr>
                <w:rFonts w:ascii="Arial" w:cs="Arial" w:eastAsia="Arial" w:hAnsi="Arial"/>
                <w:sz w:val="14"/>
                <w:szCs w:val="14"/>
                <w:color w:val="auto"/>
              </w:rPr>
              <w:t>9,154</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40" w:type="dxa"/>
            <w:vAlign w:val="bottom"/>
          </w:tcPr>
          <w:p>
            <w:pPr>
              <w:jc w:val="right"/>
              <w:ind w:right="28"/>
              <w:spacing w:after="0"/>
              <w:rPr>
                <w:sz w:val="20"/>
                <w:szCs w:val="20"/>
                <w:color w:val="auto"/>
              </w:rPr>
            </w:pPr>
            <w:r>
              <w:rPr>
                <w:rFonts w:ascii="Arial" w:cs="Arial" w:eastAsia="Arial" w:hAnsi="Arial"/>
                <w:sz w:val="14"/>
                <w:szCs w:val="14"/>
                <w:color w:val="auto"/>
              </w:rPr>
              <w:t>1,461</w:t>
            </w:r>
          </w:p>
        </w:tc>
        <w:tc>
          <w:tcPr>
            <w:tcW w:w="0" w:type="dxa"/>
            <w:vAlign w:val="bottom"/>
          </w:tcPr>
          <w:p>
            <w:pPr>
              <w:spacing w:after="0"/>
              <w:rPr>
                <w:sz w:val="1"/>
                <w:szCs w:val="1"/>
                <w:color w:val="auto"/>
              </w:rPr>
            </w:pPr>
          </w:p>
        </w:tc>
      </w:tr>
      <w:tr>
        <w:trPr>
          <w:trHeight w:val="271"/>
        </w:trPr>
        <w:tc>
          <w:tcPr>
            <w:tcW w:w="5260" w:type="dxa"/>
            <w:vAlign w:val="bottom"/>
            <w:shd w:val="clear" w:color="auto" w:fill="CCEEFF"/>
          </w:tcPr>
          <w:p>
            <w:pPr>
              <w:ind w:left="40"/>
              <w:spacing w:after="0"/>
              <w:rPr>
                <w:sz w:val="20"/>
                <w:szCs w:val="20"/>
                <w:color w:val="auto"/>
              </w:rPr>
            </w:pPr>
            <w:r>
              <w:rPr>
                <w:rFonts w:ascii="Arial" w:cs="Arial" w:eastAsia="Arial" w:hAnsi="Arial"/>
                <w:sz w:val="14"/>
                <w:szCs w:val="14"/>
                <w:color w:val="auto"/>
              </w:rPr>
              <w:t>Acquisition and transaction expenses</w:t>
            </w:r>
          </w:p>
        </w:tc>
        <w:tc>
          <w:tcPr>
            <w:tcW w:w="240" w:type="dxa"/>
            <w:vAlign w:val="bottom"/>
            <w:shd w:val="clear" w:color="auto" w:fill="CCEEFF"/>
          </w:tcPr>
          <w:p>
            <w:pPr>
              <w:spacing w:after="0"/>
              <w:rPr>
                <w:sz w:val="23"/>
                <w:szCs w:val="23"/>
                <w:color w:val="auto"/>
              </w:rPr>
            </w:pPr>
          </w:p>
        </w:tc>
        <w:tc>
          <w:tcPr>
            <w:tcW w:w="82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1,726</w:t>
            </w: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7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1,579</w:t>
            </w: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7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147</w:t>
            </w: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70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4,788</w:t>
            </w: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7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4,222</w:t>
            </w: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7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566</w:t>
            </w:r>
          </w:p>
        </w:tc>
        <w:tc>
          <w:tcPr>
            <w:tcW w:w="0" w:type="dxa"/>
            <w:vAlign w:val="bottom"/>
          </w:tcPr>
          <w:p>
            <w:pPr>
              <w:spacing w:after="0"/>
              <w:rPr>
                <w:sz w:val="1"/>
                <w:szCs w:val="1"/>
                <w:color w:val="auto"/>
              </w:rPr>
            </w:pPr>
          </w:p>
        </w:tc>
      </w:tr>
      <w:tr>
        <w:trPr>
          <w:trHeight w:val="269"/>
        </w:trPr>
        <w:tc>
          <w:tcPr>
            <w:tcW w:w="5260" w:type="dxa"/>
            <w:vAlign w:val="bottom"/>
          </w:tcPr>
          <w:p>
            <w:pPr>
              <w:ind w:left="40"/>
              <w:spacing w:after="0"/>
              <w:rPr>
                <w:sz w:val="20"/>
                <w:szCs w:val="20"/>
                <w:color w:val="auto"/>
              </w:rPr>
            </w:pPr>
            <w:r>
              <w:rPr>
                <w:rFonts w:ascii="Arial" w:cs="Arial" w:eastAsia="Arial" w:hAnsi="Arial"/>
                <w:sz w:val="14"/>
                <w:szCs w:val="14"/>
                <w:color w:val="auto"/>
              </w:rPr>
              <w:t>Management fees and incentive allocation to affiliate</w:t>
            </w:r>
          </w:p>
        </w:tc>
        <w:tc>
          <w:tcPr>
            <w:tcW w:w="240" w:type="dxa"/>
            <w:vAlign w:val="bottom"/>
          </w:tcPr>
          <w:p>
            <w:pPr>
              <w:spacing w:after="0"/>
              <w:rPr>
                <w:sz w:val="23"/>
                <w:szCs w:val="23"/>
                <w:color w:val="auto"/>
              </w:rPr>
            </w:pPr>
          </w:p>
        </w:tc>
        <w:tc>
          <w:tcPr>
            <w:tcW w:w="820" w:type="dxa"/>
            <w:vAlign w:val="bottom"/>
          </w:tcPr>
          <w:p>
            <w:pPr>
              <w:jc w:val="right"/>
              <w:ind w:right="48"/>
              <w:spacing w:after="0"/>
              <w:rPr>
                <w:sz w:val="20"/>
                <w:szCs w:val="20"/>
                <w:color w:val="auto"/>
              </w:rPr>
            </w:pPr>
            <w:r>
              <w:rPr>
                <w:rFonts w:ascii="Arial" w:cs="Arial" w:eastAsia="Arial" w:hAnsi="Arial"/>
                <w:sz w:val="14"/>
                <w:szCs w:val="14"/>
                <w:b w:val="1"/>
                <w:bCs w:val="1"/>
                <w:color w:val="auto"/>
              </w:rPr>
              <w:t>3,771</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20" w:type="dxa"/>
            <w:vAlign w:val="bottom"/>
          </w:tcPr>
          <w:p>
            <w:pPr>
              <w:jc w:val="right"/>
              <w:ind w:right="48"/>
              <w:spacing w:after="0"/>
              <w:rPr>
                <w:sz w:val="20"/>
                <w:szCs w:val="20"/>
                <w:color w:val="auto"/>
              </w:rPr>
            </w:pPr>
            <w:r>
              <w:rPr>
                <w:rFonts w:ascii="Arial" w:cs="Arial" w:eastAsia="Arial" w:hAnsi="Arial"/>
                <w:sz w:val="14"/>
                <w:szCs w:val="14"/>
                <w:color w:val="auto"/>
              </w:rPr>
              <w:t>4,146</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80" w:type="dxa"/>
            <w:vAlign w:val="bottom"/>
          </w:tcPr>
          <w:p>
            <w:pPr>
              <w:jc w:val="right"/>
              <w:ind w:right="8"/>
              <w:spacing w:after="0"/>
              <w:rPr>
                <w:sz w:val="20"/>
                <w:szCs w:val="20"/>
                <w:color w:val="auto"/>
              </w:rPr>
            </w:pPr>
            <w:r>
              <w:rPr>
                <w:rFonts w:ascii="Arial" w:cs="Arial" w:eastAsia="Arial" w:hAnsi="Arial"/>
                <w:sz w:val="14"/>
                <w:szCs w:val="14"/>
                <w:color w:val="auto"/>
              </w:rPr>
              <w:t>(375)</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00" w:type="dxa"/>
            <w:vAlign w:val="bottom"/>
          </w:tcPr>
          <w:p>
            <w:pPr>
              <w:jc w:val="right"/>
              <w:ind w:right="28"/>
              <w:spacing w:after="0"/>
              <w:rPr>
                <w:sz w:val="20"/>
                <w:szCs w:val="20"/>
                <w:color w:val="auto"/>
              </w:rPr>
            </w:pPr>
            <w:r>
              <w:rPr>
                <w:rFonts w:ascii="Arial" w:cs="Arial" w:eastAsia="Arial" w:hAnsi="Arial"/>
                <w:sz w:val="14"/>
                <w:szCs w:val="14"/>
                <w:b w:val="1"/>
                <w:bCs w:val="1"/>
                <w:color w:val="auto"/>
              </w:rPr>
              <w:t>11,529</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00" w:type="dxa"/>
            <w:vAlign w:val="bottom"/>
          </w:tcPr>
          <w:p>
            <w:pPr>
              <w:jc w:val="right"/>
              <w:ind w:right="28"/>
              <w:spacing w:after="0"/>
              <w:rPr>
                <w:sz w:val="20"/>
                <w:szCs w:val="20"/>
                <w:color w:val="auto"/>
              </w:rPr>
            </w:pPr>
            <w:r>
              <w:rPr>
                <w:rFonts w:ascii="Arial" w:cs="Arial" w:eastAsia="Arial" w:hAnsi="Arial"/>
                <w:sz w:val="14"/>
                <w:szCs w:val="14"/>
                <w:color w:val="auto"/>
              </w:rPr>
              <w:t>12,725</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(1,196)</w:t>
            </w:r>
          </w:p>
        </w:tc>
        <w:tc>
          <w:tcPr>
            <w:tcW w:w="0" w:type="dxa"/>
            <w:vAlign w:val="bottom"/>
          </w:tcPr>
          <w:p>
            <w:pPr>
              <w:spacing w:after="0"/>
              <w:rPr>
                <w:sz w:val="1"/>
                <w:szCs w:val="1"/>
                <w:color w:val="auto"/>
              </w:rPr>
            </w:pPr>
          </w:p>
        </w:tc>
      </w:tr>
      <w:tr>
        <w:trPr>
          <w:trHeight w:val="270"/>
        </w:trPr>
        <w:tc>
          <w:tcPr>
            <w:tcW w:w="5260" w:type="dxa"/>
            <w:vAlign w:val="bottom"/>
            <w:shd w:val="clear" w:color="auto" w:fill="CCEEFF"/>
          </w:tcPr>
          <w:p>
            <w:pPr>
              <w:ind w:left="40"/>
              <w:spacing w:after="0"/>
              <w:rPr>
                <w:sz w:val="20"/>
                <w:szCs w:val="20"/>
                <w:color w:val="auto"/>
              </w:rPr>
            </w:pPr>
            <w:r>
              <w:rPr>
                <w:rFonts w:ascii="Arial" w:cs="Arial" w:eastAsia="Arial" w:hAnsi="Arial"/>
                <w:sz w:val="14"/>
                <w:szCs w:val="14"/>
                <w:color w:val="auto"/>
              </w:rPr>
              <w:t>Interest expense</w:t>
            </w:r>
          </w:p>
        </w:tc>
        <w:tc>
          <w:tcPr>
            <w:tcW w:w="240" w:type="dxa"/>
            <w:vAlign w:val="bottom"/>
            <w:shd w:val="clear" w:color="auto" w:fill="CCEEFF"/>
          </w:tcPr>
          <w:p>
            <w:pPr>
              <w:spacing w:after="0"/>
              <w:rPr>
                <w:sz w:val="23"/>
                <w:szCs w:val="23"/>
                <w:color w:val="auto"/>
              </w:rPr>
            </w:pPr>
          </w:p>
        </w:tc>
        <w:tc>
          <w:tcPr>
            <w:tcW w:w="82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6,023</w:t>
            </w: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3"/>
                <w:szCs w:val="23"/>
                <w:color w:val="auto"/>
              </w:rPr>
            </w:pPr>
          </w:p>
        </w:tc>
        <w:tc>
          <w:tcPr>
            <w:tcW w:w="7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6,023</w:t>
            </w: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70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12,682</w:t>
            </w: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3"/>
                <w:szCs w:val="23"/>
                <w:color w:val="auto"/>
              </w:rPr>
            </w:pPr>
          </w:p>
        </w:tc>
        <w:tc>
          <w:tcPr>
            <w:tcW w:w="7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12,682</w:t>
            </w:r>
          </w:p>
        </w:tc>
        <w:tc>
          <w:tcPr>
            <w:tcW w:w="0" w:type="dxa"/>
            <w:vAlign w:val="bottom"/>
          </w:tcPr>
          <w:p>
            <w:pPr>
              <w:spacing w:after="0"/>
              <w:rPr>
                <w:sz w:val="1"/>
                <w:szCs w:val="1"/>
                <w:color w:val="auto"/>
              </w:rPr>
            </w:pPr>
          </w:p>
        </w:tc>
      </w:tr>
      <w:tr>
        <w:trPr>
          <w:trHeight w:val="250"/>
        </w:trPr>
        <w:tc>
          <w:tcPr>
            <w:tcW w:w="526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Total expenses</w:t>
            </w:r>
          </w:p>
        </w:tc>
        <w:tc>
          <w:tcPr>
            <w:tcW w:w="240" w:type="dxa"/>
            <w:vAlign w:val="bottom"/>
            <w:tcBorders>
              <w:top w:val="single" w:sz="8" w:color="auto"/>
              <w:bottom w:val="single" w:sz="8" w:color="auto"/>
            </w:tcBorders>
          </w:tcPr>
          <w:p>
            <w:pPr>
              <w:spacing w:after="0"/>
              <w:rPr>
                <w:sz w:val="21"/>
                <w:szCs w:val="21"/>
                <w:color w:val="auto"/>
              </w:rPr>
            </w:pPr>
          </w:p>
        </w:tc>
        <w:tc>
          <w:tcPr>
            <w:tcW w:w="82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14,959</w:t>
            </w:r>
          </w:p>
        </w:tc>
        <w:tc>
          <w:tcPr>
            <w:tcW w:w="120" w:type="dxa"/>
            <w:vAlign w:val="bottom"/>
            <w:tcBorders>
              <w:bottom w:val="single" w:sz="8" w:color="CCEEFF"/>
            </w:tcBorders>
          </w:tcPr>
          <w:p>
            <w:pPr>
              <w:spacing w:after="0"/>
              <w:rPr>
                <w:sz w:val="21"/>
                <w:szCs w:val="21"/>
                <w:color w:val="auto"/>
              </w:rPr>
            </w:pPr>
          </w:p>
        </w:tc>
        <w:tc>
          <w:tcPr>
            <w:tcW w:w="200" w:type="dxa"/>
            <w:vAlign w:val="bottom"/>
            <w:tcBorders>
              <w:top w:val="single" w:sz="8" w:color="auto"/>
              <w:bottom w:val="single" w:sz="8" w:color="auto"/>
            </w:tcBorders>
          </w:tcPr>
          <w:p>
            <w:pPr>
              <w:spacing w:after="0"/>
              <w:rPr>
                <w:sz w:val="21"/>
                <w:szCs w:val="21"/>
                <w:color w:val="auto"/>
              </w:rPr>
            </w:pPr>
          </w:p>
        </w:tc>
        <w:tc>
          <w:tcPr>
            <w:tcW w:w="72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8,930</w:t>
            </w:r>
          </w:p>
        </w:tc>
        <w:tc>
          <w:tcPr>
            <w:tcW w:w="120" w:type="dxa"/>
            <w:vAlign w:val="bottom"/>
            <w:tcBorders>
              <w:bottom w:val="single" w:sz="8" w:color="CCEEFF"/>
            </w:tcBorders>
          </w:tcPr>
          <w:p>
            <w:pPr>
              <w:spacing w:after="0"/>
              <w:rPr>
                <w:sz w:val="21"/>
                <w:szCs w:val="21"/>
                <w:color w:val="auto"/>
              </w:rPr>
            </w:pPr>
          </w:p>
        </w:tc>
        <w:tc>
          <w:tcPr>
            <w:tcW w:w="160" w:type="dxa"/>
            <w:vAlign w:val="bottom"/>
            <w:tcBorders>
              <w:top w:val="single" w:sz="8" w:color="auto"/>
              <w:bottom w:val="single" w:sz="8" w:color="auto"/>
            </w:tcBorders>
          </w:tcPr>
          <w:p>
            <w:pPr>
              <w:spacing w:after="0"/>
              <w:rPr>
                <w:sz w:val="21"/>
                <w:szCs w:val="21"/>
                <w:color w:val="auto"/>
              </w:rPr>
            </w:pPr>
          </w:p>
        </w:tc>
        <w:tc>
          <w:tcPr>
            <w:tcW w:w="78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6,029</w:t>
            </w:r>
          </w:p>
        </w:tc>
        <w:tc>
          <w:tcPr>
            <w:tcW w:w="100" w:type="dxa"/>
            <w:vAlign w:val="bottom"/>
            <w:tcBorders>
              <w:bottom w:val="single" w:sz="8" w:color="CCEEFF"/>
            </w:tcBorders>
          </w:tcPr>
          <w:p>
            <w:pPr>
              <w:spacing w:after="0"/>
              <w:rPr>
                <w:sz w:val="21"/>
                <w:szCs w:val="21"/>
                <w:color w:val="auto"/>
              </w:rPr>
            </w:pPr>
          </w:p>
        </w:tc>
        <w:tc>
          <w:tcPr>
            <w:tcW w:w="200" w:type="dxa"/>
            <w:vAlign w:val="bottom"/>
            <w:tcBorders>
              <w:top w:val="single" w:sz="8" w:color="auto"/>
              <w:bottom w:val="single" w:sz="8" w:color="auto"/>
            </w:tcBorders>
          </w:tcPr>
          <w:p>
            <w:pPr>
              <w:spacing w:after="0"/>
              <w:rPr>
                <w:sz w:val="21"/>
                <w:szCs w:val="21"/>
                <w:color w:val="auto"/>
              </w:rPr>
            </w:pPr>
          </w:p>
        </w:tc>
        <w:tc>
          <w:tcPr>
            <w:tcW w:w="70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39,614</w:t>
            </w:r>
          </w:p>
        </w:tc>
        <w:tc>
          <w:tcPr>
            <w:tcW w:w="100" w:type="dxa"/>
            <w:vAlign w:val="bottom"/>
            <w:tcBorders>
              <w:bottom w:val="single" w:sz="8" w:color="CCEEFF"/>
            </w:tcBorders>
          </w:tcPr>
          <w:p>
            <w:pPr>
              <w:spacing w:after="0"/>
              <w:rPr>
                <w:sz w:val="21"/>
                <w:szCs w:val="21"/>
                <w:color w:val="auto"/>
              </w:rPr>
            </w:pPr>
          </w:p>
        </w:tc>
        <w:tc>
          <w:tcPr>
            <w:tcW w:w="200" w:type="dxa"/>
            <w:vAlign w:val="bottom"/>
            <w:tcBorders>
              <w:top w:val="single" w:sz="8" w:color="auto"/>
              <w:bottom w:val="single" w:sz="8" w:color="auto"/>
            </w:tcBorders>
          </w:tcPr>
          <w:p>
            <w:pPr>
              <w:spacing w:after="0"/>
              <w:rPr>
                <w:sz w:val="21"/>
                <w:szCs w:val="21"/>
                <w:color w:val="auto"/>
              </w:rPr>
            </w:pPr>
          </w:p>
        </w:tc>
        <w:tc>
          <w:tcPr>
            <w:tcW w:w="70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26,107</w:t>
            </w:r>
          </w:p>
        </w:tc>
        <w:tc>
          <w:tcPr>
            <w:tcW w:w="100" w:type="dxa"/>
            <w:vAlign w:val="bottom"/>
            <w:tcBorders>
              <w:bottom w:val="single" w:sz="8" w:color="CCEEFF"/>
            </w:tcBorders>
          </w:tcPr>
          <w:p>
            <w:pPr>
              <w:spacing w:after="0"/>
              <w:rPr>
                <w:sz w:val="21"/>
                <w:szCs w:val="21"/>
                <w:color w:val="auto"/>
              </w:rPr>
            </w:pPr>
          </w:p>
        </w:tc>
        <w:tc>
          <w:tcPr>
            <w:tcW w:w="160" w:type="dxa"/>
            <w:vAlign w:val="bottom"/>
            <w:tcBorders>
              <w:top w:val="single" w:sz="8" w:color="auto"/>
              <w:bottom w:val="single" w:sz="8" w:color="auto"/>
            </w:tcBorders>
          </w:tcPr>
          <w:p>
            <w:pPr>
              <w:spacing w:after="0"/>
              <w:rPr>
                <w:sz w:val="21"/>
                <w:szCs w:val="21"/>
                <w:color w:val="auto"/>
              </w:rPr>
            </w:pPr>
          </w:p>
        </w:tc>
        <w:tc>
          <w:tcPr>
            <w:tcW w:w="74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13,507</w:t>
            </w:r>
          </w:p>
        </w:tc>
        <w:tc>
          <w:tcPr>
            <w:tcW w:w="0" w:type="dxa"/>
            <w:vAlign w:val="bottom"/>
          </w:tcPr>
          <w:p>
            <w:pPr>
              <w:spacing w:after="0"/>
              <w:rPr>
                <w:sz w:val="1"/>
                <w:szCs w:val="1"/>
                <w:color w:val="auto"/>
              </w:rPr>
            </w:pPr>
          </w:p>
        </w:tc>
      </w:tr>
      <w:tr>
        <w:trPr>
          <w:trHeight w:val="292"/>
        </w:trPr>
        <w:tc>
          <w:tcPr>
            <w:tcW w:w="526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8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7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7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7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7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74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9"/>
        </w:trPr>
        <w:tc>
          <w:tcPr>
            <w:tcW w:w="5260" w:type="dxa"/>
            <w:vAlign w:val="bottom"/>
          </w:tcPr>
          <w:p>
            <w:pPr>
              <w:ind w:left="40"/>
              <w:spacing w:after="0"/>
              <w:rPr>
                <w:sz w:val="20"/>
                <w:szCs w:val="20"/>
                <w:color w:val="auto"/>
              </w:rPr>
            </w:pPr>
            <w:r>
              <w:rPr>
                <w:rFonts w:ascii="Arial" w:cs="Arial" w:eastAsia="Arial" w:hAnsi="Arial"/>
                <w:sz w:val="14"/>
                <w:szCs w:val="14"/>
                <w:b w:val="1"/>
                <w:bCs w:val="1"/>
                <w:color w:val="auto"/>
              </w:rPr>
              <w:t>Other expense</w:t>
            </w:r>
          </w:p>
        </w:tc>
        <w:tc>
          <w:tcPr>
            <w:tcW w:w="24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5260" w:type="dxa"/>
            <w:vAlign w:val="bottom"/>
            <w:shd w:val="clear" w:color="auto" w:fill="CCEEFF"/>
          </w:tcPr>
          <w:p>
            <w:pPr>
              <w:ind w:left="40"/>
              <w:spacing w:after="0"/>
              <w:rPr>
                <w:sz w:val="20"/>
                <w:szCs w:val="20"/>
                <w:color w:val="auto"/>
              </w:rPr>
            </w:pPr>
            <w:r>
              <w:rPr>
                <w:rFonts w:ascii="Arial" w:cs="Arial" w:eastAsia="Arial" w:hAnsi="Arial"/>
                <w:sz w:val="14"/>
                <w:szCs w:val="14"/>
                <w:color w:val="auto"/>
              </w:rPr>
              <w:t>Loss on extinguishment of debt</w:t>
            </w:r>
          </w:p>
        </w:tc>
        <w:tc>
          <w:tcPr>
            <w:tcW w:w="240" w:type="dxa"/>
            <w:vAlign w:val="bottom"/>
            <w:tcBorders>
              <w:bottom w:val="single" w:sz="8" w:color="auto"/>
            </w:tcBorders>
            <w:shd w:val="clear" w:color="auto" w:fill="CCEEFF"/>
          </w:tcPr>
          <w:p>
            <w:pPr>
              <w:spacing w:after="0"/>
              <w:rPr>
                <w:sz w:val="23"/>
                <w:szCs w:val="23"/>
                <w:color w:val="auto"/>
              </w:rPr>
            </w:pPr>
          </w:p>
        </w:tc>
        <w:tc>
          <w:tcPr>
            <w:tcW w:w="8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w:t>
            </w:r>
          </w:p>
        </w:tc>
        <w:tc>
          <w:tcPr>
            <w:tcW w:w="12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7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78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(2,456)</w:t>
            </w:r>
          </w:p>
        </w:tc>
        <w:tc>
          <w:tcPr>
            <w:tcW w:w="10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7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(2,456)</w:t>
            </w:r>
          </w:p>
        </w:tc>
        <w:tc>
          <w:tcPr>
            <w:tcW w:w="0" w:type="dxa"/>
            <w:vAlign w:val="bottom"/>
          </w:tcPr>
          <w:p>
            <w:pPr>
              <w:spacing w:after="0"/>
              <w:rPr>
                <w:sz w:val="1"/>
                <w:szCs w:val="1"/>
                <w:color w:val="auto"/>
              </w:rPr>
            </w:pPr>
          </w:p>
        </w:tc>
      </w:tr>
      <w:tr>
        <w:trPr>
          <w:trHeight w:val="250"/>
        </w:trPr>
        <w:tc>
          <w:tcPr>
            <w:tcW w:w="5260" w:type="dxa"/>
            <w:vAlign w:val="bottom"/>
          </w:tcPr>
          <w:p>
            <w:pPr>
              <w:ind w:left="40"/>
              <w:spacing w:after="0"/>
              <w:rPr>
                <w:sz w:val="20"/>
                <w:szCs w:val="20"/>
                <w:color w:val="auto"/>
              </w:rPr>
            </w:pPr>
            <w:r>
              <w:rPr>
                <w:rFonts w:ascii="Arial" w:cs="Arial" w:eastAsia="Arial" w:hAnsi="Arial"/>
                <w:sz w:val="14"/>
                <w:szCs w:val="14"/>
                <w:b w:val="1"/>
                <w:bCs w:val="1"/>
                <w:color w:val="auto"/>
              </w:rPr>
              <w:t>Total other expense</w:t>
            </w:r>
          </w:p>
        </w:tc>
        <w:tc>
          <w:tcPr>
            <w:tcW w:w="240" w:type="dxa"/>
            <w:vAlign w:val="bottom"/>
          </w:tcPr>
          <w:p>
            <w:pPr>
              <w:spacing w:after="0"/>
              <w:rPr>
                <w:sz w:val="21"/>
                <w:szCs w:val="21"/>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rPr>
              <w:t>—</w:t>
            </w:r>
          </w:p>
        </w:tc>
        <w:tc>
          <w:tcPr>
            <w:tcW w:w="200" w:type="dxa"/>
            <w:vAlign w:val="bottom"/>
          </w:tcPr>
          <w:p>
            <w:pPr>
              <w:spacing w:after="0"/>
              <w:rPr>
                <w:sz w:val="21"/>
                <w:szCs w:val="21"/>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1"/>
                <w:szCs w:val="21"/>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4"/>
                <w:szCs w:val="14"/>
                <w:b w:val="1"/>
                <w:bCs w:val="1"/>
                <w:color w:val="auto"/>
              </w:rPr>
              <w:t>(2,456)</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(2,456)</w:t>
            </w:r>
          </w:p>
        </w:tc>
        <w:tc>
          <w:tcPr>
            <w:tcW w:w="0" w:type="dxa"/>
            <w:vAlign w:val="bottom"/>
          </w:tcPr>
          <w:p>
            <w:pPr>
              <w:spacing w:after="0"/>
              <w:rPr>
                <w:sz w:val="1"/>
                <w:szCs w:val="1"/>
                <w:color w:val="auto"/>
              </w:rPr>
            </w:pPr>
          </w:p>
        </w:tc>
      </w:tr>
      <w:tr>
        <w:trPr>
          <w:trHeight w:val="251"/>
        </w:trPr>
        <w:tc>
          <w:tcPr>
            <w:tcW w:w="526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4"/>
                <w:szCs w:val="14"/>
                <w:b w:val="1"/>
                <w:bCs w:val="1"/>
                <w:color w:val="auto"/>
              </w:rPr>
              <w:t>Loss before income taxes</w:t>
            </w:r>
          </w:p>
        </w:tc>
        <w:tc>
          <w:tcPr>
            <w:tcW w:w="240" w:type="dxa"/>
            <w:vAlign w:val="bottom"/>
            <w:tcBorders>
              <w:top w:val="single" w:sz="8" w:color="auto"/>
            </w:tcBorders>
            <w:shd w:val="clear" w:color="auto" w:fill="CCEEFF"/>
          </w:tcPr>
          <w:p>
            <w:pPr>
              <w:spacing w:after="0"/>
              <w:rPr>
                <w:sz w:val="21"/>
                <w:szCs w:val="21"/>
                <w:color w:val="auto"/>
              </w:rPr>
            </w:pPr>
          </w:p>
        </w:tc>
        <w:tc>
          <w:tcPr>
            <w:tcW w:w="82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(14,959)</w:t>
            </w:r>
          </w:p>
        </w:tc>
        <w:tc>
          <w:tcPr>
            <w:tcW w:w="120" w:type="dxa"/>
            <w:vAlign w:val="bottom"/>
            <w:tcBorders>
              <w:top w:val="single" w:sz="8" w:color="CCEEFF"/>
            </w:tcBorders>
            <w:shd w:val="clear" w:color="auto" w:fill="CCEEFF"/>
          </w:tcPr>
          <w:p>
            <w:pPr>
              <w:spacing w:after="0"/>
              <w:rPr>
                <w:sz w:val="21"/>
                <w:szCs w:val="21"/>
                <w:color w:val="auto"/>
              </w:rPr>
            </w:pPr>
          </w:p>
        </w:tc>
        <w:tc>
          <w:tcPr>
            <w:tcW w:w="200" w:type="dxa"/>
            <w:vAlign w:val="bottom"/>
            <w:tcBorders>
              <w:top w:val="single" w:sz="8" w:color="auto"/>
            </w:tcBorders>
            <w:shd w:val="clear" w:color="auto" w:fill="CCEEFF"/>
          </w:tcPr>
          <w:p>
            <w:pPr>
              <w:spacing w:after="0"/>
              <w:rPr>
                <w:sz w:val="21"/>
                <w:szCs w:val="21"/>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(8,930)</w:t>
            </w:r>
          </w:p>
        </w:tc>
        <w:tc>
          <w:tcPr>
            <w:tcW w:w="120" w:type="dxa"/>
            <w:vAlign w:val="bottom"/>
            <w:tcBorders>
              <w:top w:val="single" w:sz="8" w:color="CCEEFF"/>
            </w:tcBorders>
            <w:shd w:val="clear" w:color="auto" w:fill="CCEEFF"/>
          </w:tcPr>
          <w:p>
            <w:pPr>
              <w:spacing w:after="0"/>
              <w:rPr>
                <w:sz w:val="21"/>
                <w:szCs w:val="21"/>
                <w:color w:val="auto"/>
              </w:rPr>
            </w:pPr>
          </w:p>
        </w:tc>
        <w:tc>
          <w:tcPr>
            <w:tcW w:w="160" w:type="dxa"/>
            <w:vAlign w:val="bottom"/>
            <w:tcBorders>
              <w:top w:val="single" w:sz="8" w:color="auto"/>
            </w:tcBorders>
            <w:shd w:val="clear" w:color="auto" w:fill="CCEEFF"/>
          </w:tcPr>
          <w:p>
            <w:pPr>
              <w:spacing w:after="0"/>
              <w:rPr>
                <w:sz w:val="21"/>
                <w:szCs w:val="21"/>
                <w:color w:val="auto"/>
              </w:rPr>
            </w:pPr>
          </w:p>
        </w:tc>
        <w:tc>
          <w:tcPr>
            <w:tcW w:w="78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(6,029)</w:t>
            </w:r>
          </w:p>
        </w:tc>
        <w:tc>
          <w:tcPr>
            <w:tcW w:w="100" w:type="dxa"/>
            <w:vAlign w:val="bottom"/>
            <w:tcBorders>
              <w:top w:val="single" w:sz="8" w:color="CCEEFF"/>
            </w:tcBorders>
            <w:shd w:val="clear" w:color="auto" w:fill="CCEEFF"/>
          </w:tcPr>
          <w:p>
            <w:pPr>
              <w:spacing w:after="0"/>
              <w:rPr>
                <w:sz w:val="21"/>
                <w:szCs w:val="21"/>
                <w:color w:val="auto"/>
              </w:rPr>
            </w:pPr>
          </w:p>
        </w:tc>
        <w:tc>
          <w:tcPr>
            <w:tcW w:w="200" w:type="dxa"/>
            <w:vAlign w:val="bottom"/>
            <w:tcBorders>
              <w:top w:val="single" w:sz="8" w:color="auto"/>
            </w:tcBorders>
            <w:shd w:val="clear" w:color="auto" w:fill="CCEEFF"/>
          </w:tcPr>
          <w:p>
            <w:pPr>
              <w:spacing w:after="0"/>
              <w:rPr>
                <w:sz w:val="21"/>
                <w:szCs w:val="21"/>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(42,070)</w:t>
            </w:r>
          </w:p>
        </w:tc>
        <w:tc>
          <w:tcPr>
            <w:tcW w:w="100" w:type="dxa"/>
            <w:vAlign w:val="bottom"/>
            <w:tcBorders>
              <w:top w:val="single" w:sz="8" w:color="CCEEFF"/>
            </w:tcBorders>
            <w:shd w:val="clear" w:color="auto" w:fill="CCEEFF"/>
          </w:tcPr>
          <w:p>
            <w:pPr>
              <w:spacing w:after="0"/>
              <w:rPr>
                <w:sz w:val="21"/>
                <w:szCs w:val="21"/>
                <w:color w:val="auto"/>
              </w:rPr>
            </w:pPr>
          </w:p>
        </w:tc>
        <w:tc>
          <w:tcPr>
            <w:tcW w:w="200" w:type="dxa"/>
            <w:vAlign w:val="bottom"/>
            <w:tcBorders>
              <w:top w:val="single" w:sz="8" w:color="auto"/>
            </w:tcBorders>
            <w:shd w:val="clear" w:color="auto" w:fill="CCEEFF"/>
          </w:tcPr>
          <w:p>
            <w:pPr>
              <w:spacing w:after="0"/>
              <w:rPr>
                <w:sz w:val="21"/>
                <w:szCs w:val="21"/>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(26,107)</w:t>
            </w:r>
          </w:p>
        </w:tc>
        <w:tc>
          <w:tcPr>
            <w:tcW w:w="100" w:type="dxa"/>
            <w:vAlign w:val="bottom"/>
            <w:tcBorders>
              <w:top w:val="single" w:sz="8" w:color="CCEEFF"/>
            </w:tcBorders>
            <w:shd w:val="clear" w:color="auto" w:fill="CCEEFF"/>
          </w:tcPr>
          <w:p>
            <w:pPr>
              <w:spacing w:after="0"/>
              <w:rPr>
                <w:sz w:val="21"/>
                <w:szCs w:val="21"/>
                <w:color w:val="auto"/>
              </w:rPr>
            </w:pPr>
          </w:p>
        </w:tc>
        <w:tc>
          <w:tcPr>
            <w:tcW w:w="160" w:type="dxa"/>
            <w:vAlign w:val="bottom"/>
            <w:tcBorders>
              <w:top w:val="single" w:sz="8" w:color="auto"/>
            </w:tcBorders>
            <w:shd w:val="clear" w:color="auto" w:fill="CCEEFF"/>
          </w:tcPr>
          <w:p>
            <w:pPr>
              <w:spacing w:after="0"/>
              <w:rPr>
                <w:sz w:val="21"/>
                <w:szCs w:val="21"/>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(15,963)</w:t>
            </w:r>
          </w:p>
        </w:tc>
        <w:tc>
          <w:tcPr>
            <w:tcW w:w="0" w:type="dxa"/>
            <w:vAlign w:val="bottom"/>
          </w:tcPr>
          <w:p>
            <w:pPr>
              <w:spacing w:after="0"/>
              <w:rPr>
                <w:sz w:val="1"/>
                <w:szCs w:val="1"/>
                <w:color w:val="auto"/>
              </w:rPr>
            </w:pPr>
          </w:p>
        </w:tc>
      </w:tr>
      <w:tr>
        <w:trPr>
          <w:trHeight w:val="269"/>
        </w:trPr>
        <w:tc>
          <w:tcPr>
            <w:tcW w:w="5260" w:type="dxa"/>
            <w:vAlign w:val="bottom"/>
          </w:tcPr>
          <w:p>
            <w:pPr>
              <w:ind w:left="40"/>
              <w:spacing w:after="0"/>
              <w:rPr>
                <w:sz w:val="20"/>
                <w:szCs w:val="20"/>
                <w:color w:val="auto"/>
              </w:rPr>
            </w:pPr>
            <w:r>
              <w:rPr>
                <w:rFonts w:ascii="Arial" w:cs="Arial" w:eastAsia="Arial" w:hAnsi="Arial"/>
                <w:sz w:val="14"/>
                <w:szCs w:val="14"/>
                <w:color w:val="auto"/>
              </w:rPr>
              <w:t>Provision for income taxes</w:t>
            </w:r>
          </w:p>
        </w:tc>
        <w:tc>
          <w:tcPr>
            <w:tcW w:w="240" w:type="dxa"/>
            <w:vAlign w:val="bottom"/>
          </w:tcPr>
          <w:p>
            <w:pPr>
              <w:spacing w:after="0"/>
              <w:rPr>
                <w:sz w:val="23"/>
                <w:szCs w:val="23"/>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rPr>
              <w:t>—</w:t>
            </w:r>
          </w:p>
        </w:tc>
        <w:tc>
          <w:tcPr>
            <w:tcW w:w="200" w:type="dxa"/>
            <w:vAlign w:val="bottom"/>
          </w:tcPr>
          <w:p>
            <w:pPr>
              <w:spacing w:after="0"/>
              <w:rPr>
                <w:sz w:val="23"/>
                <w:szCs w:val="23"/>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3"/>
                <w:szCs w:val="23"/>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3"/>
                <w:szCs w:val="23"/>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rPr>
              <w:t>—</w:t>
            </w:r>
          </w:p>
        </w:tc>
        <w:tc>
          <w:tcPr>
            <w:tcW w:w="200" w:type="dxa"/>
            <w:vAlign w:val="bottom"/>
          </w:tcPr>
          <w:p>
            <w:pPr>
              <w:spacing w:after="0"/>
              <w:rPr>
                <w:sz w:val="23"/>
                <w:szCs w:val="23"/>
                <w:color w:val="auto"/>
              </w:rPr>
            </w:pPr>
          </w:p>
        </w:tc>
        <w:tc>
          <w:tcPr>
            <w:tcW w:w="700" w:type="dxa"/>
            <w:vAlign w:val="bottom"/>
          </w:tcPr>
          <w:p>
            <w:pPr>
              <w:jc w:val="right"/>
              <w:ind w:right="28"/>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250"/>
        </w:trPr>
        <w:tc>
          <w:tcPr>
            <w:tcW w:w="526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4"/>
                <w:szCs w:val="14"/>
                <w:b w:val="1"/>
                <w:bCs w:val="1"/>
                <w:color w:val="auto"/>
              </w:rPr>
              <w:t>Net loss</w:t>
            </w:r>
          </w:p>
        </w:tc>
        <w:tc>
          <w:tcPr>
            <w:tcW w:w="240" w:type="dxa"/>
            <w:vAlign w:val="bottom"/>
            <w:tcBorders>
              <w:top w:val="single" w:sz="8" w:color="auto"/>
              <w:bottom w:val="single" w:sz="8" w:color="auto"/>
            </w:tcBorders>
            <w:shd w:val="clear" w:color="auto" w:fill="CCEEFF"/>
          </w:tcPr>
          <w:p>
            <w:pPr>
              <w:spacing w:after="0"/>
              <w:rPr>
                <w:sz w:val="21"/>
                <w:szCs w:val="21"/>
                <w:color w:val="auto"/>
              </w:rPr>
            </w:pPr>
          </w:p>
        </w:tc>
        <w:tc>
          <w:tcPr>
            <w:tcW w:w="82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(14,959)</w:t>
            </w:r>
          </w:p>
        </w:tc>
        <w:tc>
          <w:tcPr>
            <w:tcW w:w="120" w:type="dxa"/>
            <w:vAlign w:val="bottom"/>
            <w:tcBorders>
              <w:top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spacing w:after="0"/>
              <w:rPr>
                <w:sz w:val="21"/>
                <w:szCs w:val="21"/>
                <w:color w:val="auto"/>
              </w:rPr>
            </w:pP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(8,930)</w:t>
            </w:r>
          </w:p>
        </w:tc>
        <w:tc>
          <w:tcPr>
            <w:tcW w:w="120" w:type="dxa"/>
            <w:vAlign w:val="bottom"/>
            <w:tcBorders>
              <w:top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spacing w:after="0"/>
              <w:rPr>
                <w:sz w:val="21"/>
                <w:szCs w:val="21"/>
                <w:color w:val="auto"/>
              </w:rPr>
            </w:pPr>
          </w:p>
        </w:tc>
        <w:tc>
          <w:tcPr>
            <w:tcW w:w="78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(6,029)</w:t>
            </w:r>
          </w:p>
        </w:tc>
        <w:tc>
          <w:tcPr>
            <w:tcW w:w="100" w:type="dxa"/>
            <w:vAlign w:val="bottom"/>
            <w:tcBorders>
              <w:top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spacing w:after="0"/>
              <w:rPr>
                <w:sz w:val="21"/>
                <w:szCs w:val="21"/>
                <w:color w:val="auto"/>
              </w:rPr>
            </w:pP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(42,070)</w:t>
            </w:r>
          </w:p>
        </w:tc>
        <w:tc>
          <w:tcPr>
            <w:tcW w:w="100" w:type="dxa"/>
            <w:vAlign w:val="bottom"/>
            <w:tcBorders>
              <w:top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spacing w:after="0"/>
              <w:rPr>
                <w:sz w:val="21"/>
                <w:szCs w:val="21"/>
                <w:color w:val="auto"/>
              </w:rPr>
            </w:pP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(26,108)</w:t>
            </w:r>
          </w:p>
        </w:tc>
        <w:tc>
          <w:tcPr>
            <w:tcW w:w="100" w:type="dxa"/>
            <w:vAlign w:val="bottom"/>
            <w:tcBorders>
              <w:top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spacing w:after="0"/>
              <w:rPr>
                <w:sz w:val="21"/>
                <w:szCs w:val="21"/>
                <w:color w:val="auto"/>
              </w:rPr>
            </w:pP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(15,962)</w:t>
            </w:r>
          </w:p>
        </w:tc>
        <w:tc>
          <w:tcPr>
            <w:tcW w:w="0" w:type="dxa"/>
            <w:vAlign w:val="bottom"/>
          </w:tcPr>
          <w:p>
            <w:pPr>
              <w:spacing w:after="0"/>
              <w:rPr>
                <w:sz w:val="1"/>
                <w:szCs w:val="1"/>
                <w:color w:val="auto"/>
              </w:rPr>
            </w:pPr>
          </w:p>
        </w:tc>
      </w:tr>
      <w:tr>
        <w:trPr>
          <w:trHeight w:val="250"/>
        </w:trPr>
        <w:tc>
          <w:tcPr>
            <w:tcW w:w="5260" w:type="dxa"/>
            <w:vAlign w:val="bottom"/>
          </w:tcPr>
          <w:p>
            <w:pPr>
              <w:ind w:left="40"/>
              <w:spacing w:after="0"/>
              <w:rPr>
                <w:sz w:val="20"/>
                <w:szCs w:val="20"/>
                <w:color w:val="auto"/>
              </w:rPr>
            </w:pPr>
            <w:r>
              <w:rPr>
                <w:rFonts w:ascii="Arial" w:cs="Arial" w:eastAsia="Arial" w:hAnsi="Arial"/>
                <w:sz w:val="14"/>
                <w:szCs w:val="14"/>
                <w:color w:val="auto"/>
              </w:rPr>
              <w:t>Less: Net loss attributable to non-controlling interest in consolidated subsidiaries</w:t>
            </w:r>
          </w:p>
        </w:tc>
        <w:tc>
          <w:tcPr>
            <w:tcW w:w="240" w:type="dxa"/>
            <w:vAlign w:val="bottom"/>
          </w:tcPr>
          <w:p>
            <w:pPr>
              <w:spacing w:after="0"/>
              <w:rPr>
                <w:sz w:val="21"/>
                <w:szCs w:val="21"/>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rPr>
              <w:t>—</w:t>
            </w:r>
          </w:p>
        </w:tc>
        <w:tc>
          <w:tcPr>
            <w:tcW w:w="20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(3)</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80" w:type="dxa"/>
            <w:vAlign w:val="bottom"/>
          </w:tcPr>
          <w:p>
            <w:pPr>
              <w:jc w:val="right"/>
              <w:ind w:right="48"/>
              <w:spacing w:after="0"/>
              <w:rPr>
                <w:sz w:val="20"/>
                <w:szCs w:val="20"/>
                <w:color w:val="auto"/>
              </w:rPr>
            </w:pPr>
            <w:r>
              <w:rPr>
                <w:rFonts w:ascii="Arial" w:cs="Arial" w:eastAsia="Arial" w:hAnsi="Arial"/>
                <w:sz w:val="14"/>
                <w:szCs w:val="14"/>
                <w:color w:val="auto"/>
              </w:rPr>
              <w:t>3</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rPr>
              <w:t>—</w:t>
            </w:r>
          </w:p>
        </w:tc>
        <w:tc>
          <w:tcPr>
            <w:tcW w:w="20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(9)</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40" w:type="dxa"/>
            <w:vAlign w:val="bottom"/>
          </w:tcPr>
          <w:p>
            <w:pPr>
              <w:jc w:val="right"/>
              <w:ind w:right="28"/>
              <w:spacing w:after="0"/>
              <w:rPr>
                <w:sz w:val="20"/>
                <w:szCs w:val="20"/>
                <w:color w:val="auto"/>
              </w:rPr>
            </w:pPr>
            <w:r>
              <w:rPr>
                <w:rFonts w:ascii="Arial" w:cs="Arial" w:eastAsia="Arial" w:hAnsi="Arial"/>
                <w:sz w:val="14"/>
                <w:szCs w:val="14"/>
                <w:color w:val="auto"/>
              </w:rPr>
              <w:t>9</w:t>
            </w:r>
          </w:p>
        </w:tc>
        <w:tc>
          <w:tcPr>
            <w:tcW w:w="0" w:type="dxa"/>
            <w:vAlign w:val="bottom"/>
          </w:tcPr>
          <w:p>
            <w:pPr>
              <w:spacing w:after="0"/>
              <w:rPr>
                <w:sz w:val="1"/>
                <w:szCs w:val="1"/>
                <w:color w:val="auto"/>
              </w:rPr>
            </w:pPr>
          </w:p>
        </w:tc>
      </w:tr>
      <w:tr>
        <w:trPr>
          <w:trHeight w:val="250"/>
        </w:trPr>
        <w:tc>
          <w:tcPr>
            <w:tcW w:w="526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4"/>
                <w:szCs w:val="14"/>
                <w:b w:val="1"/>
                <w:bCs w:val="1"/>
                <w:color w:val="auto"/>
              </w:rPr>
              <w:t>Net loss attributable to shareholders</w:t>
            </w:r>
          </w:p>
        </w:tc>
        <w:tc>
          <w:tcPr>
            <w:tcW w:w="240" w:type="dxa"/>
            <w:vAlign w:val="bottom"/>
            <w:tcBorders>
              <w:top w:val="single" w:sz="8" w:color="auto"/>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b w:val="1"/>
                <w:bCs w:val="1"/>
                <w:color w:val="auto"/>
              </w:rPr>
              <w:t>$</w:t>
            </w:r>
          </w:p>
        </w:tc>
        <w:tc>
          <w:tcPr>
            <w:tcW w:w="82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(14,959)</w:t>
            </w:r>
          </w:p>
        </w:tc>
        <w:tc>
          <w:tcPr>
            <w:tcW w:w="120" w:type="dxa"/>
            <w:vAlign w:val="bottom"/>
            <w:tcBorders>
              <w:top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(8,927)</w:t>
            </w:r>
          </w:p>
        </w:tc>
        <w:tc>
          <w:tcPr>
            <w:tcW w:w="120" w:type="dxa"/>
            <w:vAlign w:val="bottom"/>
            <w:tcBorders>
              <w:top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8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(6,032)</w:t>
            </w:r>
          </w:p>
        </w:tc>
        <w:tc>
          <w:tcPr>
            <w:tcW w:w="100" w:type="dxa"/>
            <w:vAlign w:val="bottom"/>
            <w:tcBorders>
              <w:top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(42,070)</w:t>
            </w:r>
          </w:p>
        </w:tc>
        <w:tc>
          <w:tcPr>
            <w:tcW w:w="100" w:type="dxa"/>
            <w:vAlign w:val="bottom"/>
            <w:tcBorders>
              <w:top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(26,099)</w:t>
            </w:r>
          </w:p>
        </w:tc>
        <w:tc>
          <w:tcPr>
            <w:tcW w:w="100" w:type="dxa"/>
            <w:vAlign w:val="bottom"/>
            <w:tcBorders>
              <w:top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(15,971)</w:t>
            </w:r>
          </w:p>
        </w:tc>
        <w:tc>
          <w:tcPr>
            <w:tcW w:w="0" w:type="dxa"/>
            <w:vAlign w:val="bottom"/>
          </w:tcPr>
          <w:p>
            <w:pPr>
              <w:spacing w:after="0"/>
              <w:rPr>
                <w:sz w:val="1"/>
                <w:szCs w:val="1"/>
                <w:color w:val="auto"/>
              </w:rPr>
            </w:pPr>
          </w:p>
        </w:tc>
      </w:tr>
      <w:tr>
        <w:trPr>
          <w:trHeight w:val="250"/>
        </w:trPr>
        <w:tc>
          <w:tcPr>
            <w:tcW w:w="5260" w:type="dxa"/>
            <w:vAlign w:val="bottom"/>
          </w:tcPr>
          <w:p>
            <w:pPr>
              <w:ind w:left="40"/>
              <w:spacing w:after="0"/>
              <w:rPr>
                <w:sz w:val="20"/>
                <w:szCs w:val="20"/>
                <w:color w:val="auto"/>
              </w:rPr>
            </w:pPr>
            <w:r>
              <w:rPr>
                <w:rFonts w:ascii="Arial" w:cs="Arial" w:eastAsia="Arial" w:hAnsi="Arial"/>
                <w:sz w:val="14"/>
                <w:szCs w:val="14"/>
                <w:color w:val="auto"/>
              </w:rPr>
              <w:t>Add: Provision for income taxes</w:t>
            </w:r>
          </w:p>
        </w:tc>
        <w:tc>
          <w:tcPr>
            <w:tcW w:w="240" w:type="dxa"/>
            <w:vAlign w:val="bottom"/>
          </w:tcPr>
          <w:p>
            <w:pPr>
              <w:spacing w:after="0"/>
              <w:rPr>
                <w:sz w:val="21"/>
                <w:szCs w:val="21"/>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rPr>
              <w:t>—</w:t>
            </w:r>
          </w:p>
        </w:tc>
        <w:tc>
          <w:tcPr>
            <w:tcW w:w="200" w:type="dxa"/>
            <w:vAlign w:val="bottom"/>
          </w:tcPr>
          <w:p>
            <w:pPr>
              <w:spacing w:after="0"/>
              <w:rPr>
                <w:sz w:val="21"/>
                <w:szCs w:val="21"/>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1"/>
                <w:szCs w:val="21"/>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1"/>
                <w:szCs w:val="21"/>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rPr>
              <w:t>—</w:t>
            </w:r>
          </w:p>
        </w:tc>
        <w:tc>
          <w:tcPr>
            <w:tcW w:w="200" w:type="dxa"/>
            <w:vAlign w:val="bottom"/>
          </w:tcPr>
          <w:p>
            <w:pPr>
              <w:spacing w:after="0"/>
              <w:rPr>
                <w:sz w:val="21"/>
                <w:szCs w:val="21"/>
                <w:color w:val="auto"/>
              </w:rPr>
            </w:pPr>
          </w:p>
        </w:tc>
        <w:tc>
          <w:tcPr>
            <w:tcW w:w="700" w:type="dxa"/>
            <w:vAlign w:val="bottom"/>
          </w:tcPr>
          <w:p>
            <w:pPr>
              <w:jc w:val="right"/>
              <w:ind w:right="28"/>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271"/>
        </w:trPr>
        <w:tc>
          <w:tcPr>
            <w:tcW w:w="5260" w:type="dxa"/>
            <w:vAlign w:val="bottom"/>
            <w:shd w:val="clear" w:color="auto" w:fill="CCEEFF"/>
          </w:tcPr>
          <w:p>
            <w:pPr>
              <w:ind w:left="40"/>
              <w:spacing w:after="0"/>
              <w:rPr>
                <w:sz w:val="20"/>
                <w:szCs w:val="20"/>
                <w:color w:val="auto"/>
              </w:rPr>
            </w:pPr>
            <w:r>
              <w:rPr>
                <w:rFonts w:ascii="Arial" w:cs="Arial" w:eastAsia="Arial" w:hAnsi="Arial"/>
                <w:sz w:val="14"/>
                <w:szCs w:val="14"/>
                <w:color w:val="auto"/>
              </w:rPr>
              <w:t>Add: Equity-based compensation expense</w:t>
            </w:r>
          </w:p>
        </w:tc>
        <w:tc>
          <w:tcPr>
            <w:tcW w:w="240" w:type="dxa"/>
            <w:vAlign w:val="bottom"/>
            <w:shd w:val="clear" w:color="auto" w:fill="CCEEFF"/>
          </w:tcPr>
          <w:p>
            <w:pPr>
              <w:spacing w:after="0"/>
              <w:rPr>
                <w:sz w:val="23"/>
                <w:szCs w:val="23"/>
                <w:color w:val="auto"/>
              </w:rPr>
            </w:pP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b w:val="1"/>
                <w:bCs w:val="1"/>
                <w:color w:val="auto"/>
              </w:rPr>
              <w:t>—</w:t>
            </w:r>
          </w:p>
        </w:tc>
        <w:tc>
          <w:tcPr>
            <w:tcW w:w="200" w:type="dxa"/>
            <w:vAlign w:val="bottom"/>
            <w:shd w:val="clear" w:color="auto" w:fill="CCEEFF"/>
          </w:tcPr>
          <w:p>
            <w:pPr>
              <w:spacing w:after="0"/>
              <w:rPr>
                <w:sz w:val="23"/>
                <w:szCs w:val="23"/>
                <w:color w:val="auto"/>
              </w:rPr>
            </w:pP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3"/>
                <w:szCs w:val="23"/>
                <w:color w:val="auto"/>
              </w:rPr>
            </w:pP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23"/>
                <w:szCs w:val="23"/>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b w:val="1"/>
                <w:bCs w:val="1"/>
                <w:color w:val="auto"/>
              </w:rPr>
              <w:t>—</w:t>
            </w:r>
          </w:p>
        </w:tc>
        <w:tc>
          <w:tcPr>
            <w:tcW w:w="200" w:type="dxa"/>
            <w:vAlign w:val="bottom"/>
            <w:shd w:val="clear" w:color="auto" w:fill="CCEEFF"/>
          </w:tcPr>
          <w:p>
            <w:pPr>
              <w:spacing w:after="0"/>
              <w:rPr>
                <w:sz w:val="23"/>
                <w:szCs w:val="23"/>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3"/>
                <w:szCs w:val="23"/>
                <w:color w:val="auto"/>
              </w:rPr>
            </w:pPr>
          </w:p>
        </w:tc>
        <w:tc>
          <w:tcPr>
            <w:tcW w:w="7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69"/>
        </w:trPr>
        <w:tc>
          <w:tcPr>
            <w:tcW w:w="5260" w:type="dxa"/>
            <w:vAlign w:val="bottom"/>
          </w:tcPr>
          <w:p>
            <w:pPr>
              <w:ind w:left="40"/>
              <w:spacing w:after="0"/>
              <w:rPr>
                <w:sz w:val="20"/>
                <w:szCs w:val="20"/>
                <w:color w:val="auto"/>
              </w:rPr>
            </w:pPr>
            <w:r>
              <w:rPr>
                <w:rFonts w:ascii="Arial" w:cs="Arial" w:eastAsia="Arial" w:hAnsi="Arial"/>
                <w:sz w:val="14"/>
                <w:szCs w:val="14"/>
                <w:color w:val="auto"/>
              </w:rPr>
              <w:t>Add: Acquisition and transaction expenses</w:t>
            </w:r>
          </w:p>
        </w:tc>
        <w:tc>
          <w:tcPr>
            <w:tcW w:w="240" w:type="dxa"/>
            <w:vAlign w:val="bottom"/>
          </w:tcPr>
          <w:p>
            <w:pPr>
              <w:spacing w:after="0"/>
              <w:rPr>
                <w:sz w:val="23"/>
                <w:szCs w:val="23"/>
                <w:color w:val="auto"/>
              </w:rPr>
            </w:pPr>
          </w:p>
        </w:tc>
        <w:tc>
          <w:tcPr>
            <w:tcW w:w="820" w:type="dxa"/>
            <w:vAlign w:val="bottom"/>
          </w:tcPr>
          <w:p>
            <w:pPr>
              <w:jc w:val="right"/>
              <w:ind w:right="48"/>
              <w:spacing w:after="0"/>
              <w:rPr>
                <w:sz w:val="20"/>
                <w:szCs w:val="20"/>
                <w:color w:val="auto"/>
              </w:rPr>
            </w:pPr>
            <w:r>
              <w:rPr>
                <w:rFonts w:ascii="Arial" w:cs="Arial" w:eastAsia="Arial" w:hAnsi="Arial"/>
                <w:sz w:val="14"/>
                <w:szCs w:val="14"/>
                <w:b w:val="1"/>
                <w:bCs w:val="1"/>
                <w:color w:val="auto"/>
              </w:rPr>
              <w:t>1,726</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20" w:type="dxa"/>
            <w:vAlign w:val="bottom"/>
          </w:tcPr>
          <w:p>
            <w:pPr>
              <w:jc w:val="right"/>
              <w:ind w:right="48"/>
              <w:spacing w:after="0"/>
              <w:rPr>
                <w:sz w:val="20"/>
                <w:szCs w:val="20"/>
                <w:color w:val="auto"/>
              </w:rPr>
            </w:pPr>
            <w:r>
              <w:rPr>
                <w:rFonts w:ascii="Arial" w:cs="Arial" w:eastAsia="Arial" w:hAnsi="Arial"/>
                <w:sz w:val="14"/>
                <w:szCs w:val="14"/>
                <w:color w:val="auto"/>
              </w:rPr>
              <w:t>1,579</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80" w:type="dxa"/>
            <w:vAlign w:val="bottom"/>
          </w:tcPr>
          <w:p>
            <w:pPr>
              <w:jc w:val="right"/>
              <w:ind w:right="48"/>
              <w:spacing w:after="0"/>
              <w:rPr>
                <w:sz w:val="20"/>
                <w:szCs w:val="20"/>
                <w:color w:val="auto"/>
              </w:rPr>
            </w:pPr>
            <w:r>
              <w:rPr>
                <w:rFonts w:ascii="Arial" w:cs="Arial" w:eastAsia="Arial" w:hAnsi="Arial"/>
                <w:sz w:val="14"/>
                <w:szCs w:val="14"/>
                <w:color w:val="auto"/>
              </w:rPr>
              <w:t>147</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00" w:type="dxa"/>
            <w:vAlign w:val="bottom"/>
          </w:tcPr>
          <w:p>
            <w:pPr>
              <w:jc w:val="right"/>
              <w:ind w:right="28"/>
              <w:spacing w:after="0"/>
              <w:rPr>
                <w:sz w:val="20"/>
                <w:szCs w:val="20"/>
                <w:color w:val="auto"/>
              </w:rPr>
            </w:pPr>
            <w:r>
              <w:rPr>
                <w:rFonts w:ascii="Arial" w:cs="Arial" w:eastAsia="Arial" w:hAnsi="Arial"/>
                <w:sz w:val="14"/>
                <w:szCs w:val="14"/>
                <w:b w:val="1"/>
                <w:bCs w:val="1"/>
                <w:color w:val="auto"/>
              </w:rPr>
              <w:t>4,788</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00" w:type="dxa"/>
            <w:vAlign w:val="bottom"/>
          </w:tcPr>
          <w:p>
            <w:pPr>
              <w:jc w:val="right"/>
              <w:ind w:right="28"/>
              <w:spacing w:after="0"/>
              <w:rPr>
                <w:sz w:val="20"/>
                <w:szCs w:val="20"/>
                <w:color w:val="auto"/>
              </w:rPr>
            </w:pPr>
            <w:r>
              <w:rPr>
                <w:rFonts w:ascii="Arial" w:cs="Arial" w:eastAsia="Arial" w:hAnsi="Arial"/>
                <w:sz w:val="14"/>
                <w:szCs w:val="14"/>
                <w:color w:val="auto"/>
              </w:rPr>
              <w:t>4,222</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40" w:type="dxa"/>
            <w:vAlign w:val="bottom"/>
          </w:tcPr>
          <w:p>
            <w:pPr>
              <w:jc w:val="right"/>
              <w:ind w:right="28"/>
              <w:spacing w:after="0"/>
              <w:rPr>
                <w:sz w:val="20"/>
                <w:szCs w:val="20"/>
                <w:color w:val="auto"/>
              </w:rPr>
            </w:pPr>
            <w:r>
              <w:rPr>
                <w:rFonts w:ascii="Arial" w:cs="Arial" w:eastAsia="Arial" w:hAnsi="Arial"/>
                <w:sz w:val="14"/>
                <w:szCs w:val="14"/>
                <w:color w:val="auto"/>
              </w:rPr>
              <w:t>566</w:t>
            </w:r>
          </w:p>
        </w:tc>
        <w:tc>
          <w:tcPr>
            <w:tcW w:w="0" w:type="dxa"/>
            <w:vAlign w:val="bottom"/>
          </w:tcPr>
          <w:p>
            <w:pPr>
              <w:spacing w:after="0"/>
              <w:rPr>
                <w:sz w:val="1"/>
                <w:szCs w:val="1"/>
                <w:color w:val="auto"/>
              </w:rPr>
            </w:pPr>
          </w:p>
        </w:tc>
      </w:tr>
      <w:tr>
        <w:trPr>
          <w:trHeight w:val="177"/>
        </w:trPr>
        <w:tc>
          <w:tcPr>
            <w:tcW w:w="5260" w:type="dxa"/>
            <w:vAlign w:val="bottom"/>
            <w:shd w:val="clear" w:color="auto" w:fill="CCEEFF"/>
          </w:tcPr>
          <w:p>
            <w:pPr>
              <w:ind w:left="40"/>
              <w:spacing w:after="0"/>
              <w:rPr>
                <w:sz w:val="20"/>
                <w:szCs w:val="20"/>
                <w:color w:val="auto"/>
              </w:rPr>
            </w:pPr>
            <w:r>
              <w:rPr>
                <w:rFonts w:ascii="Arial" w:cs="Arial" w:eastAsia="Arial" w:hAnsi="Arial"/>
                <w:sz w:val="14"/>
                <w:szCs w:val="14"/>
                <w:color w:val="auto"/>
              </w:rPr>
              <w:t>Add: Losses on the modification or extinguishment of debt and capital lease</w:t>
            </w:r>
          </w:p>
        </w:tc>
        <w:tc>
          <w:tcPr>
            <w:tcW w:w="240" w:type="dxa"/>
            <w:vAlign w:val="bottom"/>
            <w:shd w:val="clear" w:color="auto" w:fill="CCEEFF"/>
          </w:tcPr>
          <w:p>
            <w:pPr>
              <w:spacing w:after="0"/>
              <w:rPr>
                <w:sz w:val="15"/>
                <w:szCs w:val="15"/>
                <w:color w:val="auto"/>
              </w:rPr>
            </w:pPr>
          </w:p>
        </w:tc>
        <w:tc>
          <w:tcPr>
            <w:tcW w:w="94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4"/>
                <w:szCs w:val="14"/>
                <w:b w:val="1"/>
                <w:bCs w:val="1"/>
                <w:color w:val="auto"/>
              </w:rPr>
              <w:t>—</w:t>
            </w:r>
          </w:p>
        </w:tc>
        <w:tc>
          <w:tcPr>
            <w:tcW w:w="20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0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2,456</w:t>
            </w: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2"/>
        </w:trPr>
        <w:tc>
          <w:tcPr>
            <w:tcW w:w="5260" w:type="dxa"/>
            <w:vAlign w:val="bottom"/>
            <w:shd w:val="clear" w:color="auto" w:fill="CCEEFF"/>
          </w:tcPr>
          <w:p>
            <w:pPr>
              <w:ind w:left="40"/>
              <w:spacing w:after="0"/>
              <w:rPr>
                <w:sz w:val="20"/>
                <w:szCs w:val="20"/>
                <w:color w:val="auto"/>
              </w:rPr>
            </w:pPr>
            <w:r>
              <w:rPr>
                <w:rFonts w:ascii="Arial" w:cs="Arial" w:eastAsia="Arial" w:hAnsi="Arial"/>
                <w:sz w:val="14"/>
                <w:szCs w:val="14"/>
                <w:color w:val="auto"/>
              </w:rPr>
              <w:t>obligations</w:t>
            </w:r>
          </w:p>
        </w:tc>
        <w:tc>
          <w:tcPr>
            <w:tcW w:w="240" w:type="dxa"/>
            <w:vAlign w:val="bottom"/>
            <w:shd w:val="clear" w:color="auto" w:fill="CCEEFF"/>
          </w:tcPr>
          <w:p>
            <w:pPr>
              <w:spacing w:after="0"/>
              <w:rPr>
                <w:sz w:val="17"/>
                <w:szCs w:val="17"/>
                <w:color w:val="auto"/>
              </w:rPr>
            </w:pPr>
          </w:p>
        </w:tc>
        <w:tc>
          <w:tcPr>
            <w:tcW w:w="940" w:type="dxa"/>
            <w:vAlign w:val="bottom"/>
            <w:gridSpan w:val="2"/>
            <w:vMerge w:val="continue"/>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7"/>
                <w:szCs w:val="17"/>
                <w:color w:val="auto"/>
              </w:rPr>
            </w:pPr>
          </w:p>
        </w:tc>
        <w:tc>
          <w:tcPr>
            <w:tcW w:w="70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7"/>
                <w:szCs w:val="17"/>
                <w:color w:val="auto"/>
              </w:rPr>
            </w:pPr>
          </w:p>
        </w:tc>
        <w:tc>
          <w:tcPr>
            <w:tcW w:w="7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2,456</w:t>
            </w:r>
          </w:p>
        </w:tc>
        <w:tc>
          <w:tcPr>
            <w:tcW w:w="0" w:type="dxa"/>
            <w:vAlign w:val="bottom"/>
          </w:tcPr>
          <w:p>
            <w:pPr>
              <w:spacing w:after="0"/>
              <w:rPr>
                <w:sz w:val="1"/>
                <w:szCs w:val="1"/>
                <w:color w:val="auto"/>
              </w:rPr>
            </w:pPr>
          </w:p>
        </w:tc>
      </w:tr>
      <w:tr>
        <w:trPr>
          <w:trHeight w:val="269"/>
        </w:trPr>
        <w:tc>
          <w:tcPr>
            <w:tcW w:w="5260" w:type="dxa"/>
            <w:vAlign w:val="bottom"/>
          </w:tcPr>
          <w:p>
            <w:pPr>
              <w:ind w:left="40"/>
              <w:spacing w:after="0"/>
              <w:rPr>
                <w:sz w:val="20"/>
                <w:szCs w:val="20"/>
                <w:color w:val="auto"/>
              </w:rPr>
            </w:pPr>
            <w:r>
              <w:rPr>
                <w:rFonts w:ascii="Arial" w:cs="Arial" w:eastAsia="Arial" w:hAnsi="Arial"/>
                <w:sz w:val="14"/>
                <w:szCs w:val="14"/>
                <w:color w:val="auto"/>
              </w:rPr>
              <w:t>Add: Changes in fair value of non-hedge derivative instruments</w:t>
            </w:r>
          </w:p>
        </w:tc>
        <w:tc>
          <w:tcPr>
            <w:tcW w:w="240" w:type="dxa"/>
            <w:vAlign w:val="bottom"/>
          </w:tcPr>
          <w:p>
            <w:pPr>
              <w:spacing w:after="0"/>
              <w:rPr>
                <w:sz w:val="23"/>
                <w:szCs w:val="23"/>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rPr>
              <w:t>—</w:t>
            </w:r>
          </w:p>
        </w:tc>
        <w:tc>
          <w:tcPr>
            <w:tcW w:w="200" w:type="dxa"/>
            <w:vAlign w:val="bottom"/>
          </w:tcPr>
          <w:p>
            <w:pPr>
              <w:spacing w:after="0"/>
              <w:rPr>
                <w:sz w:val="23"/>
                <w:szCs w:val="23"/>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3"/>
                <w:szCs w:val="23"/>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3"/>
                <w:szCs w:val="23"/>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rPr>
              <w:t>—</w:t>
            </w:r>
          </w:p>
        </w:tc>
        <w:tc>
          <w:tcPr>
            <w:tcW w:w="200" w:type="dxa"/>
            <w:vAlign w:val="bottom"/>
          </w:tcPr>
          <w:p>
            <w:pPr>
              <w:spacing w:after="0"/>
              <w:rPr>
                <w:sz w:val="23"/>
                <w:szCs w:val="23"/>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3"/>
                <w:szCs w:val="23"/>
                <w:color w:val="auto"/>
              </w:rPr>
            </w:pPr>
          </w:p>
        </w:tc>
        <w:tc>
          <w:tcPr>
            <w:tcW w:w="74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1"/>
        </w:trPr>
        <w:tc>
          <w:tcPr>
            <w:tcW w:w="5260" w:type="dxa"/>
            <w:vAlign w:val="bottom"/>
            <w:shd w:val="clear" w:color="auto" w:fill="CCEEFF"/>
          </w:tcPr>
          <w:p>
            <w:pPr>
              <w:ind w:left="40"/>
              <w:spacing w:after="0"/>
              <w:rPr>
                <w:sz w:val="20"/>
                <w:szCs w:val="20"/>
                <w:color w:val="auto"/>
              </w:rPr>
            </w:pPr>
            <w:r>
              <w:rPr>
                <w:rFonts w:ascii="Arial" w:cs="Arial" w:eastAsia="Arial" w:hAnsi="Arial"/>
                <w:sz w:val="14"/>
                <w:szCs w:val="14"/>
                <w:color w:val="auto"/>
              </w:rPr>
              <w:t>Add: Asset impairment charges</w:t>
            </w:r>
          </w:p>
        </w:tc>
        <w:tc>
          <w:tcPr>
            <w:tcW w:w="240" w:type="dxa"/>
            <w:vAlign w:val="bottom"/>
            <w:shd w:val="clear" w:color="auto" w:fill="CCEEFF"/>
          </w:tcPr>
          <w:p>
            <w:pPr>
              <w:spacing w:after="0"/>
              <w:rPr>
                <w:sz w:val="23"/>
                <w:szCs w:val="23"/>
                <w:color w:val="auto"/>
              </w:rPr>
            </w:pP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b w:val="1"/>
                <w:bCs w:val="1"/>
                <w:color w:val="auto"/>
              </w:rPr>
              <w:t>—</w:t>
            </w:r>
          </w:p>
        </w:tc>
        <w:tc>
          <w:tcPr>
            <w:tcW w:w="200" w:type="dxa"/>
            <w:vAlign w:val="bottom"/>
            <w:shd w:val="clear" w:color="auto" w:fill="CCEEFF"/>
          </w:tcPr>
          <w:p>
            <w:pPr>
              <w:spacing w:after="0"/>
              <w:rPr>
                <w:sz w:val="23"/>
                <w:szCs w:val="23"/>
                <w:color w:val="auto"/>
              </w:rPr>
            </w:pP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3"/>
                <w:szCs w:val="23"/>
                <w:color w:val="auto"/>
              </w:rPr>
            </w:pP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23"/>
                <w:szCs w:val="23"/>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b w:val="1"/>
                <w:bCs w:val="1"/>
                <w:color w:val="auto"/>
              </w:rPr>
              <w:t>—</w:t>
            </w:r>
          </w:p>
        </w:tc>
        <w:tc>
          <w:tcPr>
            <w:tcW w:w="200" w:type="dxa"/>
            <w:vAlign w:val="bottom"/>
            <w:shd w:val="clear" w:color="auto" w:fill="CCEEFF"/>
          </w:tcPr>
          <w:p>
            <w:pPr>
              <w:spacing w:after="0"/>
              <w:rPr>
                <w:sz w:val="23"/>
                <w:szCs w:val="23"/>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3"/>
                <w:szCs w:val="23"/>
                <w:color w:val="auto"/>
              </w:rPr>
            </w:pPr>
          </w:p>
        </w:tc>
        <w:tc>
          <w:tcPr>
            <w:tcW w:w="7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69"/>
        </w:trPr>
        <w:tc>
          <w:tcPr>
            <w:tcW w:w="5260" w:type="dxa"/>
            <w:vAlign w:val="bottom"/>
          </w:tcPr>
          <w:p>
            <w:pPr>
              <w:ind w:left="40"/>
              <w:spacing w:after="0"/>
              <w:rPr>
                <w:sz w:val="20"/>
                <w:szCs w:val="20"/>
                <w:color w:val="auto"/>
              </w:rPr>
            </w:pPr>
            <w:r>
              <w:rPr>
                <w:rFonts w:ascii="Arial" w:cs="Arial" w:eastAsia="Arial" w:hAnsi="Arial"/>
                <w:sz w:val="14"/>
                <w:szCs w:val="14"/>
                <w:color w:val="auto"/>
              </w:rPr>
              <w:t>Add: Pro-rata share of Adjusted Net Income from unconsolidated entities</w:t>
            </w:r>
          </w:p>
        </w:tc>
        <w:tc>
          <w:tcPr>
            <w:tcW w:w="240" w:type="dxa"/>
            <w:vAlign w:val="bottom"/>
          </w:tcPr>
          <w:p>
            <w:pPr>
              <w:spacing w:after="0"/>
              <w:rPr>
                <w:sz w:val="23"/>
                <w:szCs w:val="23"/>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rPr>
              <w:t>—</w:t>
            </w:r>
          </w:p>
        </w:tc>
        <w:tc>
          <w:tcPr>
            <w:tcW w:w="200" w:type="dxa"/>
            <w:vAlign w:val="bottom"/>
          </w:tcPr>
          <w:p>
            <w:pPr>
              <w:spacing w:after="0"/>
              <w:rPr>
                <w:sz w:val="23"/>
                <w:szCs w:val="23"/>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3"/>
                <w:szCs w:val="23"/>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3"/>
                <w:szCs w:val="23"/>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rPr>
              <w:t>—</w:t>
            </w:r>
          </w:p>
        </w:tc>
        <w:tc>
          <w:tcPr>
            <w:tcW w:w="200" w:type="dxa"/>
            <w:vAlign w:val="bottom"/>
          </w:tcPr>
          <w:p>
            <w:pPr>
              <w:spacing w:after="0"/>
              <w:rPr>
                <w:sz w:val="23"/>
                <w:szCs w:val="23"/>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3"/>
                <w:szCs w:val="23"/>
                <w:color w:val="auto"/>
              </w:rPr>
            </w:pPr>
          </w:p>
        </w:tc>
        <w:tc>
          <w:tcPr>
            <w:tcW w:w="74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1"/>
        </w:trPr>
        <w:tc>
          <w:tcPr>
            <w:tcW w:w="5260" w:type="dxa"/>
            <w:vAlign w:val="bottom"/>
            <w:shd w:val="clear" w:color="auto" w:fill="CCEEFF"/>
          </w:tcPr>
          <w:p>
            <w:pPr>
              <w:ind w:left="40"/>
              <w:spacing w:after="0"/>
              <w:rPr>
                <w:sz w:val="20"/>
                <w:szCs w:val="20"/>
                <w:color w:val="auto"/>
              </w:rPr>
            </w:pPr>
            <w:r>
              <w:rPr>
                <w:rFonts w:ascii="Arial" w:cs="Arial" w:eastAsia="Arial" w:hAnsi="Arial"/>
                <w:sz w:val="14"/>
                <w:szCs w:val="14"/>
                <w:color w:val="auto"/>
              </w:rPr>
              <w:t>Add: Incentive allocations</w:t>
            </w:r>
          </w:p>
        </w:tc>
        <w:tc>
          <w:tcPr>
            <w:tcW w:w="240" w:type="dxa"/>
            <w:vAlign w:val="bottom"/>
            <w:shd w:val="clear" w:color="auto" w:fill="CCEEFF"/>
          </w:tcPr>
          <w:p>
            <w:pPr>
              <w:spacing w:after="0"/>
              <w:rPr>
                <w:sz w:val="23"/>
                <w:szCs w:val="23"/>
                <w:color w:val="auto"/>
              </w:rPr>
            </w:pP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b w:val="1"/>
                <w:bCs w:val="1"/>
                <w:color w:val="auto"/>
              </w:rPr>
              <w:t>—</w:t>
            </w:r>
          </w:p>
        </w:tc>
        <w:tc>
          <w:tcPr>
            <w:tcW w:w="200" w:type="dxa"/>
            <w:vAlign w:val="bottom"/>
            <w:shd w:val="clear" w:color="auto" w:fill="CCEEFF"/>
          </w:tcPr>
          <w:p>
            <w:pPr>
              <w:spacing w:after="0"/>
              <w:rPr>
                <w:sz w:val="23"/>
                <w:szCs w:val="23"/>
                <w:color w:val="auto"/>
              </w:rPr>
            </w:pP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3"/>
                <w:szCs w:val="23"/>
                <w:color w:val="auto"/>
              </w:rPr>
            </w:pP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23"/>
                <w:szCs w:val="23"/>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b w:val="1"/>
                <w:bCs w:val="1"/>
                <w:color w:val="auto"/>
              </w:rPr>
              <w:t>—</w:t>
            </w:r>
          </w:p>
        </w:tc>
        <w:tc>
          <w:tcPr>
            <w:tcW w:w="200" w:type="dxa"/>
            <w:vAlign w:val="bottom"/>
            <w:shd w:val="clear" w:color="auto" w:fill="CCEEFF"/>
          </w:tcPr>
          <w:p>
            <w:pPr>
              <w:spacing w:after="0"/>
              <w:rPr>
                <w:sz w:val="23"/>
                <w:szCs w:val="23"/>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3"/>
                <w:szCs w:val="23"/>
                <w:color w:val="auto"/>
              </w:rPr>
            </w:pPr>
          </w:p>
        </w:tc>
        <w:tc>
          <w:tcPr>
            <w:tcW w:w="7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69"/>
        </w:trPr>
        <w:tc>
          <w:tcPr>
            <w:tcW w:w="5260" w:type="dxa"/>
            <w:vAlign w:val="bottom"/>
          </w:tcPr>
          <w:p>
            <w:pPr>
              <w:ind w:left="40"/>
              <w:spacing w:after="0"/>
              <w:rPr>
                <w:sz w:val="20"/>
                <w:szCs w:val="20"/>
                <w:color w:val="auto"/>
              </w:rPr>
            </w:pPr>
            <w:r>
              <w:rPr>
                <w:rFonts w:ascii="Arial" w:cs="Arial" w:eastAsia="Arial" w:hAnsi="Arial"/>
                <w:sz w:val="14"/>
                <w:szCs w:val="14"/>
                <w:color w:val="auto"/>
              </w:rPr>
              <w:t>Less: Cash payments for income taxes</w:t>
            </w:r>
          </w:p>
        </w:tc>
        <w:tc>
          <w:tcPr>
            <w:tcW w:w="240" w:type="dxa"/>
            <w:vAlign w:val="bottom"/>
          </w:tcPr>
          <w:p>
            <w:pPr>
              <w:spacing w:after="0"/>
              <w:rPr>
                <w:sz w:val="23"/>
                <w:szCs w:val="23"/>
                <w:color w:val="auto"/>
              </w:rPr>
            </w:pPr>
          </w:p>
        </w:tc>
        <w:tc>
          <w:tcPr>
            <w:tcW w:w="820" w:type="dxa"/>
            <w:vAlign w:val="bottom"/>
          </w:tcPr>
          <w:p>
            <w:pPr>
              <w:jc w:val="right"/>
              <w:ind w:right="8"/>
              <w:spacing w:after="0"/>
              <w:rPr>
                <w:sz w:val="20"/>
                <w:szCs w:val="20"/>
                <w:color w:val="auto"/>
              </w:rPr>
            </w:pPr>
            <w:r>
              <w:rPr>
                <w:rFonts w:ascii="Arial" w:cs="Arial" w:eastAsia="Arial" w:hAnsi="Arial"/>
                <w:sz w:val="14"/>
                <w:szCs w:val="14"/>
                <w:b w:val="1"/>
                <w:bCs w:val="1"/>
                <w:color w:val="auto"/>
              </w:rPr>
              <w:t>(440)</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3"/>
                <w:szCs w:val="23"/>
                <w:color w:val="auto"/>
              </w:rPr>
            </w:pPr>
          </w:p>
        </w:tc>
        <w:tc>
          <w:tcPr>
            <w:tcW w:w="780" w:type="dxa"/>
            <w:vAlign w:val="bottom"/>
          </w:tcPr>
          <w:p>
            <w:pPr>
              <w:jc w:val="right"/>
              <w:ind w:right="8"/>
              <w:spacing w:after="0"/>
              <w:rPr>
                <w:sz w:val="20"/>
                <w:szCs w:val="20"/>
                <w:color w:val="auto"/>
              </w:rPr>
            </w:pPr>
            <w:r>
              <w:rPr>
                <w:rFonts w:ascii="Arial" w:cs="Arial" w:eastAsia="Arial" w:hAnsi="Arial"/>
                <w:sz w:val="14"/>
                <w:szCs w:val="14"/>
                <w:color w:val="auto"/>
              </w:rPr>
              <w:t>(440)</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00" w:type="dxa"/>
            <w:vAlign w:val="bottom"/>
          </w:tcPr>
          <w:p>
            <w:pPr>
              <w:jc w:val="right"/>
              <w:spacing w:after="0"/>
              <w:rPr>
                <w:sz w:val="20"/>
                <w:szCs w:val="20"/>
                <w:color w:val="auto"/>
              </w:rPr>
            </w:pPr>
            <w:r>
              <w:rPr>
                <w:rFonts w:ascii="Arial" w:cs="Arial" w:eastAsia="Arial" w:hAnsi="Arial"/>
                <w:sz w:val="14"/>
                <w:szCs w:val="14"/>
                <w:b w:val="1"/>
                <w:bCs w:val="1"/>
                <w:color w:val="auto"/>
              </w:rPr>
              <w:t>(953)</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00" w:type="dxa"/>
            <w:vAlign w:val="bottom"/>
          </w:tcPr>
          <w:p>
            <w:pPr>
              <w:jc w:val="right"/>
              <w:ind w:right="28"/>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(954)</w:t>
            </w:r>
          </w:p>
        </w:tc>
        <w:tc>
          <w:tcPr>
            <w:tcW w:w="0" w:type="dxa"/>
            <w:vAlign w:val="bottom"/>
          </w:tcPr>
          <w:p>
            <w:pPr>
              <w:spacing w:after="0"/>
              <w:rPr>
                <w:sz w:val="1"/>
                <w:szCs w:val="1"/>
                <w:color w:val="auto"/>
              </w:rPr>
            </w:pPr>
          </w:p>
        </w:tc>
      </w:tr>
      <w:tr>
        <w:trPr>
          <w:trHeight w:val="271"/>
        </w:trPr>
        <w:tc>
          <w:tcPr>
            <w:tcW w:w="5260" w:type="dxa"/>
            <w:vAlign w:val="bottom"/>
            <w:shd w:val="clear" w:color="auto" w:fill="CCEEFF"/>
          </w:tcPr>
          <w:p>
            <w:pPr>
              <w:ind w:left="40"/>
              <w:spacing w:after="0"/>
              <w:rPr>
                <w:sz w:val="20"/>
                <w:szCs w:val="20"/>
                <w:color w:val="auto"/>
              </w:rPr>
            </w:pPr>
            <w:r>
              <w:rPr>
                <w:rFonts w:ascii="Arial" w:cs="Arial" w:eastAsia="Arial" w:hAnsi="Arial"/>
                <w:sz w:val="14"/>
                <w:szCs w:val="14"/>
                <w:color w:val="auto"/>
              </w:rPr>
              <w:t>Less: Equity in earnings of unconsolidated entities</w:t>
            </w:r>
          </w:p>
        </w:tc>
        <w:tc>
          <w:tcPr>
            <w:tcW w:w="240" w:type="dxa"/>
            <w:vAlign w:val="bottom"/>
            <w:shd w:val="clear" w:color="auto" w:fill="CCEEFF"/>
          </w:tcPr>
          <w:p>
            <w:pPr>
              <w:spacing w:after="0"/>
              <w:rPr>
                <w:sz w:val="23"/>
                <w:szCs w:val="23"/>
                <w:color w:val="auto"/>
              </w:rPr>
            </w:pP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b w:val="1"/>
                <w:bCs w:val="1"/>
                <w:color w:val="auto"/>
              </w:rPr>
              <w:t>—</w:t>
            </w:r>
          </w:p>
        </w:tc>
        <w:tc>
          <w:tcPr>
            <w:tcW w:w="200" w:type="dxa"/>
            <w:vAlign w:val="bottom"/>
            <w:shd w:val="clear" w:color="auto" w:fill="CCEEFF"/>
          </w:tcPr>
          <w:p>
            <w:pPr>
              <w:spacing w:after="0"/>
              <w:rPr>
                <w:sz w:val="23"/>
                <w:szCs w:val="23"/>
                <w:color w:val="auto"/>
              </w:rPr>
            </w:pP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3"/>
                <w:szCs w:val="23"/>
                <w:color w:val="auto"/>
              </w:rPr>
            </w:pP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23"/>
                <w:szCs w:val="23"/>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b w:val="1"/>
                <w:bCs w:val="1"/>
                <w:color w:val="auto"/>
              </w:rPr>
              <w:t>—</w:t>
            </w:r>
          </w:p>
        </w:tc>
        <w:tc>
          <w:tcPr>
            <w:tcW w:w="200" w:type="dxa"/>
            <w:vAlign w:val="bottom"/>
            <w:shd w:val="clear" w:color="auto" w:fill="CCEEFF"/>
          </w:tcPr>
          <w:p>
            <w:pPr>
              <w:spacing w:after="0"/>
              <w:rPr>
                <w:sz w:val="23"/>
                <w:szCs w:val="23"/>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3"/>
                <w:szCs w:val="23"/>
                <w:color w:val="auto"/>
              </w:rPr>
            </w:pPr>
          </w:p>
        </w:tc>
        <w:tc>
          <w:tcPr>
            <w:tcW w:w="7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69"/>
        </w:trPr>
        <w:tc>
          <w:tcPr>
            <w:tcW w:w="5260" w:type="dxa"/>
            <w:vAlign w:val="bottom"/>
          </w:tcPr>
          <w:p>
            <w:pPr>
              <w:ind w:left="40"/>
              <w:spacing w:after="0"/>
              <w:rPr>
                <w:sz w:val="20"/>
                <w:szCs w:val="20"/>
                <w:color w:val="auto"/>
              </w:rPr>
            </w:pPr>
            <w:r>
              <w:rPr>
                <w:rFonts w:ascii="Arial" w:cs="Arial" w:eastAsia="Arial" w:hAnsi="Arial"/>
                <w:sz w:val="14"/>
                <w:szCs w:val="14"/>
                <w:color w:val="auto"/>
              </w:rPr>
              <w:t>Less: Non-controlling share of Adjusted Net Income</w:t>
            </w:r>
          </w:p>
        </w:tc>
        <w:tc>
          <w:tcPr>
            <w:tcW w:w="240" w:type="dxa"/>
            <w:vAlign w:val="bottom"/>
          </w:tcPr>
          <w:p>
            <w:pPr>
              <w:spacing w:after="0"/>
              <w:rPr>
                <w:sz w:val="23"/>
                <w:szCs w:val="23"/>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rPr>
              <w:t>—</w:t>
            </w:r>
          </w:p>
        </w:tc>
        <w:tc>
          <w:tcPr>
            <w:tcW w:w="200" w:type="dxa"/>
            <w:vAlign w:val="bottom"/>
          </w:tcPr>
          <w:p>
            <w:pPr>
              <w:spacing w:after="0"/>
              <w:rPr>
                <w:sz w:val="23"/>
                <w:szCs w:val="23"/>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3"/>
                <w:szCs w:val="23"/>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3"/>
                <w:szCs w:val="23"/>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rPr>
              <w:t>—</w:t>
            </w:r>
          </w:p>
        </w:tc>
        <w:tc>
          <w:tcPr>
            <w:tcW w:w="200" w:type="dxa"/>
            <w:vAlign w:val="bottom"/>
          </w:tcPr>
          <w:p>
            <w:pPr>
              <w:spacing w:after="0"/>
              <w:rPr>
                <w:sz w:val="23"/>
                <w:szCs w:val="23"/>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3"/>
                <w:szCs w:val="23"/>
                <w:color w:val="auto"/>
              </w:rPr>
            </w:pPr>
          </w:p>
        </w:tc>
        <w:tc>
          <w:tcPr>
            <w:tcW w:w="74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38"/>
        </w:trPr>
        <w:tc>
          <w:tcPr>
            <w:tcW w:w="526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4"/>
                <w:szCs w:val="14"/>
                <w:b w:val="1"/>
                <w:bCs w:val="1"/>
                <w:color w:val="auto"/>
              </w:rPr>
              <w:t>Adjusted Net Loss</w:t>
            </w:r>
          </w:p>
        </w:tc>
        <w:tc>
          <w:tcPr>
            <w:tcW w:w="240" w:type="dxa"/>
            <w:vAlign w:val="bottom"/>
            <w:tcBorders>
              <w:top w:val="single" w:sz="8" w:color="auto"/>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b w:val="1"/>
                <w:bCs w:val="1"/>
                <w:color w:val="auto"/>
              </w:rPr>
              <w:t>$</w:t>
            </w:r>
          </w:p>
        </w:tc>
        <w:tc>
          <w:tcPr>
            <w:tcW w:w="82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(13,673)</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(7,348)</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8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(6,325)</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(35,779)</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(21,875)</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(13,904)</w:t>
            </w:r>
          </w:p>
        </w:tc>
        <w:tc>
          <w:tcPr>
            <w:tcW w:w="0" w:type="dxa"/>
            <w:vAlign w:val="bottom"/>
          </w:tcPr>
          <w:p>
            <w:pPr>
              <w:spacing w:after="0"/>
              <w:rPr>
                <w:sz w:val="1"/>
                <w:szCs w:val="1"/>
                <w:color w:val="auto"/>
              </w:rPr>
            </w:pPr>
          </w:p>
        </w:tc>
      </w:tr>
      <w:tr>
        <w:trPr>
          <w:trHeight w:val="20"/>
        </w:trPr>
        <w:tc>
          <w:tcPr>
            <w:tcW w:w="52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66</w:t>
      </w:r>
    </w:p>
    <w:p>
      <w:pPr>
        <w:sectPr>
          <w:pgSz w:w="11900" w:h="16838" w:orient="portrait"/>
          <w:cols w:equalWidth="0" w:num="1">
            <w:col w:w="11420"/>
          </w:cols>
          <w:pgMar w:left="240" w:top="579" w:right="239" w:bottom="1440" w:gutter="0" w:footer="0" w:header="0"/>
        </w:sectPr>
      </w:pPr>
    </w:p>
    <w:bookmarkStart w:id="66" w:name="page67"/>
    <w:bookmarkEnd w:id="66"/>
    <w:p>
      <w:pPr>
        <w:spacing w:after="0"/>
        <w:rPr>
          <w:sz w:val="20"/>
          <w:szCs w:val="20"/>
          <w:color w:val="auto"/>
        </w:rPr>
      </w:pPr>
      <w:r>
        <w:rPr>
          <w:rFonts w:ascii="Arial" w:cs="Arial" w:eastAsia="Arial" w:hAnsi="Arial"/>
          <w:sz w:val="16"/>
          <w:szCs w:val="16"/>
          <w:color w:val="auto"/>
        </w:rPr>
        <w:t>The following table sets forth a reconciliation of net loss attributable to shareholders to Adjusted EBITDA for Corporate for the three and nine months ended</w:t>
      </w:r>
    </w:p>
    <w:p>
      <w:pPr>
        <w:spacing w:after="0" w:line="25" w:lineRule="exact"/>
        <w:rPr>
          <w:sz w:val="20"/>
          <w:szCs w:val="20"/>
          <w:color w:val="auto"/>
        </w:rPr>
      </w:pPr>
    </w:p>
    <w:p>
      <w:pPr>
        <w:spacing w:after="0"/>
        <w:rPr>
          <w:sz w:val="20"/>
          <w:szCs w:val="20"/>
          <w:color w:val="auto"/>
        </w:rPr>
      </w:pPr>
      <w:r>
        <w:rPr>
          <w:rFonts w:ascii="Arial" w:cs="Arial" w:eastAsia="Arial" w:hAnsi="Arial"/>
          <w:sz w:val="16"/>
          <w:szCs w:val="16"/>
          <w:color w:val="auto"/>
        </w:rPr>
        <w:t>September 30, 2017 and September 30, 2016:</w:t>
      </w:r>
    </w:p>
    <w:p>
      <w:pPr>
        <w:spacing w:after="0" w:line="25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3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900" w:type="dxa"/>
            <w:vAlign w:val="bottom"/>
            <w:gridSpan w:val="5"/>
          </w:tcPr>
          <w:p>
            <w:pPr>
              <w:jc w:val="center"/>
              <w:ind w:right="280"/>
              <w:spacing w:after="0"/>
              <w:rPr>
                <w:sz w:val="20"/>
                <w:szCs w:val="20"/>
                <w:color w:val="auto"/>
              </w:rPr>
            </w:pPr>
            <w:r>
              <w:rPr>
                <w:rFonts w:ascii="Arial" w:cs="Arial" w:eastAsia="Arial" w:hAnsi="Arial"/>
                <w:sz w:val="14"/>
                <w:szCs w:val="14"/>
                <w:b w:val="1"/>
                <w:bCs w:val="1"/>
                <w:color w:val="auto"/>
              </w:rPr>
              <w:t>Three Months Ended</w:t>
            </w:r>
          </w:p>
        </w:tc>
        <w:tc>
          <w:tcPr>
            <w:tcW w:w="1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00" w:type="dxa"/>
            <w:vAlign w:val="bottom"/>
            <w:gridSpan w:val="5"/>
          </w:tcPr>
          <w:p>
            <w:pPr>
              <w:ind w:left="100"/>
              <w:spacing w:after="0"/>
              <w:rPr>
                <w:sz w:val="20"/>
                <w:szCs w:val="20"/>
                <w:color w:val="auto"/>
              </w:rPr>
            </w:pPr>
            <w:r>
              <w:rPr>
                <w:rFonts w:ascii="Arial" w:cs="Arial" w:eastAsia="Arial" w:hAnsi="Arial"/>
                <w:sz w:val="14"/>
                <w:szCs w:val="14"/>
                <w:b w:val="1"/>
                <w:bCs w:val="1"/>
                <w:color w:val="auto"/>
              </w:rPr>
              <w:t>Nine Months Ended</w:t>
            </w:r>
          </w:p>
        </w:tc>
        <w:tc>
          <w:tcPr>
            <w:tcW w:w="1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53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900" w:type="dxa"/>
            <w:vAlign w:val="bottom"/>
            <w:gridSpan w:val="5"/>
          </w:tcPr>
          <w:p>
            <w:pPr>
              <w:jc w:val="center"/>
              <w:ind w:right="280"/>
              <w:spacing w:after="0"/>
              <w:rPr>
                <w:sz w:val="20"/>
                <w:szCs w:val="20"/>
                <w:color w:val="auto"/>
              </w:rPr>
            </w:pPr>
            <w:r>
              <w:rPr>
                <w:rFonts w:ascii="Arial" w:cs="Arial" w:eastAsia="Arial" w:hAnsi="Arial"/>
                <w:sz w:val="14"/>
                <w:szCs w:val="14"/>
                <w:b w:val="1"/>
                <w:bCs w:val="1"/>
                <w:color w:val="auto"/>
              </w:rPr>
              <w:t>September 30,</w:t>
            </w: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0" w:type="dxa"/>
            <w:vAlign w:val="bottom"/>
            <w:gridSpan w:val="5"/>
          </w:tcPr>
          <w:p>
            <w:pPr>
              <w:ind w:left="280"/>
              <w:spacing w:after="0"/>
              <w:rPr>
                <w:sz w:val="20"/>
                <w:szCs w:val="20"/>
                <w:color w:val="auto"/>
              </w:rPr>
            </w:pPr>
            <w:r>
              <w:rPr>
                <w:rFonts w:ascii="Arial" w:cs="Arial" w:eastAsia="Arial" w:hAnsi="Arial"/>
                <w:sz w:val="14"/>
                <w:szCs w:val="14"/>
                <w:b w:val="1"/>
                <w:bCs w:val="1"/>
                <w:color w:val="auto"/>
              </w:rPr>
              <w:t>September 30,</w:t>
            </w: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64"/>
        </w:trPr>
        <w:tc>
          <w:tcPr>
            <w:tcW w:w="5380" w:type="dxa"/>
            <w:vAlign w:val="bottom"/>
          </w:tcPr>
          <w:p>
            <w:pPr>
              <w:ind w:left="40"/>
              <w:spacing w:after="0"/>
              <w:rPr>
                <w:sz w:val="20"/>
                <w:szCs w:val="20"/>
                <w:color w:val="auto"/>
              </w:rPr>
            </w:pPr>
            <w:r>
              <w:rPr>
                <w:rFonts w:ascii="Arial" w:cs="Arial" w:eastAsia="Arial" w:hAnsi="Arial"/>
                <w:sz w:val="14"/>
                <w:szCs w:val="14"/>
                <w:i w:val="1"/>
                <w:iCs w:val="1"/>
                <w:color w:val="auto"/>
              </w:rPr>
              <w:t>(Dollar amounts in thousands)</w:t>
            </w:r>
          </w:p>
        </w:tc>
        <w:tc>
          <w:tcPr>
            <w:tcW w:w="200" w:type="dxa"/>
            <w:vAlign w:val="bottom"/>
            <w:tcBorders>
              <w:top w:val="single" w:sz="8" w:color="auto"/>
            </w:tcBorders>
          </w:tcPr>
          <w:p>
            <w:pPr>
              <w:spacing w:after="0"/>
              <w:rPr>
                <w:sz w:val="22"/>
                <w:szCs w:val="22"/>
                <w:color w:val="auto"/>
              </w:rPr>
            </w:pPr>
          </w:p>
        </w:tc>
        <w:tc>
          <w:tcPr>
            <w:tcW w:w="740" w:type="dxa"/>
            <w:vAlign w:val="bottom"/>
            <w:tcBorders>
              <w:top w:val="single" w:sz="8" w:color="auto"/>
            </w:tcBorders>
          </w:tcPr>
          <w:p>
            <w:pPr>
              <w:jc w:val="right"/>
              <w:ind w:right="248"/>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top w:val="single" w:sz="8" w:color="auto"/>
            </w:tcBorders>
          </w:tcPr>
          <w:p>
            <w:pPr>
              <w:spacing w:after="0"/>
              <w:rPr>
                <w:sz w:val="22"/>
                <w:szCs w:val="22"/>
                <w:color w:val="auto"/>
              </w:rPr>
            </w:pPr>
          </w:p>
        </w:tc>
        <w:tc>
          <w:tcPr>
            <w:tcW w:w="200" w:type="dxa"/>
            <w:vAlign w:val="bottom"/>
            <w:tcBorders>
              <w:top w:val="single" w:sz="8" w:color="auto"/>
            </w:tcBorders>
          </w:tcPr>
          <w:p>
            <w:pPr>
              <w:spacing w:after="0"/>
              <w:rPr>
                <w:sz w:val="22"/>
                <w:szCs w:val="22"/>
                <w:color w:val="auto"/>
              </w:rPr>
            </w:pPr>
          </w:p>
        </w:tc>
        <w:tc>
          <w:tcPr>
            <w:tcW w:w="720" w:type="dxa"/>
            <w:vAlign w:val="bottom"/>
            <w:tcBorders>
              <w:top w:val="single" w:sz="8" w:color="auto"/>
            </w:tcBorders>
          </w:tcPr>
          <w:p>
            <w:pPr>
              <w:jc w:val="right"/>
              <w:ind w:right="228"/>
              <w:spacing w:after="0"/>
              <w:rPr>
                <w:sz w:val="20"/>
                <w:szCs w:val="20"/>
                <w:color w:val="auto"/>
              </w:rPr>
            </w:pPr>
            <w:r>
              <w:rPr>
                <w:rFonts w:ascii="Arial" w:cs="Arial" w:eastAsia="Arial" w:hAnsi="Arial"/>
                <w:sz w:val="14"/>
                <w:szCs w:val="14"/>
                <w:b w:val="1"/>
                <w:bCs w:val="1"/>
                <w:color w:val="auto"/>
              </w:rPr>
              <w:t>2016</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80" w:type="dxa"/>
            <w:vAlign w:val="bottom"/>
            <w:gridSpan w:val="2"/>
          </w:tcPr>
          <w:p>
            <w:pPr>
              <w:ind w:left="60"/>
              <w:spacing w:after="0"/>
              <w:rPr>
                <w:sz w:val="20"/>
                <w:szCs w:val="20"/>
                <w:color w:val="auto"/>
              </w:rPr>
            </w:pPr>
            <w:r>
              <w:rPr>
                <w:rFonts w:ascii="Arial" w:cs="Arial" w:eastAsia="Arial" w:hAnsi="Arial"/>
                <w:sz w:val="14"/>
                <w:szCs w:val="14"/>
                <w:b w:val="1"/>
                <w:bCs w:val="1"/>
                <w:color w:val="auto"/>
              </w:rPr>
              <w:t>Change</w:t>
            </w:r>
          </w:p>
        </w:tc>
        <w:tc>
          <w:tcPr>
            <w:tcW w:w="200" w:type="dxa"/>
            <w:vAlign w:val="bottom"/>
            <w:tcBorders>
              <w:top w:val="single" w:sz="8" w:color="auto"/>
            </w:tcBorders>
          </w:tcPr>
          <w:p>
            <w:pPr>
              <w:spacing w:after="0"/>
              <w:rPr>
                <w:sz w:val="22"/>
                <w:szCs w:val="22"/>
                <w:color w:val="auto"/>
              </w:rPr>
            </w:pPr>
          </w:p>
        </w:tc>
        <w:tc>
          <w:tcPr>
            <w:tcW w:w="700" w:type="dxa"/>
            <w:vAlign w:val="bottom"/>
            <w:tcBorders>
              <w:top w:val="single" w:sz="8" w:color="auto"/>
            </w:tcBorders>
          </w:tcPr>
          <w:p>
            <w:pPr>
              <w:ind w:left="100"/>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top w:val="single" w:sz="8" w:color="auto"/>
            </w:tcBorders>
          </w:tcPr>
          <w:p>
            <w:pPr>
              <w:spacing w:after="0"/>
              <w:rPr>
                <w:sz w:val="22"/>
                <w:szCs w:val="22"/>
                <w:color w:val="auto"/>
              </w:rPr>
            </w:pPr>
          </w:p>
        </w:tc>
        <w:tc>
          <w:tcPr>
            <w:tcW w:w="200" w:type="dxa"/>
            <w:vAlign w:val="bottom"/>
            <w:tcBorders>
              <w:top w:val="single" w:sz="8" w:color="auto"/>
            </w:tcBorders>
          </w:tcPr>
          <w:p>
            <w:pPr>
              <w:spacing w:after="0"/>
              <w:rPr>
                <w:sz w:val="22"/>
                <w:szCs w:val="22"/>
                <w:color w:val="auto"/>
              </w:rPr>
            </w:pPr>
          </w:p>
        </w:tc>
        <w:tc>
          <w:tcPr>
            <w:tcW w:w="700" w:type="dxa"/>
            <w:vAlign w:val="bottom"/>
            <w:tcBorders>
              <w:top w:val="single" w:sz="8" w:color="auto"/>
            </w:tcBorders>
          </w:tcPr>
          <w:p>
            <w:pPr>
              <w:jc w:val="right"/>
              <w:ind w:right="208"/>
              <w:spacing w:after="0"/>
              <w:rPr>
                <w:sz w:val="20"/>
                <w:szCs w:val="20"/>
                <w:color w:val="auto"/>
              </w:rPr>
            </w:pPr>
            <w:r>
              <w:rPr>
                <w:rFonts w:ascii="Arial" w:cs="Arial" w:eastAsia="Arial" w:hAnsi="Arial"/>
                <w:sz w:val="14"/>
                <w:szCs w:val="14"/>
                <w:b w:val="1"/>
                <w:bCs w:val="1"/>
                <w:color w:val="auto"/>
              </w:rPr>
              <w:t>2016</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40" w:type="dxa"/>
            <w:vAlign w:val="bottom"/>
          </w:tcPr>
          <w:p>
            <w:pPr>
              <w:jc w:val="right"/>
              <w:ind w:right="108"/>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250"/>
        </w:trPr>
        <w:tc>
          <w:tcPr>
            <w:tcW w:w="5380" w:type="dxa"/>
            <w:vAlign w:val="bottom"/>
          </w:tcPr>
          <w:p>
            <w:pPr>
              <w:ind w:left="40"/>
              <w:spacing w:after="0"/>
              <w:rPr>
                <w:sz w:val="20"/>
                <w:szCs w:val="20"/>
                <w:color w:val="auto"/>
              </w:rPr>
            </w:pPr>
            <w:r>
              <w:rPr>
                <w:rFonts w:ascii="Arial" w:cs="Arial" w:eastAsia="Arial" w:hAnsi="Arial"/>
                <w:sz w:val="14"/>
                <w:szCs w:val="14"/>
                <w:b w:val="1"/>
                <w:bCs w:val="1"/>
                <w:color w:val="auto"/>
              </w:rPr>
              <w:t>Net loss attributable to shareholders</w:t>
            </w:r>
          </w:p>
        </w:tc>
        <w:tc>
          <w:tcPr>
            <w:tcW w:w="200" w:type="dxa"/>
            <w:vAlign w:val="bottom"/>
            <w:tcBorders>
              <w:top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w:t>
            </w:r>
          </w:p>
        </w:tc>
        <w:tc>
          <w:tcPr>
            <w:tcW w:w="740" w:type="dxa"/>
            <w:vAlign w:val="bottom"/>
            <w:tcBorders>
              <w:top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(14,959)</w:t>
            </w:r>
          </w:p>
        </w:tc>
        <w:tc>
          <w:tcPr>
            <w:tcW w:w="120" w:type="dxa"/>
            <w:vAlign w:val="bottom"/>
          </w:tcPr>
          <w:p>
            <w:pPr>
              <w:spacing w:after="0"/>
              <w:rPr>
                <w:sz w:val="21"/>
                <w:szCs w:val="21"/>
                <w:color w:val="auto"/>
              </w:rPr>
            </w:pPr>
          </w:p>
        </w:tc>
        <w:tc>
          <w:tcPr>
            <w:tcW w:w="200" w:type="dxa"/>
            <w:vAlign w:val="bottom"/>
            <w:tcBorders>
              <w:top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(8,927)</w:t>
            </w:r>
          </w:p>
        </w:tc>
        <w:tc>
          <w:tcPr>
            <w:tcW w:w="120" w:type="dxa"/>
            <w:vAlign w:val="bottom"/>
          </w:tcPr>
          <w:p>
            <w:pPr>
              <w:spacing w:after="0"/>
              <w:rPr>
                <w:sz w:val="21"/>
                <w:szCs w:val="21"/>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80" w:type="dxa"/>
            <w:vAlign w:val="bottom"/>
            <w:tcBorders>
              <w:top w:val="single" w:sz="8" w:color="auto"/>
            </w:tcBorders>
          </w:tcPr>
          <w:p>
            <w:pPr>
              <w:jc w:val="right"/>
              <w:ind w:right="8"/>
              <w:spacing w:after="0"/>
              <w:rPr>
                <w:sz w:val="20"/>
                <w:szCs w:val="20"/>
                <w:color w:val="auto"/>
              </w:rPr>
            </w:pPr>
            <w:r>
              <w:rPr>
                <w:rFonts w:ascii="Arial" w:cs="Arial" w:eastAsia="Arial" w:hAnsi="Arial"/>
                <w:sz w:val="14"/>
                <w:szCs w:val="14"/>
                <w:color w:val="auto"/>
              </w:rPr>
              <w:t>(6,032)</w:t>
            </w:r>
          </w:p>
        </w:tc>
        <w:tc>
          <w:tcPr>
            <w:tcW w:w="100" w:type="dxa"/>
            <w:vAlign w:val="bottom"/>
          </w:tcPr>
          <w:p>
            <w:pPr>
              <w:spacing w:after="0"/>
              <w:rPr>
                <w:sz w:val="21"/>
                <w:szCs w:val="21"/>
                <w:color w:val="auto"/>
              </w:rPr>
            </w:pPr>
          </w:p>
        </w:tc>
        <w:tc>
          <w:tcPr>
            <w:tcW w:w="200" w:type="dxa"/>
            <w:vAlign w:val="bottom"/>
            <w:tcBorders>
              <w:top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w:t>
            </w: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auto"/>
              </w:rPr>
              <w:t>(42,070)</w:t>
            </w:r>
          </w:p>
        </w:tc>
        <w:tc>
          <w:tcPr>
            <w:tcW w:w="100" w:type="dxa"/>
            <w:vAlign w:val="bottom"/>
          </w:tcPr>
          <w:p>
            <w:pPr>
              <w:spacing w:after="0"/>
              <w:rPr>
                <w:sz w:val="21"/>
                <w:szCs w:val="21"/>
                <w:color w:val="auto"/>
              </w:rPr>
            </w:pPr>
          </w:p>
        </w:tc>
        <w:tc>
          <w:tcPr>
            <w:tcW w:w="200" w:type="dxa"/>
            <w:vAlign w:val="bottom"/>
            <w:tcBorders>
              <w:top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(26,099)</w:t>
            </w:r>
          </w:p>
        </w:tc>
        <w:tc>
          <w:tcPr>
            <w:tcW w:w="100" w:type="dxa"/>
            <w:vAlign w:val="bottom"/>
          </w:tcPr>
          <w:p>
            <w:pPr>
              <w:spacing w:after="0"/>
              <w:rPr>
                <w:sz w:val="21"/>
                <w:szCs w:val="21"/>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(15,971)</w:t>
            </w:r>
          </w:p>
        </w:tc>
        <w:tc>
          <w:tcPr>
            <w:tcW w:w="0" w:type="dxa"/>
            <w:vAlign w:val="bottom"/>
          </w:tcPr>
          <w:p>
            <w:pPr>
              <w:spacing w:after="0"/>
              <w:rPr>
                <w:sz w:val="1"/>
                <w:szCs w:val="1"/>
                <w:color w:val="auto"/>
              </w:rPr>
            </w:pPr>
          </w:p>
        </w:tc>
      </w:tr>
      <w:tr>
        <w:trPr>
          <w:trHeight w:val="271"/>
        </w:trPr>
        <w:tc>
          <w:tcPr>
            <w:tcW w:w="5380" w:type="dxa"/>
            <w:vAlign w:val="bottom"/>
            <w:shd w:val="clear" w:color="auto" w:fill="CCEEFF"/>
          </w:tcPr>
          <w:p>
            <w:pPr>
              <w:ind w:left="40"/>
              <w:spacing w:after="0"/>
              <w:rPr>
                <w:sz w:val="20"/>
                <w:szCs w:val="20"/>
                <w:color w:val="auto"/>
              </w:rPr>
            </w:pPr>
            <w:r>
              <w:rPr>
                <w:rFonts w:ascii="Arial" w:cs="Arial" w:eastAsia="Arial" w:hAnsi="Arial"/>
                <w:sz w:val="14"/>
                <w:szCs w:val="14"/>
                <w:color w:val="auto"/>
              </w:rPr>
              <w:t>Add: Provision for income taxes</w:t>
            </w:r>
          </w:p>
        </w:tc>
        <w:tc>
          <w:tcPr>
            <w:tcW w:w="200" w:type="dxa"/>
            <w:vAlign w:val="bottom"/>
            <w:shd w:val="clear" w:color="auto" w:fill="CCEEFF"/>
          </w:tcPr>
          <w:p>
            <w:pPr>
              <w:spacing w:after="0"/>
              <w:rPr>
                <w:sz w:val="23"/>
                <w:szCs w:val="23"/>
                <w:color w:val="auto"/>
              </w:rPr>
            </w:pPr>
          </w:p>
        </w:tc>
        <w:tc>
          <w:tcPr>
            <w:tcW w:w="86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b w:val="1"/>
                <w:bCs w:val="1"/>
                <w:color w:val="auto"/>
              </w:rPr>
              <w:t>—</w:t>
            </w:r>
          </w:p>
        </w:tc>
        <w:tc>
          <w:tcPr>
            <w:tcW w:w="200" w:type="dxa"/>
            <w:vAlign w:val="bottom"/>
            <w:shd w:val="clear" w:color="auto" w:fill="CCEEFF"/>
          </w:tcPr>
          <w:p>
            <w:pPr>
              <w:spacing w:after="0"/>
              <w:rPr>
                <w:sz w:val="23"/>
                <w:szCs w:val="23"/>
                <w:color w:val="auto"/>
              </w:rPr>
            </w:pP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3"/>
                <w:szCs w:val="23"/>
                <w:color w:val="auto"/>
              </w:rPr>
            </w:pP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23"/>
                <w:szCs w:val="23"/>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b w:val="1"/>
                <w:bCs w:val="1"/>
                <w:color w:val="auto"/>
              </w:rPr>
              <w:t>—</w:t>
            </w:r>
          </w:p>
        </w:tc>
        <w:tc>
          <w:tcPr>
            <w:tcW w:w="200" w:type="dxa"/>
            <w:vAlign w:val="bottom"/>
            <w:shd w:val="clear" w:color="auto" w:fill="CCEEFF"/>
          </w:tcPr>
          <w:p>
            <w:pPr>
              <w:spacing w:after="0"/>
              <w:rPr>
                <w:sz w:val="23"/>
                <w:szCs w:val="23"/>
                <w:color w:val="auto"/>
              </w:rPr>
            </w:pPr>
          </w:p>
        </w:tc>
        <w:tc>
          <w:tcPr>
            <w:tcW w:w="7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w:t>
            </w: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269"/>
        </w:trPr>
        <w:tc>
          <w:tcPr>
            <w:tcW w:w="5380" w:type="dxa"/>
            <w:vAlign w:val="bottom"/>
          </w:tcPr>
          <w:p>
            <w:pPr>
              <w:ind w:left="40"/>
              <w:spacing w:after="0"/>
              <w:rPr>
                <w:sz w:val="20"/>
                <w:szCs w:val="20"/>
                <w:color w:val="auto"/>
              </w:rPr>
            </w:pPr>
            <w:r>
              <w:rPr>
                <w:rFonts w:ascii="Arial" w:cs="Arial" w:eastAsia="Arial" w:hAnsi="Arial"/>
                <w:sz w:val="14"/>
                <w:szCs w:val="14"/>
                <w:color w:val="auto"/>
              </w:rPr>
              <w:t>Add: Equity-based compensation expense</w:t>
            </w:r>
          </w:p>
        </w:tc>
        <w:tc>
          <w:tcPr>
            <w:tcW w:w="200" w:type="dxa"/>
            <w:vAlign w:val="bottom"/>
          </w:tcPr>
          <w:p>
            <w:pPr>
              <w:spacing w:after="0"/>
              <w:rPr>
                <w:sz w:val="23"/>
                <w:szCs w:val="23"/>
                <w:color w:val="auto"/>
              </w:rPr>
            </w:pPr>
          </w:p>
        </w:tc>
        <w:tc>
          <w:tcPr>
            <w:tcW w:w="86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rPr>
              <w:t>—</w:t>
            </w:r>
          </w:p>
        </w:tc>
        <w:tc>
          <w:tcPr>
            <w:tcW w:w="200" w:type="dxa"/>
            <w:vAlign w:val="bottom"/>
          </w:tcPr>
          <w:p>
            <w:pPr>
              <w:spacing w:after="0"/>
              <w:rPr>
                <w:sz w:val="23"/>
                <w:szCs w:val="23"/>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3"/>
                <w:szCs w:val="23"/>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3"/>
                <w:szCs w:val="23"/>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rPr>
              <w:t>—</w:t>
            </w:r>
          </w:p>
        </w:tc>
        <w:tc>
          <w:tcPr>
            <w:tcW w:w="200" w:type="dxa"/>
            <w:vAlign w:val="bottom"/>
          </w:tcPr>
          <w:p>
            <w:pPr>
              <w:spacing w:after="0"/>
              <w:rPr>
                <w:sz w:val="23"/>
                <w:szCs w:val="23"/>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3"/>
                <w:szCs w:val="23"/>
                <w:color w:val="auto"/>
              </w:rPr>
            </w:pPr>
          </w:p>
        </w:tc>
        <w:tc>
          <w:tcPr>
            <w:tcW w:w="74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1"/>
        </w:trPr>
        <w:tc>
          <w:tcPr>
            <w:tcW w:w="5380" w:type="dxa"/>
            <w:vAlign w:val="bottom"/>
            <w:shd w:val="clear" w:color="auto" w:fill="CCEEFF"/>
          </w:tcPr>
          <w:p>
            <w:pPr>
              <w:ind w:left="40"/>
              <w:spacing w:after="0"/>
              <w:rPr>
                <w:sz w:val="20"/>
                <w:szCs w:val="20"/>
                <w:color w:val="auto"/>
              </w:rPr>
            </w:pPr>
            <w:r>
              <w:rPr>
                <w:rFonts w:ascii="Arial" w:cs="Arial" w:eastAsia="Arial" w:hAnsi="Arial"/>
                <w:sz w:val="14"/>
                <w:szCs w:val="14"/>
                <w:color w:val="auto"/>
              </w:rPr>
              <w:t>Add: Acquisition and transaction expenses</w:t>
            </w:r>
          </w:p>
        </w:tc>
        <w:tc>
          <w:tcPr>
            <w:tcW w:w="200" w:type="dxa"/>
            <w:vAlign w:val="bottom"/>
            <w:shd w:val="clear" w:color="auto" w:fill="CCEEFF"/>
          </w:tcPr>
          <w:p>
            <w:pPr>
              <w:spacing w:after="0"/>
              <w:rPr>
                <w:sz w:val="23"/>
                <w:szCs w:val="23"/>
                <w:color w:val="auto"/>
              </w:rPr>
            </w:pPr>
          </w:p>
        </w:tc>
        <w:tc>
          <w:tcPr>
            <w:tcW w:w="74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1,726</w:t>
            </w: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7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1,579</w:t>
            </w: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7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147</w:t>
            </w: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70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4,788</w:t>
            </w: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7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4,222</w:t>
            </w: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7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566</w:t>
            </w:r>
          </w:p>
        </w:tc>
        <w:tc>
          <w:tcPr>
            <w:tcW w:w="0" w:type="dxa"/>
            <w:vAlign w:val="bottom"/>
          </w:tcPr>
          <w:p>
            <w:pPr>
              <w:spacing w:after="0"/>
              <w:rPr>
                <w:sz w:val="1"/>
                <w:szCs w:val="1"/>
                <w:color w:val="auto"/>
              </w:rPr>
            </w:pPr>
          </w:p>
        </w:tc>
      </w:tr>
      <w:tr>
        <w:trPr>
          <w:trHeight w:val="176"/>
        </w:trPr>
        <w:tc>
          <w:tcPr>
            <w:tcW w:w="5380" w:type="dxa"/>
            <w:vAlign w:val="bottom"/>
          </w:tcPr>
          <w:p>
            <w:pPr>
              <w:ind w:left="40"/>
              <w:spacing w:after="0"/>
              <w:rPr>
                <w:sz w:val="20"/>
                <w:szCs w:val="20"/>
                <w:color w:val="auto"/>
              </w:rPr>
            </w:pPr>
            <w:r>
              <w:rPr>
                <w:rFonts w:ascii="Arial" w:cs="Arial" w:eastAsia="Arial" w:hAnsi="Arial"/>
                <w:sz w:val="14"/>
                <w:szCs w:val="14"/>
                <w:color w:val="auto"/>
              </w:rPr>
              <w:t>Add: Losses on the modification or extinguishment of debt and capital lease</w:t>
            </w:r>
          </w:p>
        </w:tc>
        <w:tc>
          <w:tcPr>
            <w:tcW w:w="200" w:type="dxa"/>
            <w:vAlign w:val="bottom"/>
          </w:tcPr>
          <w:p>
            <w:pPr>
              <w:spacing w:after="0"/>
              <w:rPr>
                <w:sz w:val="15"/>
                <w:szCs w:val="15"/>
                <w:color w:val="auto"/>
              </w:rPr>
            </w:pPr>
          </w:p>
        </w:tc>
        <w:tc>
          <w:tcPr>
            <w:tcW w:w="860" w:type="dxa"/>
            <w:vAlign w:val="bottom"/>
            <w:gridSpan w:val="2"/>
            <w:vMerge w:val="restart"/>
          </w:tcPr>
          <w:p>
            <w:pPr>
              <w:jc w:val="right"/>
              <w:ind w:right="240"/>
              <w:spacing w:after="0"/>
              <w:rPr>
                <w:sz w:val="20"/>
                <w:szCs w:val="20"/>
                <w:color w:val="auto"/>
              </w:rPr>
            </w:pPr>
            <w:r>
              <w:rPr>
                <w:rFonts w:ascii="Arial" w:cs="Arial" w:eastAsia="Arial" w:hAnsi="Arial"/>
                <w:sz w:val="14"/>
                <w:szCs w:val="14"/>
                <w:b w:val="1"/>
                <w:bCs w:val="1"/>
                <w:color w:val="auto"/>
              </w:rPr>
              <w:t>—</w:t>
            </w:r>
          </w:p>
        </w:tc>
        <w:tc>
          <w:tcPr>
            <w:tcW w:w="2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vMerge w:val="restart"/>
          </w:tcPr>
          <w:p>
            <w:pPr>
              <w:jc w:val="right"/>
              <w:ind w:right="28"/>
              <w:spacing w:after="0"/>
              <w:rPr>
                <w:sz w:val="20"/>
                <w:szCs w:val="20"/>
                <w:color w:val="auto"/>
              </w:rPr>
            </w:pPr>
            <w:r>
              <w:rPr>
                <w:rFonts w:ascii="Arial" w:cs="Arial" w:eastAsia="Arial" w:hAnsi="Arial"/>
                <w:sz w:val="14"/>
                <w:szCs w:val="14"/>
                <w:b w:val="1"/>
                <w:bCs w:val="1"/>
                <w:color w:val="auto"/>
              </w:rPr>
              <w:t>2,456</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1"/>
        </w:trPr>
        <w:tc>
          <w:tcPr>
            <w:tcW w:w="5380" w:type="dxa"/>
            <w:vAlign w:val="bottom"/>
          </w:tcPr>
          <w:p>
            <w:pPr>
              <w:ind w:left="40"/>
              <w:spacing w:after="0"/>
              <w:rPr>
                <w:sz w:val="20"/>
                <w:szCs w:val="20"/>
                <w:color w:val="auto"/>
              </w:rPr>
            </w:pPr>
            <w:r>
              <w:rPr>
                <w:rFonts w:ascii="Arial" w:cs="Arial" w:eastAsia="Arial" w:hAnsi="Arial"/>
                <w:sz w:val="14"/>
                <w:szCs w:val="14"/>
                <w:color w:val="auto"/>
              </w:rPr>
              <w:t>obligations</w:t>
            </w:r>
          </w:p>
        </w:tc>
        <w:tc>
          <w:tcPr>
            <w:tcW w:w="200" w:type="dxa"/>
            <w:vAlign w:val="bottom"/>
          </w:tcPr>
          <w:p>
            <w:pPr>
              <w:spacing w:after="0"/>
              <w:rPr>
                <w:sz w:val="17"/>
                <w:szCs w:val="17"/>
                <w:color w:val="auto"/>
              </w:rPr>
            </w:pPr>
          </w:p>
        </w:tc>
        <w:tc>
          <w:tcPr>
            <w:tcW w:w="860" w:type="dxa"/>
            <w:vAlign w:val="bottom"/>
            <w:gridSpan w:val="2"/>
            <w:vMerge w:val="continue"/>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7"/>
                <w:szCs w:val="17"/>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7"/>
                <w:szCs w:val="17"/>
                <w:color w:val="auto"/>
              </w:rPr>
            </w:pPr>
          </w:p>
        </w:tc>
        <w:tc>
          <w:tcPr>
            <w:tcW w:w="70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7"/>
                <w:szCs w:val="17"/>
                <w:color w:val="auto"/>
              </w:rPr>
            </w:pPr>
          </w:p>
        </w:tc>
        <w:tc>
          <w:tcPr>
            <w:tcW w:w="740" w:type="dxa"/>
            <w:vAlign w:val="bottom"/>
          </w:tcPr>
          <w:p>
            <w:pPr>
              <w:jc w:val="right"/>
              <w:ind w:right="28"/>
              <w:spacing w:after="0"/>
              <w:rPr>
                <w:sz w:val="20"/>
                <w:szCs w:val="20"/>
                <w:color w:val="auto"/>
              </w:rPr>
            </w:pPr>
            <w:r>
              <w:rPr>
                <w:rFonts w:ascii="Arial" w:cs="Arial" w:eastAsia="Arial" w:hAnsi="Arial"/>
                <w:sz w:val="14"/>
                <w:szCs w:val="14"/>
                <w:color w:val="auto"/>
              </w:rPr>
              <w:t>2,456</w:t>
            </w:r>
          </w:p>
        </w:tc>
        <w:tc>
          <w:tcPr>
            <w:tcW w:w="0" w:type="dxa"/>
            <w:vAlign w:val="bottom"/>
          </w:tcPr>
          <w:p>
            <w:pPr>
              <w:spacing w:after="0"/>
              <w:rPr>
                <w:sz w:val="1"/>
                <w:szCs w:val="1"/>
                <w:color w:val="auto"/>
              </w:rPr>
            </w:pPr>
          </w:p>
        </w:tc>
      </w:tr>
      <w:tr>
        <w:trPr>
          <w:trHeight w:val="271"/>
        </w:trPr>
        <w:tc>
          <w:tcPr>
            <w:tcW w:w="5380" w:type="dxa"/>
            <w:vAlign w:val="bottom"/>
            <w:shd w:val="clear" w:color="auto" w:fill="CCEEFF"/>
          </w:tcPr>
          <w:p>
            <w:pPr>
              <w:ind w:left="40"/>
              <w:spacing w:after="0"/>
              <w:rPr>
                <w:sz w:val="20"/>
                <w:szCs w:val="20"/>
                <w:color w:val="auto"/>
              </w:rPr>
            </w:pPr>
            <w:r>
              <w:rPr>
                <w:rFonts w:ascii="Arial" w:cs="Arial" w:eastAsia="Arial" w:hAnsi="Arial"/>
                <w:sz w:val="14"/>
                <w:szCs w:val="14"/>
                <w:color w:val="auto"/>
              </w:rPr>
              <w:t>Add: Changes in fair value of non-hedge derivative instruments</w:t>
            </w:r>
          </w:p>
        </w:tc>
        <w:tc>
          <w:tcPr>
            <w:tcW w:w="200" w:type="dxa"/>
            <w:vAlign w:val="bottom"/>
            <w:shd w:val="clear" w:color="auto" w:fill="CCEEFF"/>
          </w:tcPr>
          <w:p>
            <w:pPr>
              <w:spacing w:after="0"/>
              <w:rPr>
                <w:sz w:val="23"/>
                <w:szCs w:val="23"/>
                <w:color w:val="auto"/>
              </w:rPr>
            </w:pPr>
          </w:p>
        </w:tc>
        <w:tc>
          <w:tcPr>
            <w:tcW w:w="86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b w:val="1"/>
                <w:bCs w:val="1"/>
                <w:color w:val="auto"/>
              </w:rPr>
              <w:t>—</w:t>
            </w:r>
          </w:p>
        </w:tc>
        <w:tc>
          <w:tcPr>
            <w:tcW w:w="200" w:type="dxa"/>
            <w:vAlign w:val="bottom"/>
            <w:shd w:val="clear" w:color="auto" w:fill="CCEEFF"/>
          </w:tcPr>
          <w:p>
            <w:pPr>
              <w:spacing w:after="0"/>
              <w:rPr>
                <w:sz w:val="23"/>
                <w:szCs w:val="23"/>
                <w:color w:val="auto"/>
              </w:rPr>
            </w:pP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3"/>
                <w:szCs w:val="23"/>
                <w:color w:val="auto"/>
              </w:rPr>
            </w:pP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23"/>
                <w:szCs w:val="23"/>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b w:val="1"/>
                <w:bCs w:val="1"/>
                <w:color w:val="auto"/>
              </w:rPr>
              <w:t>—</w:t>
            </w:r>
          </w:p>
        </w:tc>
        <w:tc>
          <w:tcPr>
            <w:tcW w:w="200" w:type="dxa"/>
            <w:vAlign w:val="bottom"/>
            <w:shd w:val="clear" w:color="auto" w:fill="CCEEFF"/>
          </w:tcPr>
          <w:p>
            <w:pPr>
              <w:spacing w:after="0"/>
              <w:rPr>
                <w:sz w:val="23"/>
                <w:szCs w:val="23"/>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3"/>
                <w:szCs w:val="23"/>
                <w:color w:val="auto"/>
              </w:rPr>
            </w:pPr>
          </w:p>
        </w:tc>
        <w:tc>
          <w:tcPr>
            <w:tcW w:w="7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69"/>
        </w:trPr>
        <w:tc>
          <w:tcPr>
            <w:tcW w:w="5380" w:type="dxa"/>
            <w:vAlign w:val="bottom"/>
          </w:tcPr>
          <w:p>
            <w:pPr>
              <w:ind w:left="40"/>
              <w:spacing w:after="0"/>
              <w:rPr>
                <w:sz w:val="20"/>
                <w:szCs w:val="20"/>
                <w:color w:val="auto"/>
              </w:rPr>
            </w:pPr>
            <w:r>
              <w:rPr>
                <w:rFonts w:ascii="Arial" w:cs="Arial" w:eastAsia="Arial" w:hAnsi="Arial"/>
                <w:sz w:val="14"/>
                <w:szCs w:val="14"/>
                <w:color w:val="auto"/>
              </w:rPr>
              <w:t>Add: Asset impairment charges</w:t>
            </w:r>
          </w:p>
        </w:tc>
        <w:tc>
          <w:tcPr>
            <w:tcW w:w="200" w:type="dxa"/>
            <w:vAlign w:val="bottom"/>
          </w:tcPr>
          <w:p>
            <w:pPr>
              <w:spacing w:after="0"/>
              <w:rPr>
                <w:sz w:val="23"/>
                <w:szCs w:val="23"/>
                <w:color w:val="auto"/>
              </w:rPr>
            </w:pPr>
          </w:p>
        </w:tc>
        <w:tc>
          <w:tcPr>
            <w:tcW w:w="86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rPr>
              <w:t>—</w:t>
            </w:r>
          </w:p>
        </w:tc>
        <w:tc>
          <w:tcPr>
            <w:tcW w:w="200" w:type="dxa"/>
            <w:vAlign w:val="bottom"/>
          </w:tcPr>
          <w:p>
            <w:pPr>
              <w:spacing w:after="0"/>
              <w:rPr>
                <w:sz w:val="23"/>
                <w:szCs w:val="23"/>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3"/>
                <w:szCs w:val="23"/>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3"/>
                <w:szCs w:val="23"/>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rPr>
              <w:t>—</w:t>
            </w:r>
          </w:p>
        </w:tc>
        <w:tc>
          <w:tcPr>
            <w:tcW w:w="200" w:type="dxa"/>
            <w:vAlign w:val="bottom"/>
          </w:tcPr>
          <w:p>
            <w:pPr>
              <w:spacing w:after="0"/>
              <w:rPr>
                <w:sz w:val="23"/>
                <w:szCs w:val="23"/>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3"/>
                <w:szCs w:val="23"/>
                <w:color w:val="auto"/>
              </w:rPr>
            </w:pPr>
          </w:p>
        </w:tc>
        <w:tc>
          <w:tcPr>
            <w:tcW w:w="74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1"/>
        </w:trPr>
        <w:tc>
          <w:tcPr>
            <w:tcW w:w="5380" w:type="dxa"/>
            <w:vAlign w:val="bottom"/>
            <w:shd w:val="clear" w:color="auto" w:fill="CCEEFF"/>
          </w:tcPr>
          <w:p>
            <w:pPr>
              <w:ind w:left="40"/>
              <w:spacing w:after="0"/>
              <w:rPr>
                <w:sz w:val="20"/>
                <w:szCs w:val="20"/>
                <w:color w:val="auto"/>
              </w:rPr>
            </w:pPr>
            <w:r>
              <w:rPr>
                <w:rFonts w:ascii="Arial" w:cs="Arial" w:eastAsia="Arial" w:hAnsi="Arial"/>
                <w:sz w:val="14"/>
                <w:szCs w:val="14"/>
                <w:color w:val="auto"/>
              </w:rPr>
              <w:t>Add: Incentive allocations</w:t>
            </w:r>
          </w:p>
        </w:tc>
        <w:tc>
          <w:tcPr>
            <w:tcW w:w="200" w:type="dxa"/>
            <w:vAlign w:val="bottom"/>
            <w:shd w:val="clear" w:color="auto" w:fill="CCEEFF"/>
          </w:tcPr>
          <w:p>
            <w:pPr>
              <w:spacing w:after="0"/>
              <w:rPr>
                <w:sz w:val="23"/>
                <w:szCs w:val="23"/>
                <w:color w:val="auto"/>
              </w:rPr>
            </w:pPr>
          </w:p>
        </w:tc>
        <w:tc>
          <w:tcPr>
            <w:tcW w:w="86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b w:val="1"/>
                <w:bCs w:val="1"/>
                <w:color w:val="auto"/>
              </w:rPr>
              <w:t>—</w:t>
            </w:r>
          </w:p>
        </w:tc>
        <w:tc>
          <w:tcPr>
            <w:tcW w:w="200" w:type="dxa"/>
            <w:vAlign w:val="bottom"/>
            <w:shd w:val="clear" w:color="auto" w:fill="CCEEFF"/>
          </w:tcPr>
          <w:p>
            <w:pPr>
              <w:spacing w:after="0"/>
              <w:rPr>
                <w:sz w:val="23"/>
                <w:szCs w:val="23"/>
                <w:color w:val="auto"/>
              </w:rPr>
            </w:pP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3"/>
                <w:szCs w:val="23"/>
                <w:color w:val="auto"/>
              </w:rPr>
            </w:pP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23"/>
                <w:szCs w:val="23"/>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b w:val="1"/>
                <w:bCs w:val="1"/>
                <w:color w:val="auto"/>
              </w:rPr>
              <w:t>—</w:t>
            </w:r>
          </w:p>
        </w:tc>
        <w:tc>
          <w:tcPr>
            <w:tcW w:w="200" w:type="dxa"/>
            <w:vAlign w:val="bottom"/>
            <w:shd w:val="clear" w:color="auto" w:fill="CCEEFF"/>
          </w:tcPr>
          <w:p>
            <w:pPr>
              <w:spacing w:after="0"/>
              <w:rPr>
                <w:sz w:val="23"/>
                <w:szCs w:val="23"/>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3"/>
                <w:szCs w:val="23"/>
                <w:color w:val="auto"/>
              </w:rPr>
            </w:pPr>
          </w:p>
        </w:tc>
        <w:tc>
          <w:tcPr>
            <w:tcW w:w="7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69"/>
        </w:trPr>
        <w:tc>
          <w:tcPr>
            <w:tcW w:w="5380" w:type="dxa"/>
            <w:vAlign w:val="bottom"/>
          </w:tcPr>
          <w:p>
            <w:pPr>
              <w:ind w:left="40"/>
              <w:spacing w:after="0"/>
              <w:rPr>
                <w:sz w:val="20"/>
                <w:szCs w:val="20"/>
                <w:color w:val="auto"/>
              </w:rPr>
            </w:pPr>
            <w:r>
              <w:rPr>
                <w:rFonts w:ascii="Arial" w:cs="Arial" w:eastAsia="Arial" w:hAnsi="Arial"/>
                <w:sz w:val="14"/>
                <w:szCs w:val="14"/>
                <w:color w:val="auto"/>
              </w:rPr>
              <w:t>Add: Depreciation and amortization expense</w:t>
            </w:r>
          </w:p>
        </w:tc>
        <w:tc>
          <w:tcPr>
            <w:tcW w:w="200" w:type="dxa"/>
            <w:vAlign w:val="bottom"/>
          </w:tcPr>
          <w:p>
            <w:pPr>
              <w:spacing w:after="0"/>
              <w:rPr>
                <w:sz w:val="23"/>
                <w:szCs w:val="23"/>
                <w:color w:val="auto"/>
              </w:rPr>
            </w:pPr>
          </w:p>
        </w:tc>
        <w:tc>
          <w:tcPr>
            <w:tcW w:w="86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rPr>
              <w:t>—</w:t>
            </w:r>
          </w:p>
        </w:tc>
        <w:tc>
          <w:tcPr>
            <w:tcW w:w="200" w:type="dxa"/>
            <w:vAlign w:val="bottom"/>
          </w:tcPr>
          <w:p>
            <w:pPr>
              <w:spacing w:after="0"/>
              <w:rPr>
                <w:sz w:val="23"/>
                <w:szCs w:val="23"/>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3"/>
                <w:szCs w:val="23"/>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3"/>
                <w:szCs w:val="23"/>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rPr>
              <w:t>—</w:t>
            </w:r>
          </w:p>
        </w:tc>
        <w:tc>
          <w:tcPr>
            <w:tcW w:w="200" w:type="dxa"/>
            <w:vAlign w:val="bottom"/>
          </w:tcPr>
          <w:p>
            <w:pPr>
              <w:spacing w:after="0"/>
              <w:rPr>
                <w:sz w:val="23"/>
                <w:szCs w:val="23"/>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3"/>
                <w:szCs w:val="23"/>
                <w:color w:val="auto"/>
              </w:rPr>
            </w:pPr>
          </w:p>
        </w:tc>
        <w:tc>
          <w:tcPr>
            <w:tcW w:w="74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1"/>
        </w:trPr>
        <w:tc>
          <w:tcPr>
            <w:tcW w:w="5380" w:type="dxa"/>
            <w:vAlign w:val="bottom"/>
            <w:shd w:val="clear" w:color="auto" w:fill="CCEEFF"/>
          </w:tcPr>
          <w:p>
            <w:pPr>
              <w:ind w:left="40"/>
              <w:spacing w:after="0"/>
              <w:rPr>
                <w:sz w:val="20"/>
                <w:szCs w:val="20"/>
                <w:color w:val="auto"/>
              </w:rPr>
            </w:pPr>
            <w:r>
              <w:rPr>
                <w:rFonts w:ascii="Arial" w:cs="Arial" w:eastAsia="Arial" w:hAnsi="Arial"/>
                <w:sz w:val="14"/>
                <w:szCs w:val="14"/>
                <w:color w:val="auto"/>
              </w:rPr>
              <w:t>Add: Interest expense</w:t>
            </w:r>
          </w:p>
        </w:tc>
        <w:tc>
          <w:tcPr>
            <w:tcW w:w="200" w:type="dxa"/>
            <w:vAlign w:val="bottom"/>
            <w:shd w:val="clear" w:color="auto" w:fill="CCEEFF"/>
          </w:tcPr>
          <w:p>
            <w:pPr>
              <w:spacing w:after="0"/>
              <w:rPr>
                <w:sz w:val="23"/>
                <w:szCs w:val="23"/>
                <w:color w:val="auto"/>
              </w:rPr>
            </w:pPr>
          </w:p>
        </w:tc>
        <w:tc>
          <w:tcPr>
            <w:tcW w:w="74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6,023</w:t>
            </w: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3"/>
                <w:szCs w:val="23"/>
                <w:color w:val="auto"/>
              </w:rPr>
            </w:pPr>
          </w:p>
        </w:tc>
        <w:tc>
          <w:tcPr>
            <w:tcW w:w="7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6,023</w:t>
            </w: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70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12,682</w:t>
            </w: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3"/>
                <w:szCs w:val="23"/>
                <w:color w:val="auto"/>
              </w:rPr>
            </w:pPr>
          </w:p>
        </w:tc>
        <w:tc>
          <w:tcPr>
            <w:tcW w:w="7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12,682</w:t>
            </w:r>
          </w:p>
        </w:tc>
        <w:tc>
          <w:tcPr>
            <w:tcW w:w="0" w:type="dxa"/>
            <w:vAlign w:val="bottom"/>
          </w:tcPr>
          <w:p>
            <w:pPr>
              <w:spacing w:after="0"/>
              <w:rPr>
                <w:sz w:val="1"/>
                <w:szCs w:val="1"/>
                <w:color w:val="auto"/>
              </w:rPr>
            </w:pPr>
          </w:p>
        </w:tc>
      </w:tr>
      <w:tr>
        <w:trPr>
          <w:trHeight w:val="269"/>
        </w:trPr>
        <w:tc>
          <w:tcPr>
            <w:tcW w:w="5380" w:type="dxa"/>
            <w:vAlign w:val="bottom"/>
          </w:tcPr>
          <w:p>
            <w:pPr>
              <w:ind w:left="40"/>
              <w:spacing w:after="0"/>
              <w:rPr>
                <w:sz w:val="20"/>
                <w:szCs w:val="20"/>
                <w:color w:val="auto"/>
              </w:rPr>
            </w:pPr>
            <w:r>
              <w:rPr>
                <w:rFonts w:ascii="Arial" w:cs="Arial" w:eastAsia="Arial" w:hAnsi="Arial"/>
                <w:sz w:val="14"/>
                <w:szCs w:val="14"/>
                <w:color w:val="auto"/>
              </w:rPr>
              <w:t>Add: Pro-rata share of Adjusted EBITDA from unconsolidated entities</w:t>
            </w:r>
          </w:p>
        </w:tc>
        <w:tc>
          <w:tcPr>
            <w:tcW w:w="200" w:type="dxa"/>
            <w:vAlign w:val="bottom"/>
          </w:tcPr>
          <w:p>
            <w:pPr>
              <w:spacing w:after="0"/>
              <w:rPr>
                <w:sz w:val="23"/>
                <w:szCs w:val="23"/>
                <w:color w:val="auto"/>
              </w:rPr>
            </w:pPr>
          </w:p>
        </w:tc>
        <w:tc>
          <w:tcPr>
            <w:tcW w:w="86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rPr>
              <w:t>—</w:t>
            </w:r>
          </w:p>
        </w:tc>
        <w:tc>
          <w:tcPr>
            <w:tcW w:w="200" w:type="dxa"/>
            <w:vAlign w:val="bottom"/>
          </w:tcPr>
          <w:p>
            <w:pPr>
              <w:spacing w:after="0"/>
              <w:rPr>
                <w:sz w:val="23"/>
                <w:szCs w:val="23"/>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3"/>
                <w:szCs w:val="23"/>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3"/>
                <w:szCs w:val="23"/>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rPr>
              <w:t>—</w:t>
            </w:r>
          </w:p>
        </w:tc>
        <w:tc>
          <w:tcPr>
            <w:tcW w:w="200" w:type="dxa"/>
            <w:vAlign w:val="bottom"/>
          </w:tcPr>
          <w:p>
            <w:pPr>
              <w:spacing w:after="0"/>
              <w:rPr>
                <w:sz w:val="23"/>
                <w:szCs w:val="23"/>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3"/>
                <w:szCs w:val="23"/>
                <w:color w:val="auto"/>
              </w:rPr>
            </w:pPr>
          </w:p>
        </w:tc>
        <w:tc>
          <w:tcPr>
            <w:tcW w:w="74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1"/>
        </w:trPr>
        <w:tc>
          <w:tcPr>
            <w:tcW w:w="5380" w:type="dxa"/>
            <w:vAlign w:val="bottom"/>
            <w:shd w:val="clear" w:color="auto" w:fill="CCEEFF"/>
          </w:tcPr>
          <w:p>
            <w:pPr>
              <w:ind w:left="40"/>
              <w:spacing w:after="0"/>
              <w:rPr>
                <w:sz w:val="20"/>
                <w:szCs w:val="20"/>
                <w:color w:val="auto"/>
              </w:rPr>
            </w:pPr>
            <w:r>
              <w:rPr>
                <w:rFonts w:ascii="Arial" w:cs="Arial" w:eastAsia="Arial" w:hAnsi="Arial"/>
                <w:sz w:val="14"/>
                <w:szCs w:val="14"/>
                <w:color w:val="auto"/>
              </w:rPr>
              <w:t>Less: Equity in earnings of unconsolidated entities</w:t>
            </w:r>
          </w:p>
        </w:tc>
        <w:tc>
          <w:tcPr>
            <w:tcW w:w="200" w:type="dxa"/>
            <w:vAlign w:val="bottom"/>
            <w:shd w:val="clear" w:color="auto" w:fill="CCEEFF"/>
          </w:tcPr>
          <w:p>
            <w:pPr>
              <w:spacing w:after="0"/>
              <w:rPr>
                <w:sz w:val="23"/>
                <w:szCs w:val="23"/>
                <w:color w:val="auto"/>
              </w:rPr>
            </w:pPr>
          </w:p>
        </w:tc>
        <w:tc>
          <w:tcPr>
            <w:tcW w:w="86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b w:val="1"/>
                <w:bCs w:val="1"/>
                <w:color w:val="auto"/>
              </w:rPr>
              <w:t>—</w:t>
            </w:r>
          </w:p>
        </w:tc>
        <w:tc>
          <w:tcPr>
            <w:tcW w:w="200" w:type="dxa"/>
            <w:vAlign w:val="bottom"/>
            <w:shd w:val="clear" w:color="auto" w:fill="CCEEFF"/>
          </w:tcPr>
          <w:p>
            <w:pPr>
              <w:spacing w:after="0"/>
              <w:rPr>
                <w:sz w:val="23"/>
                <w:szCs w:val="23"/>
                <w:color w:val="auto"/>
              </w:rPr>
            </w:pP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3"/>
                <w:szCs w:val="23"/>
                <w:color w:val="auto"/>
              </w:rPr>
            </w:pP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23"/>
                <w:szCs w:val="23"/>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b w:val="1"/>
                <w:bCs w:val="1"/>
                <w:color w:val="auto"/>
              </w:rPr>
              <w:t>—</w:t>
            </w:r>
          </w:p>
        </w:tc>
        <w:tc>
          <w:tcPr>
            <w:tcW w:w="200" w:type="dxa"/>
            <w:vAlign w:val="bottom"/>
            <w:shd w:val="clear" w:color="auto" w:fill="CCEEFF"/>
          </w:tcPr>
          <w:p>
            <w:pPr>
              <w:spacing w:after="0"/>
              <w:rPr>
                <w:sz w:val="23"/>
                <w:szCs w:val="23"/>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3"/>
                <w:szCs w:val="23"/>
                <w:color w:val="auto"/>
              </w:rPr>
            </w:pPr>
          </w:p>
        </w:tc>
        <w:tc>
          <w:tcPr>
            <w:tcW w:w="7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69"/>
        </w:trPr>
        <w:tc>
          <w:tcPr>
            <w:tcW w:w="5380" w:type="dxa"/>
            <w:vAlign w:val="bottom"/>
          </w:tcPr>
          <w:p>
            <w:pPr>
              <w:ind w:left="40"/>
              <w:spacing w:after="0"/>
              <w:rPr>
                <w:sz w:val="20"/>
                <w:szCs w:val="20"/>
                <w:color w:val="auto"/>
              </w:rPr>
            </w:pPr>
            <w:r>
              <w:rPr>
                <w:rFonts w:ascii="Arial" w:cs="Arial" w:eastAsia="Arial" w:hAnsi="Arial"/>
                <w:sz w:val="14"/>
                <w:szCs w:val="14"/>
                <w:color w:val="auto"/>
              </w:rPr>
              <w:t>Less: Non-controlling share of Adjusted EBITDA</w:t>
            </w:r>
          </w:p>
        </w:tc>
        <w:tc>
          <w:tcPr>
            <w:tcW w:w="200" w:type="dxa"/>
            <w:vAlign w:val="bottom"/>
          </w:tcPr>
          <w:p>
            <w:pPr>
              <w:spacing w:after="0"/>
              <w:rPr>
                <w:sz w:val="23"/>
                <w:szCs w:val="23"/>
                <w:color w:val="auto"/>
              </w:rPr>
            </w:pPr>
          </w:p>
        </w:tc>
        <w:tc>
          <w:tcPr>
            <w:tcW w:w="86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rPr>
              <w:t>—</w:t>
            </w:r>
          </w:p>
        </w:tc>
        <w:tc>
          <w:tcPr>
            <w:tcW w:w="200" w:type="dxa"/>
            <w:vAlign w:val="bottom"/>
          </w:tcPr>
          <w:p>
            <w:pPr>
              <w:spacing w:after="0"/>
              <w:rPr>
                <w:sz w:val="23"/>
                <w:szCs w:val="23"/>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3"/>
                <w:szCs w:val="23"/>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3"/>
                <w:szCs w:val="23"/>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rPr>
              <w:t>—</w:t>
            </w:r>
          </w:p>
        </w:tc>
        <w:tc>
          <w:tcPr>
            <w:tcW w:w="200" w:type="dxa"/>
            <w:vAlign w:val="bottom"/>
          </w:tcPr>
          <w:p>
            <w:pPr>
              <w:spacing w:after="0"/>
              <w:rPr>
                <w:sz w:val="23"/>
                <w:szCs w:val="23"/>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3"/>
                <w:szCs w:val="23"/>
                <w:color w:val="auto"/>
              </w:rPr>
            </w:pPr>
          </w:p>
        </w:tc>
        <w:tc>
          <w:tcPr>
            <w:tcW w:w="74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38"/>
        </w:trPr>
        <w:tc>
          <w:tcPr>
            <w:tcW w:w="538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4"/>
                <w:szCs w:val="14"/>
                <w:b w:val="1"/>
                <w:bCs w:val="1"/>
                <w:color w:val="auto"/>
              </w:rPr>
              <w:t>Adjusted EBITDA</w:t>
            </w:r>
          </w:p>
        </w:tc>
        <w:tc>
          <w:tcPr>
            <w:tcW w:w="20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w:t>
            </w:r>
          </w:p>
        </w:tc>
        <w:tc>
          <w:tcPr>
            <w:tcW w:w="74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(7,210)</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(7,348)</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8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138</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(22,144)</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(21,876)</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(268)</w:t>
            </w:r>
          </w:p>
        </w:tc>
        <w:tc>
          <w:tcPr>
            <w:tcW w:w="0" w:type="dxa"/>
            <w:vAlign w:val="bottom"/>
          </w:tcPr>
          <w:p>
            <w:pPr>
              <w:spacing w:after="0"/>
              <w:rPr>
                <w:sz w:val="1"/>
                <w:szCs w:val="1"/>
                <w:color w:val="auto"/>
              </w:rPr>
            </w:pPr>
          </w:p>
        </w:tc>
      </w:tr>
      <w:tr>
        <w:trPr>
          <w:trHeight w:val="20"/>
        </w:trPr>
        <w:tc>
          <w:tcPr>
            <w:tcW w:w="53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0"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00497F"/>
        </w:rPr>
        <w:t>Expenses</w:t>
      </w:r>
    </w:p>
    <w:p>
      <w:pPr>
        <w:spacing w:after="0" w:line="113" w:lineRule="exact"/>
        <w:rPr>
          <w:sz w:val="20"/>
          <w:szCs w:val="20"/>
          <w:color w:val="auto"/>
        </w:rPr>
      </w:pPr>
    </w:p>
    <w:p>
      <w:pPr>
        <w:jc w:val="both"/>
        <w:spacing w:after="0" w:line="261" w:lineRule="auto"/>
        <w:rPr>
          <w:sz w:val="20"/>
          <w:szCs w:val="20"/>
          <w:color w:val="auto"/>
        </w:rPr>
      </w:pPr>
      <w:r>
        <w:rPr>
          <w:rFonts w:ascii="Arial" w:cs="Arial" w:eastAsia="Arial" w:hAnsi="Arial"/>
          <w:sz w:val="16"/>
          <w:szCs w:val="16"/>
          <w:color w:val="auto"/>
        </w:rPr>
        <w:t>Total expenses increased $6,029 in the three months ended September 30, 2017 as compared to the three months ended September 30, 2016. The increase primarily consists of interest expense of $6,023 on the Senior Notes issued in 2017 and an increase in acquisition and transaction expenses of $147 due to deal related expenses incurred. These increases were partially offset by a decrease in management fees to affiliate of $375 as the average value of total equity decreased during the period.</w:t>
      </w:r>
    </w:p>
    <w:p>
      <w:pPr>
        <w:spacing w:after="0" w:line="64" w:lineRule="exact"/>
        <w:rPr>
          <w:sz w:val="20"/>
          <w:szCs w:val="20"/>
          <w:color w:val="auto"/>
        </w:rPr>
      </w:pPr>
    </w:p>
    <w:p>
      <w:pPr>
        <w:jc w:val="both"/>
        <w:spacing w:after="0" w:line="257" w:lineRule="auto"/>
        <w:rPr>
          <w:sz w:val="20"/>
          <w:szCs w:val="20"/>
          <w:color w:val="auto"/>
        </w:rPr>
      </w:pPr>
      <w:r>
        <w:rPr>
          <w:rFonts w:ascii="Arial" w:cs="Arial" w:eastAsia="Arial" w:hAnsi="Arial"/>
          <w:sz w:val="16"/>
          <w:szCs w:val="16"/>
          <w:color w:val="auto"/>
        </w:rPr>
        <w:t>Total expenses increased $13,507 in the nine months ended September 30, 2017 as compared to the nine months ended September 30, 2016. The increase primarily consists of interest expense of $12,682 on the Senior Notes issued in 2017. General and administrative costs increased $1,461 and reflected (i) $508 in higher reimbursement expenses to our Manager, (ii) $703 of higher professional fees, (iii) $270 of higher general corporate costs, and (iv) $20 of lower other general and administrative expenses. Partially offsetting these increases was lower management fees of $1,196 due to a decrease in the average value of total equity during the period.</w:t>
      </w:r>
    </w:p>
    <w:p>
      <w:pPr>
        <w:spacing w:after="0" w:line="6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00497F"/>
        </w:rPr>
        <w:t>Other Expenses</w:t>
      </w:r>
    </w:p>
    <w:p>
      <w:pPr>
        <w:spacing w:after="0" w:line="113"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Total other expenses increased $2,456 in the nine months ended September 30, 2017 compared to the same period in 2016. The increase is due to a loss on extinguishment of debt.</w:t>
      </w:r>
    </w:p>
    <w:p>
      <w:pPr>
        <w:spacing w:after="0" w:line="40"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00497F"/>
        </w:rPr>
        <w:t>Adjusted Net Loss</w:t>
      </w:r>
    </w:p>
    <w:p>
      <w:pPr>
        <w:spacing w:after="0" w:line="113" w:lineRule="exact"/>
        <w:rPr>
          <w:sz w:val="20"/>
          <w:szCs w:val="20"/>
          <w:color w:val="auto"/>
        </w:rPr>
      </w:pPr>
    </w:p>
    <w:p>
      <w:pPr>
        <w:jc w:val="both"/>
        <w:spacing w:after="0" w:line="269" w:lineRule="auto"/>
        <w:rPr>
          <w:sz w:val="20"/>
          <w:szCs w:val="20"/>
          <w:color w:val="auto"/>
        </w:rPr>
      </w:pPr>
      <w:r>
        <w:rPr>
          <w:rFonts w:ascii="Arial" w:cs="Arial" w:eastAsia="Arial" w:hAnsi="Arial"/>
          <w:sz w:val="16"/>
          <w:szCs w:val="16"/>
          <w:color w:val="auto"/>
        </w:rPr>
        <w:t>Adjusted Net Loss was $13,673 in the three months ended September 30, 2017, increasing by $6,325 as compared to the three months ended September 30, 2016. In addition to the changes in net loss attributable to shareholders noted above, Adjusted Net Loss was increased by acquisition and transaction expenses incurred for potential acquisition opportunities less cash payments for income taxes.</w:t>
      </w:r>
    </w:p>
    <w:p>
      <w:pPr>
        <w:spacing w:after="0" w:line="57" w:lineRule="exact"/>
        <w:rPr>
          <w:sz w:val="20"/>
          <w:szCs w:val="20"/>
          <w:color w:val="auto"/>
        </w:rPr>
      </w:pPr>
    </w:p>
    <w:p>
      <w:pPr>
        <w:jc w:val="both"/>
        <w:spacing w:after="0" w:line="269" w:lineRule="auto"/>
        <w:rPr>
          <w:sz w:val="20"/>
          <w:szCs w:val="20"/>
          <w:color w:val="auto"/>
        </w:rPr>
      </w:pPr>
      <w:r>
        <w:rPr>
          <w:rFonts w:ascii="Arial" w:cs="Arial" w:eastAsia="Arial" w:hAnsi="Arial"/>
          <w:sz w:val="16"/>
          <w:szCs w:val="16"/>
          <w:color w:val="auto"/>
        </w:rPr>
        <w:t>Adjusted Net Loss was $35,779 in the nine months ended September 30, 2017, increasing by $13,904, as compared to the nine months ended September 30, 2016. In addition to the changes in net loss attributable to shareholders noted above, Adjusted Net Loss was increased by the loss on extinguishment of debt, acquisition and transaction expenses incurred for potential acquisition opportunities less cash payments for income taxes.</w:t>
      </w:r>
    </w:p>
    <w:p>
      <w:pPr>
        <w:spacing w:after="0" w:line="5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00497F"/>
        </w:rPr>
        <w:t>Adjusted EBITDA (non-GAAP)</w:t>
      </w:r>
    </w:p>
    <w:p>
      <w:pPr>
        <w:spacing w:after="0" w:line="113" w:lineRule="exact"/>
        <w:rPr>
          <w:sz w:val="20"/>
          <w:szCs w:val="20"/>
          <w:color w:val="auto"/>
        </w:rPr>
      </w:pPr>
    </w:p>
    <w:p>
      <w:pPr>
        <w:jc w:val="both"/>
        <w:spacing w:after="0" w:line="269" w:lineRule="auto"/>
        <w:rPr>
          <w:sz w:val="20"/>
          <w:szCs w:val="20"/>
          <w:color w:val="auto"/>
        </w:rPr>
      </w:pPr>
      <w:r>
        <w:rPr>
          <w:rFonts w:ascii="Arial" w:cs="Arial" w:eastAsia="Arial" w:hAnsi="Arial"/>
          <w:sz w:val="16"/>
          <w:szCs w:val="16"/>
          <w:color w:val="auto"/>
        </w:rPr>
        <w:t>Adjusted EBITDA was $(7,210) for the three months ended September 30, 2017, increasing $138 compared to the same period in 2016. In addition to the changes in net loss attributable to shareholders noted above, Adjusted EBITDA was increased by acquisition and transaction expenses incurred for potential acquisition opportunities and interest expense of $6,023 related to the Senior Notes issued in March 2017.</w:t>
      </w:r>
    </w:p>
    <w:p>
      <w:pPr>
        <w:spacing w:after="0" w:line="57" w:lineRule="exact"/>
        <w:rPr>
          <w:sz w:val="20"/>
          <w:szCs w:val="20"/>
          <w:color w:val="auto"/>
        </w:rPr>
      </w:pPr>
    </w:p>
    <w:p>
      <w:pPr>
        <w:jc w:val="both"/>
        <w:spacing w:after="0" w:line="269" w:lineRule="auto"/>
        <w:rPr>
          <w:sz w:val="20"/>
          <w:szCs w:val="20"/>
          <w:color w:val="auto"/>
        </w:rPr>
      </w:pPr>
      <w:r>
        <w:rPr>
          <w:rFonts w:ascii="Arial" w:cs="Arial" w:eastAsia="Arial" w:hAnsi="Arial"/>
          <w:sz w:val="16"/>
          <w:szCs w:val="16"/>
          <w:color w:val="auto"/>
        </w:rPr>
        <w:t>Adjusted EBITDA was $(22,144) for the nine months ended September 30, 2017, decreasing $268 compared to the same period in 2016. In addition to the changes in net loss attributable to shareholders noted above, Adjusted EBITDA includes the impact of interest expense of $12,682 related to the Senior Notes issued in March 2017, $2,456 of a loss on extinguishment of debt and acquisition and transaction expenses incurred for potential acquisition opportunities.</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67</w:t>
      </w:r>
    </w:p>
    <w:p>
      <w:pPr>
        <w:sectPr>
          <w:pgSz w:w="11900" w:h="16838" w:orient="portrait"/>
          <w:cols w:equalWidth="0" w:num="1">
            <w:col w:w="11420"/>
          </w:cols>
          <w:pgMar w:left="240" w:top="473" w:right="239" w:bottom="1440" w:gutter="0" w:footer="0" w:header="0"/>
        </w:sectPr>
      </w:pPr>
    </w:p>
    <w:bookmarkStart w:id="67" w:name="page68"/>
    <w:bookmarkEnd w:id="67"/>
    <w:p>
      <w:pPr>
        <w:spacing w:after="0"/>
        <w:rPr>
          <w:sz w:val="20"/>
          <w:szCs w:val="20"/>
          <w:color w:val="auto"/>
        </w:rPr>
      </w:pPr>
      <w:r>
        <w:rPr>
          <w:rFonts w:ascii="Arial" w:cs="Arial" w:eastAsia="Arial" w:hAnsi="Arial"/>
          <w:sz w:val="16"/>
          <w:szCs w:val="16"/>
          <w:b w:val="1"/>
          <w:bCs w:val="1"/>
          <w:color w:val="00497F"/>
        </w:rPr>
        <w:t>Liquidity and Capital Resources</w:t>
      </w:r>
    </w:p>
    <w:p>
      <w:pPr>
        <w:spacing w:after="0" w:line="169" w:lineRule="exact"/>
        <w:rPr>
          <w:sz w:val="20"/>
          <w:szCs w:val="20"/>
          <w:color w:val="auto"/>
        </w:rPr>
      </w:pPr>
    </w:p>
    <w:p>
      <w:pPr>
        <w:spacing w:after="0"/>
        <w:rPr>
          <w:sz w:val="20"/>
          <w:szCs w:val="20"/>
          <w:color w:val="auto"/>
        </w:rPr>
      </w:pPr>
      <w:r>
        <w:rPr>
          <w:rFonts w:ascii="Arial" w:cs="Arial" w:eastAsia="Arial" w:hAnsi="Arial"/>
          <w:sz w:val="16"/>
          <w:szCs w:val="16"/>
          <w:color w:val="auto"/>
        </w:rPr>
        <w:t>Our principal uses of liquidity have been and continue to be (i) acquisitions of transportation infrastructure and equipment, (ii) distributions to our shareholders,</w:t>
      </w:r>
    </w:p>
    <w:p>
      <w:pPr>
        <w:spacing w:after="0" w:line="25" w:lineRule="exact"/>
        <w:rPr>
          <w:sz w:val="20"/>
          <w:szCs w:val="20"/>
          <w:color w:val="auto"/>
        </w:rPr>
      </w:pPr>
    </w:p>
    <w:p>
      <w:pPr>
        <w:ind w:firstLine="8"/>
        <w:spacing w:after="0" w:line="265" w:lineRule="auto"/>
        <w:tabs>
          <w:tab w:leader="none" w:pos="276" w:val="left"/>
        </w:tabs>
        <w:numPr>
          <w:ilvl w:val="0"/>
          <w:numId w:val="26"/>
        </w:numPr>
        <w:rPr>
          <w:rFonts w:ascii="Arial" w:cs="Arial" w:eastAsia="Arial" w:hAnsi="Arial"/>
          <w:sz w:val="16"/>
          <w:szCs w:val="16"/>
          <w:color w:val="auto"/>
        </w:rPr>
      </w:pPr>
      <w:r>
        <w:rPr>
          <w:rFonts w:ascii="Arial" w:cs="Arial" w:eastAsia="Arial" w:hAnsi="Arial"/>
          <w:sz w:val="16"/>
          <w:szCs w:val="16"/>
          <w:color w:val="auto"/>
        </w:rPr>
        <w:t>expenses associated with our operating activities, and (iv) debt service obligations associated with our investments (all dollar amounts are expressed in thousands).</w:t>
      </w:r>
    </w:p>
    <w:p>
      <w:pPr>
        <w:spacing w:after="0" w:line="113" w:lineRule="exact"/>
        <w:rPr>
          <w:rFonts w:ascii="Arial" w:cs="Arial" w:eastAsia="Arial" w:hAnsi="Arial"/>
          <w:sz w:val="16"/>
          <w:szCs w:val="16"/>
          <w:color w:val="auto"/>
        </w:rPr>
      </w:pPr>
    </w:p>
    <w:p>
      <w:pPr>
        <w:ind w:left="660" w:hanging="328"/>
        <w:spacing w:after="0"/>
        <w:tabs>
          <w:tab w:leader="none" w:pos="660" w:val="left"/>
        </w:tabs>
        <w:numPr>
          <w:ilvl w:val="1"/>
          <w:numId w:val="26"/>
        </w:numPr>
        <w:rPr>
          <w:rFonts w:ascii="Arial" w:cs="Arial" w:eastAsia="Arial" w:hAnsi="Arial"/>
          <w:sz w:val="16"/>
          <w:szCs w:val="16"/>
          <w:color w:val="auto"/>
        </w:rPr>
      </w:pPr>
      <w:r>
        <w:rPr>
          <w:rFonts w:ascii="Arial" w:cs="Arial" w:eastAsia="Arial" w:hAnsi="Arial"/>
          <w:sz w:val="16"/>
          <w:szCs w:val="16"/>
          <w:color w:val="auto"/>
        </w:rPr>
        <w:t>In the nine months ended September 30, 2017 and 2016, cash used for the purpose of making investments was $392,177 and $177,323, respectively.</w:t>
      </w:r>
    </w:p>
    <w:p>
      <w:pPr>
        <w:spacing w:after="0" w:line="167" w:lineRule="exact"/>
        <w:rPr>
          <w:rFonts w:ascii="Arial" w:cs="Arial" w:eastAsia="Arial" w:hAnsi="Arial"/>
          <w:sz w:val="16"/>
          <w:szCs w:val="16"/>
          <w:color w:val="auto"/>
        </w:rPr>
      </w:pPr>
    </w:p>
    <w:p>
      <w:pPr>
        <w:ind w:left="660" w:hanging="328"/>
        <w:spacing w:after="0" w:line="291" w:lineRule="auto"/>
        <w:tabs>
          <w:tab w:leader="none" w:pos="660" w:val="left"/>
        </w:tabs>
        <w:numPr>
          <w:ilvl w:val="1"/>
          <w:numId w:val="26"/>
        </w:numPr>
        <w:rPr>
          <w:rFonts w:ascii="Arial" w:cs="Arial" w:eastAsia="Arial" w:hAnsi="Arial"/>
          <w:sz w:val="16"/>
          <w:szCs w:val="16"/>
          <w:color w:val="auto"/>
        </w:rPr>
      </w:pPr>
      <w:r>
        <w:rPr>
          <w:rFonts w:ascii="Arial" w:cs="Arial" w:eastAsia="Arial" w:hAnsi="Arial"/>
          <w:sz w:val="16"/>
          <w:szCs w:val="16"/>
          <w:color w:val="auto"/>
        </w:rPr>
        <w:t>In the nine months ended September 30, 2017 and 2016, distributions to shareholders were $75,041 and $75,017, respectively, and no distributions were made to non-controlling interests.</w:t>
      </w:r>
    </w:p>
    <w:p>
      <w:pPr>
        <w:spacing w:after="0" w:line="94" w:lineRule="exact"/>
        <w:rPr>
          <w:rFonts w:ascii="Arial" w:cs="Arial" w:eastAsia="Arial" w:hAnsi="Arial"/>
          <w:sz w:val="16"/>
          <w:szCs w:val="16"/>
          <w:color w:val="auto"/>
        </w:rPr>
      </w:pPr>
    </w:p>
    <w:p>
      <w:pPr>
        <w:ind w:left="660" w:hanging="328"/>
        <w:spacing w:after="0" w:line="291" w:lineRule="auto"/>
        <w:tabs>
          <w:tab w:leader="none" w:pos="660" w:val="left"/>
        </w:tabs>
        <w:numPr>
          <w:ilvl w:val="1"/>
          <w:numId w:val="26"/>
        </w:numPr>
        <w:rPr>
          <w:rFonts w:ascii="Arial" w:cs="Arial" w:eastAsia="Arial" w:hAnsi="Arial"/>
          <w:sz w:val="16"/>
          <w:szCs w:val="16"/>
          <w:color w:val="auto"/>
        </w:rPr>
      </w:pPr>
      <w:r>
        <w:rPr>
          <w:rFonts w:ascii="Arial" w:cs="Arial" w:eastAsia="Arial" w:hAnsi="Arial"/>
          <w:sz w:val="16"/>
          <w:szCs w:val="16"/>
          <w:color w:val="auto"/>
        </w:rPr>
        <w:t>Uses of liquidity associated with our operating expenses are captured on a net basis in our cash flows from operating activities. Uses of liquidity associated with our debt obligations are captured in our cash flows from financing activities.</w:t>
      </w:r>
    </w:p>
    <w:p>
      <w:pPr>
        <w:spacing w:after="0" w:line="94" w:lineRule="exact"/>
        <w:rPr>
          <w:sz w:val="20"/>
          <w:szCs w:val="20"/>
          <w:color w:val="auto"/>
        </w:rPr>
      </w:pPr>
    </w:p>
    <w:p>
      <w:pPr>
        <w:jc w:val="both"/>
        <w:spacing w:after="0" w:line="269" w:lineRule="auto"/>
        <w:rPr>
          <w:sz w:val="20"/>
          <w:szCs w:val="20"/>
          <w:color w:val="auto"/>
        </w:rPr>
      </w:pPr>
      <w:r>
        <w:rPr>
          <w:rFonts w:ascii="Arial" w:cs="Arial" w:eastAsia="Arial" w:hAnsi="Arial"/>
          <w:sz w:val="16"/>
          <w:szCs w:val="16"/>
          <w:color w:val="auto"/>
        </w:rPr>
        <w:t>Our principal sources of liquidity to fund these uses have been and continue to be (i) revenues from our transportation infrastructure and equipment assets (including finance lease collections and maintenance reserve collections) net of operating expenses, (ii) proceeds from borrowings or the issuance of debt securities, (iii) distributions received from unconsolidated investees, (iv) proceeds from asset sales and (v) proceeds from the issuance of common shares.</w:t>
      </w:r>
    </w:p>
    <w:p>
      <w:pPr>
        <w:spacing w:after="0" w:line="111" w:lineRule="exact"/>
        <w:rPr>
          <w:sz w:val="20"/>
          <w:szCs w:val="20"/>
          <w:color w:val="auto"/>
        </w:rPr>
      </w:pPr>
    </w:p>
    <w:p>
      <w:pPr>
        <w:ind w:left="660" w:right="20" w:hanging="328"/>
        <w:spacing w:after="0" w:line="291" w:lineRule="auto"/>
        <w:tabs>
          <w:tab w:leader="none" w:pos="660" w:val="left"/>
        </w:tabs>
        <w:numPr>
          <w:ilvl w:val="0"/>
          <w:numId w:val="27"/>
        </w:numPr>
        <w:rPr>
          <w:rFonts w:ascii="Arial" w:cs="Arial" w:eastAsia="Arial" w:hAnsi="Arial"/>
          <w:sz w:val="16"/>
          <w:szCs w:val="16"/>
          <w:color w:val="auto"/>
        </w:rPr>
      </w:pPr>
      <w:r>
        <w:rPr>
          <w:rFonts w:ascii="Arial" w:cs="Arial" w:eastAsia="Arial" w:hAnsi="Arial"/>
          <w:sz w:val="16"/>
          <w:szCs w:val="16"/>
          <w:color w:val="auto"/>
        </w:rPr>
        <w:t>During the nine months ended September 30, 2017 and 2016, cash flows from operating activities, plus the principal collections on finance leases and maintenance reserve collections were $71,574 and $28,874, respectively.</w:t>
      </w:r>
    </w:p>
    <w:p>
      <w:pPr>
        <w:spacing w:after="0" w:line="94" w:lineRule="exact"/>
        <w:rPr>
          <w:rFonts w:ascii="Arial" w:cs="Arial" w:eastAsia="Arial" w:hAnsi="Arial"/>
          <w:sz w:val="16"/>
          <w:szCs w:val="16"/>
          <w:color w:val="auto"/>
        </w:rPr>
      </w:pPr>
    </w:p>
    <w:p>
      <w:pPr>
        <w:jc w:val="both"/>
        <w:ind w:left="660" w:hanging="328"/>
        <w:spacing w:after="0" w:line="254" w:lineRule="auto"/>
        <w:tabs>
          <w:tab w:leader="none" w:pos="660" w:val="left"/>
        </w:tabs>
        <w:numPr>
          <w:ilvl w:val="0"/>
          <w:numId w:val="27"/>
        </w:numPr>
        <w:rPr>
          <w:rFonts w:ascii="Arial" w:cs="Arial" w:eastAsia="Arial" w:hAnsi="Arial"/>
          <w:sz w:val="16"/>
          <w:szCs w:val="16"/>
          <w:color w:val="auto"/>
        </w:rPr>
      </w:pPr>
      <w:r>
        <w:rPr>
          <w:rFonts w:ascii="Arial" w:cs="Arial" w:eastAsia="Arial" w:hAnsi="Arial"/>
          <w:sz w:val="16"/>
          <w:szCs w:val="16"/>
          <w:color w:val="auto"/>
        </w:rPr>
        <w:t>During the nine months ended September 30, 2017, additional borrowings were obtained in connection with the Term Loan of $97,163, net of deferred financing costs, the Revolving Credit Facility of $60,000, the CMQR Credit Agreement of $20,030 and the Senior Notes of $239,998, net of deferred financing costs and repayment of the Term Loan. We made total principal repayments of $22,623, primarily relating to the FTAI Pride Credit Agreement and the CMQR Credit Agreement. During nine months ended September 30, 2016, additional borrowings were obtained in connection with the Series 2016 Bonds of $99,858 and the CMQR Credit Agreement of $10,800. We made total principal repayments of $157,603 primarily related to the termination of the Jefferson Terminal Credit Agreement, and the pay down of loans associated with the sale of our shipping container portfolios in Q1 2016.</w:t>
      </w:r>
    </w:p>
    <w:p>
      <w:pPr>
        <w:spacing w:after="0" w:line="122" w:lineRule="exact"/>
        <w:rPr>
          <w:rFonts w:ascii="Arial" w:cs="Arial" w:eastAsia="Arial" w:hAnsi="Arial"/>
          <w:sz w:val="16"/>
          <w:szCs w:val="16"/>
          <w:color w:val="auto"/>
        </w:rPr>
      </w:pPr>
    </w:p>
    <w:p>
      <w:pPr>
        <w:ind w:left="660" w:right="20" w:hanging="328"/>
        <w:spacing w:after="0" w:line="291" w:lineRule="auto"/>
        <w:tabs>
          <w:tab w:leader="none" w:pos="660" w:val="left"/>
        </w:tabs>
        <w:numPr>
          <w:ilvl w:val="0"/>
          <w:numId w:val="27"/>
        </w:numPr>
        <w:rPr>
          <w:rFonts w:ascii="Arial" w:cs="Arial" w:eastAsia="Arial" w:hAnsi="Arial"/>
          <w:sz w:val="16"/>
          <w:szCs w:val="16"/>
          <w:color w:val="auto"/>
        </w:rPr>
      </w:pPr>
      <w:r>
        <w:rPr>
          <w:rFonts w:ascii="Arial" w:cs="Arial" w:eastAsia="Arial" w:hAnsi="Arial"/>
          <w:sz w:val="16"/>
          <w:szCs w:val="16"/>
          <w:color w:val="auto"/>
        </w:rPr>
        <w:t>During the nine months ended September 30, 2017 and 2016, we received $0 and $462 in cash distributions from our unconsolidated investees, respectively, of which $0, and $30 was included in cash flows from operating activities, respectively.</w:t>
      </w:r>
    </w:p>
    <w:p>
      <w:pPr>
        <w:spacing w:after="0" w:line="94" w:lineRule="exact"/>
        <w:rPr>
          <w:rFonts w:ascii="Arial" w:cs="Arial" w:eastAsia="Arial" w:hAnsi="Arial"/>
          <w:sz w:val="16"/>
          <w:szCs w:val="16"/>
          <w:color w:val="auto"/>
        </w:rPr>
      </w:pPr>
    </w:p>
    <w:p>
      <w:pPr>
        <w:ind w:left="660" w:hanging="328"/>
        <w:spacing w:after="0"/>
        <w:tabs>
          <w:tab w:leader="none" w:pos="660" w:val="left"/>
        </w:tabs>
        <w:numPr>
          <w:ilvl w:val="0"/>
          <w:numId w:val="27"/>
        </w:numPr>
        <w:rPr>
          <w:rFonts w:ascii="Arial" w:cs="Arial" w:eastAsia="Arial" w:hAnsi="Arial"/>
          <w:sz w:val="16"/>
          <w:szCs w:val="16"/>
          <w:color w:val="auto"/>
        </w:rPr>
      </w:pPr>
      <w:r>
        <w:rPr>
          <w:rFonts w:ascii="Arial" w:cs="Arial" w:eastAsia="Arial" w:hAnsi="Arial"/>
          <w:sz w:val="16"/>
          <w:szCs w:val="16"/>
          <w:color w:val="auto"/>
        </w:rPr>
        <w:t>During the nine months ended September 30, 2017 and 2016, proceeds from the sale of assets were $87,144 and $87,030, respectively.</w:t>
      </w:r>
    </w:p>
    <w:p>
      <w:pPr>
        <w:spacing w:after="0" w:line="167" w:lineRule="exact"/>
        <w:rPr>
          <w:rFonts w:ascii="Arial" w:cs="Arial" w:eastAsia="Arial" w:hAnsi="Arial"/>
          <w:sz w:val="16"/>
          <w:szCs w:val="16"/>
          <w:color w:val="auto"/>
        </w:rPr>
      </w:pPr>
    </w:p>
    <w:p>
      <w:pPr>
        <w:ind w:left="660" w:hanging="328"/>
        <w:spacing w:after="0" w:line="291" w:lineRule="auto"/>
        <w:tabs>
          <w:tab w:leader="none" w:pos="660" w:val="left"/>
        </w:tabs>
        <w:numPr>
          <w:ilvl w:val="0"/>
          <w:numId w:val="27"/>
        </w:numPr>
        <w:rPr>
          <w:rFonts w:ascii="Arial" w:cs="Arial" w:eastAsia="Arial" w:hAnsi="Arial"/>
          <w:sz w:val="16"/>
          <w:szCs w:val="16"/>
          <w:color w:val="auto"/>
        </w:rPr>
      </w:pPr>
      <w:r>
        <w:rPr>
          <w:rFonts w:ascii="Arial" w:cs="Arial" w:eastAsia="Arial" w:hAnsi="Arial"/>
          <w:sz w:val="16"/>
          <w:szCs w:val="16"/>
          <w:color w:val="auto"/>
        </w:rPr>
        <w:t>During the nine months ended September 30, 2017 and 2016, there were no capital contributions from shareholders and capital contributions from non-controlling interests were $0 and $7,433, respectively.</w:t>
      </w:r>
    </w:p>
    <w:p>
      <w:pPr>
        <w:spacing w:after="0" w:line="94" w:lineRule="exact"/>
        <w:rPr>
          <w:sz w:val="20"/>
          <w:szCs w:val="20"/>
          <w:color w:val="auto"/>
        </w:rPr>
      </w:pPr>
    </w:p>
    <w:p>
      <w:pPr>
        <w:jc w:val="both"/>
        <w:spacing w:after="0" w:line="269" w:lineRule="auto"/>
        <w:rPr>
          <w:sz w:val="20"/>
          <w:szCs w:val="20"/>
          <w:color w:val="auto"/>
        </w:rPr>
      </w:pPr>
      <w:r>
        <w:rPr>
          <w:rFonts w:ascii="Arial" w:cs="Arial" w:eastAsia="Arial" w:hAnsi="Arial"/>
          <w:sz w:val="16"/>
          <w:szCs w:val="16"/>
          <w:color w:val="auto"/>
        </w:rPr>
        <w:t>Our net cash provided by operating activities has been less than the amount of distributions to our shareholders. Our board of directors takes this and other factors into account as part of any decision to pay a dividend, and the timing and amount of any future dividend is subject to change at the discretion of our board of directors.</w:t>
      </w:r>
    </w:p>
    <w:p>
      <w:pPr>
        <w:spacing w:after="0" w:line="111" w:lineRule="exact"/>
        <w:rPr>
          <w:sz w:val="20"/>
          <w:szCs w:val="20"/>
          <w:color w:val="auto"/>
        </w:rPr>
      </w:pPr>
    </w:p>
    <w:p>
      <w:pPr>
        <w:jc w:val="both"/>
        <w:spacing w:after="0" w:line="269" w:lineRule="auto"/>
        <w:rPr>
          <w:sz w:val="20"/>
          <w:szCs w:val="20"/>
          <w:color w:val="auto"/>
        </w:rPr>
      </w:pPr>
      <w:r>
        <w:rPr>
          <w:rFonts w:ascii="Arial" w:cs="Arial" w:eastAsia="Arial" w:hAnsi="Arial"/>
          <w:sz w:val="16"/>
          <w:szCs w:val="16"/>
          <w:color w:val="auto"/>
        </w:rPr>
        <w:t>The Company is currently evaluating several potential Infrastructure and Equipment Leasing transactions, which could occur within the next 12 months. However, as of the date of this filing, none of these pipeline transactions or negotiations are definitive or included within the planned liquidity needs of the Company. We cannot assure you if or when any such transaction will be consummated or the terms of any such transaction.</w:t>
      </w:r>
    </w:p>
    <w:p>
      <w:pPr>
        <w:spacing w:after="0" w:line="111"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The Company has a dividend reinvestment plan in place which allows shareholders to automatically reinvest dividends in the Company’s common shares. The plan became effective on February 24, 2017.</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68</w:t>
      </w:r>
    </w:p>
    <w:p>
      <w:pPr>
        <w:sectPr>
          <w:pgSz w:w="11900" w:h="16838" w:orient="portrait"/>
          <w:cols w:equalWidth="0" w:num="1">
            <w:col w:w="11420"/>
          </w:cols>
          <w:pgMar w:left="240" w:top="741" w:right="239" w:bottom="1440" w:gutter="0" w:footer="0" w:header="0"/>
        </w:sectPr>
      </w:pPr>
    </w:p>
    <w:bookmarkStart w:id="68" w:name="page69"/>
    <w:bookmarkEnd w:id="68"/>
    <w:p>
      <w:pPr>
        <w:spacing w:after="0"/>
        <w:rPr>
          <w:sz w:val="20"/>
          <w:szCs w:val="20"/>
          <w:color w:val="auto"/>
        </w:rPr>
      </w:pPr>
      <w:r>
        <w:rPr>
          <w:rFonts w:ascii="Arial" w:cs="Arial" w:eastAsia="Arial" w:hAnsi="Arial"/>
          <w:sz w:val="16"/>
          <w:szCs w:val="16"/>
          <w:b w:val="1"/>
          <w:bCs w:val="1"/>
          <w:color w:val="00497F"/>
        </w:rPr>
        <w:t>Historical Cash Flow</w:t>
      </w:r>
    </w:p>
    <w:p>
      <w:pPr>
        <w:spacing w:after="0" w:line="18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00497F"/>
        </w:rPr>
        <w:t>Comparison of the nine months ended September 30, 2017 and September 30, 2016</w:t>
      </w:r>
    </w:p>
    <w:p>
      <w:pPr>
        <w:spacing w:after="0" w:line="181"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compares the historical cash flow for the nine months ended September 30, 2017 and September 30, 2016:</w:t>
      </w:r>
    </w:p>
    <w:p>
      <w:pPr>
        <w:spacing w:after="0" w:line="386"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720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3940" w:type="dxa"/>
            <w:vAlign w:val="bottom"/>
            <w:tcBorders>
              <w:bottom w:val="single" w:sz="8" w:color="auto"/>
            </w:tcBorders>
            <w:gridSpan w:val="4"/>
          </w:tcPr>
          <w:p>
            <w:pPr>
              <w:jc w:val="right"/>
              <w:ind w:right="1308"/>
              <w:spacing w:after="0"/>
              <w:rPr>
                <w:sz w:val="20"/>
                <w:szCs w:val="20"/>
                <w:color w:val="auto"/>
              </w:rPr>
            </w:pPr>
            <w:r>
              <w:rPr>
                <w:rFonts w:ascii="Arial" w:cs="Arial" w:eastAsia="Arial" w:hAnsi="Arial"/>
                <w:sz w:val="14"/>
                <w:szCs w:val="14"/>
                <w:b w:val="1"/>
                <w:bCs w:val="1"/>
                <w:color w:val="auto"/>
              </w:rPr>
              <w:t>Nine Months Ended</w:t>
            </w:r>
          </w:p>
        </w:tc>
      </w:tr>
      <w:tr>
        <w:trPr>
          <w:trHeight w:val="264"/>
        </w:trPr>
        <w:tc>
          <w:tcPr>
            <w:tcW w:w="7200" w:type="dxa"/>
            <w:vAlign w:val="bottom"/>
          </w:tcPr>
          <w:p>
            <w:pPr>
              <w:ind w:left="40"/>
              <w:spacing w:after="0"/>
              <w:rPr>
                <w:sz w:val="20"/>
                <w:szCs w:val="20"/>
                <w:color w:val="auto"/>
              </w:rPr>
            </w:pPr>
            <w:r>
              <w:rPr>
                <w:rFonts w:ascii="Arial" w:cs="Arial" w:eastAsia="Arial" w:hAnsi="Arial"/>
                <w:sz w:val="14"/>
                <w:szCs w:val="14"/>
                <w:i w:val="1"/>
                <w:iCs w:val="1"/>
                <w:color w:val="auto"/>
              </w:rPr>
              <w:t>(Dollar amounts in thousands)</w:t>
            </w:r>
          </w:p>
        </w:tc>
        <w:tc>
          <w:tcPr>
            <w:tcW w:w="260" w:type="dxa"/>
            <w:vAlign w:val="bottom"/>
          </w:tcPr>
          <w:p>
            <w:pPr>
              <w:spacing w:after="0"/>
              <w:rPr>
                <w:sz w:val="22"/>
                <w:szCs w:val="22"/>
                <w:color w:val="auto"/>
              </w:rPr>
            </w:pPr>
          </w:p>
        </w:tc>
        <w:tc>
          <w:tcPr>
            <w:tcW w:w="1900" w:type="dxa"/>
            <w:vAlign w:val="bottom"/>
            <w:gridSpan w:val="2"/>
          </w:tcPr>
          <w:p>
            <w:pPr>
              <w:ind w:left="140"/>
              <w:spacing w:after="0"/>
              <w:rPr>
                <w:sz w:val="20"/>
                <w:szCs w:val="20"/>
                <w:color w:val="auto"/>
              </w:rPr>
            </w:pPr>
            <w:r>
              <w:rPr>
                <w:rFonts w:ascii="Arial" w:cs="Arial" w:eastAsia="Arial" w:hAnsi="Arial"/>
                <w:sz w:val="14"/>
                <w:szCs w:val="14"/>
                <w:b w:val="1"/>
                <w:bCs w:val="1"/>
                <w:color w:val="auto"/>
              </w:rPr>
              <w:t>September 30, 2017</w:t>
            </w:r>
          </w:p>
        </w:tc>
        <w:tc>
          <w:tcPr>
            <w:tcW w:w="260" w:type="dxa"/>
            <w:vAlign w:val="bottom"/>
          </w:tcPr>
          <w:p>
            <w:pPr>
              <w:spacing w:after="0"/>
              <w:rPr>
                <w:sz w:val="22"/>
                <w:szCs w:val="22"/>
                <w:color w:val="auto"/>
              </w:rPr>
            </w:pPr>
          </w:p>
        </w:tc>
        <w:tc>
          <w:tcPr>
            <w:tcW w:w="1780" w:type="dxa"/>
            <w:vAlign w:val="bottom"/>
          </w:tcPr>
          <w:p>
            <w:pPr>
              <w:jc w:val="right"/>
              <w:ind w:right="228"/>
              <w:spacing w:after="0"/>
              <w:rPr>
                <w:sz w:val="20"/>
                <w:szCs w:val="20"/>
                <w:color w:val="auto"/>
              </w:rPr>
            </w:pPr>
            <w:r>
              <w:rPr>
                <w:rFonts w:ascii="Arial" w:cs="Arial" w:eastAsia="Arial" w:hAnsi="Arial"/>
                <w:sz w:val="14"/>
                <w:szCs w:val="14"/>
                <w:b w:val="1"/>
                <w:bCs w:val="1"/>
                <w:color w:val="auto"/>
              </w:rPr>
              <w:t>September 30, 2016</w:t>
            </w:r>
          </w:p>
        </w:tc>
      </w:tr>
      <w:tr>
        <w:trPr>
          <w:trHeight w:val="265"/>
        </w:trPr>
        <w:tc>
          <w:tcPr>
            <w:tcW w:w="720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4"/>
                <w:szCs w:val="14"/>
                <w:b w:val="1"/>
                <w:bCs w:val="1"/>
                <w:color w:val="auto"/>
              </w:rPr>
              <w:t>Cash Flow Data:</w:t>
            </w:r>
          </w:p>
        </w:tc>
        <w:tc>
          <w:tcPr>
            <w:tcW w:w="260" w:type="dxa"/>
            <w:vAlign w:val="bottom"/>
            <w:tcBorders>
              <w:top w:val="single" w:sz="8" w:color="auto"/>
            </w:tcBorders>
            <w:shd w:val="clear" w:color="auto" w:fill="CCEEFF"/>
          </w:tcPr>
          <w:p>
            <w:pPr>
              <w:spacing w:after="0"/>
              <w:rPr>
                <w:sz w:val="23"/>
                <w:szCs w:val="23"/>
                <w:color w:val="auto"/>
              </w:rPr>
            </w:pPr>
          </w:p>
        </w:tc>
        <w:tc>
          <w:tcPr>
            <w:tcW w:w="180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260" w:type="dxa"/>
            <w:vAlign w:val="bottom"/>
            <w:tcBorders>
              <w:top w:val="single" w:sz="8" w:color="auto"/>
            </w:tcBorders>
            <w:shd w:val="clear" w:color="auto" w:fill="CCEEFF"/>
          </w:tcPr>
          <w:p>
            <w:pPr>
              <w:spacing w:after="0"/>
              <w:rPr>
                <w:sz w:val="23"/>
                <w:szCs w:val="23"/>
                <w:color w:val="auto"/>
              </w:rPr>
            </w:pPr>
          </w:p>
        </w:tc>
        <w:tc>
          <w:tcPr>
            <w:tcW w:w="1780" w:type="dxa"/>
            <w:vAlign w:val="bottom"/>
            <w:tcBorders>
              <w:top w:val="single" w:sz="8" w:color="auto"/>
            </w:tcBorders>
            <w:shd w:val="clear" w:color="auto" w:fill="CCEEFF"/>
          </w:tcPr>
          <w:p>
            <w:pPr>
              <w:spacing w:after="0"/>
              <w:rPr>
                <w:sz w:val="23"/>
                <w:szCs w:val="23"/>
                <w:color w:val="auto"/>
              </w:rPr>
            </w:pPr>
          </w:p>
        </w:tc>
      </w:tr>
      <w:tr>
        <w:trPr>
          <w:trHeight w:val="269"/>
        </w:trPr>
        <w:tc>
          <w:tcPr>
            <w:tcW w:w="7200" w:type="dxa"/>
            <w:vAlign w:val="bottom"/>
          </w:tcPr>
          <w:p>
            <w:pPr>
              <w:ind w:left="500"/>
              <w:spacing w:after="0"/>
              <w:rPr>
                <w:sz w:val="20"/>
                <w:szCs w:val="20"/>
                <w:color w:val="auto"/>
              </w:rPr>
            </w:pPr>
            <w:r>
              <w:rPr>
                <w:rFonts w:ascii="Arial" w:cs="Arial" w:eastAsia="Arial" w:hAnsi="Arial"/>
                <w:sz w:val="14"/>
                <w:szCs w:val="14"/>
                <w:color w:val="auto"/>
              </w:rPr>
              <w:t>Net cash provided by operating activities</w:t>
            </w:r>
          </w:p>
        </w:tc>
        <w:tc>
          <w:tcPr>
            <w:tcW w:w="260" w:type="dxa"/>
            <w:vAlign w:val="bottom"/>
          </w:tcPr>
          <w:p>
            <w:pPr>
              <w:jc w:val="right"/>
              <w:ind w:right="88"/>
              <w:spacing w:after="0"/>
              <w:rPr>
                <w:sz w:val="20"/>
                <w:szCs w:val="20"/>
                <w:color w:val="auto"/>
              </w:rPr>
            </w:pPr>
            <w:r>
              <w:rPr>
                <w:rFonts w:ascii="Arial" w:cs="Arial" w:eastAsia="Arial" w:hAnsi="Arial"/>
                <w:sz w:val="14"/>
                <w:szCs w:val="14"/>
                <w:b w:val="1"/>
                <w:bCs w:val="1"/>
                <w:color w:val="auto"/>
              </w:rPr>
              <w:t>$</w:t>
            </w:r>
          </w:p>
        </w:tc>
        <w:tc>
          <w:tcPr>
            <w:tcW w:w="1800" w:type="dxa"/>
            <w:vAlign w:val="bottom"/>
          </w:tcPr>
          <w:p>
            <w:pPr>
              <w:jc w:val="right"/>
              <w:ind w:right="48"/>
              <w:spacing w:after="0"/>
              <w:rPr>
                <w:sz w:val="20"/>
                <w:szCs w:val="20"/>
                <w:color w:val="auto"/>
              </w:rPr>
            </w:pPr>
            <w:r>
              <w:rPr>
                <w:rFonts w:ascii="Arial" w:cs="Arial" w:eastAsia="Arial" w:hAnsi="Arial"/>
                <w:sz w:val="14"/>
                <w:szCs w:val="14"/>
                <w:b w:val="1"/>
                <w:bCs w:val="1"/>
                <w:color w:val="auto"/>
              </w:rPr>
              <w:t>52,443</w:t>
            </w:r>
          </w:p>
        </w:tc>
        <w:tc>
          <w:tcPr>
            <w:tcW w:w="100" w:type="dxa"/>
            <w:vAlign w:val="bottom"/>
          </w:tcPr>
          <w:p>
            <w:pPr>
              <w:spacing w:after="0"/>
              <w:rPr>
                <w:sz w:val="23"/>
                <w:szCs w:val="23"/>
                <w:color w:val="auto"/>
              </w:rPr>
            </w:pPr>
          </w:p>
        </w:tc>
        <w:tc>
          <w:tcPr>
            <w:tcW w:w="26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1780" w:type="dxa"/>
            <w:vAlign w:val="bottom"/>
          </w:tcPr>
          <w:p>
            <w:pPr>
              <w:jc w:val="right"/>
              <w:ind w:right="48"/>
              <w:spacing w:after="0"/>
              <w:rPr>
                <w:sz w:val="20"/>
                <w:szCs w:val="20"/>
                <w:color w:val="auto"/>
              </w:rPr>
            </w:pPr>
            <w:r>
              <w:rPr>
                <w:rFonts w:ascii="Arial" w:cs="Arial" w:eastAsia="Arial" w:hAnsi="Arial"/>
                <w:sz w:val="14"/>
                <w:szCs w:val="14"/>
                <w:color w:val="auto"/>
              </w:rPr>
              <w:t>15,662</w:t>
            </w:r>
          </w:p>
        </w:tc>
      </w:tr>
      <w:tr>
        <w:trPr>
          <w:trHeight w:val="271"/>
        </w:trPr>
        <w:tc>
          <w:tcPr>
            <w:tcW w:w="7200" w:type="dxa"/>
            <w:vAlign w:val="bottom"/>
            <w:shd w:val="clear" w:color="auto" w:fill="CCEEFF"/>
          </w:tcPr>
          <w:p>
            <w:pPr>
              <w:ind w:left="500"/>
              <w:spacing w:after="0"/>
              <w:rPr>
                <w:sz w:val="20"/>
                <w:szCs w:val="20"/>
                <w:color w:val="auto"/>
              </w:rPr>
            </w:pPr>
            <w:r>
              <w:rPr>
                <w:rFonts w:ascii="Arial" w:cs="Arial" w:eastAsia="Arial" w:hAnsi="Arial"/>
                <w:sz w:val="14"/>
                <w:szCs w:val="14"/>
                <w:color w:val="auto"/>
              </w:rPr>
              <w:t>Net cash used in investing activities</w:t>
            </w:r>
          </w:p>
        </w:tc>
        <w:tc>
          <w:tcPr>
            <w:tcW w:w="260" w:type="dxa"/>
            <w:vAlign w:val="bottom"/>
            <w:shd w:val="clear" w:color="auto" w:fill="CCEEFF"/>
          </w:tcPr>
          <w:p>
            <w:pPr>
              <w:jc w:val="right"/>
              <w:ind w:right="88"/>
              <w:spacing w:after="0"/>
              <w:rPr>
                <w:sz w:val="20"/>
                <w:szCs w:val="20"/>
                <w:color w:val="auto"/>
              </w:rPr>
            </w:pPr>
            <w:r>
              <w:rPr>
                <w:rFonts w:ascii="Arial" w:cs="Arial" w:eastAsia="Arial" w:hAnsi="Arial"/>
                <w:sz w:val="14"/>
                <w:szCs w:val="14"/>
                <w:b w:val="1"/>
                <w:bCs w:val="1"/>
                <w:color w:val="auto"/>
              </w:rPr>
              <w:t>$</w:t>
            </w:r>
          </w:p>
        </w:tc>
        <w:tc>
          <w:tcPr>
            <w:tcW w:w="1800" w:type="dxa"/>
            <w:vAlign w:val="bottom"/>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(275,703)</w:t>
            </w: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1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(88,004)</w:t>
            </w:r>
          </w:p>
        </w:tc>
      </w:tr>
      <w:tr>
        <w:trPr>
          <w:trHeight w:val="268"/>
        </w:trPr>
        <w:tc>
          <w:tcPr>
            <w:tcW w:w="7200" w:type="dxa"/>
            <w:vAlign w:val="bottom"/>
          </w:tcPr>
          <w:p>
            <w:pPr>
              <w:ind w:left="500"/>
              <w:spacing w:after="0"/>
              <w:rPr>
                <w:sz w:val="20"/>
                <w:szCs w:val="20"/>
                <w:color w:val="auto"/>
              </w:rPr>
            </w:pPr>
            <w:r>
              <w:rPr>
                <w:rFonts w:ascii="Arial" w:cs="Arial" w:eastAsia="Arial" w:hAnsi="Arial"/>
                <w:sz w:val="14"/>
                <w:szCs w:val="14"/>
                <w:color w:val="auto"/>
              </w:rPr>
              <w:t>Net cash provided by (used in) financing activities</w:t>
            </w:r>
          </w:p>
        </w:tc>
        <w:tc>
          <w:tcPr>
            <w:tcW w:w="260" w:type="dxa"/>
            <w:vAlign w:val="bottom"/>
          </w:tcPr>
          <w:p>
            <w:pPr>
              <w:jc w:val="right"/>
              <w:ind w:right="88"/>
              <w:spacing w:after="0"/>
              <w:rPr>
                <w:sz w:val="20"/>
                <w:szCs w:val="20"/>
                <w:color w:val="auto"/>
              </w:rPr>
            </w:pPr>
            <w:r>
              <w:rPr>
                <w:rFonts w:ascii="Arial" w:cs="Arial" w:eastAsia="Arial" w:hAnsi="Arial"/>
                <w:sz w:val="14"/>
                <w:szCs w:val="14"/>
                <w:b w:val="1"/>
                <w:bCs w:val="1"/>
                <w:color w:val="auto"/>
              </w:rPr>
              <w:t>$</w:t>
            </w:r>
          </w:p>
        </w:tc>
        <w:tc>
          <w:tcPr>
            <w:tcW w:w="1800" w:type="dxa"/>
            <w:vAlign w:val="bottom"/>
          </w:tcPr>
          <w:p>
            <w:pPr>
              <w:jc w:val="right"/>
              <w:ind w:right="48"/>
              <w:spacing w:after="0"/>
              <w:rPr>
                <w:sz w:val="20"/>
                <w:szCs w:val="20"/>
                <w:color w:val="auto"/>
              </w:rPr>
            </w:pPr>
            <w:r>
              <w:rPr>
                <w:rFonts w:ascii="Arial" w:cs="Arial" w:eastAsia="Arial" w:hAnsi="Arial"/>
                <w:sz w:val="14"/>
                <w:szCs w:val="14"/>
                <w:b w:val="1"/>
                <w:bCs w:val="1"/>
                <w:color w:val="auto"/>
              </w:rPr>
              <w:t>331,562</w:t>
            </w:r>
          </w:p>
        </w:tc>
        <w:tc>
          <w:tcPr>
            <w:tcW w:w="100" w:type="dxa"/>
            <w:vAlign w:val="bottom"/>
          </w:tcPr>
          <w:p>
            <w:pPr>
              <w:spacing w:after="0"/>
              <w:rPr>
                <w:sz w:val="23"/>
                <w:szCs w:val="23"/>
                <w:color w:val="auto"/>
              </w:rPr>
            </w:pPr>
          </w:p>
        </w:tc>
        <w:tc>
          <w:tcPr>
            <w:tcW w:w="26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1780" w:type="dxa"/>
            <w:vAlign w:val="bottom"/>
          </w:tcPr>
          <w:p>
            <w:pPr>
              <w:jc w:val="right"/>
              <w:spacing w:after="0"/>
              <w:rPr>
                <w:sz w:val="20"/>
                <w:szCs w:val="20"/>
                <w:color w:val="auto"/>
              </w:rPr>
            </w:pPr>
            <w:r>
              <w:rPr>
                <w:rFonts w:ascii="Arial" w:cs="Arial" w:eastAsia="Arial" w:hAnsi="Arial"/>
                <w:sz w:val="14"/>
                <w:szCs w:val="14"/>
                <w:color w:val="auto"/>
              </w:rPr>
              <w:t>(111,487)</w:t>
            </w:r>
          </w:p>
        </w:tc>
      </w:tr>
    </w:tbl>
    <w:p>
      <w:pPr>
        <w:spacing w:after="0" w:line="159"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Net cash provided by operating activities was $52,443 in the nine months ended September 30, 2017 as compared to $15,662 in the nine months ended September 30, 2016, representing a $36,781 increase. Net loss was $16,692 for the nine months ended September 30, 2017, compared $34,779 for the nine months ended September 30, 2016, an increase in net income of $18,087. The increase was also attributable to adjustments to reconcile net income which include an increase of (i) $4,513 of equity based compensation, (ii) $19,088 relating to depreciation and amortization, and (iii) $3,419 of gains on the sale of leasing equipment, offset by a decrease of $7,450 of asset impairment charges. The increase also includes the impact of the change in other assets of $14,665 due to cash receipts in the nine months ended September 30, 2017 for a maintenance right asset that was settled upon the redelivery of an aircraft and other receivables, offset by a decrease in other liabilities of $6,922 due to a decrease in deferred revenue.</w:t>
      </w:r>
    </w:p>
    <w:p>
      <w:pPr>
        <w:spacing w:after="0" w:line="110" w:lineRule="exact"/>
        <w:rPr>
          <w:sz w:val="20"/>
          <w:szCs w:val="20"/>
          <w:color w:val="auto"/>
        </w:rPr>
      </w:pPr>
    </w:p>
    <w:p>
      <w:pPr>
        <w:jc w:val="both"/>
        <w:spacing w:after="0" w:line="254" w:lineRule="auto"/>
        <w:rPr>
          <w:sz w:val="20"/>
          <w:szCs w:val="20"/>
          <w:color w:val="auto"/>
        </w:rPr>
      </w:pPr>
      <w:r>
        <w:rPr>
          <w:rFonts w:ascii="Arial" w:cs="Arial" w:eastAsia="Arial" w:hAnsi="Arial"/>
          <w:sz w:val="16"/>
          <w:szCs w:val="16"/>
          <w:color w:val="auto"/>
        </w:rPr>
        <w:t>Net cash used in investing activities was $275,703 in the nine months ended September 30, 2017 as compared to $88,004 in the nine months ended September 30, 2016, representing a $187,699 increase. Cash used in investing activities increased due to the acquisition of leasing equipment and lease intangibles of $154,210 in the Aviation Leasing segment, cash used for investments of $23,149, and the acquisition of property, plant and equipment of $39,001 mainly due to the acquisition of Hannibal, offset by an increase in proceeds from the sale of leasing equipment of $71,188 and change in restricted cash of $29,782 in nine months ended September 30, 2017 as compared to the nine months ended September 30, 2016. Additionally, cash used in investing activities increased due to a decrease in cash received for the sale of two finance leases, resulting in proceeds of $71,000 in the nine months ended September 30, 2016, as compared to the nine months ended September 30, 2017.</w:t>
      </w:r>
    </w:p>
    <w:p>
      <w:pPr>
        <w:spacing w:after="0" w:line="123" w:lineRule="exact"/>
        <w:rPr>
          <w:sz w:val="20"/>
          <w:szCs w:val="20"/>
          <w:color w:val="auto"/>
        </w:rPr>
      </w:pPr>
    </w:p>
    <w:p>
      <w:pPr>
        <w:jc w:val="both"/>
        <w:spacing w:after="0" w:line="255" w:lineRule="auto"/>
        <w:rPr>
          <w:sz w:val="20"/>
          <w:szCs w:val="20"/>
          <w:color w:val="auto"/>
        </w:rPr>
      </w:pPr>
      <w:r>
        <w:rPr>
          <w:rFonts w:ascii="Arial" w:cs="Arial" w:eastAsia="Arial" w:hAnsi="Arial"/>
          <w:sz w:val="16"/>
          <w:szCs w:val="16"/>
          <w:color w:val="auto"/>
        </w:rPr>
        <w:t>Net cash provided by financing activities was $331,562 in the nine months ended September 30, 2017 as compared to cash used in financing activities of $111,487 in the nine months ended September 30, 2016, representing a $443,049 increase. Such increase was attributable to (i) proceeds from borrowings under the Term Loan of $97,163, net of deferred financing costs, the Revolving Credit Facility of $60,000, the CMQR Credit Agreement of $20,030 and the Senior Notes of $239,998, net of deferred financing costs and repayment of the Term Loan, (ii) a decrease in the repayment of debt related to the termination of the Jefferson Terminal Credit Agreement and loans associated with the sale of our shipping containers in the nine months ended September 30, 2016, and (iii) an increase in receipt of maintenance deposits of $7,978, offset by a decrease in cash contributions from non-controlling interests of $7,433.</w:t>
      </w:r>
    </w:p>
    <w:p>
      <w:pPr>
        <w:spacing w:after="0" w:line="12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00497F"/>
        </w:rPr>
        <w:t>Funds Available for Distribution (Non-GAAP)</w:t>
      </w:r>
    </w:p>
    <w:p>
      <w:pPr>
        <w:spacing w:after="0" w:line="167" w:lineRule="exact"/>
        <w:rPr>
          <w:sz w:val="20"/>
          <w:szCs w:val="20"/>
          <w:color w:val="auto"/>
        </w:rPr>
      </w:pPr>
    </w:p>
    <w:p>
      <w:pPr>
        <w:jc w:val="both"/>
        <w:spacing w:after="0" w:line="269" w:lineRule="auto"/>
        <w:rPr>
          <w:sz w:val="20"/>
          <w:szCs w:val="20"/>
          <w:color w:val="auto"/>
        </w:rPr>
      </w:pPr>
      <w:r>
        <w:rPr>
          <w:rFonts w:ascii="Arial" w:cs="Arial" w:eastAsia="Arial" w:hAnsi="Arial"/>
          <w:sz w:val="16"/>
          <w:szCs w:val="16"/>
          <w:color w:val="auto"/>
        </w:rPr>
        <w:t>The Company uses Funds Available for Distribution (“FAD”) in evaluating its ability to meet its stated dividend policy. FAD is not a financial measure in accordance with GAAP. The GAAP measure most directly comparable to FAD is net cash provided by operating activities. The Company believes FAD is a useful metric for investors and analysts for similar purposes.</w:t>
      </w:r>
    </w:p>
    <w:p>
      <w:pPr>
        <w:spacing w:after="0" w:line="111" w:lineRule="exact"/>
        <w:rPr>
          <w:sz w:val="20"/>
          <w:szCs w:val="20"/>
          <w:color w:val="auto"/>
        </w:rPr>
      </w:pPr>
    </w:p>
    <w:p>
      <w:pPr>
        <w:jc w:val="both"/>
        <w:spacing w:after="0" w:line="269" w:lineRule="auto"/>
        <w:rPr>
          <w:sz w:val="20"/>
          <w:szCs w:val="20"/>
          <w:color w:val="auto"/>
        </w:rPr>
      </w:pPr>
      <w:r>
        <w:rPr>
          <w:rFonts w:ascii="Arial" w:cs="Arial" w:eastAsia="Arial" w:hAnsi="Arial"/>
          <w:sz w:val="16"/>
          <w:szCs w:val="16"/>
          <w:color w:val="auto"/>
        </w:rPr>
        <w:t>The Company defines FAD as: net cash provided by operating activities plus principal collections on finance leases, proceeds from sale of assets, and return of capital distributions from unconsolidated entities, less required payments on debt obligations and capital distributions to non-controlling interest, and excluding changes in working capital. The following table sets forth a reconciliation of Net Cash Provided by Operating Activities to FAD:</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69</w:t>
      </w:r>
    </w:p>
    <w:p>
      <w:pPr>
        <w:sectPr>
          <w:pgSz w:w="11900" w:h="16838" w:orient="portrait"/>
          <w:cols w:equalWidth="0" w:num="1">
            <w:col w:w="11420"/>
          </w:cols>
          <w:pgMar w:left="240" w:top="579" w:right="239" w:bottom="1440" w:gutter="0" w:footer="0" w:header="0"/>
        </w:sectPr>
      </w:pPr>
    </w:p>
    <w:bookmarkStart w:id="69" w:name="page70"/>
    <w:bookmarkEnd w:id="69"/>
    <w:tbl>
      <w:tblPr>
        <w:tblLayout w:type="fixed"/>
        <w:tblInd w:w="0" w:type="dxa"/>
        <w:tblCellMar>
          <w:top w:w="0" w:type="dxa"/>
          <w:left w:w="0" w:type="dxa"/>
          <w:bottom w:w="0" w:type="dxa"/>
          <w:right w:w="0" w:type="dxa"/>
        </w:tblCellMar>
      </w:tblPr>
      <w:tr>
        <w:trPr>
          <w:trHeight w:val="203"/>
        </w:trPr>
        <w:tc>
          <w:tcPr>
            <w:tcW w:w="720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3980" w:type="dxa"/>
            <w:vAlign w:val="bottom"/>
            <w:tcBorders>
              <w:bottom w:val="single" w:sz="8" w:color="auto"/>
            </w:tcBorders>
            <w:gridSpan w:val="4"/>
          </w:tcPr>
          <w:p>
            <w:pPr>
              <w:jc w:val="right"/>
              <w:ind w:right="1348"/>
              <w:spacing w:after="0"/>
              <w:rPr>
                <w:sz w:val="20"/>
                <w:szCs w:val="20"/>
                <w:color w:val="auto"/>
              </w:rPr>
            </w:pPr>
            <w:r>
              <w:rPr>
                <w:rFonts w:ascii="Arial" w:cs="Arial" w:eastAsia="Arial" w:hAnsi="Arial"/>
                <w:sz w:val="14"/>
                <w:szCs w:val="14"/>
                <w:b w:val="1"/>
                <w:bCs w:val="1"/>
                <w:color w:val="auto"/>
              </w:rPr>
              <w:t>Nine Months Ended</w:t>
            </w:r>
          </w:p>
        </w:tc>
      </w:tr>
      <w:tr>
        <w:trPr>
          <w:trHeight w:val="264"/>
        </w:trPr>
        <w:tc>
          <w:tcPr>
            <w:tcW w:w="7200" w:type="dxa"/>
            <w:vAlign w:val="bottom"/>
          </w:tcPr>
          <w:p>
            <w:pPr>
              <w:ind w:left="40"/>
              <w:spacing w:after="0"/>
              <w:rPr>
                <w:sz w:val="20"/>
                <w:szCs w:val="20"/>
                <w:color w:val="auto"/>
              </w:rPr>
            </w:pPr>
            <w:r>
              <w:rPr>
                <w:rFonts w:ascii="Arial" w:cs="Arial" w:eastAsia="Arial" w:hAnsi="Arial"/>
                <w:sz w:val="14"/>
                <w:szCs w:val="14"/>
                <w:i w:val="1"/>
                <w:iCs w:val="1"/>
                <w:color w:val="auto"/>
              </w:rPr>
              <w:t>(Dollar amounts in thousands)</w:t>
            </w:r>
          </w:p>
        </w:tc>
        <w:tc>
          <w:tcPr>
            <w:tcW w:w="220" w:type="dxa"/>
            <w:vAlign w:val="bottom"/>
          </w:tcPr>
          <w:p>
            <w:pPr>
              <w:spacing w:after="0"/>
              <w:rPr>
                <w:sz w:val="22"/>
                <w:szCs w:val="22"/>
                <w:color w:val="auto"/>
              </w:rPr>
            </w:pPr>
          </w:p>
        </w:tc>
        <w:tc>
          <w:tcPr>
            <w:tcW w:w="1940" w:type="dxa"/>
            <w:vAlign w:val="bottom"/>
            <w:gridSpan w:val="2"/>
          </w:tcPr>
          <w:p>
            <w:pPr>
              <w:ind w:left="140"/>
              <w:spacing w:after="0"/>
              <w:rPr>
                <w:sz w:val="20"/>
                <w:szCs w:val="20"/>
                <w:color w:val="auto"/>
              </w:rPr>
            </w:pPr>
            <w:r>
              <w:rPr>
                <w:rFonts w:ascii="Arial" w:cs="Arial" w:eastAsia="Arial" w:hAnsi="Arial"/>
                <w:sz w:val="14"/>
                <w:szCs w:val="14"/>
                <w:b w:val="1"/>
                <w:bCs w:val="1"/>
                <w:color w:val="auto"/>
              </w:rPr>
              <w:t>September 30, 2017</w:t>
            </w:r>
          </w:p>
        </w:tc>
        <w:tc>
          <w:tcPr>
            <w:tcW w:w="240" w:type="dxa"/>
            <w:vAlign w:val="bottom"/>
          </w:tcPr>
          <w:p>
            <w:pPr>
              <w:spacing w:after="0"/>
              <w:rPr>
                <w:sz w:val="22"/>
                <w:szCs w:val="22"/>
                <w:color w:val="auto"/>
              </w:rPr>
            </w:pPr>
          </w:p>
        </w:tc>
        <w:tc>
          <w:tcPr>
            <w:tcW w:w="1800" w:type="dxa"/>
            <w:vAlign w:val="bottom"/>
          </w:tcPr>
          <w:p>
            <w:pPr>
              <w:jc w:val="right"/>
              <w:ind w:right="268"/>
              <w:spacing w:after="0"/>
              <w:rPr>
                <w:sz w:val="20"/>
                <w:szCs w:val="20"/>
                <w:color w:val="auto"/>
              </w:rPr>
            </w:pPr>
            <w:r>
              <w:rPr>
                <w:rFonts w:ascii="Arial" w:cs="Arial" w:eastAsia="Arial" w:hAnsi="Arial"/>
                <w:sz w:val="14"/>
                <w:szCs w:val="14"/>
                <w:b w:val="1"/>
                <w:bCs w:val="1"/>
                <w:color w:val="auto"/>
              </w:rPr>
              <w:t>September 30, 2016</w:t>
            </w:r>
          </w:p>
        </w:tc>
      </w:tr>
      <w:tr>
        <w:trPr>
          <w:trHeight w:val="211"/>
        </w:trPr>
        <w:tc>
          <w:tcPr>
            <w:tcW w:w="720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4"/>
                <w:szCs w:val="14"/>
                <w:b w:val="1"/>
                <w:bCs w:val="1"/>
                <w:color w:val="auto"/>
              </w:rPr>
              <w:t>Net Cash Provided by Operating Activities</w:t>
            </w:r>
          </w:p>
        </w:tc>
        <w:tc>
          <w:tcPr>
            <w:tcW w:w="220" w:type="dxa"/>
            <w:vAlign w:val="bottom"/>
            <w:tcBorders>
              <w:top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w:t>
            </w:r>
          </w:p>
        </w:tc>
        <w:tc>
          <w:tcPr>
            <w:tcW w:w="1840" w:type="dxa"/>
            <w:vAlign w:val="bottom"/>
            <w:tcBorders>
              <w:top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52,443</w:t>
            </w: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800" w:type="dxa"/>
            <w:vAlign w:val="bottom"/>
            <w:tcBorders>
              <w:top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15,662</w:t>
            </w:r>
          </w:p>
        </w:tc>
      </w:tr>
      <w:tr>
        <w:trPr>
          <w:trHeight w:val="215"/>
        </w:trPr>
        <w:tc>
          <w:tcPr>
            <w:tcW w:w="7200" w:type="dxa"/>
            <w:vAlign w:val="bottom"/>
          </w:tcPr>
          <w:p>
            <w:pPr>
              <w:ind w:left="40"/>
              <w:spacing w:after="0"/>
              <w:rPr>
                <w:sz w:val="20"/>
                <w:szCs w:val="20"/>
                <w:color w:val="auto"/>
              </w:rPr>
            </w:pPr>
            <w:r>
              <w:rPr>
                <w:rFonts w:ascii="Arial" w:cs="Arial" w:eastAsia="Arial" w:hAnsi="Arial"/>
                <w:sz w:val="14"/>
                <w:szCs w:val="14"/>
                <w:color w:val="auto"/>
              </w:rPr>
              <w:t>Add: Principal Collections on Finance Leases</w:t>
            </w:r>
          </w:p>
        </w:tc>
        <w:tc>
          <w:tcPr>
            <w:tcW w:w="220" w:type="dxa"/>
            <w:vAlign w:val="bottom"/>
          </w:tcPr>
          <w:p>
            <w:pPr>
              <w:spacing w:after="0"/>
              <w:rPr>
                <w:sz w:val="18"/>
                <w:szCs w:val="18"/>
                <w:color w:val="auto"/>
              </w:rPr>
            </w:pPr>
          </w:p>
        </w:tc>
        <w:tc>
          <w:tcPr>
            <w:tcW w:w="1840" w:type="dxa"/>
            <w:vAlign w:val="bottom"/>
          </w:tcPr>
          <w:p>
            <w:pPr>
              <w:jc w:val="right"/>
              <w:ind w:right="48"/>
              <w:spacing w:after="0"/>
              <w:rPr>
                <w:sz w:val="20"/>
                <w:szCs w:val="20"/>
                <w:color w:val="auto"/>
              </w:rPr>
            </w:pPr>
            <w:r>
              <w:rPr>
                <w:rFonts w:ascii="Arial" w:cs="Arial" w:eastAsia="Arial" w:hAnsi="Arial"/>
                <w:sz w:val="14"/>
                <w:szCs w:val="14"/>
                <w:b w:val="1"/>
                <w:bCs w:val="1"/>
                <w:color w:val="auto"/>
              </w:rPr>
              <w:t>347</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0" w:type="dxa"/>
            <w:vAlign w:val="bottom"/>
          </w:tcPr>
          <w:p>
            <w:pPr>
              <w:jc w:val="right"/>
              <w:ind w:right="48"/>
              <w:spacing w:after="0"/>
              <w:rPr>
                <w:sz w:val="20"/>
                <w:szCs w:val="20"/>
                <w:color w:val="auto"/>
              </w:rPr>
            </w:pPr>
            <w:r>
              <w:rPr>
                <w:rFonts w:ascii="Arial" w:cs="Arial" w:eastAsia="Arial" w:hAnsi="Arial"/>
                <w:sz w:val="14"/>
                <w:szCs w:val="14"/>
                <w:color w:val="auto"/>
              </w:rPr>
              <w:t>2,406</w:t>
            </w:r>
          </w:p>
        </w:tc>
      </w:tr>
      <w:tr>
        <w:trPr>
          <w:trHeight w:val="217"/>
        </w:trPr>
        <w:tc>
          <w:tcPr>
            <w:tcW w:w="7200" w:type="dxa"/>
            <w:vAlign w:val="bottom"/>
            <w:shd w:val="clear" w:color="auto" w:fill="CCEEFF"/>
          </w:tcPr>
          <w:p>
            <w:pPr>
              <w:ind w:left="40"/>
              <w:spacing w:after="0"/>
              <w:rPr>
                <w:sz w:val="20"/>
                <w:szCs w:val="20"/>
                <w:color w:val="auto"/>
              </w:rPr>
            </w:pPr>
            <w:r>
              <w:rPr>
                <w:rFonts w:ascii="Arial" w:cs="Arial" w:eastAsia="Arial" w:hAnsi="Arial"/>
                <w:sz w:val="14"/>
                <w:szCs w:val="14"/>
                <w:color w:val="auto"/>
              </w:rPr>
              <w:t xml:space="preserve">Add: Proceeds from sale of assets </w:t>
            </w:r>
            <w:r>
              <w:rPr>
                <w:rFonts w:ascii="Arial" w:cs="Arial" w:eastAsia="Arial" w:hAnsi="Arial"/>
                <w:sz w:val="17"/>
                <w:szCs w:val="17"/>
                <w:color w:val="auto"/>
                <w:vertAlign w:val="superscript"/>
              </w:rPr>
              <w:t>(1)</w:t>
            </w:r>
          </w:p>
        </w:tc>
        <w:tc>
          <w:tcPr>
            <w:tcW w:w="220" w:type="dxa"/>
            <w:vAlign w:val="bottom"/>
            <w:shd w:val="clear" w:color="auto" w:fill="CCEEFF"/>
          </w:tcPr>
          <w:p>
            <w:pPr>
              <w:spacing w:after="0"/>
              <w:rPr>
                <w:sz w:val="18"/>
                <w:szCs w:val="18"/>
                <w:color w:val="auto"/>
              </w:rPr>
            </w:pPr>
          </w:p>
        </w:tc>
        <w:tc>
          <w:tcPr>
            <w:tcW w:w="184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87,144</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87,530</w:t>
            </w:r>
          </w:p>
        </w:tc>
      </w:tr>
      <w:tr>
        <w:trPr>
          <w:trHeight w:val="215"/>
        </w:trPr>
        <w:tc>
          <w:tcPr>
            <w:tcW w:w="7200" w:type="dxa"/>
            <w:vAlign w:val="bottom"/>
          </w:tcPr>
          <w:p>
            <w:pPr>
              <w:ind w:left="40"/>
              <w:spacing w:after="0"/>
              <w:rPr>
                <w:sz w:val="20"/>
                <w:szCs w:val="20"/>
                <w:color w:val="auto"/>
              </w:rPr>
            </w:pPr>
            <w:r>
              <w:rPr>
                <w:rFonts w:ascii="Arial" w:cs="Arial" w:eastAsia="Arial" w:hAnsi="Arial"/>
                <w:sz w:val="14"/>
                <w:szCs w:val="14"/>
                <w:color w:val="auto"/>
              </w:rPr>
              <w:t>Add: Return of Capital Distributions from Unconsolidated Entities</w:t>
            </w:r>
          </w:p>
        </w:tc>
        <w:tc>
          <w:tcPr>
            <w:tcW w:w="220" w:type="dxa"/>
            <w:vAlign w:val="bottom"/>
          </w:tcPr>
          <w:p>
            <w:pPr>
              <w:spacing w:after="0"/>
              <w:rPr>
                <w:sz w:val="18"/>
                <w:szCs w:val="18"/>
                <w:color w:val="auto"/>
              </w:rPr>
            </w:pPr>
          </w:p>
        </w:tc>
        <w:tc>
          <w:tcPr>
            <w:tcW w:w="194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rPr>
              <w:t>—</w:t>
            </w:r>
          </w:p>
        </w:tc>
        <w:tc>
          <w:tcPr>
            <w:tcW w:w="240" w:type="dxa"/>
            <w:vAlign w:val="bottom"/>
          </w:tcPr>
          <w:p>
            <w:pPr>
              <w:spacing w:after="0"/>
              <w:rPr>
                <w:sz w:val="18"/>
                <w:szCs w:val="18"/>
                <w:color w:val="auto"/>
              </w:rPr>
            </w:pPr>
          </w:p>
        </w:tc>
        <w:tc>
          <w:tcPr>
            <w:tcW w:w="1800" w:type="dxa"/>
            <w:vAlign w:val="bottom"/>
          </w:tcPr>
          <w:p>
            <w:pPr>
              <w:jc w:val="right"/>
              <w:ind w:right="48"/>
              <w:spacing w:after="0"/>
              <w:rPr>
                <w:sz w:val="20"/>
                <w:szCs w:val="20"/>
                <w:color w:val="auto"/>
              </w:rPr>
            </w:pPr>
            <w:r>
              <w:rPr>
                <w:rFonts w:ascii="Arial" w:cs="Arial" w:eastAsia="Arial" w:hAnsi="Arial"/>
                <w:sz w:val="14"/>
                <w:szCs w:val="14"/>
                <w:color w:val="auto"/>
              </w:rPr>
              <w:t>432</w:t>
            </w:r>
          </w:p>
        </w:tc>
      </w:tr>
      <w:tr>
        <w:trPr>
          <w:trHeight w:val="217"/>
        </w:trPr>
        <w:tc>
          <w:tcPr>
            <w:tcW w:w="7200" w:type="dxa"/>
            <w:vAlign w:val="bottom"/>
            <w:shd w:val="clear" w:color="auto" w:fill="CCEEFF"/>
          </w:tcPr>
          <w:p>
            <w:pPr>
              <w:ind w:left="40"/>
              <w:spacing w:after="0"/>
              <w:rPr>
                <w:sz w:val="20"/>
                <w:szCs w:val="20"/>
                <w:color w:val="auto"/>
              </w:rPr>
            </w:pPr>
            <w:r>
              <w:rPr>
                <w:rFonts w:ascii="Arial" w:cs="Arial" w:eastAsia="Arial" w:hAnsi="Arial"/>
                <w:sz w:val="14"/>
                <w:szCs w:val="14"/>
                <w:color w:val="auto"/>
              </w:rPr>
              <w:t xml:space="preserve">Less: Required Payments on Debt Obligations </w:t>
            </w:r>
            <w:r>
              <w:rPr>
                <w:rFonts w:ascii="Arial" w:cs="Arial" w:eastAsia="Arial" w:hAnsi="Arial"/>
                <w:sz w:val="17"/>
                <w:szCs w:val="17"/>
                <w:color w:val="auto"/>
                <w:vertAlign w:val="superscript"/>
              </w:rPr>
              <w:t>(2)</w:t>
            </w:r>
          </w:p>
        </w:tc>
        <w:tc>
          <w:tcPr>
            <w:tcW w:w="220" w:type="dxa"/>
            <w:vAlign w:val="bottom"/>
            <w:shd w:val="clear" w:color="auto" w:fill="CCEEFF"/>
          </w:tcPr>
          <w:p>
            <w:pPr>
              <w:spacing w:after="0"/>
              <w:rPr>
                <w:sz w:val="18"/>
                <w:szCs w:val="18"/>
                <w:color w:val="auto"/>
              </w:rPr>
            </w:pPr>
          </w:p>
        </w:tc>
        <w:tc>
          <w:tcPr>
            <w:tcW w:w="1840" w:type="dxa"/>
            <w:vAlign w:val="bottom"/>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(8,368)</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(52,105)</w:t>
            </w:r>
          </w:p>
        </w:tc>
      </w:tr>
      <w:tr>
        <w:trPr>
          <w:trHeight w:val="215"/>
        </w:trPr>
        <w:tc>
          <w:tcPr>
            <w:tcW w:w="7200" w:type="dxa"/>
            <w:vAlign w:val="bottom"/>
          </w:tcPr>
          <w:p>
            <w:pPr>
              <w:ind w:left="40"/>
              <w:spacing w:after="0"/>
              <w:rPr>
                <w:sz w:val="20"/>
                <w:szCs w:val="20"/>
                <w:color w:val="auto"/>
              </w:rPr>
            </w:pPr>
            <w:r>
              <w:rPr>
                <w:rFonts w:ascii="Arial" w:cs="Arial" w:eastAsia="Arial" w:hAnsi="Arial"/>
                <w:sz w:val="14"/>
                <w:szCs w:val="14"/>
                <w:color w:val="auto"/>
              </w:rPr>
              <w:t>Less: Capital Distributions to Non-Controlling Interest</w:t>
            </w:r>
          </w:p>
        </w:tc>
        <w:tc>
          <w:tcPr>
            <w:tcW w:w="220" w:type="dxa"/>
            <w:vAlign w:val="bottom"/>
          </w:tcPr>
          <w:p>
            <w:pPr>
              <w:spacing w:after="0"/>
              <w:rPr>
                <w:sz w:val="18"/>
                <w:szCs w:val="18"/>
                <w:color w:val="auto"/>
              </w:rPr>
            </w:pPr>
          </w:p>
        </w:tc>
        <w:tc>
          <w:tcPr>
            <w:tcW w:w="194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rPr>
              <w:t>—</w:t>
            </w:r>
          </w:p>
        </w:tc>
        <w:tc>
          <w:tcPr>
            <w:tcW w:w="240" w:type="dxa"/>
            <w:vAlign w:val="bottom"/>
          </w:tcPr>
          <w:p>
            <w:pPr>
              <w:spacing w:after="0"/>
              <w:rPr>
                <w:sz w:val="18"/>
                <w:szCs w:val="18"/>
                <w:color w:val="auto"/>
              </w:rPr>
            </w:pPr>
          </w:p>
        </w:tc>
        <w:tc>
          <w:tcPr>
            <w:tcW w:w="1800" w:type="dxa"/>
            <w:vAlign w:val="bottom"/>
          </w:tcPr>
          <w:p>
            <w:pPr>
              <w:jc w:val="right"/>
              <w:ind w:right="48"/>
              <w:spacing w:after="0"/>
              <w:rPr>
                <w:sz w:val="20"/>
                <w:szCs w:val="20"/>
                <w:color w:val="auto"/>
              </w:rPr>
            </w:pPr>
            <w:r>
              <w:rPr>
                <w:rFonts w:ascii="Arial" w:cs="Arial" w:eastAsia="Arial" w:hAnsi="Arial"/>
                <w:sz w:val="14"/>
                <w:szCs w:val="14"/>
                <w:color w:val="auto"/>
              </w:rPr>
              <w:t>—</w:t>
            </w:r>
          </w:p>
        </w:tc>
      </w:tr>
      <w:tr>
        <w:trPr>
          <w:trHeight w:val="216"/>
        </w:trPr>
        <w:tc>
          <w:tcPr>
            <w:tcW w:w="7200" w:type="dxa"/>
            <w:vAlign w:val="bottom"/>
            <w:shd w:val="clear" w:color="auto" w:fill="CCEEFF"/>
          </w:tcPr>
          <w:p>
            <w:pPr>
              <w:ind w:left="40"/>
              <w:spacing w:after="0"/>
              <w:rPr>
                <w:sz w:val="20"/>
                <w:szCs w:val="20"/>
                <w:color w:val="auto"/>
              </w:rPr>
            </w:pPr>
            <w:r>
              <w:rPr>
                <w:rFonts w:ascii="Arial" w:cs="Arial" w:eastAsia="Arial" w:hAnsi="Arial"/>
                <w:sz w:val="14"/>
                <w:szCs w:val="14"/>
                <w:color w:val="auto"/>
              </w:rPr>
              <w:t>Exclude: Changes in Working Capital</w:t>
            </w:r>
          </w:p>
        </w:tc>
        <w:tc>
          <w:tcPr>
            <w:tcW w:w="220" w:type="dxa"/>
            <w:vAlign w:val="bottom"/>
            <w:tcBorders>
              <w:bottom w:val="single" w:sz="8" w:color="auto"/>
            </w:tcBorders>
            <w:shd w:val="clear" w:color="auto" w:fill="CCEEFF"/>
          </w:tcPr>
          <w:p>
            <w:pPr>
              <w:spacing w:after="0"/>
              <w:rPr>
                <w:sz w:val="18"/>
                <w:szCs w:val="18"/>
                <w:color w:val="auto"/>
              </w:rPr>
            </w:pPr>
          </w:p>
        </w:tc>
        <w:tc>
          <w:tcPr>
            <w:tcW w:w="184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(1,563)</w:t>
            </w:r>
          </w:p>
        </w:tc>
        <w:tc>
          <w:tcPr>
            <w:tcW w:w="1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8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2,370</w:t>
            </w:r>
          </w:p>
        </w:tc>
      </w:tr>
      <w:tr>
        <w:trPr>
          <w:trHeight w:val="211"/>
        </w:trPr>
        <w:tc>
          <w:tcPr>
            <w:tcW w:w="7200" w:type="dxa"/>
            <w:vAlign w:val="bottom"/>
          </w:tcPr>
          <w:p>
            <w:pPr>
              <w:ind w:left="40"/>
              <w:spacing w:after="0"/>
              <w:rPr>
                <w:sz w:val="20"/>
                <w:szCs w:val="20"/>
                <w:color w:val="auto"/>
              </w:rPr>
            </w:pPr>
            <w:r>
              <w:rPr>
                <w:rFonts w:ascii="Arial" w:cs="Arial" w:eastAsia="Arial" w:hAnsi="Arial"/>
                <w:sz w:val="14"/>
                <w:szCs w:val="14"/>
                <w:b w:val="1"/>
                <w:bCs w:val="1"/>
                <w:color w:val="auto"/>
              </w:rPr>
              <w:t>Funds Available for Distribution (FAD)</w:t>
            </w:r>
          </w:p>
        </w:tc>
        <w:tc>
          <w:tcPr>
            <w:tcW w:w="2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w:t>
            </w:r>
          </w:p>
        </w:tc>
        <w:tc>
          <w:tcPr>
            <w:tcW w:w="18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130,003</w:t>
            </w:r>
          </w:p>
        </w:tc>
        <w:tc>
          <w:tcPr>
            <w:tcW w:w="100" w:type="dxa"/>
            <w:vAlign w:val="bottom"/>
          </w:tcPr>
          <w:p>
            <w:pPr>
              <w:spacing w:after="0"/>
              <w:rPr>
                <w:sz w:val="18"/>
                <w:szCs w:val="18"/>
                <w:color w:val="auto"/>
              </w:rPr>
            </w:pPr>
          </w:p>
        </w:tc>
        <w:tc>
          <w:tcPr>
            <w:tcW w:w="2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8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56,295</w:t>
            </w:r>
          </w:p>
        </w:tc>
      </w:tr>
      <w:tr>
        <w:trPr>
          <w:trHeight w:val="20"/>
        </w:trPr>
        <w:tc>
          <w:tcPr>
            <w:tcW w:w="72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r>
    </w:tbl>
    <w:p>
      <w:pPr>
        <w:spacing w:after="0" w:line="144" w:lineRule="exact"/>
        <w:rPr>
          <w:sz w:val="20"/>
          <w:szCs w:val="20"/>
          <w:color w:val="auto"/>
        </w:rPr>
      </w:pPr>
    </w:p>
    <w:p>
      <w:pPr>
        <w:spacing w:after="0"/>
        <w:rPr>
          <w:sz w:val="20"/>
          <w:szCs w:val="20"/>
          <w:color w:val="auto"/>
        </w:rPr>
      </w:pPr>
      <w:r>
        <w:rPr>
          <w:rFonts w:ascii="Arial" w:cs="Arial" w:eastAsia="Arial" w:hAnsi="Arial"/>
          <w:sz w:val="16"/>
          <w:szCs w:val="16"/>
          <w:color w:val="auto"/>
        </w:rPr>
        <w:t>_____________________________________________________</w:t>
      </w:r>
    </w:p>
    <w:p>
      <w:pPr>
        <w:spacing w:after="0" w:line="172" w:lineRule="exact"/>
        <w:rPr>
          <w:sz w:val="20"/>
          <w:szCs w:val="20"/>
          <w:color w:val="auto"/>
        </w:rPr>
      </w:pPr>
    </w:p>
    <w:p>
      <w:pPr>
        <w:ind w:left="500" w:right="280" w:hanging="492"/>
        <w:spacing w:after="0" w:line="232" w:lineRule="auto"/>
        <w:tabs>
          <w:tab w:leader="none" w:pos="164" w:val="left"/>
        </w:tabs>
        <w:numPr>
          <w:ilvl w:val="0"/>
          <w:numId w:val="28"/>
        </w:numPr>
        <w:rPr>
          <w:rFonts w:ascii="Arial" w:cs="Arial" w:eastAsia="Arial" w:hAnsi="Arial"/>
          <w:sz w:val="18"/>
          <w:szCs w:val="18"/>
          <w:color w:val="auto"/>
          <w:vertAlign w:val="superscript"/>
        </w:rPr>
      </w:pPr>
      <w:r>
        <w:rPr>
          <w:rFonts w:ascii="Arial" w:cs="Arial" w:eastAsia="Arial" w:hAnsi="Arial"/>
          <w:sz w:val="14"/>
          <w:szCs w:val="14"/>
          <w:color w:val="auto"/>
        </w:rPr>
        <w:t>Proceeds from sale of assets for the nine months ended September 30, 2016 includes $500 received in December 2015 for a deposit on the sale of a commercial jet engine, which was completed in the nine months ended September 30, 2016.</w:t>
      </w:r>
    </w:p>
    <w:p>
      <w:pPr>
        <w:spacing w:after="0" w:line="130" w:lineRule="exact"/>
        <w:rPr>
          <w:rFonts w:ascii="Arial" w:cs="Arial" w:eastAsia="Arial" w:hAnsi="Arial"/>
          <w:sz w:val="18"/>
          <w:szCs w:val="18"/>
          <w:color w:val="auto"/>
          <w:vertAlign w:val="superscript"/>
        </w:rPr>
      </w:pPr>
    </w:p>
    <w:p>
      <w:pPr>
        <w:ind w:left="500" w:hanging="492"/>
        <w:spacing w:after="0"/>
        <w:tabs>
          <w:tab w:leader="none" w:pos="149" w:val="left"/>
        </w:tabs>
        <w:numPr>
          <w:ilvl w:val="0"/>
          <w:numId w:val="28"/>
        </w:numPr>
        <w:rPr>
          <w:rFonts w:ascii="Arial" w:cs="Arial" w:eastAsia="Arial" w:hAnsi="Arial"/>
          <w:sz w:val="17"/>
          <w:szCs w:val="17"/>
          <w:color w:val="auto"/>
          <w:vertAlign w:val="superscript"/>
        </w:rPr>
      </w:pPr>
      <w:r>
        <w:rPr>
          <w:rFonts w:ascii="Arial" w:cs="Arial" w:eastAsia="Arial" w:hAnsi="Arial"/>
          <w:sz w:val="14"/>
          <w:szCs w:val="14"/>
          <w:color w:val="auto"/>
        </w:rPr>
        <w:t>Required payments on debt obligations for the nine months ended September 30, 2017 excludes $100,000 repayment of the Term Loan and $14,255 repayment of the CMQR loan, and for the nine months ended September 30, 2016 excludes $98,750 repayment upon the termination of the Jefferson Terminal Credit Agreement and $6,748 repayment under the CMQR Credit Agreement, which were voluntary refinancings as repayment of these amounts were not required at such time.</w:t>
      </w:r>
    </w:p>
    <w:p>
      <w:pPr>
        <w:spacing w:after="0" w:line="178" w:lineRule="exact"/>
        <w:rPr>
          <w:sz w:val="20"/>
          <w:szCs w:val="20"/>
          <w:color w:val="auto"/>
        </w:rPr>
      </w:pPr>
    </w:p>
    <w:p>
      <w:pPr>
        <w:spacing w:after="0"/>
        <w:rPr>
          <w:sz w:val="20"/>
          <w:szCs w:val="20"/>
          <w:color w:val="auto"/>
        </w:rPr>
      </w:pPr>
      <w:r>
        <w:rPr>
          <w:rFonts w:ascii="Arial" w:cs="Arial" w:eastAsia="Arial" w:hAnsi="Arial"/>
          <w:sz w:val="16"/>
          <w:szCs w:val="16"/>
          <w:b w:val="1"/>
          <w:bCs w:val="1"/>
          <w:color w:val="00497F"/>
        </w:rPr>
        <w:t>Limitations</w:t>
      </w:r>
    </w:p>
    <w:p>
      <w:pPr>
        <w:spacing w:after="0" w:line="169" w:lineRule="exact"/>
        <w:rPr>
          <w:sz w:val="20"/>
          <w:szCs w:val="20"/>
          <w:color w:val="auto"/>
        </w:rPr>
      </w:pPr>
    </w:p>
    <w:p>
      <w:pPr>
        <w:jc w:val="both"/>
        <w:spacing w:after="0" w:line="257" w:lineRule="auto"/>
        <w:rPr>
          <w:sz w:val="20"/>
          <w:szCs w:val="20"/>
          <w:color w:val="auto"/>
        </w:rPr>
      </w:pPr>
      <w:r>
        <w:rPr>
          <w:rFonts w:ascii="Arial" w:cs="Arial" w:eastAsia="Arial" w:hAnsi="Arial"/>
          <w:sz w:val="16"/>
          <w:szCs w:val="16"/>
          <w:color w:val="auto"/>
        </w:rPr>
        <w:t>FAD is subject to a number of limitations and assumptions and there can be no assurance that the Company will generate FAD sufficient to meet its intended dividends. FAD has material limitations as a liquidity measure of the Company because such measure excludes items that are required elements of the Company’s net cash provided by operating activities as described below. FAD should not be considered in isolation nor as a substitute for analysis of the Company’s results of operations under GAAP, and it is not the only metric that should be considered in evaluating the Company’s ability to meet its stated dividend policy. Specifically:</w:t>
      </w:r>
    </w:p>
    <w:p>
      <w:pPr>
        <w:spacing w:after="0" w:line="122" w:lineRule="exact"/>
        <w:rPr>
          <w:sz w:val="20"/>
          <w:szCs w:val="20"/>
          <w:color w:val="auto"/>
        </w:rPr>
      </w:pPr>
    </w:p>
    <w:p>
      <w:pPr>
        <w:ind w:left="660" w:hanging="328"/>
        <w:spacing w:after="0" w:line="291" w:lineRule="auto"/>
        <w:tabs>
          <w:tab w:leader="none" w:pos="660" w:val="left"/>
        </w:tabs>
        <w:numPr>
          <w:ilvl w:val="0"/>
          <w:numId w:val="29"/>
        </w:numPr>
        <w:rPr>
          <w:rFonts w:ascii="Arial" w:cs="Arial" w:eastAsia="Arial" w:hAnsi="Arial"/>
          <w:sz w:val="16"/>
          <w:szCs w:val="16"/>
          <w:color w:val="auto"/>
        </w:rPr>
      </w:pPr>
      <w:r>
        <w:rPr>
          <w:rFonts w:ascii="Arial" w:cs="Arial" w:eastAsia="Arial" w:hAnsi="Arial"/>
          <w:sz w:val="16"/>
          <w:szCs w:val="16"/>
          <w:color w:val="auto"/>
        </w:rPr>
        <w:t>FAD does not include equity capital called from the Company’s existing limited partners, proceeds from any debt issuance or future equity offering, historical cash and cash equivalents and expected investments in the Company’s operations.</w:t>
      </w:r>
    </w:p>
    <w:p>
      <w:pPr>
        <w:spacing w:after="0" w:line="94" w:lineRule="exact"/>
        <w:rPr>
          <w:rFonts w:ascii="Arial" w:cs="Arial" w:eastAsia="Arial" w:hAnsi="Arial"/>
          <w:sz w:val="16"/>
          <w:szCs w:val="16"/>
          <w:color w:val="auto"/>
        </w:rPr>
      </w:pPr>
    </w:p>
    <w:p>
      <w:pPr>
        <w:ind w:left="660" w:hanging="328"/>
        <w:spacing w:after="0"/>
        <w:tabs>
          <w:tab w:leader="none" w:pos="660" w:val="left"/>
        </w:tabs>
        <w:numPr>
          <w:ilvl w:val="0"/>
          <w:numId w:val="29"/>
        </w:numPr>
        <w:rPr>
          <w:rFonts w:ascii="Arial" w:cs="Arial" w:eastAsia="Arial" w:hAnsi="Arial"/>
          <w:sz w:val="16"/>
          <w:szCs w:val="16"/>
          <w:color w:val="auto"/>
        </w:rPr>
      </w:pPr>
      <w:r>
        <w:rPr>
          <w:rFonts w:ascii="Arial" w:cs="Arial" w:eastAsia="Arial" w:hAnsi="Arial"/>
          <w:sz w:val="16"/>
          <w:szCs w:val="16"/>
          <w:color w:val="auto"/>
        </w:rPr>
        <w:t>FAD does not give pro forma effect to prior acquisitions, certain of which cannot be quantified.</w:t>
      </w:r>
    </w:p>
    <w:p>
      <w:pPr>
        <w:spacing w:after="0" w:line="167" w:lineRule="exact"/>
        <w:rPr>
          <w:rFonts w:ascii="Arial" w:cs="Arial" w:eastAsia="Arial" w:hAnsi="Arial"/>
          <w:sz w:val="16"/>
          <w:szCs w:val="16"/>
          <w:color w:val="auto"/>
        </w:rPr>
      </w:pPr>
    </w:p>
    <w:p>
      <w:pPr>
        <w:ind w:left="660" w:hanging="328"/>
        <w:spacing w:after="0" w:line="291" w:lineRule="auto"/>
        <w:tabs>
          <w:tab w:leader="none" w:pos="660" w:val="left"/>
        </w:tabs>
        <w:numPr>
          <w:ilvl w:val="0"/>
          <w:numId w:val="29"/>
        </w:numPr>
        <w:rPr>
          <w:rFonts w:ascii="Arial" w:cs="Arial" w:eastAsia="Arial" w:hAnsi="Arial"/>
          <w:sz w:val="16"/>
          <w:szCs w:val="16"/>
          <w:color w:val="auto"/>
        </w:rPr>
      </w:pPr>
      <w:r>
        <w:rPr>
          <w:rFonts w:ascii="Arial" w:cs="Arial" w:eastAsia="Arial" w:hAnsi="Arial"/>
          <w:sz w:val="16"/>
          <w:szCs w:val="16"/>
          <w:color w:val="auto"/>
        </w:rPr>
        <w:t>While FAD reflects the cash inflows from sale of certain assets, FAD does not reflect the cash outflows to acquire assets as the Company relies on alternative sources of liquidity to fund such purchases.</w:t>
      </w:r>
    </w:p>
    <w:p>
      <w:pPr>
        <w:spacing w:after="0" w:line="94" w:lineRule="exact"/>
        <w:rPr>
          <w:rFonts w:ascii="Arial" w:cs="Arial" w:eastAsia="Arial" w:hAnsi="Arial"/>
          <w:sz w:val="16"/>
          <w:szCs w:val="16"/>
          <w:color w:val="auto"/>
        </w:rPr>
      </w:pPr>
    </w:p>
    <w:p>
      <w:pPr>
        <w:ind w:left="660" w:right="20" w:hanging="328"/>
        <w:spacing w:after="0" w:line="291" w:lineRule="auto"/>
        <w:tabs>
          <w:tab w:leader="none" w:pos="660" w:val="left"/>
        </w:tabs>
        <w:numPr>
          <w:ilvl w:val="0"/>
          <w:numId w:val="29"/>
        </w:numPr>
        <w:rPr>
          <w:rFonts w:ascii="Arial" w:cs="Arial" w:eastAsia="Arial" w:hAnsi="Arial"/>
          <w:sz w:val="16"/>
          <w:szCs w:val="16"/>
          <w:color w:val="auto"/>
        </w:rPr>
      </w:pPr>
      <w:r>
        <w:rPr>
          <w:rFonts w:ascii="Arial" w:cs="Arial" w:eastAsia="Arial" w:hAnsi="Arial"/>
          <w:sz w:val="16"/>
          <w:szCs w:val="16"/>
          <w:color w:val="auto"/>
        </w:rPr>
        <w:t>FAD does not reflect expenditures related to capital expenditures, acquisitions and other investments as the Company has multiple sources of liquidity and intends to fund these expenditures with future incurrences of indebtedness, additional capital contributions and/or future issuances of equity.</w:t>
      </w:r>
    </w:p>
    <w:p>
      <w:pPr>
        <w:spacing w:after="0" w:line="94" w:lineRule="exact"/>
        <w:rPr>
          <w:rFonts w:ascii="Arial" w:cs="Arial" w:eastAsia="Arial" w:hAnsi="Arial"/>
          <w:sz w:val="16"/>
          <w:szCs w:val="16"/>
          <w:color w:val="auto"/>
        </w:rPr>
      </w:pPr>
    </w:p>
    <w:p>
      <w:pPr>
        <w:ind w:left="660" w:hanging="328"/>
        <w:spacing w:after="0"/>
        <w:tabs>
          <w:tab w:leader="none" w:pos="660" w:val="left"/>
        </w:tabs>
        <w:numPr>
          <w:ilvl w:val="0"/>
          <w:numId w:val="29"/>
        </w:numPr>
        <w:rPr>
          <w:rFonts w:ascii="Arial" w:cs="Arial" w:eastAsia="Arial" w:hAnsi="Arial"/>
          <w:sz w:val="16"/>
          <w:szCs w:val="16"/>
          <w:color w:val="auto"/>
        </w:rPr>
      </w:pPr>
      <w:r>
        <w:rPr>
          <w:rFonts w:ascii="Arial" w:cs="Arial" w:eastAsia="Arial" w:hAnsi="Arial"/>
          <w:sz w:val="16"/>
          <w:szCs w:val="16"/>
          <w:color w:val="auto"/>
        </w:rPr>
        <w:t>FAD does not reflect any maintenance capital expenditures necessary to maintain the same level of cash generation from our capital investments.</w:t>
      </w:r>
    </w:p>
    <w:p>
      <w:pPr>
        <w:spacing w:after="0" w:line="167" w:lineRule="exact"/>
        <w:rPr>
          <w:rFonts w:ascii="Arial" w:cs="Arial" w:eastAsia="Arial" w:hAnsi="Arial"/>
          <w:sz w:val="16"/>
          <w:szCs w:val="16"/>
          <w:color w:val="auto"/>
        </w:rPr>
      </w:pPr>
    </w:p>
    <w:p>
      <w:pPr>
        <w:ind w:left="660" w:right="20" w:hanging="328"/>
        <w:spacing w:after="0" w:line="291" w:lineRule="auto"/>
        <w:tabs>
          <w:tab w:leader="none" w:pos="660" w:val="left"/>
        </w:tabs>
        <w:numPr>
          <w:ilvl w:val="0"/>
          <w:numId w:val="29"/>
        </w:numPr>
        <w:rPr>
          <w:rFonts w:ascii="Arial" w:cs="Arial" w:eastAsia="Arial" w:hAnsi="Arial"/>
          <w:sz w:val="16"/>
          <w:szCs w:val="16"/>
          <w:color w:val="auto"/>
        </w:rPr>
      </w:pPr>
      <w:r>
        <w:rPr>
          <w:rFonts w:ascii="Arial" w:cs="Arial" w:eastAsia="Arial" w:hAnsi="Arial"/>
          <w:sz w:val="16"/>
          <w:szCs w:val="16"/>
          <w:color w:val="auto"/>
        </w:rPr>
        <w:t>FAD does not reflect changes in working capital balances as management believes that changes in working capital are primarily driven by short term timing differences, which are not meaningful to the Company’s distribution decisions.</w:t>
      </w:r>
    </w:p>
    <w:p>
      <w:pPr>
        <w:spacing w:after="0" w:line="94" w:lineRule="exact"/>
        <w:rPr>
          <w:rFonts w:ascii="Arial" w:cs="Arial" w:eastAsia="Arial" w:hAnsi="Arial"/>
          <w:sz w:val="16"/>
          <w:szCs w:val="16"/>
          <w:color w:val="auto"/>
        </w:rPr>
      </w:pPr>
    </w:p>
    <w:p>
      <w:pPr>
        <w:ind w:left="660" w:hanging="328"/>
        <w:spacing w:after="0" w:line="291" w:lineRule="auto"/>
        <w:tabs>
          <w:tab w:leader="none" w:pos="660" w:val="left"/>
        </w:tabs>
        <w:numPr>
          <w:ilvl w:val="0"/>
          <w:numId w:val="29"/>
        </w:numPr>
        <w:rPr>
          <w:rFonts w:ascii="Arial" w:cs="Arial" w:eastAsia="Arial" w:hAnsi="Arial"/>
          <w:sz w:val="16"/>
          <w:szCs w:val="16"/>
          <w:color w:val="auto"/>
        </w:rPr>
      </w:pPr>
      <w:r>
        <w:rPr>
          <w:rFonts w:ascii="Arial" w:cs="Arial" w:eastAsia="Arial" w:hAnsi="Arial"/>
          <w:sz w:val="16"/>
          <w:szCs w:val="16"/>
          <w:color w:val="auto"/>
        </w:rPr>
        <w:t>Management has significant discretion to make distributions, and the Company is not bound by any contractual provision that requires it to use cash for distributions.</w:t>
      </w:r>
    </w:p>
    <w:p>
      <w:pPr>
        <w:spacing w:after="0" w:line="94" w:lineRule="exact"/>
        <w:rPr>
          <w:sz w:val="20"/>
          <w:szCs w:val="20"/>
          <w:color w:val="auto"/>
        </w:rPr>
      </w:pPr>
    </w:p>
    <w:p>
      <w:pPr>
        <w:spacing w:after="0"/>
        <w:rPr>
          <w:sz w:val="20"/>
          <w:szCs w:val="20"/>
          <w:color w:val="auto"/>
        </w:rPr>
      </w:pPr>
      <w:r>
        <w:rPr>
          <w:rFonts w:ascii="Arial" w:cs="Arial" w:eastAsia="Arial" w:hAnsi="Arial"/>
          <w:sz w:val="16"/>
          <w:szCs w:val="16"/>
          <w:color w:val="auto"/>
        </w:rPr>
        <w:t>If such factors were included in FAD, there can be no assurance that the results would be consistent with the Company’s presentation of FAD.</w:t>
      </w:r>
    </w:p>
    <w:p>
      <w:pPr>
        <w:spacing w:after="0" w:line="354" w:lineRule="exact"/>
        <w:rPr>
          <w:sz w:val="20"/>
          <w:szCs w:val="20"/>
          <w:color w:val="auto"/>
        </w:rPr>
      </w:pPr>
    </w:p>
    <w:p>
      <w:pPr>
        <w:spacing w:after="0"/>
        <w:rPr>
          <w:sz w:val="20"/>
          <w:szCs w:val="20"/>
          <w:color w:val="auto"/>
        </w:rPr>
      </w:pPr>
      <w:r>
        <w:rPr>
          <w:rFonts w:ascii="Arial" w:cs="Arial" w:eastAsia="Arial" w:hAnsi="Arial"/>
          <w:sz w:val="16"/>
          <w:szCs w:val="16"/>
          <w:b w:val="1"/>
          <w:bCs w:val="1"/>
          <w:color w:val="00497F"/>
        </w:rPr>
        <w:t>Debt Obligations</w:t>
      </w:r>
    </w:p>
    <w:p>
      <w:pPr>
        <w:spacing w:after="0" w:line="169" w:lineRule="exact"/>
        <w:rPr>
          <w:sz w:val="20"/>
          <w:szCs w:val="20"/>
          <w:color w:val="auto"/>
        </w:rPr>
      </w:pPr>
    </w:p>
    <w:p>
      <w:pPr>
        <w:spacing w:after="0"/>
        <w:rPr>
          <w:sz w:val="20"/>
          <w:szCs w:val="20"/>
          <w:color w:val="auto"/>
        </w:rPr>
      </w:pPr>
      <w:r>
        <w:rPr>
          <w:rFonts w:ascii="Arial" w:cs="Arial" w:eastAsia="Arial" w:hAnsi="Arial"/>
          <w:sz w:val="16"/>
          <w:szCs w:val="16"/>
          <w:color w:val="auto"/>
        </w:rPr>
        <w:t>Refer to Note 8 of the Consolidated Financial Statements for detail.</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70</w:t>
      </w:r>
    </w:p>
    <w:p>
      <w:pPr>
        <w:sectPr>
          <w:pgSz w:w="11900" w:h="16838" w:orient="portrait"/>
          <w:cols w:equalWidth="0" w:num="1">
            <w:col w:w="11420"/>
          </w:cols>
          <w:pgMar w:left="240" w:top="691" w:right="239" w:bottom="1440" w:gutter="0" w:footer="0" w:header="0"/>
        </w:sectPr>
      </w:pPr>
    </w:p>
    <w:bookmarkStart w:id="70" w:name="page71"/>
    <w:bookmarkEnd w:id="70"/>
    <w:p>
      <w:pPr>
        <w:spacing w:after="0"/>
        <w:rPr>
          <w:sz w:val="20"/>
          <w:szCs w:val="20"/>
          <w:color w:val="auto"/>
        </w:rPr>
      </w:pPr>
      <w:r>
        <w:rPr>
          <w:rFonts w:ascii="Arial" w:cs="Arial" w:eastAsia="Arial" w:hAnsi="Arial"/>
          <w:sz w:val="16"/>
          <w:szCs w:val="16"/>
          <w:b w:val="1"/>
          <w:bCs w:val="1"/>
          <w:color w:val="00497F"/>
        </w:rPr>
        <w:t>Contractual Obligations</w:t>
      </w:r>
    </w:p>
    <w:p>
      <w:pPr>
        <w:spacing w:after="0" w:line="169"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summarizes our future obligations, by period due, as of September 30, 2017, under our various contractual obligations and commitments.</w:t>
      </w:r>
    </w:p>
    <w:p>
      <w:pPr>
        <w:spacing w:after="0" w:line="25" w:lineRule="exact"/>
        <w:rPr>
          <w:sz w:val="20"/>
          <w:szCs w:val="20"/>
          <w:color w:val="auto"/>
        </w:rPr>
      </w:pPr>
    </w:p>
    <w:p>
      <w:pPr>
        <w:spacing w:after="0"/>
        <w:rPr>
          <w:sz w:val="20"/>
          <w:szCs w:val="20"/>
          <w:color w:val="auto"/>
        </w:rPr>
      </w:pPr>
      <w:r>
        <w:rPr>
          <w:rFonts w:ascii="Arial" w:cs="Arial" w:eastAsia="Arial" w:hAnsi="Arial"/>
          <w:sz w:val="16"/>
          <w:szCs w:val="16"/>
          <w:color w:val="auto"/>
        </w:rPr>
        <w:t>We had no off-balance sheet arrangements as of September 30, 2017.</w:t>
      </w:r>
    </w:p>
    <w:p>
      <w:pPr>
        <w:spacing w:after="0" w:line="200" w:lineRule="exact"/>
        <w:rPr>
          <w:sz w:val="20"/>
          <w:szCs w:val="20"/>
          <w:color w:val="auto"/>
        </w:rPr>
      </w:pPr>
    </w:p>
    <w:p>
      <w:pPr>
        <w:spacing w:after="0" w:line="377"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2740" w:type="dxa"/>
            <w:vAlign w:val="bottom"/>
          </w:tcPr>
          <w:p>
            <w:pPr>
              <w:ind w:left="40"/>
              <w:spacing w:after="0"/>
              <w:rPr>
                <w:sz w:val="20"/>
                <w:szCs w:val="20"/>
                <w:color w:val="auto"/>
              </w:rPr>
            </w:pPr>
            <w:r>
              <w:rPr>
                <w:rFonts w:ascii="Arial" w:cs="Arial" w:eastAsia="Arial" w:hAnsi="Arial"/>
                <w:sz w:val="14"/>
                <w:szCs w:val="14"/>
                <w:i w:val="1"/>
                <w:iCs w:val="1"/>
                <w:color w:val="auto"/>
              </w:rPr>
              <w:t>(in thousands)</w:t>
            </w:r>
          </w:p>
        </w:tc>
        <w:tc>
          <w:tcPr>
            <w:tcW w:w="28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vMerge w:val="restart"/>
          </w:tcPr>
          <w:p>
            <w:pPr>
              <w:jc w:val="right"/>
              <w:ind w:right="348"/>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top w:val="single" w:sz="8" w:color="auto"/>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vMerge w:val="restart"/>
          </w:tcPr>
          <w:p>
            <w:pPr>
              <w:jc w:val="right"/>
              <w:ind w:right="348"/>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top w:val="single" w:sz="8" w:color="auto"/>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vMerge w:val="restart"/>
          </w:tcPr>
          <w:p>
            <w:pPr>
              <w:jc w:val="right"/>
              <w:ind w:right="348"/>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top w:val="single" w:sz="8" w:color="auto"/>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vMerge w:val="restart"/>
          </w:tcPr>
          <w:p>
            <w:pPr>
              <w:jc w:val="right"/>
              <w:ind w:right="348"/>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top w:val="single" w:sz="8" w:color="auto"/>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vMerge w:val="restart"/>
          </w:tcPr>
          <w:p>
            <w:pPr>
              <w:jc w:val="right"/>
              <w:ind w:right="328"/>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top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vMerge w:val="restart"/>
          </w:tcPr>
          <w:p>
            <w:pPr>
              <w:jc w:val="right"/>
              <w:ind w:right="148"/>
              <w:spacing w:after="0"/>
              <w:rPr>
                <w:sz w:val="20"/>
                <w:szCs w:val="20"/>
                <w:color w:val="auto"/>
              </w:rPr>
            </w:pPr>
            <w:r>
              <w:rPr>
                <w:rFonts w:ascii="Arial" w:cs="Arial" w:eastAsia="Arial" w:hAnsi="Arial"/>
                <w:sz w:val="14"/>
                <w:szCs w:val="14"/>
                <w:b w:val="1"/>
                <w:bCs w:val="1"/>
                <w:color w:val="auto"/>
              </w:rPr>
              <w:t>Thereafter</w:t>
            </w:r>
          </w:p>
        </w:tc>
        <w:tc>
          <w:tcPr>
            <w:tcW w:w="100" w:type="dxa"/>
            <w:vAlign w:val="bottom"/>
            <w:tcBorders>
              <w:top w:val="single" w:sz="8" w:color="auto"/>
            </w:tcBorders>
            <w:vMerge w:val="restart"/>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vMerge w:val="restart"/>
          </w:tcPr>
          <w:p>
            <w:pPr>
              <w:jc w:val="right"/>
              <w:ind w:right="328"/>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65"/>
        </w:trPr>
        <w:tc>
          <w:tcPr>
            <w:tcW w:w="274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vMerge w:val="continue"/>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vMerge w:val="continue"/>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vMerge w:val="continue"/>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vMerge w:val="continue"/>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vMerge w:val="continue"/>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vMerge w:val="continue"/>
          </w:tcPr>
          <w:p>
            <w:pPr>
              <w:spacing w:after="0"/>
              <w:rPr>
                <w:sz w:val="14"/>
                <w:szCs w:val="14"/>
                <w:color w:val="auto"/>
              </w:rPr>
            </w:pPr>
          </w:p>
        </w:tc>
        <w:tc>
          <w:tcPr>
            <w:tcW w:w="100" w:type="dxa"/>
            <w:vAlign w:val="bottom"/>
            <w:vMerge w:val="continue"/>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47"/>
        </w:trPr>
        <w:tc>
          <w:tcPr>
            <w:tcW w:w="2740" w:type="dxa"/>
            <w:vAlign w:val="bottom"/>
          </w:tcPr>
          <w:p>
            <w:pPr>
              <w:ind w:left="40"/>
              <w:spacing w:after="0"/>
              <w:rPr>
                <w:sz w:val="20"/>
                <w:szCs w:val="20"/>
                <w:color w:val="auto"/>
              </w:rPr>
            </w:pPr>
            <w:r>
              <w:rPr>
                <w:rFonts w:ascii="Arial" w:cs="Arial" w:eastAsia="Arial" w:hAnsi="Arial"/>
                <w:sz w:val="14"/>
                <w:szCs w:val="14"/>
                <w:color w:val="auto"/>
              </w:rPr>
              <w:t>FTAI Pride Credit Agreement</w:t>
            </w:r>
          </w:p>
        </w:tc>
        <w:tc>
          <w:tcPr>
            <w:tcW w:w="28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102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2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6,250</w:t>
            </w:r>
          </w:p>
        </w:tc>
        <w:tc>
          <w:tcPr>
            <w:tcW w:w="120" w:type="dxa"/>
            <w:vAlign w:val="bottom"/>
          </w:tcPr>
          <w:p>
            <w:pPr>
              <w:spacing w:after="0"/>
              <w:rPr>
                <w:sz w:val="21"/>
                <w:szCs w:val="21"/>
                <w:color w:val="auto"/>
              </w:rPr>
            </w:pPr>
          </w:p>
        </w:tc>
        <w:tc>
          <w:tcPr>
            <w:tcW w:w="2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47,743</w:t>
            </w:r>
          </w:p>
        </w:tc>
        <w:tc>
          <w:tcPr>
            <w:tcW w:w="120" w:type="dxa"/>
            <w:vAlign w:val="bottom"/>
          </w:tcPr>
          <w:p>
            <w:pPr>
              <w:spacing w:after="0"/>
              <w:rPr>
                <w:sz w:val="21"/>
                <w:szCs w:val="21"/>
                <w:color w:val="auto"/>
              </w:rPr>
            </w:pPr>
          </w:p>
        </w:tc>
        <w:tc>
          <w:tcPr>
            <w:tcW w:w="2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9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9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10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28"/>
              <w:spacing w:after="0"/>
              <w:rPr>
                <w:sz w:val="20"/>
                <w:szCs w:val="20"/>
                <w:color w:val="auto"/>
              </w:rPr>
            </w:pPr>
            <w:r>
              <w:rPr>
                <w:rFonts w:ascii="Arial" w:cs="Arial" w:eastAsia="Arial" w:hAnsi="Arial"/>
                <w:sz w:val="14"/>
                <w:szCs w:val="14"/>
                <w:color w:val="auto"/>
              </w:rPr>
              <w:t>53,993</w:t>
            </w:r>
          </w:p>
        </w:tc>
        <w:tc>
          <w:tcPr>
            <w:tcW w:w="0" w:type="dxa"/>
            <w:vAlign w:val="bottom"/>
          </w:tcPr>
          <w:p>
            <w:pPr>
              <w:spacing w:after="0"/>
              <w:rPr>
                <w:sz w:val="1"/>
                <w:szCs w:val="1"/>
                <w:color w:val="auto"/>
              </w:rPr>
            </w:pPr>
          </w:p>
        </w:tc>
      </w:tr>
      <w:tr>
        <w:trPr>
          <w:trHeight w:val="274"/>
        </w:trPr>
        <w:tc>
          <w:tcPr>
            <w:tcW w:w="2740" w:type="dxa"/>
            <w:vAlign w:val="bottom"/>
            <w:shd w:val="clear" w:color="auto" w:fill="CCEEFF"/>
          </w:tcPr>
          <w:p>
            <w:pPr>
              <w:ind w:left="40"/>
              <w:spacing w:after="0"/>
              <w:rPr>
                <w:sz w:val="20"/>
                <w:szCs w:val="20"/>
                <w:color w:val="auto"/>
              </w:rPr>
            </w:pPr>
            <w:r>
              <w:rPr>
                <w:rFonts w:ascii="Arial" w:cs="Arial" w:eastAsia="Arial" w:hAnsi="Arial"/>
                <w:sz w:val="14"/>
                <w:szCs w:val="14"/>
                <w:color w:val="auto"/>
              </w:rPr>
              <w:t>CMQR Credit Agreement</w:t>
            </w:r>
          </w:p>
        </w:tc>
        <w:tc>
          <w:tcPr>
            <w:tcW w:w="280" w:type="dxa"/>
            <w:vAlign w:val="bottom"/>
            <w:shd w:val="clear" w:color="auto" w:fill="CCEEFF"/>
          </w:tcPr>
          <w:p>
            <w:pPr>
              <w:spacing w:after="0"/>
              <w:rPr>
                <w:sz w:val="23"/>
                <w:szCs w:val="23"/>
                <w:color w:val="auto"/>
              </w:rPr>
            </w:pPr>
          </w:p>
        </w:tc>
        <w:tc>
          <w:tcPr>
            <w:tcW w:w="102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23"/>
                <w:szCs w:val="23"/>
                <w:color w:val="auto"/>
              </w:rPr>
            </w:pPr>
          </w:p>
        </w:tc>
        <w:tc>
          <w:tcPr>
            <w:tcW w:w="10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23"/>
                <w:szCs w:val="23"/>
                <w:color w:val="auto"/>
              </w:rPr>
            </w:pPr>
          </w:p>
        </w:tc>
        <w:tc>
          <w:tcPr>
            <w:tcW w:w="9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18,400</w:t>
            </w:r>
          </w:p>
        </w:tc>
        <w:tc>
          <w:tcPr>
            <w:tcW w:w="12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23"/>
                <w:szCs w:val="23"/>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3"/>
                <w:szCs w:val="23"/>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23"/>
                <w:szCs w:val="23"/>
                <w:color w:val="auto"/>
              </w:rPr>
            </w:pPr>
          </w:p>
        </w:tc>
        <w:tc>
          <w:tcPr>
            <w:tcW w:w="8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18,400</w:t>
            </w:r>
          </w:p>
        </w:tc>
        <w:tc>
          <w:tcPr>
            <w:tcW w:w="0" w:type="dxa"/>
            <w:vAlign w:val="bottom"/>
          </w:tcPr>
          <w:p>
            <w:pPr>
              <w:spacing w:after="0"/>
              <w:rPr>
                <w:sz w:val="1"/>
                <w:szCs w:val="1"/>
                <w:color w:val="auto"/>
              </w:rPr>
            </w:pPr>
          </w:p>
        </w:tc>
      </w:tr>
      <w:tr>
        <w:trPr>
          <w:trHeight w:val="266"/>
        </w:trPr>
        <w:tc>
          <w:tcPr>
            <w:tcW w:w="2740" w:type="dxa"/>
            <w:vAlign w:val="bottom"/>
          </w:tcPr>
          <w:p>
            <w:pPr>
              <w:ind w:left="40"/>
              <w:spacing w:after="0"/>
              <w:rPr>
                <w:sz w:val="20"/>
                <w:szCs w:val="20"/>
                <w:color w:val="auto"/>
              </w:rPr>
            </w:pPr>
            <w:r>
              <w:rPr>
                <w:rFonts w:ascii="Arial" w:cs="Arial" w:eastAsia="Arial" w:hAnsi="Arial"/>
                <w:sz w:val="14"/>
                <w:szCs w:val="14"/>
                <w:color w:val="auto"/>
              </w:rPr>
              <w:t>Revolving Credit Facility</w:t>
            </w:r>
          </w:p>
        </w:tc>
        <w:tc>
          <w:tcPr>
            <w:tcW w:w="280" w:type="dxa"/>
            <w:vAlign w:val="bottom"/>
          </w:tcPr>
          <w:p>
            <w:pPr>
              <w:spacing w:after="0"/>
              <w:rPr>
                <w:sz w:val="23"/>
                <w:szCs w:val="23"/>
                <w:color w:val="auto"/>
              </w:rPr>
            </w:pPr>
          </w:p>
        </w:tc>
        <w:tc>
          <w:tcPr>
            <w:tcW w:w="102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23"/>
                <w:szCs w:val="23"/>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23"/>
                <w:szCs w:val="23"/>
                <w:color w:val="auto"/>
              </w:rPr>
            </w:pP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60,000</w:t>
            </w: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23"/>
                <w:szCs w:val="23"/>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3"/>
                <w:szCs w:val="23"/>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3"/>
                <w:szCs w:val="23"/>
                <w:color w:val="auto"/>
              </w:rPr>
            </w:pPr>
          </w:p>
        </w:tc>
        <w:tc>
          <w:tcPr>
            <w:tcW w:w="880" w:type="dxa"/>
            <w:vAlign w:val="bottom"/>
          </w:tcPr>
          <w:p>
            <w:pPr>
              <w:jc w:val="right"/>
              <w:ind w:right="28"/>
              <w:spacing w:after="0"/>
              <w:rPr>
                <w:sz w:val="20"/>
                <w:szCs w:val="20"/>
                <w:color w:val="auto"/>
              </w:rPr>
            </w:pPr>
            <w:r>
              <w:rPr>
                <w:rFonts w:ascii="Arial" w:cs="Arial" w:eastAsia="Arial" w:hAnsi="Arial"/>
                <w:sz w:val="14"/>
                <w:szCs w:val="14"/>
                <w:color w:val="auto"/>
              </w:rPr>
              <w:t>60,000</w:t>
            </w:r>
          </w:p>
        </w:tc>
        <w:tc>
          <w:tcPr>
            <w:tcW w:w="0" w:type="dxa"/>
            <w:vAlign w:val="bottom"/>
          </w:tcPr>
          <w:p>
            <w:pPr>
              <w:spacing w:after="0"/>
              <w:rPr>
                <w:sz w:val="1"/>
                <w:szCs w:val="1"/>
                <w:color w:val="auto"/>
              </w:rPr>
            </w:pPr>
          </w:p>
        </w:tc>
      </w:tr>
      <w:tr>
        <w:trPr>
          <w:trHeight w:val="274"/>
        </w:trPr>
        <w:tc>
          <w:tcPr>
            <w:tcW w:w="2740" w:type="dxa"/>
            <w:vAlign w:val="bottom"/>
            <w:shd w:val="clear" w:color="auto" w:fill="CCEEFF"/>
          </w:tcPr>
          <w:p>
            <w:pPr>
              <w:ind w:left="40"/>
              <w:spacing w:after="0"/>
              <w:rPr>
                <w:sz w:val="20"/>
                <w:szCs w:val="20"/>
                <w:color w:val="auto"/>
              </w:rPr>
            </w:pPr>
            <w:r>
              <w:rPr>
                <w:rFonts w:ascii="Arial" w:cs="Arial" w:eastAsia="Arial" w:hAnsi="Arial"/>
                <w:sz w:val="14"/>
                <w:szCs w:val="14"/>
                <w:color w:val="auto"/>
              </w:rPr>
              <w:t>Jefferson Bonds Payable</w:t>
            </w:r>
          </w:p>
        </w:tc>
        <w:tc>
          <w:tcPr>
            <w:tcW w:w="280" w:type="dxa"/>
            <w:vAlign w:val="bottom"/>
            <w:shd w:val="clear" w:color="auto" w:fill="CCEEFF"/>
          </w:tcPr>
          <w:p>
            <w:pPr>
              <w:spacing w:after="0"/>
              <w:rPr>
                <w:sz w:val="23"/>
                <w:szCs w:val="23"/>
                <w:color w:val="auto"/>
              </w:rPr>
            </w:pPr>
          </w:p>
        </w:tc>
        <w:tc>
          <w:tcPr>
            <w:tcW w:w="102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23"/>
                <w:szCs w:val="23"/>
                <w:color w:val="auto"/>
              </w:rPr>
            </w:pPr>
          </w:p>
        </w:tc>
        <w:tc>
          <w:tcPr>
            <w:tcW w:w="9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1,545</w:t>
            </w:r>
          </w:p>
        </w:tc>
        <w:tc>
          <w:tcPr>
            <w:tcW w:w="12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9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1,670</w:t>
            </w:r>
          </w:p>
        </w:tc>
        <w:tc>
          <w:tcPr>
            <w:tcW w:w="12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8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146,010</w:t>
            </w: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8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1,960</w:t>
            </w: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9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35,780</w:t>
            </w: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8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186,965</w:t>
            </w:r>
          </w:p>
        </w:tc>
        <w:tc>
          <w:tcPr>
            <w:tcW w:w="0" w:type="dxa"/>
            <w:vAlign w:val="bottom"/>
          </w:tcPr>
          <w:p>
            <w:pPr>
              <w:spacing w:after="0"/>
              <w:rPr>
                <w:sz w:val="1"/>
                <w:szCs w:val="1"/>
                <w:color w:val="auto"/>
              </w:rPr>
            </w:pPr>
          </w:p>
        </w:tc>
      </w:tr>
      <w:tr>
        <w:trPr>
          <w:trHeight w:val="266"/>
        </w:trPr>
        <w:tc>
          <w:tcPr>
            <w:tcW w:w="2740" w:type="dxa"/>
            <w:vAlign w:val="bottom"/>
          </w:tcPr>
          <w:p>
            <w:pPr>
              <w:ind w:left="40"/>
              <w:spacing w:after="0"/>
              <w:rPr>
                <w:sz w:val="20"/>
                <w:szCs w:val="20"/>
                <w:color w:val="auto"/>
              </w:rPr>
            </w:pPr>
            <w:r>
              <w:rPr>
                <w:rFonts w:ascii="Arial" w:cs="Arial" w:eastAsia="Arial" w:hAnsi="Arial"/>
                <w:sz w:val="14"/>
                <w:szCs w:val="14"/>
                <w:color w:val="auto"/>
              </w:rPr>
              <w:t>Senior Notes</w:t>
            </w:r>
          </w:p>
        </w:tc>
        <w:tc>
          <w:tcPr>
            <w:tcW w:w="280" w:type="dxa"/>
            <w:vAlign w:val="bottom"/>
          </w:tcPr>
          <w:p>
            <w:pPr>
              <w:spacing w:after="0"/>
              <w:rPr>
                <w:sz w:val="23"/>
                <w:szCs w:val="23"/>
                <w:color w:val="auto"/>
              </w:rPr>
            </w:pPr>
          </w:p>
        </w:tc>
        <w:tc>
          <w:tcPr>
            <w:tcW w:w="102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23"/>
                <w:szCs w:val="23"/>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23"/>
                <w:szCs w:val="23"/>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23"/>
                <w:szCs w:val="23"/>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23"/>
                <w:szCs w:val="23"/>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3"/>
                <w:szCs w:val="23"/>
                <w:color w:val="auto"/>
              </w:rPr>
            </w:pPr>
          </w:p>
        </w:tc>
        <w:tc>
          <w:tcPr>
            <w:tcW w:w="980" w:type="dxa"/>
            <w:vAlign w:val="bottom"/>
          </w:tcPr>
          <w:p>
            <w:pPr>
              <w:jc w:val="right"/>
              <w:ind w:right="48"/>
              <w:spacing w:after="0"/>
              <w:rPr>
                <w:sz w:val="20"/>
                <w:szCs w:val="20"/>
                <w:color w:val="auto"/>
              </w:rPr>
            </w:pPr>
            <w:r>
              <w:rPr>
                <w:rFonts w:ascii="Arial" w:cs="Arial" w:eastAsia="Arial" w:hAnsi="Arial"/>
                <w:sz w:val="14"/>
                <w:szCs w:val="14"/>
                <w:color w:val="auto"/>
              </w:rPr>
              <w:t>350,000</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80" w:type="dxa"/>
            <w:vAlign w:val="bottom"/>
          </w:tcPr>
          <w:p>
            <w:pPr>
              <w:jc w:val="right"/>
              <w:ind w:right="28"/>
              <w:spacing w:after="0"/>
              <w:rPr>
                <w:sz w:val="20"/>
                <w:szCs w:val="20"/>
                <w:color w:val="auto"/>
              </w:rPr>
            </w:pPr>
            <w:r>
              <w:rPr>
                <w:rFonts w:ascii="Arial" w:cs="Arial" w:eastAsia="Arial" w:hAnsi="Arial"/>
                <w:sz w:val="14"/>
                <w:szCs w:val="14"/>
                <w:color w:val="auto"/>
              </w:rPr>
              <w:t>350,000</w:t>
            </w:r>
          </w:p>
        </w:tc>
        <w:tc>
          <w:tcPr>
            <w:tcW w:w="0" w:type="dxa"/>
            <w:vAlign w:val="bottom"/>
          </w:tcPr>
          <w:p>
            <w:pPr>
              <w:spacing w:after="0"/>
              <w:rPr>
                <w:sz w:val="1"/>
                <w:szCs w:val="1"/>
                <w:color w:val="auto"/>
              </w:rPr>
            </w:pPr>
          </w:p>
        </w:tc>
      </w:tr>
      <w:tr>
        <w:trPr>
          <w:trHeight w:val="274"/>
        </w:trPr>
        <w:tc>
          <w:tcPr>
            <w:tcW w:w="2740" w:type="dxa"/>
            <w:vAlign w:val="bottom"/>
            <w:shd w:val="clear" w:color="auto" w:fill="CCEEFF"/>
          </w:tcPr>
          <w:p>
            <w:pPr>
              <w:ind w:left="40"/>
              <w:spacing w:after="0"/>
              <w:rPr>
                <w:sz w:val="20"/>
                <w:szCs w:val="20"/>
                <w:color w:val="auto"/>
              </w:rPr>
            </w:pPr>
            <w:r>
              <w:rPr>
                <w:rFonts w:ascii="Arial" w:cs="Arial" w:eastAsia="Arial" w:hAnsi="Arial"/>
                <w:sz w:val="14"/>
                <w:szCs w:val="14"/>
                <w:color w:val="auto"/>
              </w:rPr>
              <w:t>Note payable to non-controlling interest</w:t>
            </w:r>
          </w:p>
        </w:tc>
        <w:tc>
          <w:tcPr>
            <w:tcW w:w="280" w:type="dxa"/>
            <w:vAlign w:val="bottom"/>
            <w:shd w:val="clear" w:color="auto" w:fill="CCEEFF"/>
          </w:tcPr>
          <w:p>
            <w:pPr>
              <w:spacing w:after="0"/>
              <w:rPr>
                <w:sz w:val="23"/>
                <w:szCs w:val="23"/>
                <w:color w:val="auto"/>
              </w:rPr>
            </w:pPr>
          </w:p>
        </w:tc>
        <w:tc>
          <w:tcPr>
            <w:tcW w:w="102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23"/>
                <w:szCs w:val="23"/>
                <w:color w:val="auto"/>
              </w:rPr>
            </w:pPr>
          </w:p>
        </w:tc>
        <w:tc>
          <w:tcPr>
            <w:tcW w:w="10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23"/>
                <w:szCs w:val="23"/>
                <w:color w:val="auto"/>
              </w:rPr>
            </w:pPr>
          </w:p>
        </w:tc>
        <w:tc>
          <w:tcPr>
            <w:tcW w:w="10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23"/>
                <w:szCs w:val="23"/>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23"/>
                <w:szCs w:val="23"/>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3"/>
                <w:szCs w:val="23"/>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23"/>
                <w:szCs w:val="23"/>
                <w:color w:val="auto"/>
              </w:rPr>
            </w:pPr>
          </w:p>
        </w:tc>
        <w:tc>
          <w:tcPr>
            <w:tcW w:w="8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56"/>
        </w:trPr>
        <w:tc>
          <w:tcPr>
            <w:tcW w:w="2740" w:type="dxa"/>
            <w:vAlign w:val="bottom"/>
          </w:tcPr>
          <w:p>
            <w:pPr>
              <w:ind w:left="40"/>
              <w:spacing w:after="0" w:line="156" w:lineRule="exact"/>
              <w:rPr>
                <w:sz w:val="20"/>
                <w:szCs w:val="20"/>
                <w:color w:val="auto"/>
              </w:rPr>
            </w:pPr>
            <w:r>
              <w:rPr>
                <w:rFonts w:ascii="Arial" w:cs="Arial" w:eastAsia="Arial" w:hAnsi="Arial"/>
                <w:sz w:val="14"/>
                <w:szCs w:val="14"/>
                <w:color w:val="auto"/>
              </w:rPr>
              <w:t>Total principal payments on loans and</w:t>
            </w:r>
          </w:p>
        </w:tc>
        <w:tc>
          <w:tcPr>
            <w:tcW w:w="280" w:type="dxa"/>
            <w:vAlign w:val="bottom"/>
            <w:tcBorders>
              <w:top w:val="single" w:sz="8" w:color="auto"/>
            </w:tcBorders>
          </w:tcPr>
          <w:p>
            <w:pPr>
              <w:spacing w:after="0"/>
              <w:rPr>
                <w:sz w:val="13"/>
                <w:szCs w:val="13"/>
                <w:color w:val="auto"/>
              </w:rPr>
            </w:pPr>
          </w:p>
        </w:tc>
        <w:tc>
          <w:tcPr>
            <w:tcW w:w="90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260" w:type="dxa"/>
            <w:vAlign w:val="bottom"/>
            <w:tcBorders>
              <w:top w:val="single" w:sz="8" w:color="auto"/>
            </w:tcBorders>
          </w:tcPr>
          <w:p>
            <w:pPr>
              <w:spacing w:after="0"/>
              <w:rPr>
                <w:sz w:val="13"/>
                <w:szCs w:val="13"/>
                <w:color w:val="auto"/>
              </w:rPr>
            </w:pPr>
          </w:p>
        </w:tc>
        <w:tc>
          <w:tcPr>
            <w:tcW w:w="90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260" w:type="dxa"/>
            <w:vAlign w:val="bottom"/>
            <w:tcBorders>
              <w:top w:val="single" w:sz="8" w:color="auto"/>
            </w:tcBorders>
          </w:tcPr>
          <w:p>
            <w:pPr>
              <w:spacing w:after="0"/>
              <w:rPr>
                <w:sz w:val="13"/>
                <w:szCs w:val="13"/>
                <w:color w:val="auto"/>
              </w:rPr>
            </w:pPr>
          </w:p>
        </w:tc>
        <w:tc>
          <w:tcPr>
            <w:tcW w:w="90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260" w:type="dxa"/>
            <w:vAlign w:val="bottom"/>
            <w:tcBorders>
              <w:top w:val="single" w:sz="8" w:color="auto"/>
            </w:tcBorders>
          </w:tcPr>
          <w:p>
            <w:pPr>
              <w:spacing w:after="0"/>
              <w:rPr>
                <w:sz w:val="13"/>
                <w:szCs w:val="13"/>
                <w:color w:val="auto"/>
              </w:rPr>
            </w:pPr>
          </w:p>
        </w:tc>
        <w:tc>
          <w:tcPr>
            <w:tcW w:w="88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Borders>
              <w:top w:val="single" w:sz="8" w:color="auto"/>
            </w:tcBorders>
          </w:tcPr>
          <w:p>
            <w:pPr>
              <w:spacing w:after="0"/>
              <w:rPr>
                <w:sz w:val="13"/>
                <w:szCs w:val="13"/>
                <w:color w:val="auto"/>
              </w:rPr>
            </w:pPr>
          </w:p>
        </w:tc>
        <w:tc>
          <w:tcPr>
            <w:tcW w:w="86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98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880" w:type="dxa"/>
            <w:vAlign w:val="bottom"/>
            <w:tcBorders>
              <w:top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98"/>
        </w:trPr>
        <w:tc>
          <w:tcPr>
            <w:tcW w:w="2740" w:type="dxa"/>
            <w:vAlign w:val="bottom"/>
          </w:tcPr>
          <w:p>
            <w:pPr>
              <w:ind w:left="40"/>
              <w:spacing w:after="0"/>
              <w:rPr>
                <w:sz w:val="20"/>
                <w:szCs w:val="20"/>
                <w:color w:val="auto"/>
              </w:rPr>
            </w:pPr>
            <w:r>
              <w:rPr>
                <w:rFonts w:ascii="Arial" w:cs="Arial" w:eastAsia="Arial" w:hAnsi="Arial"/>
                <w:sz w:val="14"/>
                <w:szCs w:val="14"/>
                <w:color w:val="auto"/>
              </w:rPr>
              <w:t>bonds payable</w:t>
            </w:r>
          </w:p>
        </w:tc>
        <w:tc>
          <w:tcPr>
            <w:tcW w:w="280" w:type="dxa"/>
            <w:vAlign w:val="bottom"/>
          </w:tcPr>
          <w:p>
            <w:pPr>
              <w:spacing w:after="0"/>
              <w:rPr>
                <w:sz w:val="17"/>
                <w:szCs w:val="17"/>
                <w:color w:val="auto"/>
              </w:rPr>
            </w:pPr>
          </w:p>
        </w:tc>
        <w:tc>
          <w:tcPr>
            <w:tcW w:w="102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7"/>
                <w:szCs w:val="17"/>
                <w:color w:val="auto"/>
              </w:rPr>
            </w:pP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7,795</w:t>
            </w: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127,813</w:t>
            </w: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jc w:val="right"/>
              <w:ind w:right="48"/>
              <w:spacing w:after="0"/>
              <w:rPr>
                <w:sz w:val="20"/>
                <w:szCs w:val="20"/>
                <w:color w:val="auto"/>
              </w:rPr>
            </w:pPr>
            <w:r>
              <w:rPr>
                <w:rFonts w:ascii="Arial" w:cs="Arial" w:eastAsia="Arial" w:hAnsi="Arial"/>
                <w:sz w:val="14"/>
                <w:szCs w:val="14"/>
                <w:color w:val="auto"/>
              </w:rPr>
              <w:t>146,010</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1,960</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jc w:val="right"/>
              <w:ind w:right="48"/>
              <w:spacing w:after="0"/>
              <w:rPr>
                <w:sz w:val="20"/>
                <w:szCs w:val="20"/>
                <w:color w:val="auto"/>
              </w:rPr>
            </w:pPr>
            <w:r>
              <w:rPr>
                <w:rFonts w:ascii="Arial" w:cs="Arial" w:eastAsia="Arial" w:hAnsi="Arial"/>
                <w:sz w:val="14"/>
                <w:szCs w:val="14"/>
                <w:color w:val="auto"/>
              </w:rPr>
              <w:t>385,780</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jc w:val="right"/>
              <w:ind w:right="28"/>
              <w:spacing w:after="0"/>
              <w:rPr>
                <w:sz w:val="20"/>
                <w:szCs w:val="20"/>
                <w:color w:val="auto"/>
              </w:rPr>
            </w:pPr>
            <w:r>
              <w:rPr>
                <w:rFonts w:ascii="Arial" w:cs="Arial" w:eastAsia="Arial" w:hAnsi="Arial"/>
                <w:sz w:val="14"/>
                <w:szCs w:val="14"/>
                <w:color w:val="auto"/>
              </w:rPr>
              <w:t>669,358</w:t>
            </w:r>
          </w:p>
        </w:tc>
        <w:tc>
          <w:tcPr>
            <w:tcW w:w="0" w:type="dxa"/>
            <w:vAlign w:val="bottom"/>
          </w:tcPr>
          <w:p>
            <w:pPr>
              <w:spacing w:after="0"/>
              <w:rPr>
                <w:sz w:val="1"/>
                <w:szCs w:val="1"/>
                <w:color w:val="auto"/>
              </w:rPr>
            </w:pPr>
          </w:p>
        </w:tc>
      </w:tr>
      <w:tr>
        <w:trPr>
          <w:trHeight w:val="322"/>
        </w:trPr>
        <w:tc>
          <w:tcPr>
            <w:tcW w:w="2740" w:type="dxa"/>
            <w:vAlign w:val="bottom"/>
            <w:tcBorders>
              <w:top w:val="single" w:sz="8" w:color="CCEEFF"/>
            </w:tcBorders>
            <w:shd w:val="clear" w:color="auto" w:fill="CCEEFF"/>
          </w:tcPr>
          <w:p>
            <w:pPr>
              <w:spacing w:after="0"/>
              <w:rPr>
                <w:sz w:val="24"/>
                <w:szCs w:val="24"/>
                <w:color w:val="auto"/>
              </w:rPr>
            </w:pPr>
          </w:p>
        </w:tc>
        <w:tc>
          <w:tcPr>
            <w:tcW w:w="280" w:type="dxa"/>
            <w:vAlign w:val="bottom"/>
            <w:tcBorders>
              <w:top w:val="single" w:sz="8" w:color="auto"/>
            </w:tcBorders>
            <w:shd w:val="clear" w:color="auto" w:fill="CCEEFF"/>
          </w:tcPr>
          <w:p>
            <w:pPr>
              <w:spacing w:after="0"/>
              <w:rPr>
                <w:sz w:val="24"/>
                <w:szCs w:val="24"/>
                <w:color w:val="auto"/>
              </w:rPr>
            </w:pPr>
          </w:p>
        </w:tc>
        <w:tc>
          <w:tcPr>
            <w:tcW w:w="900" w:type="dxa"/>
            <w:vAlign w:val="bottom"/>
            <w:tcBorders>
              <w:top w:val="single" w:sz="8" w:color="auto"/>
            </w:tcBorders>
            <w:shd w:val="clear" w:color="auto" w:fill="CCEEFF"/>
          </w:tcPr>
          <w:p>
            <w:pPr>
              <w:spacing w:after="0"/>
              <w:rPr>
                <w:sz w:val="24"/>
                <w:szCs w:val="24"/>
                <w:color w:val="auto"/>
              </w:rPr>
            </w:pPr>
          </w:p>
        </w:tc>
        <w:tc>
          <w:tcPr>
            <w:tcW w:w="120" w:type="dxa"/>
            <w:vAlign w:val="bottom"/>
            <w:tcBorders>
              <w:top w:val="single" w:sz="8" w:color="CCEEFF"/>
            </w:tcBorders>
            <w:shd w:val="clear" w:color="auto" w:fill="CCEEFF"/>
          </w:tcPr>
          <w:p>
            <w:pPr>
              <w:spacing w:after="0"/>
              <w:rPr>
                <w:sz w:val="24"/>
                <w:szCs w:val="24"/>
                <w:color w:val="auto"/>
              </w:rPr>
            </w:pPr>
          </w:p>
        </w:tc>
        <w:tc>
          <w:tcPr>
            <w:tcW w:w="260" w:type="dxa"/>
            <w:vAlign w:val="bottom"/>
            <w:tcBorders>
              <w:top w:val="single" w:sz="8" w:color="auto"/>
            </w:tcBorders>
            <w:shd w:val="clear" w:color="auto" w:fill="CCEEFF"/>
          </w:tcPr>
          <w:p>
            <w:pPr>
              <w:spacing w:after="0"/>
              <w:rPr>
                <w:sz w:val="24"/>
                <w:szCs w:val="24"/>
                <w:color w:val="auto"/>
              </w:rPr>
            </w:pPr>
          </w:p>
        </w:tc>
        <w:tc>
          <w:tcPr>
            <w:tcW w:w="900" w:type="dxa"/>
            <w:vAlign w:val="bottom"/>
            <w:tcBorders>
              <w:top w:val="single" w:sz="8" w:color="auto"/>
            </w:tcBorders>
            <w:shd w:val="clear" w:color="auto" w:fill="CCEEFF"/>
          </w:tcPr>
          <w:p>
            <w:pPr>
              <w:spacing w:after="0"/>
              <w:rPr>
                <w:sz w:val="24"/>
                <w:szCs w:val="24"/>
                <w:color w:val="auto"/>
              </w:rPr>
            </w:pPr>
          </w:p>
        </w:tc>
        <w:tc>
          <w:tcPr>
            <w:tcW w:w="120" w:type="dxa"/>
            <w:vAlign w:val="bottom"/>
            <w:tcBorders>
              <w:top w:val="single" w:sz="8" w:color="CCEEFF"/>
            </w:tcBorders>
            <w:shd w:val="clear" w:color="auto" w:fill="CCEEFF"/>
          </w:tcPr>
          <w:p>
            <w:pPr>
              <w:spacing w:after="0"/>
              <w:rPr>
                <w:sz w:val="24"/>
                <w:szCs w:val="24"/>
                <w:color w:val="auto"/>
              </w:rPr>
            </w:pPr>
          </w:p>
        </w:tc>
        <w:tc>
          <w:tcPr>
            <w:tcW w:w="260" w:type="dxa"/>
            <w:vAlign w:val="bottom"/>
            <w:tcBorders>
              <w:top w:val="single" w:sz="8" w:color="auto"/>
            </w:tcBorders>
            <w:shd w:val="clear" w:color="auto" w:fill="CCEEFF"/>
          </w:tcPr>
          <w:p>
            <w:pPr>
              <w:spacing w:after="0"/>
              <w:rPr>
                <w:sz w:val="24"/>
                <w:szCs w:val="24"/>
                <w:color w:val="auto"/>
              </w:rPr>
            </w:pPr>
          </w:p>
        </w:tc>
        <w:tc>
          <w:tcPr>
            <w:tcW w:w="900" w:type="dxa"/>
            <w:vAlign w:val="bottom"/>
            <w:tcBorders>
              <w:top w:val="single" w:sz="8" w:color="auto"/>
            </w:tcBorders>
            <w:shd w:val="clear" w:color="auto" w:fill="CCEEFF"/>
          </w:tcPr>
          <w:p>
            <w:pPr>
              <w:spacing w:after="0"/>
              <w:rPr>
                <w:sz w:val="24"/>
                <w:szCs w:val="24"/>
                <w:color w:val="auto"/>
              </w:rPr>
            </w:pPr>
          </w:p>
        </w:tc>
        <w:tc>
          <w:tcPr>
            <w:tcW w:w="120" w:type="dxa"/>
            <w:vAlign w:val="bottom"/>
            <w:tcBorders>
              <w:top w:val="single" w:sz="8" w:color="CCEEFF"/>
            </w:tcBorders>
            <w:shd w:val="clear" w:color="auto" w:fill="CCEEFF"/>
          </w:tcPr>
          <w:p>
            <w:pPr>
              <w:spacing w:after="0"/>
              <w:rPr>
                <w:sz w:val="24"/>
                <w:szCs w:val="24"/>
                <w:color w:val="auto"/>
              </w:rPr>
            </w:pPr>
          </w:p>
        </w:tc>
        <w:tc>
          <w:tcPr>
            <w:tcW w:w="260" w:type="dxa"/>
            <w:vAlign w:val="bottom"/>
            <w:tcBorders>
              <w:top w:val="single" w:sz="8" w:color="auto"/>
            </w:tcBorders>
            <w:shd w:val="clear" w:color="auto" w:fill="CCEEFF"/>
          </w:tcPr>
          <w:p>
            <w:pPr>
              <w:spacing w:after="0"/>
              <w:rPr>
                <w:sz w:val="24"/>
                <w:szCs w:val="24"/>
                <w:color w:val="auto"/>
              </w:rPr>
            </w:pPr>
          </w:p>
        </w:tc>
        <w:tc>
          <w:tcPr>
            <w:tcW w:w="880" w:type="dxa"/>
            <w:vAlign w:val="bottom"/>
            <w:tcBorders>
              <w:top w:val="single" w:sz="8" w:color="auto"/>
            </w:tcBorders>
            <w:shd w:val="clear" w:color="auto" w:fill="CCEEFF"/>
          </w:tcPr>
          <w:p>
            <w:pPr>
              <w:spacing w:after="0"/>
              <w:rPr>
                <w:sz w:val="24"/>
                <w:szCs w:val="24"/>
                <w:color w:val="auto"/>
              </w:rPr>
            </w:pPr>
          </w:p>
        </w:tc>
        <w:tc>
          <w:tcPr>
            <w:tcW w:w="100" w:type="dxa"/>
            <w:vAlign w:val="bottom"/>
            <w:tcBorders>
              <w:top w:val="single" w:sz="8" w:color="CCEEFF"/>
            </w:tcBorders>
            <w:shd w:val="clear" w:color="auto" w:fill="CCEEFF"/>
          </w:tcPr>
          <w:p>
            <w:pPr>
              <w:spacing w:after="0"/>
              <w:rPr>
                <w:sz w:val="24"/>
                <w:szCs w:val="24"/>
                <w:color w:val="auto"/>
              </w:rPr>
            </w:pPr>
          </w:p>
        </w:tc>
        <w:tc>
          <w:tcPr>
            <w:tcW w:w="260" w:type="dxa"/>
            <w:vAlign w:val="bottom"/>
            <w:tcBorders>
              <w:top w:val="single" w:sz="8" w:color="auto"/>
            </w:tcBorders>
            <w:shd w:val="clear" w:color="auto" w:fill="CCEEFF"/>
          </w:tcPr>
          <w:p>
            <w:pPr>
              <w:spacing w:after="0"/>
              <w:rPr>
                <w:sz w:val="24"/>
                <w:szCs w:val="24"/>
                <w:color w:val="auto"/>
              </w:rPr>
            </w:pPr>
          </w:p>
        </w:tc>
        <w:tc>
          <w:tcPr>
            <w:tcW w:w="860" w:type="dxa"/>
            <w:vAlign w:val="bottom"/>
            <w:tcBorders>
              <w:top w:val="single" w:sz="8" w:color="auto"/>
            </w:tcBorders>
            <w:shd w:val="clear" w:color="auto" w:fill="CCEEFF"/>
          </w:tcPr>
          <w:p>
            <w:pPr>
              <w:spacing w:after="0"/>
              <w:rPr>
                <w:sz w:val="24"/>
                <w:szCs w:val="24"/>
                <w:color w:val="auto"/>
              </w:rPr>
            </w:pPr>
          </w:p>
        </w:tc>
        <w:tc>
          <w:tcPr>
            <w:tcW w:w="120" w:type="dxa"/>
            <w:vAlign w:val="bottom"/>
            <w:tcBorders>
              <w:top w:val="single" w:sz="8" w:color="CCEEFF"/>
            </w:tcBorders>
            <w:shd w:val="clear" w:color="auto" w:fill="CCEEFF"/>
          </w:tcPr>
          <w:p>
            <w:pPr>
              <w:spacing w:after="0"/>
              <w:rPr>
                <w:sz w:val="24"/>
                <w:szCs w:val="24"/>
                <w:color w:val="auto"/>
              </w:rPr>
            </w:pPr>
          </w:p>
        </w:tc>
        <w:tc>
          <w:tcPr>
            <w:tcW w:w="140" w:type="dxa"/>
            <w:vAlign w:val="bottom"/>
            <w:tcBorders>
              <w:top w:val="single" w:sz="8" w:color="auto"/>
            </w:tcBorders>
            <w:shd w:val="clear" w:color="auto" w:fill="CCEEFF"/>
          </w:tcPr>
          <w:p>
            <w:pPr>
              <w:spacing w:after="0"/>
              <w:rPr>
                <w:sz w:val="24"/>
                <w:szCs w:val="24"/>
                <w:color w:val="auto"/>
              </w:rPr>
            </w:pPr>
          </w:p>
        </w:tc>
        <w:tc>
          <w:tcPr>
            <w:tcW w:w="980" w:type="dxa"/>
            <w:vAlign w:val="bottom"/>
            <w:tcBorders>
              <w:top w:val="single" w:sz="8" w:color="auto"/>
            </w:tcBorders>
            <w:shd w:val="clear" w:color="auto" w:fill="CCEEFF"/>
          </w:tcPr>
          <w:p>
            <w:pPr>
              <w:spacing w:after="0"/>
              <w:rPr>
                <w:sz w:val="24"/>
                <w:szCs w:val="24"/>
                <w:color w:val="auto"/>
              </w:rPr>
            </w:pPr>
          </w:p>
        </w:tc>
        <w:tc>
          <w:tcPr>
            <w:tcW w:w="100" w:type="dxa"/>
            <w:vAlign w:val="bottom"/>
            <w:tcBorders>
              <w:top w:val="single" w:sz="8" w:color="CCEEFF"/>
            </w:tcBorders>
            <w:shd w:val="clear" w:color="auto" w:fill="CCEEFF"/>
          </w:tcPr>
          <w:p>
            <w:pPr>
              <w:spacing w:after="0"/>
              <w:rPr>
                <w:sz w:val="24"/>
                <w:szCs w:val="24"/>
                <w:color w:val="auto"/>
              </w:rPr>
            </w:pPr>
          </w:p>
        </w:tc>
        <w:tc>
          <w:tcPr>
            <w:tcW w:w="240" w:type="dxa"/>
            <w:vAlign w:val="bottom"/>
            <w:tcBorders>
              <w:top w:val="single" w:sz="8" w:color="auto"/>
            </w:tcBorders>
            <w:shd w:val="clear" w:color="auto" w:fill="CCEEFF"/>
          </w:tcPr>
          <w:p>
            <w:pPr>
              <w:spacing w:after="0"/>
              <w:rPr>
                <w:sz w:val="24"/>
                <w:szCs w:val="24"/>
                <w:color w:val="auto"/>
              </w:rPr>
            </w:pPr>
          </w:p>
        </w:tc>
        <w:tc>
          <w:tcPr>
            <w:tcW w:w="880" w:type="dxa"/>
            <w:vAlign w:val="bottom"/>
            <w:tcBorders>
              <w:top w:val="single" w:sz="8" w:color="auto"/>
            </w:tcBorders>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2740" w:type="dxa"/>
            <w:vAlign w:val="bottom"/>
          </w:tcPr>
          <w:p>
            <w:pPr>
              <w:ind w:left="40"/>
              <w:spacing w:after="0"/>
              <w:rPr>
                <w:sz w:val="20"/>
                <w:szCs w:val="20"/>
                <w:color w:val="auto"/>
              </w:rPr>
            </w:pPr>
            <w:r>
              <w:rPr>
                <w:rFonts w:ascii="Arial" w:cs="Arial" w:eastAsia="Arial" w:hAnsi="Arial"/>
                <w:sz w:val="14"/>
                <w:szCs w:val="14"/>
                <w:color w:val="auto"/>
              </w:rPr>
              <w:t xml:space="preserve">Total estimated interest payments </w:t>
            </w:r>
            <w:r>
              <w:rPr>
                <w:rFonts w:ascii="Arial" w:cs="Arial" w:eastAsia="Arial" w:hAnsi="Arial"/>
                <w:sz w:val="17"/>
                <w:szCs w:val="17"/>
                <w:color w:val="auto"/>
                <w:vertAlign w:val="superscript"/>
              </w:rPr>
              <w:t>(1)</w:t>
            </w:r>
          </w:p>
        </w:tc>
        <w:tc>
          <w:tcPr>
            <w:tcW w:w="280" w:type="dxa"/>
            <w:vAlign w:val="bottom"/>
          </w:tcPr>
          <w:p>
            <w:pPr>
              <w:spacing w:after="0"/>
              <w:rPr>
                <w:sz w:val="23"/>
                <w:szCs w:val="23"/>
                <w:color w:val="auto"/>
              </w:rPr>
            </w:pPr>
          </w:p>
        </w:tc>
        <w:tc>
          <w:tcPr>
            <w:tcW w:w="900" w:type="dxa"/>
            <w:vAlign w:val="bottom"/>
          </w:tcPr>
          <w:p>
            <w:pPr>
              <w:jc w:val="right"/>
              <w:ind w:right="68"/>
              <w:spacing w:after="0"/>
              <w:rPr>
                <w:sz w:val="20"/>
                <w:szCs w:val="20"/>
                <w:color w:val="auto"/>
              </w:rPr>
            </w:pPr>
            <w:r>
              <w:rPr>
                <w:rFonts w:ascii="Arial" w:cs="Arial" w:eastAsia="Arial" w:hAnsi="Arial"/>
                <w:sz w:val="14"/>
                <w:szCs w:val="14"/>
                <w:color w:val="auto"/>
              </w:rPr>
              <w:t>16,035</w:t>
            </w: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23,741</w:t>
            </w: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32,707</w:t>
            </w: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80" w:type="dxa"/>
            <w:vAlign w:val="bottom"/>
          </w:tcPr>
          <w:p>
            <w:pPr>
              <w:jc w:val="right"/>
              <w:ind w:right="48"/>
              <w:spacing w:after="0"/>
              <w:rPr>
                <w:sz w:val="20"/>
                <w:szCs w:val="20"/>
                <w:color w:val="auto"/>
              </w:rPr>
            </w:pPr>
            <w:r>
              <w:rPr>
                <w:rFonts w:ascii="Arial" w:cs="Arial" w:eastAsia="Arial" w:hAnsi="Arial"/>
                <w:sz w:val="14"/>
                <w:szCs w:val="14"/>
                <w:color w:val="auto"/>
              </w:rPr>
              <w:t>30,518</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21,215</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980" w:type="dxa"/>
            <w:vAlign w:val="bottom"/>
          </w:tcPr>
          <w:p>
            <w:pPr>
              <w:jc w:val="right"/>
              <w:ind w:right="48"/>
              <w:spacing w:after="0"/>
              <w:rPr>
                <w:sz w:val="20"/>
                <w:szCs w:val="20"/>
                <w:color w:val="auto"/>
              </w:rPr>
            </w:pPr>
            <w:r>
              <w:rPr>
                <w:rFonts w:ascii="Arial" w:cs="Arial" w:eastAsia="Arial" w:hAnsi="Arial"/>
                <w:sz w:val="14"/>
                <w:szCs w:val="14"/>
                <w:color w:val="auto"/>
              </w:rPr>
              <w:t>22,063</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80" w:type="dxa"/>
            <w:vAlign w:val="bottom"/>
          </w:tcPr>
          <w:p>
            <w:pPr>
              <w:jc w:val="right"/>
              <w:ind w:right="28"/>
              <w:spacing w:after="0"/>
              <w:rPr>
                <w:sz w:val="20"/>
                <w:szCs w:val="20"/>
                <w:color w:val="auto"/>
              </w:rPr>
            </w:pPr>
            <w:r>
              <w:rPr>
                <w:rFonts w:ascii="Arial" w:cs="Arial" w:eastAsia="Arial" w:hAnsi="Arial"/>
                <w:sz w:val="14"/>
                <w:szCs w:val="14"/>
                <w:color w:val="auto"/>
              </w:rPr>
              <w:t>146,279</w:t>
            </w:r>
          </w:p>
        </w:tc>
        <w:tc>
          <w:tcPr>
            <w:tcW w:w="0" w:type="dxa"/>
            <w:vAlign w:val="bottom"/>
          </w:tcPr>
          <w:p>
            <w:pPr>
              <w:spacing w:after="0"/>
              <w:rPr>
                <w:sz w:val="1"/>
                <w:szCs w:val="1"/>
                <w:color w:val="auto"/>
              </w:rPr>
            </w:pPr>
          </w:p>
        </w:tc>
      </w:tr>
      <w:tr>
        <w:trPr>
          <w:trHeight w:val="324"/>
        </w:trPr>
        <w:tc>
          <w:tcPr>
            <w:tcW w:w="274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8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6"/>
        </w:trPr>
        <w:tc>
          <w:tcPr>
            <w:tcW w:w="2740" w:type="dxa"/>
            <w:vAlign w:val="bottom"/>
          </w:tcPr>
          <w:p>
            <w:pPr>
              <w:ind w:left="40"/>
              <w:spacing w:after="0"/>
              <w:rPr>
                <w:sz w:val="20"/>
                <w:szCs w:val="20"/>
                <w:color w:val="auto"/>
              </w:rPr>
            </w:pPr>
            <w:r>
              <w:rPr>
                <w:rFonts w:ascii="Arial" w:cs="Arial" w:eastAsia="Arial" w:hAnsi="Arial"/>
                <w:sz w:val="14"/>
                <w:szCs w:val="14"/>
                <w:color w:val="auto"/>
              </w:rPr>
              <w:t>Obligation to third-party (Repauno)</w:t>
            </w:r>
          </w:p>
        </w:tc>
        <w:tc>
          <w:tcPr>
            <w:tcW w:w="280" w:type="dxa"/>
            <w:vAlign w:val="bottom"/>
          </w:tcPr>
          <w:p>
            <w:pPr>
              <w:spacing w:after="0"/>
              <w:rPr>
                <w:sz w:val="23"/>
                <w:szCs w:val="23"/>
                <w:color w:val="auto"/>
              </w:rPr>
            </w:pPr>
          </w:p>
        </w:tc>
        <w:tc>
          <w:tcPr>
            <w:tcW w:w="102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23"/>
                <w:szCs w:val="23"/>
                <w:color w:val="auto"/>
              </w:rPr>
            </w:pP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5,500</w:t>
            </w: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23"/>
                <w:szCs w:val="23"/>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23"/>
                <w:szCs w:val="23"/>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3"/>
                <w:szCs w:val="23"/>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3"/>
                <w:szCs w:val="23"/>
                <w:color w:val="auto"/>
              </w:rPr>
            </w:pPr>
          </w:p>
        </w:tc>
        <w:tc>
          <w:tcPr>
            <w:tcW w:w="880" w:type="dxa"/>
            <w:vAlign w:val="bottom"/>
          </w:tcPr>
          <w:p>
            <w:pPr>
              <w:jc w:val="right"/>
              <w:ind w:right="28"/>
              <w:spacing w:after="0"/>
              <w:rPr>
                <w:sz w:val="20"/>
                <w:szCs w:val="20"/>
                <w:color w:val="auto"/>
              </w:rPr>
            </w:pPr>
            <w:r>
              <w:rPr>
                <w:rFonts w:ascii="Arial" w:cs="Arial" w:eastAsia="Arial" w:hAnsi="Arial"/>
                <w:sz w:val="14"/>
                <w:szCs w:val="14"/>
                <w:color w:val="auto"/>
              </w:rPr>
              <w:t>5,500</w:t>
            </w:r>
          </w:p>
        </w:tc>
        <w:tc>
          <w:tcPr>
            <w:tcW w:w="0" w:type="dxa"/>
            <w:vAlign w:val="bottom"/>
          </w:tcPr>
          <w:p>
            <w:pPr>
              <w:spacing w:after="0"/>
              <w:rPr>
                <w:sz w:val="1"/>
                <w:szCs w:val="1"/>
                <w:color w:val="auto"/>
              </w:rPr>
            </w:pPr>
          </w:p>
        </w:tc>
      </w:tr>
      <w:tr>
        <w:trPr>
          <w:trHeight w:val="301"/>
        </w:trPr>
        <w:tc>
          <w:tcPr>
            <w:tcW w:w="274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8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6"/>
        </w:trPr>
        <w:tc>
          <w:tcPr>
            <w:tcW w:w="2740" w:type="dxa"/>
            <w:vAlign w:val="bottom"/>
          </w:tcPr>
          <w:p>
            <w:pPr>
              <w:ind w:left="40"/>
              <w:spacing w:after="0"/>
              <w:rPr>
                <w:sz w:val="20"/>
                <w:szCs w:val="20"/>
                <w:color w:val="auto"/>
              </w:rPr>
            </w:pPr>
            <w:r>
              <w:rPr>
                <w:rFonts w:ascii="Arial" w:cs="Arial" w:eastAsia="Arial" w:hAnsi="Arial"/>
                <w:sz w:val="14"/>
                <w:szCs w:val="14"/>
                <w:color w:val="auto"/>
              </w:rPr>
              <w:t>Operating lease obligations</w:t>
            </w:r>
          </w:p>
        </w:tc>
        <w:tc>
          <w:tcPr>
            <w:tcW w:w="280" w:type="dxa"/>
            <w:vAlign w:val="bottom"/>
          </w:tcPr>
          <w:p>
            <w:pPr>
              <w:spacing w:after="0"/>
              <w:rPr>
                <w:sz w:val="23"/>
                <w:szCs w:val="23"/>
                <w:color w:val="auto"/>
              </w:rPr>
            </w:pPr>
          </w:p>
        </w:tc>
        <w:tc>
          <w:tcPr>
            <w:tcW w:w="900" w:type="dxa"/>
            <w:vAlign w:val="bottom"/>
          </w:tcPr>
          <w:p>
            <w:pPr>
              <w:jc w:val="right"/>
              <w:ind w:right="68"/>
              <w:spacing w:after="0"/>
              <w:rPr>
                <w:sz w:val="20"/>
                <w:szCs w:val="20"/>
                <w:color w:val="auto"/>
              </w:rPr>
            </w:pPr>
            <w:r>
              <w:rPr>
                <w:rFonts w:ascii="Arial" w:cs="Arial" w:eastAsia="Arial" w:hAnsi="Arial"/>
                <w:sz w:val="14"/>
                <w:szCs w:val="14"/>
                <w:color w:val="auto"/>
              </w:rPr>
              <w:t>1,950</w:t>
            </w: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6,616</w:t>
            </w: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6,200</w:t>
            </w: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80" w:type="dxa"/>
            <w:vAlign w:val="bottom"/>
          </w:tcPr>
          <w:p>
            <w:pPr>
              <w:jc w:val="right"/>
              <w:ind w:right="48"/>
              <w:spacing w:after="0"/>
              <w:rPr>
                <w:sz w:val="20"/>
                <w:szCs w:val="20"/>
                <w:color w:val="auto"/>
              </w:rPr>
            </w:pPr>
            <w:r>
              <w:rPr>
                <w:rFonts w:ascii="Arial" w:cs="Arial" w:eastAsia="Arial" w:hAnsi="Arial"/>
                <w:sz w:val="14"/>
                <w:szCs w:val="14"/>
                <w:color w:val="auto"/>
              </w:rPr>
              <w:t>5,186</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4,061</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980" w:type="dxa"/>
            <w:vAlign w:val="bottom"/>
          </w:tcPr>
          <w:p>
            <w:pPr>
              <w:jc w:val="right"/>
              <w:ind w:right="48"/>
              <w:spacing w:after="0"/>
              <w:rPr>
                <w:sz w:val="20"/>
                <w:szCs w:val="20"/>
                <w:color w:val="auto"/>
              </w:rPr>
            </w:pPr>
            <w:r>
              <w:rPr>
                <w:rFonts w:ascii="Arial" w:cs="Arial" w:eastAsia="Arial" w:hAnsi="Arial"/>
                <w:sz w:val="14"/>
                <w:szCs w:val="14"/>
                <w:color w:val="auto"/>
              </w:rPr>
              <w:t>73,318</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80" w:type="dxa"/>
            <w:vAlign w:val="bottom"/>
          </w:tcPr>
          <w:p>
            <w:pPr>
              <w:jc w:val="right"/>
              <w:ind w:right="28"/>
              <w:spacing w:after="0"/>
              <w:rPr>
                <w:sz w:val="20"/>
                <w:szCs w:val="20"/>
                <w:color w:val="auto"/>
              </w:rPr>
            </w:pPr>
            <w:r>
              <w:rPr>
                <w:rFonts w:ascii="Arial" w:cs="Arial" w:eastAsia="Arial" w:hAnsi="Arial"/>
                <w:sz w:val="14"/>
                <w:szCs w:val="14"/>
                <w:color w:val="auto"/>
              </w:rPr>
              <w:t>97,331</w:t>
            </w:r>
          </w:p>
        </w:tc>
        <w:tc>
          <w:tcPr>
            <w:tcW w:w="0" w:type="dxa"/>
            <w:vAlign w:val="bottom"/>
          </w:tcPr>
          <w:p>
            <w:pPr>
              <w:spacing w:after="0"/>
              <w:rPr>
                <w:sz w:val="1"/>
                <w:szCs w:val="1"/>
                <w:color w:val="auto"/>
              </w:rPr>
            </w:pPr>
          </w:p>
        </w:tc>
      </w:tr>
      <w:tr>
        <w:trPr>
          <w:trHeight w:val="270"/>
        </w:trPr>
        <w:tc>
          <w:tcPr>
            <w:tcW w:w="2740" w:type="dxa"/>
            <w:vAlign w:val="bottom"/>
            <w:shd w:val="clear" w:color="auto" w:fill="CCEEFF"/>
          </w:tcPr>
          <w:p>
            <w:pPr>
              <w:ind w:left="40"/>
              <w:spacing w:after="0"/>
              <w:rPr>
                <w:sz w:val="20"/>
                <w:szCs w:val="20"/>
                <w:color w:val="auto"/>
              </w:rPr>
            </w:pPr>
            <w:r>
              <w:rPr>
                <w:rFonts w:ascii="Arial" w:cs="Arial" w:eastAsia="Arial" w:hAnsi="Arial"/>
                <w:sz w:val="14"/>
                <w:szCs w:val="14"/>
                <w:color w:val="auto"/>
              </w:rPr>
              <w:t>Capital lease obligations</w:t>
            </w:r>
          </w:p>
        </w:tc>
        <w:tc>
          <w:tcPr>
            <w:tcW w:w="280" w:type="dxa"/>
            <w:vAlign w:val="bottom"/>
            <w:tcBorders>
              <w:bottom w:val="single" w:sz="8" w:color="auto"/>
            </w:tcBorders>
            <w:shd w:val="clear" w:color="auto" w:fill="CCEEFF"/>
          </w:tcPr>
          <w:p>
            <w:pPr>
              <w:spacing w:after="0"/>
              <w:rPr>
                <w:sz w:val="23"/>
                <w:szCs w:val="23"/>
                <w:color w:val="auto"/>
              </w:rPr>
            </w:pPr>
          </w:p>
        </w:tc>
        <w:tc>
          <w:tcPr>
            <w:tcW w:w="90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97</w:t>
            </w:r>
          </w:p>
        </w:tc>
        <w:tc>
          <w:tcPr>
            <w:tcW w:w="120" w:type="dxa"/>
            <w:vAlign w:val="bottom"/>
            <w:shd w:val="clear" w:color="auto" w:fill="CCEEFF"/>
          </w:tcPr>
          <w:p>
            <w:pPr>
              <w:spacing w:after="0"/>
              <w:rPr>
                <w:sz w:val="23"/>
                <w:szCs w:val="23"/>
                <w:color w:val="auto"/>
              </w:rPr>
            </w:pPr>
          </w:p>
        </w:tc>
        <w:tc>
          <w:tcPr>
            <w:tcW w:w="260" w:type="dxa"/>
            <w:vAlign w:val="bottom"/>
            <w:tcBorders>
              <w:bottom w:val="single" w:sz="8" w:color="auto"/>
            </w:tcBorders>
            <w:shd w:val="clear" w:color="auto" w:fill="CCEEFF"/>
          </w:tcPr>
          <w:p>
            <w:pPr>
              <w:spacing w:after="0"/>
              <w:rPr>
                <w:sz w:val="23"/>
                <w:szCs w:val="23"/>
                <w:color w:val="auto"/>
              </w:rPr>
            </w:pPr>
          </w:p>
        </w:tc>
        <w:tc>
          <w:tcPr>
            <w:tcW w:w="9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309</w:t>
            </w:r>
          </w:p>
        </w:tc>
        <w:tc>
          <w:tcPr>
            <w:tcW w:w="120" w:type="dxa"/>
            <w:vAlign w:val="bottom"/>
            <w:shd w:val="clear" w:color="auto" w:fill="CCEEFF"/>
          </w:tcPr>
          <w:p>
            <w:pPr>
              <w:spacing w:after="0"/>
              <w:rPr>
                <w:sz w:val="23"/>
                <w:szCs w:val="23"/>
                <w:color w:val="auto"/>
              </w:rPr>
            </w:pPr>
          </w:p>
        </w:tc>
        <w:tc>
          <w:tcPr>
            <w:tcW w:w="260" w:type="dxa"/>
            <w:vAlign w:val="bottom"/>
            <w:tcBorders>
              <w:bottom w:val="single" w:sz="8" w:color="auto"/>
            </w:tcBorders>
            <w:shd w:val="clear" w:color="auto" w:fill="CCEEFF"/>
          </w:tcPr>
          <w:p>
            <w:pPr>
              <w:spacing w:after="0"/>
              <w:rPr>
                <w:sz w:val="23"/>
                <w:szCs w:val="23"/>
                <w:color w:val="auto"/>
              </w:rPr>
            </w:pPr>
          </w:p>
        </w:tc>
        <w:tc>
          <w:tcPr>
            <w:tcW w:w="9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314</w:t>
            </w:r>
          </w:p>
        </w:tc>
        <w:tc>
          <w:tcPr>
            <w:tcW w:w="120" w:type="dxa"/>
            <w:vAlign w:val="bottom"/>
            <w:shd w:val="clear" w:color="auto" w:fill="CCEEFF"/>
          </w:tcPr>
          <w:p>
            <w:pPr>
              <w:spacing w:after="0"/>
              <w:rPr>
                <w:sz w:val="23"/>
                <w:szCs w:val="23"/>
                <w:color w:val="auto"/>
              </w:rPr>
            </w:pPr>
          </w:p>
        </w:tc>
        <w:tc>
          <w:tcPr>
            <w:tcW w:w="260" w:type="dxa"/>
            <w:vAlign w:val="bottom"/>
            <w:tcBorders>
              <w:bottom w:val="single" w:sz="8" w:color="auto"/>
            </w:tcBorders>
            <w:shd w:val="clear" w:color="auto" w:fill="CCEEFF"/>
          </w:tcPr>
          <w:p>
            <w:pPr>
              <w:spacing w:after="0"/>
              <w:rPr>
                <w:sz w:val="23"/>
                <w:szCs w:val="23"/>
                <w:color w:val="auto"/>
              </w:rPr>
            </w:pPr>
          </w:p>
        </w:tc>
        <w:tc>
          <w:tcPr>
            <w:tcW w:w="88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298</w:t>
            </w:r>
          </w:p>
        </w:tc>
        <w:tc>
          <w:tcPr>
            <w:tcW w:w="100" w:type="dxa"/>
            <w:vAlign w:val="bottom"/>
            <w:shd w:val="clear" w:color="auto" w:fill="CCEEFF"/>
          </w:tcPr>
          <w:p>
            <w:pPr>
              <w:spacing w:after="0"/>
              <w:rPr>
                <w:sz w:val="23"/>
                <w:szCs w:val="23"/>
                <w:color w:val="auto"/>
              </w:rPr>
            </w:pPr>
          </w:p>
        </w:tc>
        <w:tc>
          <w:tcPr>
            <w:tcW w:w="260" w:type="dxa"/>
            <w:vAlign w:val="bottom"/>
            <w:tcBorders>
              <w:bottom w:val="single" w:sz="8" w:color="auto"/>
            </w:tcBorders>
            <w:shd w:val="clear" w:color="auto" w:fill="CCEEFF"/>
          </w:tcPr>
          <w:p>
            <w:pPr>
              <w:spacing w:after="0"/>
              <w:rPr>
                <w:sz w:val="23"/>
                <w:szCs w:val="23"/>
                <w:color w:val="auto"/>
              </w:rPr>
            </w:pPr>
          </w:p>
        </w:tc>
        <w:tc>
          <w:tcPr>
            <w:tcW w:w="8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105</w:t>
            </w:r>
          </w:p>
        </w:tc>
        <w:tc>
          <w:tcPr>
            <w:tcW w:w="12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98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12</w:t>
            </w:r>
          </w:p>
        </w:tc>
        <w:tc>
          <w:tcPr>
            <w:tcW w:w="100" w:type="dxa"/>
            <w:vAlign w:val="bottom"/>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spacing w:after="0"/>
              <w:rPr>
                <w:sz w:val="23"/>
                <w:szCs w:val="23"/>
                <w:color w:val="auto"/>
              </w:rPr>
            </w:pPr>
          </w:p>
        </w:tc>
        <w:tc>
          <w:tcPr>
            <w:tcW w:w="8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1,135</w:t>
            </w:r>
          </w:p>
        </w:tc>
        <w:tc>
          <w:tcPr>
            <w:tcW w:w="0" w:type="dxa"/>
            <w:vAlign w:val="bottom"/>
          </w:tcPr>
          <w:p>
            <w:pPr>
              <w:spacing w:after="0"/>
              <w:rPr>
                <w:sz w:val="1"/>
                <w:szCs w:val="1"/>
                <w:color w:val="auto"/>
              </w:rPr>
            </w:pPr>
          </w:p>
        </w:tc>
      </w:tr>
      <w:tr>
        <w:trPr>
          <w:trHeight w:val="250"/>
        </w:trPr>
        <w:tc>
          <w:tcPr>
            <w:tcW w:w="2740" w:type="dxa"/>
            <w:vAlign w:val="bottom"/>
            <w:tcBorders>
              <w:bottom w:val="single" w:sz="8" w:color="CCEEFF"/>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2,047</w:t>
            </w:r>
          </w:p>
        </w:tc>
        <w:tc>
          <w:tcPr>
            <w:tcW w:w="120" w:type="dxa"/>
            <w:vAlign w:val="bottom"/>
            <w:tcBorders>
              <w:bottom w:val="single" w:sz="8" w:color="CCEEFF"/>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6,925</w:t>
            </w:r>
          </w:p>
        </w:tc>
        <w:tc>
          <w:tcPr>
            <w:tcW w:w="120" w:type="dxa"/>
            <w:vAlign w:val="bottom"/>
            <w:tcBorders>
              <w:bottom w:val="single" w:sz="8" w:color="CCEEFF"/>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6,514</w:t>
            </w:r>
          </w:p>
        </w:tc>
        <w:tc>
          <w:tcPr>
            <w:tcW w:w="120" w:type="dxa"/>
            <w:vAlign w:val="bottom"/>
            <w:tcBorders>
              <w:bottom w:val="single" w:sz="8" w:color="CCEEFF"/>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5,484</w:t>
            </w:r>
          </w:p>
        </w:tc>
        <w:tc>
          <w:tcPr>
            <w:tcW w:w="100" w:type="dxa"/>
            <w:vAlign w:val="bottom"/>
            <w:tcBorders>
              <w:bottom w:val="single" w:sz="8" w:color="CCEEFF"/>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4,166</w:t>
            </w:r>
          </w:p>
        </w:tc>
        <w:tc>
          <w:tcPr>
            <w:tcW w:w="12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73,330</w:t>
            </w:r>
          </w:p>
        </w:tc>
        <w:tc>
          <w:tcPr>
            <w:tcW w:w="10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98,466</w:t>
            </w:r>
          </w:p>
        </w:tc>
        <w:tc>
          <w:tcPr>
            <w:tcW w:w="0" w:type="dxa"/>
            <w:vAlign w:val="bottom"/>
          </w:tcPr>
          <w:p>
            <w:pPr>
              <w:spacing w:after="0"/>
              <w:rPr>
                <w:sz w:val="1"/>
                <w:szCs w:val="1"/>
                <w:color w:val="auto"/>
              </w:rPr>
            </w:pPr>
          </w:p>
        </w:tc>
      </w:tr>
      <w:tr>
        <w:trPr>
          <w:trHeight w:val="241"/>
        </w:trPr>
        <w:tc>
          <w:tcPr>
            <w:tcW w:w="2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4"/>
                <w:szCs w:val="14"/>
                <w:b w:val="1"/>
                <w:bCs w:val="1"/>
                <w:color w:val="auto"/>
              </w:rPr>
              <w:t>Total contractual obligations</w:t>
            </w:r>
          </w:p>
        </w:tc>
        <w:tc>
          <w:tcPr>
            <w:tcW w:w="28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b w:val="1"/>
                <w:bCs w:val="1"/>
                <w:color w:val="auto"/>
              </w:rPr>
              <w:t>$</w:t>
            </w:r>
          </w:p>
        </w:tc>
        <w:tc>
          <w:tcPr>
            <w:tcW w:w="90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b w:val="1"/>
                <w:bCs w:val="1"/>
                <w:color w:val="auto"/>
              </w:rPr>
              <w:t>18,082</w:t>
            </w: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b w:val="1"/>
                <w:bCs w:val="1"/>
                <w:color w:val="auto"/>
              </w:rPr>
              <w:t>$</w:t>
            </w:r>
          </w:p>
        </w:tc>
        <w:tc>
          <w:tcPr>
            <w:tcW w:w="9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43,961</w:t>
            </w: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b w:val="1"/>
                <w:bCs w:val="1"/>
                <w:color w:val="auto"/>
              </w:rPr>
              <w:t>$</w:t>
            </w:r>
          </w:p>
        </w:tc>
        <w:tc>
          <w:tcPr>
            <w:tcW w:w="9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167,034</w:t>
            </w: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b w:val="1"/>
                <w:bCs w:val="1"/>
                <w:color w:val="auto"/>
              </w:rPr>
              <w:t>$</w:t>
            </w:r>
          </w:p>
        </w:tc>
        <w:tc>
          <w:tcPr>
            <w:tcW w:w="88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182,012</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b w:val="1"/>
                <w:bCs w:val="1"/>
                <w:color w:val="auto"/>
              </w:rPr>
              <w:t>$</w:t>
            </w:r>
          </w:p>
        </w:tc>
        <w:tc>
          <w:tcPr>
            <w:tcW w:w="8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27,341</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98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481,173</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b w:val="1"/>
                <w:bCs w:val="1"/>
                <w:color w:val="auto"/>
              </w:rPr>
              <w:t>$</w:t>
            </w:r>
          </w:p>
        </w:tc>
        <w:tc>
          <w:tcPr>
            <w:tcW w:w="8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919,603</w:t>
            </w:r>
          </w:p>
        </w:tc>
        <w:tc>
          <w:tcPr>
            <w:tcW w:w="0" w:type="dxa"/>
            <w:vAlign w:val="bottom"/>
          </w:tcPr>
          <w:p>
            <w:pPr>
              <w:spacing w:after="0"/>
              <w:rPr>
                <w:sz w:val="1"/>
                <w:szCs w:val="1"/>
                <w:color w:val="auto"/>
              </w:rPr>
            </w:pPr>
          </w:p>
        </w:tc>
      </w:tr>
      <w:tr>
        <w:trPr>
          <w:trHeight w:val="20"/>
        </w:trPr>
        <w:tc>
          <w:tcPr>
            <w:tcW w:w="27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188595</wp:posOffset>
            </wp:positionV>
            <wp:extent cx="167259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672590" cy="8890"/>
                    </a:xfrm>
                    <a:prstGeom prst="rect">
                      <a:avLst/>
                    </a:prstGeom>
                    <a:noFill/>
                  </pic:spPr>
                </pic:pic>
              </a:graphicData>
            </a:graphic>
          </wp:anchor>
        </w:drawing>
      </w:r>
    </w:p>
    <w:p>
      <w:pPr>
        <w:spacing w:after="0" w:line="200" w:lineRule="exact"/>
        <w:rPr>
          <w:sz w:val="20"/>
          <w:szCs w:val="20"/>
          <w:color w:val="auto"/>
        </w:rPr>
      </w:pPr>
    </w:p>
    <w:p>
      <w:pPr>
        <w:spacing w:after="0" w:line="226" w:lineRule="exact"/>
        <w:rPr>
          <w:sz w:val="20"/>
          <w:szCs w:val="20"/>
          <w:color w:val="auto"/>
        </w:rPr>
      </w:pPr>
    </w:p>
    <w:p>
      <w:pPr>
        <w:ind w:left="160" w:hanging="125"/>
        <w:spacing w:after="0"/>
        <w:tabs>
          <w:tab w:leader="none" w:pos="160" w:val="left"/>
        </w:tabs>
        <w:numPr>
          <w:ilvl w:val="0"/>
          <w:numId w:val="30"/>
        </w:numPr>
        <w:rPr>
          <w:rFonts w:ascii="Arial" w:cs="Arial" w:eastAsia="Arial" w:hAnsi="Arial"/>
          <w:sz w:val="15"/>
          <w:szCs w:val="15"/>
          <w:color w:val="auto"/>
          <w:vertAlign w:val="superscript"/>
        </w:rPr>
      </w:pPr>
      <w:r>
        <w:rPr>
          <w:rFonts w:ascii="Arial" w:cs="Arial" w:eastAsia="Arial" w:hAnsi="Arial"/>
          <w:sz w:val="12"/>
          <w:szCs w:val="12"/>
          <w:color w:val="auto"/>
        </w:rPr>
        <w:t>Estimated interest payments based on rates as of September 30, 2017.</w:t>
      </w:r>
    </w:p>
    <w:p>
      <w:pPr>
        <w:spacing w:after="0" w:line="174" w:lineRule="exact"/>
        <w:rPr>
          <w:sz w:val="20"/>
          <w:szCs w:val="20"/>
          <w:color w:val="auto"/>
        </w:rPr>
      </w:pPr>
    </w:p>
    <w:p>
      <w:pPr>
        <w:jc w:val="both"/>
        <w:spacing w:after="0" w:line="257" w:lineRule="auto"/>
        <w:rPr>
          <w:sz w:val="20"/>
          <w:szCs w:val="20"/>
          <w:color w:val="auto"/>
        </w:rPr>
      </w:pPr>
      <w:r>
        <w:rPr>
          <w:rFonts w:ascii="Arial" w:cs="Arial" w:eastAsia="Arial" w:hAnsi="Arial"/>
          <w:sz w:val="16"/>
          <w:szCs w:val="16"/>
          <w:color w:val="auto"/>
        </w:rPr>
        <w:t>We expect to meet our future short-term liquidity requirements through cash on hand and net cash provided by our current operations. We expect that our operating subsidiaries will generate sufficient cash flow to cover operating expenses and the payment of principal and interest on our indebtedness as they become due. We may elect to meet certain long-term liquidity requirements or to continue to pursue strategic opportunities through utilizing cash on hand, cash generated from our current operations and the issuance of securities in the future. Management believes adequate capital and borrowings are available from various sources to fund our commitments to the extent required.</w:t>
      </w:r>
    </w:p>
    <w:p>
      <w:pPr>
        <w:spacing w:after="0" w:line="120" w:lineRule="exact"/>
        <w:rPr>
          <w:sz w:val="20"/>
          <w:szCs w:val="20"/>
          <w:color w:val="auto"/>
        </w:rPr>
      </w:pPr>
    </w:p>
    <w:p>
      <w:pPr>
        <w:spacing w:after="0"/>
        <w:rPr>
          <w:sz w:val="20"/>
          <w:szCs w:val="20"/>
          <w:color w:val="auto"/>
        </w:rPr>
      </w:pPr>
      <w:r>
        <w:rPr>
          <w:rFonts w:ascii="Arial" w:cs="Arial" w:eastAsia="Arial" w:hAnsi="Arial"/>
          <w:sz w:val="16"/>
          <w:szCs w:val="16"/>
          <w:b w:val="1"/>
          <w:bCs w:val="1"/>
          <w:color w:val="00497F"/>
        </w:rPr>
        <w:t>Application of Critical Accounting Policies</w:t>
      </w:r>
    </w:p>
    <w:p>
      <w:pPr>
        <w:spacing w:after="0" w:line="169" w:lineRule="exact"/>
        <w:rPr>
          <w:sz w:val="20"/>
          <w:szCs w:val="20"/>
          <w:color w:val="auto"/>
        </w:rPr>
      </w:pPr>
    </w:p>
    <w:p>
      <w:pPr>
        <w:jc w:val="both"/>
        <w:spacing w:after="0" w:line="269" w:lineRule="auto"/>
        <w:rPr>
          <w:sz w:val="20"/>
          <w:szCs w:val="20"/>
          <w:color w:val="auto"/>
        </w:rPr>
      </w:pPr>
      <w:r>
        <w:rPr>
          <w:rFonts w:ascii="Arial" w:cs="Arial" w:eastAsia="Arial" w:hAnsi="Arial"/>
          <w:sz w:val="16"/>
          <w:szCs w:val="16"/>
          <w:b w:val="1"/>
          <w:bCs w:val="1"/>
          <w:i w:val="1"/>
          <w:iCs w:val="1"/>
          <w:color w:val="00497F"/>
        </w:rPr>
        <w:t>Goodwill</w:t>
      </w:r>
      <w:r>
        <w:rPr>
          <w:rFonts w:ascii="Arial" w:cs="Arial" w:eastAsia="Arial" w:hAnsi="Arial"/>
          <w:sz w:val="16"/>
          <w:szCs w:val="16"/>
          <w:color w:val="00497F"/>
        </w:rPr>
        <w:t>—</w:t>
      </w:r>
      <w:r>
        <w:rPr>
          <w:rFonts w:ascii="Arial" w:cs="Arial" w:eastAsia="Arial" w:hAnsi="Arial"/>
          <w:sz w:val="16"/>
          <w:szCs w:val="16"/>
          <w:color w:val="000000"/>
        </w:rPr>
        <w:t>The following is an update to the Company’s Application of Critical Accounting Policies disclosure relating to goodwill which was presented in the</w:t>
      </w:r>
      <w:r>
        <w:rPr>
          <w:rFonts w:ascii="Arial" w:cs="Arial" w:eastAsia="Arial" w:hAnsi="Arial"/>
          <w:sz w:val="16"/>
          <w:szCs w:val="16"/>
          <w:b w:val="1"/>
          <w:bCs w:val="1"/>
          <w:i w:val="1"/>
          <w:iCs w:val="1"/>
          <w:color w:val="00497F"/>
        </w:rPr>
        <w:t xml:space="preserve"> </w:t>
      </w:r>
      <w:r>
        <w:rPr>
          <w:rFonts w:ascii="Arial" w:cs="Arial" w:eastAsia="Arial" w:hAnsi="Arial"/>
          <w:sz w:val="16"/>
          <w:szCs w:val="16"/>
          <w:color w:val="000000"/>
        </w:rPr>
        <w:t>Company’s Form 10-K for the year ended December 31, 2016. This update should be read in conjunction with the disclosures made in that aforementioned Form 10-K, and relates to the Company’s Jefferson Terminal.</w:t>
      </w:r>
    </w:p>
    <w:p>
      <w:pPr>
        <w:spacing w:after="0" w:line="111" w:lineRule="exact"/>
        <w:rPr>
          <w:sz w:val="20"/>
          <w:szCs w:val="20"/>
          <w:color w:val="auto"/>
        </w:rPr>
      </w:pPr>
    </w:p>
    <w:p>
      <w:pPr>
        <w:jc w:val="both"/>
        <w:ind w:right="20"/>
        <w:spacing w:after="0" w:line="291" w:lineRule="auto"/>
        <w:rPr>
          <w:sz w:val="20"/>
          <w:szCs w:val="20"/>
          <w:color w:val="auto"/>
        </w:rPr>
      </w:pPr>
      <w:r>
        <w:rPr>
          <w:rFonts w:ascii="Arial" w:cs="Arial" w:eastAsia="Arial" w:hAnsi="Arial"/>
          <w:sz w:val="16"/>
          <w:szCs w:val="16"/>
          <w:color w:val="auto"/>
        </w:rPr>
        <w:t>Goodwill includes the excess of the purchase price over the fair value of the net tangible and intangible assets associated with the acquisitions of CMQR and Jefferson Terminal. The carrying amount of goodwill is approximately $116,584 as of September 30, 2017 and December 31, 2016.</w:t>
      </w:r>
    </w:p>
    <w:p>
      <w:pPr>
        <w:spacing w:after="0" w:line="148" w:lineRule="exact"/>
        <w:rPr>
          <w:sz w:val="20"/>
          <w:szCs w:val="20"/>
          <w:color w:val="auto"/>
        </w:rPr>
      </w:pPr>
    </w:p>
    <w:p>
      <w:pPr>
        <w:jc w:val="both"/>
        <w:spacing w:after="0" w:line="269" w:lineRule="auto"/>
        <w:rPr>
          <w:sz w:val="20"/>
          <w:szCs w:val="20"/>
          <w:color w:val="auto"/>
        </w:rPr>
      </w:pPr>
      <w:r>
        <w:rPr>
          <w:rFonts w:ascii="Arial" w:cs="Arial" w:eastAsia="Arial" w:hAnsi="Arial"/>
          <w:sz w:val="16"/>
          <w:szCs w:val="16"/>
          <w:color w:val="auto"/>
        </w:rPr>
        <w:t>The Company reviews the carrying values of goodwill at least annually to assess impairment since these assets are not amortized. An annual impairment review is conducted as of October 1st of each year. Additionally, the Company reviews the carrying value of goodwill whenever events or changes in circumstances indicate that its carrying amount may not be recoverable. The determination of fair value involves significant management judgment.</w:t>
      </w:r>
    </w:p>
    <w:p>
      <w:pPr>
        <w:spacing w:after="0" w:line="381" w:lineRule="exact"/>
        <w:rPr>
          <w:sz w:val="20"/>
          <w:szCs w:val="20"/>
          <w:color w:val="auto"/>
        </w:rPr>
      </w:pPr>
    </w:p>
    <w:p>
      <w:pPr>
        <w:jc w:val="both"/>
        <w:spacing w:after="0" w:line="269" w:lineRule="auto"/>
        <w:rPr>
          <w:sz w:val="20"/>
          <w:szCs w:val="20"/>
          <w:color w:val="auto"/>
        </w:rPr>
      </w:pPr>
      <w:r>
        <w:rPr>
          <w:rFonts w:ascii="Arial" w:cs="Arial" w:eastAsia="Arial" w:hAnsi="Arial"/>
          <w:sz w:val="16"/>
          <w:szCs w:val="16"/>
          <w:color w:val="auto"/>
        </w:rPr>
        <w:t>For an annual goodwill impairment assessment, an optional qualitative analysis may be performed. If the option is not elected or if it is more likely than not that the fair value of a reporting unit is less than its carrying amount, then a two-step goodwill impairment test is performed to identify potential goodwill impairment and measure an impairment loss. A qualitative analysis was not elected for the years ended December 31, 2016 or December 31, 2015.</w:t>
      </w:r>
    </w:p>
    <w:p>
      <w:pPr>
        <w:spacing w:after="0" w:line="381" w:lineRule="exact"/>
        <w:rPr>
          <w:sz w:val="20"/>
          <w:szCs w:val="20"/>
          <w:color w:val="auto"/>
        </w:rPr>
      </w:pPr>
    </w:p>
    <w:p>
      <w:pPr>
        <w:jc w:val="both"/>
        <w:spacing w:after="0" w:line="269" w:lineRule="auto"/>
        <w:rPr>
          <w:sz w:val="20"/>
          <w:szCs w:val="20"/>
          <w:color w:val="auto"/>
        </w:rPr>
      </w:pPr>
      <w:r>
        <w:rPr>
          <w:rFonts w:ascii="Arial" w:cs="Arial" w:eastAsia="Arial" w:hAnsi="Arial"/>
          <w:sz w:val="16"/>
          <w:szCs w:val="16"/>
          <w:color w:val="auto"/>
        </w:rPr>
        <w:t>The first step of an impairment assessment compares the fair value of a respective reporting unit with its carrying amount, including goodwill. The estimate of fair value of the respective reporting unit is based on the best information available as of the date of assessment, which primarily incorporates certain factors including the Company’s assumptions about operating results, business</w:t>
      </w:r>
    </w:p>
    <w:p>
      <w:pPr>
        <w:sectPr>
          <w:pgSz w:w="11900" w:h="16838" w:orient="portrait"/>
          <w:cols w:equalWidth="0" w:num="1">
            <w:col w:w="11420"/>
          </w:cols>
          <w:pgMar w:left="240" w:top="579" w:right="239" w:bottom="1440" w:gutter="0" w:footer="0" w:header="0"/>
        </w:sect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71</w:t>
      </w:r>
    </w:p>
    <w:p>
      <w:pPr>
        <w:sectPr>
          <w:pgSz w:w="11900" w:h="16838" w:orient="portrait"/>
          <w:cols w:equalWidth="0" w:num="1">
            <w:col w:w="11420"/>
          </w:cols>
          <w:pgMar w:left="240" w:top="579" w:right="239" w:bottom="1440" w:gutter="0" w:footer="0" w:header="0"/>
          <w:type w:val="continuous"/>
        </w:sectPr>
      </w:pPr>
    </w:p>
    <w:bookmarkStart w:id="71" w:name="page72"/>
    <w:bookmarkEnd w:id="71"/>
    <w:p>
      <w:pPr>
        <w:jc w:val="both"/>
        <w:ind w:right="20"/>
        <w:spacing w:after="0" w:line="291" w:lineRule="auto"/>
        <w:rPr>
          <w:sz w:val="20"/>
          <w:szCs w:val="20"/>
          <w:color w:val="auto"/>
        </w:rPr>
      </w:pPr>
      <w:r>
        <w:rPr>
          <w:rFonts w:ascii="Arial" w:cs="Arial" w:eastAsia="Arial" w:hAnsi="Arial"/>
          <w:sz w:val="16"/>
          <w:szCs w:val="16"/>
          <w:color w:val="auto"/>
        </w:rPr>
        <w:t>plans, income projections, anticipated future cash flows and market data. If the estimated fair value of the reporting unit is less than the carrying amount, a second step must be completed in order to determine the amount of goodwill impairment that should be recorded, if any.</w:t>
      </w:r>
    </w:p>
    <w:p>
      <w:pPr>
        <w:spacing w:after="0" w:line="364" w:lineRule="exact"/>
        <w:rPr>
          <w:sz w:val="20"/>
          <w:szCs w:val="20"/>
          <w:color w:val="auto"/>
        </w:rPr>
      </w:pPr>
    </w:p>
    <w:p>
      <w:pPr>
        <w:jc w:val="both"/>
        <w:spacing w:after="0" w:line="255" w:lineRule="auto"/>
        <w:rPr>
          <w:sz w:val="20"/>
          <w:szCs w:val="20"/>
          <w:color w:val="auto"/>
        </w:rPr>
      </w:pPr>
      <w:r>
        <w:rPr>
          <w:rFonts w:ascii="Arial" w:cs="Arial" w:eastAsia="Arial" w:hAnsi="Arial"/>
          <w:sz w:val="16"/>
          <w:szCs w:val="16"/>
          <w:color w:val="auto"/>
        </w:rPr>
        <w:t>For the purpose of performing the annual analysis, the Company’s two reporting units subject to the test are the Jefferson Terminal and Railroad reporting units. The Company estimates the fair value of the reporting units using an income approach, specifically a discounted cash flow analysis. This analysis requires the Company to make significant assumptions and estimates about the extent and timing of future cash flows, discount rates and growth rates. The estimates and assumptions used consider historical performance if indicative of future performance, and are consistent with the assumptions used in determining future profit plans for the reporting units. The Company also utilizes valuation models and other financial ratios, which require the Company to make certain assumptions and estimates regarding the applicability of those models to its assets and businesses.</w:t>
      </w:r>
    </w:p>
    <w:p>
      <w:pPr>
        <w:spacing w:after="0" w:line="394" w:lineRule="exact"/>
        <w:rPr>
          <w:sz w:val="20"/>
          <w:szCs w:val="20"/>
          <w:color w:val="auto"/>
        </w:rPr>
      </w:pPr>
    </w:p>
    <w:p>
      <w:pPr>
        <w:jc w:val="both"/>
        <w:spacing w:after="0" w:line="252" w:lineRule="auto"/>
        <w:rPr>
          <w:sz w:val="20"/>
          <w:szCs w:val="20"/>
          <w:color w:val="auto"/>
        </w:rPr>
      </w:pPr>
      <w:r>
        <w:rPr>
          <w:rFonts w:ascii="Arial" w:cs="Arial" w:eastAsia="Arial" w:hAnsi="Arial"/>
          <w:sz w:val="16"/>
          <w:szCs w:val="16"/>
          <w:color w:val="auto"/>
        </w:rPr>
        <w:t>Although the Company believes the estimates of fair value are reasonable, the determination of certain valuation inputs is subject to management’s judgment. Changes in these inputs, including as a result of events beyond our control, could materially affect the results of the impairment review. If the forecasted cash flows of the Jefferson Terminal and Railroad reporting units or other key inputs are negatively revised in the future, the estimated fair value of the Jefferson Terminal and Railroad reporting units could be adversely impacted, potentially leading to an impairment in the future that could materially affect the Company’s operating results. Specifically, as it relates to the Jefferson Terminal segment, forecasted revenue is dependent on ramp-up of volumes under current contracts and the acquisition of additional storage contracts for both the heavy and light crude and refined products during 2018. The expansion of refineries in the Beaumont/Port Arthur area, as well as growing crude oil production in the U.S. and Canada, are expected to result in increased demand for storage on the U.S. Gulf Coast. Other assumptions that are significant in determination of the fair value of the reporting unit include the discount rate utilized in our discounted cash flow analysis of 15% and our terminal value growth rate of 3%.</w:t>
      </w:r>
    </w:p>
    <w:p>
      <w:pPr>
        <w:spacing w:after="0" w:line="395" w:lineRule="exact"/>
        <w:rPr>
          <w:sz w:val="20"/>
          <w:szCs w:val="20"/>
          <w:color w:val="auto"/>
        </w:rPr>
      </w:pPr>
    </w:p>
    <w:p>
      <w:pPr>
        <w:jc w:val="both"/>
        <w:spacing w:after="0" w:line="261" w:lineRule="auto"/>
        <w:rPr>
          <w:sz w:val="20"/>
          <w:szCs w:val="20"/>
          <w:color w:val="auto"/>
        </w:rPr>
      </w:pPr>
      <w:r>
        <w:rPr>
          <w:rFonts w:ascii="Arial" w:cs="Arial" w:eastAsia="Arial" w:hAnsi="Arial"/>
          <w:sz w:val="16"/>
          <w:szCs w:val="16"/>
          <w:color w:val="auto"/>
        </w:rPr>
        <w:t>For the year</w:t>
      </w:r>
      <w:r>
        <w:rPr>
          <w:rFonts w:ascii="Arial" w:cs="Arial" w:eastAsia="Arial" w:hAnsi="Arial"/>
          <w:sz w:val="16"/>
          <w:szCs w:val="16"/>
          <w:color w:val="auto"/>
          <w:strike w:val="1"/>
        </w:rPr>
        <w:t>s</w:t>
      </w:r>
      <w:r>
        <w:rPr>
          <w:rFonts w:ascii="Arial" w:cs="Arial" w:eastAsia="Arial" w:hAnsi="Arial"/>
          <w:sz w:val="16"/>
          <w:szCs w:val="16"/>
          <w:color w:val="auto"/>
        </w:rPr>
        <w:t xml:space="preserve"> ended December 31, 2016, the Company’s estimated fair value exceeded carrying value by approximately 10%, and there was no impairment of goodwill. We expect the Jefferson Terminal segment to generate positive Adjusted EBITDA during the first half of 2018. Furthermore, changes in any of the significant assumptions used, including the Company’s timeline or ability to achieve its operating plan or adverse effects of market-driven factors, could materially affect the expected cash flows and may result in a material impairment charge.</w:t>
      </w:r>
    </w:p>
    <w:p>
      <w:pPr>
        <w:spacing w:after="0" w:line="200" w:lineRule="exact"/>
        <w:rPr>
          <w:sz w:val="20"/>
          <w:szCs w:val="20"/>
          <w:color w:val="auto"/>
        </w:rPr>
      </w:pPr>
    </w:p>
    <w:p>
      <w:pPr>
        <w:spacing w:after="0" w:line="235"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006EBF"/>
        </w:rPr>
        <w:t>Item 3.</w:t>
      </w:r>
      <w:r>
        <w:rPr>
          <w:sz w:val="20"/>
          <w:szCs w:val="20"/>
          <w:color w:val="auto"/>
        </w:rPr>
        <w:tab/>
      </w:r>
      <w:r>
        <w:rPr>
          <w:rFonts w:ascii="Arial" w:cs="Arial" w:eastAsia="Arial" w:hAnsi="Arial"/>
          <w:sz w:val="17"/>
          <w:szCs w:val="17"/>
          <w:b w:val="1"/>
          <w:bCs w:val="1"/>
          <w:color w:val="006EBF"/>
        </w:rPr>
        <w:t>Quantitative and Qualitative Disclosures About Market Risk</w:t>
      </w:r>
    </w:p>
    <w:p>
      <w:pPr>
        <w:spacing w:after="0" w:line="178"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Market risk represents the risk of changes in value of a financial instrument, caused by fluctuations in interest rates and foreign exchange rates. Changes in these factors could cause fluctuations in our results of operations and cash flows. We are exposed to the market risks described below.</w:t>
      </w:r>
    </w:p>
    <w:p>
      <w:pPr>
        <w:spacing w:after="0" w:line="9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00497F"/>
        </w:rPr>
        <w:t>Interest Rate Risk</w:t>
      </w:r>
    </w:p>
    <w:p>
      <w:pPr>
        <w:spacing w:after="0" w:line="167" w:lineRule="exact"/>
        <w:rPr>
          <w:sz w:val="20"/>
          <w:szCs w:val="20"/>
          <w:color w:val="auto"/>
        </w:rPr>
      </w:pPr>
    </w:p>
    <w:p>
      <w:pPr>
        <w:jc w:val="both"/>
        <w:spacing w:after="0" w:line="261" w:lineRule="auto"/>
        <w:rPr>
          <w:sz w:val="20"/>
          <w:szCs w:val="20"/>
          <w:color w:val="auto"/>
        </w:rPr>
      </w:pPr>
      <w:r>
        <w:rPr>
          <w:rFonts w:ascii="Arial" w:cs="Arial" w:eastAsia="Arial" w:hAnsi="Arial"/>
          <w:sz w:val="16"/>
          <w:szCs w:val="16"/>
          <w:color w:val="auto"/>
        </w:rPr>
        <w:t>Interest rate risk is the exposure to loss resulting from changes in the level of interest rates and the spread between different interest rates. Interest rate risk is highly sensitive to many factors, including the U.S. government’s monetary and tax policies, global economic factors and other factors beyond our control. We are exposed to changes in the level of interest rates and to changes in the relationship or spread between interest rates. Our primary interest rate exposure relates to our term loan arrangements.</w:t>
      </w:r>
    </w:p>
    <w:p>
      <w:pPr>
        <w:spacing w:after="0" w:line="118" w:lineRule="exact"/>
        <w:rPr>
          <w:sz w:val="20"/>
          <w:szCs w:val="20"/>
          <w:color w:val="auto"/>
        </w:rPr>
      </w:pPr>
    </w:p>
    <w:p>
      <w:pPr>
        <w:jc w:val="both"/>
        <w:spacing w:after="0" w:line="261" w:lineRule="auto"/>
        <w:rPr>
          <w:sz w:val="20"/>
          <w:szCs w:val="20"/>
          <w:color w:val="auto"/>
        </w:rPr>
      </w:pPr>
      <w:r>
        <w:rPr>
          <w:rFonts w:ascii="Arial" w:cs="Arial" w:eastAsia="Arial" w:hAnsi="Arial"/>
          <w:sz w:val="16"/>
          <w:szCs w:val="16"/>
          <w:color w:val="auto"/>
        </w:rPr>
        <w:t>Our borrowing agreements generally require payments based on a variable interest rate index, such as LIBOR. Therefore, to the extent our borrowing costs are not fixed, increases in interest rates may reduce our net income by increasing the cost of our debt without any corresponding increase in rents or cash flow from our finance leases. We manage our exposure to interest rate movements through the use of interest rate derivatives (interest rate swaps and caps). As a result, when market rates of interest change, there is generally not a material impact on our interest expense, future earnings or cash flows.</w:t>
      </w:r>
    </w:p>
    <w:p>
      <w:pPr>
        <w:spacing w:after="0" w:line="118"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The following discussion about the potential effects of changes in interest rates is based on a sensitivity analysis, which models the effects of hypothetical interest rate shifts on our financial condition and results of operations. Although we believe a sensitivity analysis provides the most meaningful analysis permitted by the rules and regulations of the SEC, it is constrained by several factors, including the necessity to conduct the analysis based on a single point in time and by the inability to include the extraordinarily complex market reactions that normally would arise from the market shifts modeled. Although the following results of a sensitivity analysis for changes in interest rates may have some limited use as a benchmark, they should not be viewed as a forecast. This forward-looking disclosure also is selective in nature and addresses only the potential interest expense impacts on our financial instruments and, in particular, does not address the mark-to-market impact on our interest rate derivatives. It also does not include a variety of other potential factors that could affect our business as a result of changes in interest rates.</w:t>
      </w:r>
    </w:p>
    <w:p>
      <w:pPr>
        <w:spacing w:after="0" w:line="123" w:lineRule="exact"/>
        <w:rPr>
          <w:sz w:val="20"/>
          <w:szCs w:val="20"/>
          <w:color w:val="auto"/>
        </w:rPr>
      </w:pPr>
    </w:p>
    <w:p>
      <w:pPr>
        <w:jc w:val="both"/>
        <w:spacing w:after="0" w:line="269" w:lineRule="auto"/>
        <w:rPr>
          <w:sz w:val="20"/>
          <w:szCs w:val="20"/>
          <w:color w:val="auto"/>
        </w:rPr>
      </w:pPr>
      <w:r>
        <w:rPr>
          <w:rFonts w:ascii="Arial" w:cs="Arial" w:eastAsia="Arial" w:hAnsi="Arial"/>
          <w:sz w:val="16"/>
          <w:szCs w:val="16"/>
          <w:color w:val="auto"/>
        </w:rPr>
        <w:t>As of September 30, 2017, assuming we do not hedge our exposure to interest rate fluctuations related to our outstanding floating rate debt, a hypothetical 100-basis point increase/decrease in our variable interest rate on our borrowings would result in an interest expense increase/(decrease) of approximately $705 and $(690), respectively, over the next 12 months before the impact of interest rate derivatives.</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72</w:t>
      </w:r>
    </w:p>
    <w:p>
      <w:pPr>
        <w:sectPr>
          <w:pgSz w:w="11900" w:h="16838" w:orient="portrait"/>
          <w:cols w:equalWidth="0" w:num="1">
            <w:col w:w="11420"/>
          </w:cols>
          <w:pgMar w:left="240" w:top="581" w:right="239" w:bottom="1440" w:gutter="0" w:footer="0" w:header="0"/>
        </w:sectPr>
      </w:pPr>
    </w:p>
    <w:bookmarkStart w:id="72" w:name="page73"/>
    <w:bookmarkEnd w:id="72"/>
    <w:p>
      <w:pPr>
        <w:spacing w:after="0"/>
        <w:rPr>
          <w:sz w:val="20"/>
          <w:szCs w:val="20"/>
          <w:color w:val="auto"/>
        </w:rPr>
      </w:pPr>
      <w:r>
        <w:rPr>
          <w:rFonts w:ascii="Arial" w:cs="Arial" w:eastAsia="Arial" w:hAnsi="Arial"/>
          <w:sz w:val="16"/>
          <w:szCs w:val="16"/>
          <w:b w:val="1"/>
          <w:bCs w:val="1"/>
          <w:i w:val="1"/>
          <w:iCs w:val="1"/>
          <w:color w:val="00497F"/>
        </w:rPr>
        <w:t>Foreign Currency Exchange Risk</w:t>
      </w:r>
    </w:p>
    <w:p>
      <w:pPr>
        <w:spacing w:after="0" w:line="167" w:lineRule="exact"/>
        <w:rPr>
          <w:sz w:val="20"/>
          <w:szCs w:val="20"/>
          <w:color w:val="auto"/>
        </w:rPr>
      </w:pPr>
    </w:p>
    <w:p>
      <w:pPr>
        <w:jc w:val="both"/>
        <w:spacing w:after="0" w:line="254" w:lineRule="auto"/>
        <w:rPr>
          <w:sz w:val="20"/>
          <w:szCs w:val="20"/>
          <w:color w:val="auto"/>
        </w:rPr>
      </w:pPr>
      <w:r>
        <w:rPr>
          <w:rFonts w:ascii="Arial" w:cs="Arial" w:eastAsia="Arial" w:hAnsi="Arial"/>
          <w:sz w:val="16"/>
          <w:szCs w:val="16"/>
          <w:color w:val="auto"/>
        </w:rPr>
        <w:t>Our functional currency is U.S. dollars. All of our leasing arrangements are denominated in U.S. dollars. Currently, the majority of freight rail revenue is also denominated in U.S. dollars, but a portion is denominated in Canadian dollars. Although foreign exchange risk could arise from our operations in multiple jurisdictions, we do not have significant exposure to foreign currency risk as our leasing arrangements are denominated in U.S. dollars. All of our purchase agreements are negotiated in U.S. dollars, and we currently receive the majority of revenue in U.S. dollars. We pay substantially all of our expenses in U.S. dollars; however we pay some expenses in Canadian dollars. Because we currently receive the majority of our revenues in U.S. dollars and pay substantially all of our expenses in U.S. dollars, we do not expect a change in foreign exchange rates would have a significant impact on our results of operations or cash flows.</w:t>
      </w:r>
    </w:p>
    <w:p>
      <w:pPr>
        <w:spacing w:after="0" w:line="39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73</w:t>
      </w:r>
    </w:p>
    <w:p>
      <w:pPr>
        <w:sectPr>
          <w:pgSz w:w="11900" w:h="16838" w:orient="portrait"/>
          <w:cols w:equalWidth="0" w:num="1">
            <w:col w:w="11420"/>
          </w:cols>
          <w:pgMar w:left="240" w:top="527" w:right="239" w:bottom="1440" w:gutter="0" w:footer="0" w:header="0"/>
        </w:sectPr>
      </w:pPr>
    </w:p>
    <w:bookmarkStart w:id="73" w:name="page74"/>
    <w:bookmarkEnd w:id="73"/>
    <w:p>
      <w:pPr>
        <w:spacing w:after="0"/>
        <w:rPr>
          <w:sz w:val="20"/>
          <w:szCs w:val="20"/>
          <w:color w:val="auto"/>
        </w:rPr>
      </w:pPr>
      <w:r>
        <w:rPr>
          <w:rFonts w:ascii="Arial" w:cs="Arial" w:eastAsia="Arial" w:hAnsi="Arial"/>
          <w:sz w:val="18"/>
          <w:szCs w:val="18"/>
          <w:b w:val="1"/>
          <w:bCs w:val="1"/>
          <w:color w:val="006EBF"/>
        </w:rPr>
        <w:t>Item 4. Controls and Procedures</w:t>
      </w:r>
    </w:p>
    <w:p>
      <w:pPr>
        <w:spacing w:after="0" w:line="17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00497F"/>
        </w:rPr>
        <w:t>Disclosure Controls and Procedures</w:t>
      </w:r>
    </w:p>
    <w:p>
      <w:pPr>
        <w:spacing w:after="0" w:line="275" w:lineRule="exact"/>
        <w:rPr>
          <w:sz w:val="20"/>
          <w:szCs w:val="20"/>
          <w:color w:val="auto"/>
        </w:rPr>
      </w:pPr>
    </w:p>
    <w:p>
      <w:pPr>
        <w:jc w:val="both"/>
        <w:spacing w:after="0" w:line="261" w:lineRule="auto"/>
        <w:rPr>
          <w:sz w:val="20"/>
          <w:szCs w:val="20"/>
          <w:color w:val="auto"/>
        </w:rPr>
      </w:pPr>
      <w:r>
        <w:rPr>
          <w:rFonts w:ascii="Arial" w:cs="Arial" w:eastAsia="Arial" w:hAnsi="Arial"/>
          <w:sz w:val="16"/>
          <w:szCs w:val="16"/>
          <w:color w:val="auto"/>
        </w:rPr>
        <w:t>As of the end of the period covered by this report, an evaluation was carried out under the supervision and with the participation of the Company’s management, including its Chief Executive Officer and Chief Financial Officer, of the effectiveness of its disclosure controls and procedures (as defined in Rule 13a-15(e) under the Securities Exchange Act of 1934 (the “Exchange Act”)). Based upon that evaluation, the Company’s Chief Executive Officer and Chief Financial Officer have concluded that these disclosure controls and procedures were effective as of and for the period covered by this report.</w:t>
      </w:r>
    </w:p>
    <w:p>
      <w:pPr>
        <w:spacing w:after="0" w:line="226"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00497F"/>
        </w:rPr>
        <w:t>Internal Control over Financial Reporting</w:t>
      </w:r>
    </w:p>
    <w:p>
      <w:pPr>
        <w:spacing w:after="0" w:line="275"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In addition, no change in the Company’s internal control over financial reporting (as defined in Rule 13a-15(f) under the Exchange Act) occurred during its most recent fiscal quarter that has materially affected, or is reasonably likely to materially affect, its internal control over financial reporting.</w:t>
      </w:r>
    </w:p>
    <w:p>
      <w:pPr>
        <w:spacing w:after="0" w:line="30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006EBF"/>
        </w:rPr>
        <w:t>PART II—OTHER INFORMATION</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color w:val="006EBF"/>
        </w:rPr>
        <w:t>Item 1. Legal Proceedings</w:t>
      </w:r>
    </w:p>
    <w:p>
      <w:pPr>
        <w:spacing w:after="0" w:line="178" w:lineRule="exact"/>
        <w:rPr>
          <w:sz w:val="20"/>
          <w:szCs w:val="20"/>
          <w:color w:val="auto"/>
        </w:rPr>
      </w:pPr>
    </w:p>
    <w:p>
      <w:pPr>
        <w:jc w:val="both"/>
        <w:spacing w:after="0" w:line="257" w:lineRule="auto"/>
        <w:rPr>
          <w:sz w:val="20"/>
          <w:szCs w:val="20"/>
          <w:color w:val="auto"/>
        </w:rPr>
      </w:pPr>
      <w:r>
        <w:rPr>
          <w:rFonts w:ascii="Arial" w:cs="Arial" w:eastAsia="Arial" w:hAnsi="Arial"/>
          <w:sz w:val="16"/>
          <w:szCs w:val="16"/>
          <w:color w:val="auto"/>
        </w:rPr>
        <w:t>We are and may become involved in legal proceedings, including but not limited to regulatory investigations and inquiries, in the ordinary course of our business. Although we are unable to predict with certainty the eventual outcome of any litigation, regulatory investigation or inquiry, in the opinion of management, we do not expect our current and any threatened legal proceedings to have a material adverse effect on our business, financial position or results of operations. Given the inherent unpredictability of these types of proceedings, however, it is possible that future adverse outcomes could have a material adverse effect on our financial results.</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color w:val="006EBF"/>
        </w:rPr>
        <w:t>Item 1A. Risk Factors</w:t>
      </w:r>
    </w:p>
    <w:p>
      <w:pPr>
        <w:spacing w:after="0" w:line="234" w:lineRule="exact"/>
        <w:rPr>
          <w:sz w:val="20"/>
          <w:szCs w:val="20"/>
          <w:color w:val="auto"/>
        </w:rPr>
      </w:pPr>
    </w:p>
    <w:p>
      <w:pPr>
        <w:jc w:val="both"/>
        <w:spacing w:after="0" w:line="260" w:lineRule="auto"/>
        <w:rPr>
          <w:sz w:val="20"/>
          <w:szCs w:val="20"/>
          <w:color w:val="auto"/>
        </w:rPr>
      </w:pPr>
      <w:r>
        <w:rPr>
          <w:rFonts w:ascii="Arial" w:cs="Arial" w:eastAsia="Arial" w:hAnsi="Arial"/>
          <w:sz w:val="16"/>
          <w:szCs w:val="16"/>
          <w:i w:val="1"/>
          <w:iCs w:val="1"/>
          <w:color w:val="auto"/>
        </w:rPr>
        <w:t>You should carefully consider the following risks and other information in this Form 10-Q in evaluating us and our common shares. Any of the following risks, as well as additional risks and uncertainties not currently known to us or that we currently deem immaterial, could materially and adversely affect our results of operations or financial condition. The risk factors generally have been separated into the following categories: risks related to our business, risks related to our Manager, risks related to taxation and risks related to our common shares. However, these categories do overlap and should not be considered exclusive.</w:t>
      </w:r>
    </w:p>
    <w:p>
      <w:pPr>
        <w:spacing w:after="0" w:line="17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Risks Related to Our Business</w:t>
      </w:r>
    </w:p>
    <w:p>
      <w:pPr>
        <w:spacing w:after="0" w:line="223" w:lineRule="exact"/>
        <w:rPr>
          <w:sz w:val="20"/>
          <w:szCs w:val="20"/>
          <w:color w:val="auto"/>
        </w:rPr>
      </w:pPr>
    </w:p>
    <w:p>
      <w:pPr>
        <w:jc w:val="both"/>
        <w:spacing w:after="0" w:line="302" w:lineRule="auto"/>
        <w:rPr>
          <w:sz w:val="20"/>
          <w:szCs w:val="20"/>
          <w:color w:val="auto"/>
        </w:rPr>
      </w:pPr>
      <w:r>
        <w:rPr>
          <w:rFonts w:ascii="Arial" w:cs="Arial" w:eastAsia="Arial" w:hAnsi="Arial"/>
          <w:sz w:val="16"/>
          <w:szCs w:val="16"/>
          <w:b w:val="1"/>
          <w:bCs w:val="1"/>
          <w:i w:val="1"/>
          <w:iCs w:val="1"/>
          <w:color w:val="auto"/>
        </w:rPr>
        <w:t>Uncertainty relating to macroeconomic conditions may reduce the demand for our assets, result in non-performance of contracts by our lessees or charterers, limit our ability to obtain additional capital to finance new investments, or have other unforeseen negative effects.</w:t>
      </w:r>
    </w:p>
    <w:p>
      <w:pPr>
        <w:spacing w:after="0" w:line="131"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Uncertainty and negative trends in general economic conditions in the United States and abroad, including significant tightening of credit markets and commodity price volatility, historically have created difficult operating environments for owners and operators in the transportation industry. Many factors, including factors that are beyond our control, may impact our operating results or financial condition and/or affect the lessees and charterers that form our customer base. For some years, the world has experienced weakened economic conditions and volatility following adverse changes in global capital markets. More recently, excess supply in oil and gas markets has put significant downward pressure on prices for these commodities, and may affect demand for assets used in production, refining and transportation of oil and gas. In particular, the significant decline in oil prices during 2016 has resulted in lower offshore exploration and production budgets worldwide, with industry experts predicting that offshore exploration and production spending will decrease by approximately 9% in 2017, as compared to 2016. These conditions have resulted in significant contraction, de-leveraging and reduced liquidity in the credit markets. A number of governments have implemented, or are considering implementing, a broad variety of governmental actions or new regulations for the financial markets. In addition, limitations on the availability of capital, higher costs of capital for financing expenditures or the desire to preserve liquidity, may cause our current or prospective customers to make reductions in future capital budgets and spending.</w:t>
      </w:r>
    </w:p>
    <w:p>
      <w:pPr>
        <w:spacing w:after="0" w:line="179" w:lineRule="exact"/>
        <w:rPr>
          <w:sz w:val="20"/>
          <w:szCs w:val="20"/>
          <w:color w:val="auto"/>
        </w:rPr>
      </w:pPr>
    </w:p>
    <w:p>
      <w:pPr>
        <w:jc w:val="both"/>
        <w:spacing w:after="0" w:line="256" w:lineRule="auto"/>
        <w:rPr>
          <w:sz w:val="20"/>
          <w:szCs w:val="20"/>
          <w:color w:val="auto"/>
        </w:rPr>
      </w:pPr>
      <w:r>
        <w:rPr>
          <w:rFonts w:ascii="Arial" w:cs="Arial" w:eastAsia="Arial" w:hAnsi="Arial"/>
          <w:sz w:val="16"/>
          <w:szCs w:val="16"/>
          <w:color w:val="auto"/>
        </w:rPr>
        <w:t>Further, demand for our assets is related to passenger and cargo traffic growth, which in turn is dependent on general business and economic conditions. Global economic downturns could have an adverse impact on passenger and cargo traffic levels and consequently our lessees’ and charterers’ business, which may in turn result in a significant reduction in revenues, earnings and cash flows, difficulties accessing capital and a deterioration in the value of our assets. We may also become exposed to increased credit risk from our customers and third parties who have obligations to us, which could result in increased non-performance of contracts by our lessees or charterers and adversely impact our business, prospects, financial condition, results of operations and cash flows.</w:t>
      </w: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74</w:t>
      </w:r>
    </w:p>
    <w:p>
      <w:pPr>
        <w:sectPr>
          <w:pgSz w:w="11900" w:h="16838" w:orient="portrait"/>
          <w:cols w:equalWidth="0" w:num="1">
            <w:col w:w="11420"/>
          </w:cols>
          <w:pgMar w:left="240" w:top="628" w:right="239" w:bottom="1440" w:gutter="0" w:footer="0" w:header="0"/>
        </w:sectPr>
      </w:pPr>
    </w:p>
    <w:bookmarkStart w:id="74" w:name="page75"/>
    <w:bookmarkEnd w:id="74"/>
    <w:p>
      <w:pPr>
        <w:jc w:val="both"/>
        <w:spacing w:after="0" w:line="302" w:lineRule="auto"/>
        <w:rPr>
          <w:sz w:val="20"/>
          <w:szCs w:val="20"/>
          <w:color w:val="auto"/>
        </w:rPr>
      </w:pPr>
      <w:r>
        <w:rPr>
          <w:rFonts w:ascii="Arial" w:cs="Arial" w:eastAsia="Arial" w:hAnsi="Arial"/>
          <w:sz w:val="16"/>
          <w:szCs w:val="16"/>
          <w:b w:val="1"/>
          <w:bCs w:val="1"/>
          <w:i w:val="1"/>
          <w:iCs w:val="1"/>
          <w:color w:val="auto"/>
        </w:rPr>
        <w:t>The industries in which we operate have experienced periods of oversupply during which lease rates and asset values have declined, particularly during the recent economic downturn, and any future oversupply could materially adversely affect our results of operations and cash flows.</w:t>
      </w:r>
    </w:p>
    <w:p>
      <w:pPr>
        <w:spacing w:after="0" w:line="131" w:lineRule="exact"/>
        <w:rPr>
          <w:sz w:val="20"/>
          <w:szCs w:val="20"/>
          <w:color w:val="auto"/>
        </w:rPr>
      </w:pPr>
    </w:p>
    <w:p>
      <w:pPr>
        <w:jc w:val="both"/>
        <w:spacing w:after="0" w:line="269" w:lineRule="auto"/>
        <w:rPr>
          <w:sz w:val="20"/>
          <w:szCs w:val="20"/>
          <w:color w:val="auto"/>
        </w:rPr>
      </w:pPr>
      <w:r>
        <w:rPr>
          <w:rFonts w:ascii="Arial" w:cs="Arial" w:eastAsia="Arial" w:hAnsi="Arial"/>
          <w:sz w:val="16"/>
          <w:szCs w:val="16"/>
          <w:color w:val="auto"/>
        </w:rPr>
        <w:t>The oversupply of a specific asset is likely to depress the lease or charter rates for and the value of that type of asset and result in decreased utilization of our assets, and the industries in which we operate have experienced periods of oversupply during which rates and asset values have declined, particularly during the recent economic downturn. Factors that could lead to such oversupply include, without limitation:</w:t>
      </w:r>
    </w:p>
    <w:p>
      <w:pPr>
        <w:spacing w:after="0" w:line="165" w:lineRule="exact"/>
        <w:rPr>
          <w:sz w:val="20"/>
          <w:szCs w:val="20"/>
          <w:color w:val="auto"/>
        </w:rPr>
      </w:pPr>
    </w:p>
    <w:p>
      <w:pPr>
        <w:ind w:left="660" w:hanging="328"/>
        <w:spacing w:after="0"/>
        <w:tabs>
          <w:tab w:leader="none" w:pos="660" w:val="left"/>
        </w:tabs>
        <w:numPr>
          <w:ilvl w:val="0"/>
          <w:numId w:val="31"/>
        </w:numPr>
        <w:rPr>
          <w:rFonts w:ascii="Arial" w:cs="Arial" w:eastAsia="Arial" w:hAnsi="Arial"/>
          <w:sz w:val="16"/>
          <w:szCs w:val="16"/>
          <w:color w:val="auto"/>
        </w:rPr>
      </w:pPr>
      <w:r>
        <w:rPr>
          <w:rFonts w:ascii="Arial" w:cs="Arial" w:eastAsia="Arial" w:hAnsi="Arial"/>
          <w:sz w:val="16"/>
          <w:szCs w:val="16"/>
          <w:color w:val="auto"/>
        </w:rPr>
        <w:t>general demand for the type of assets that we purchase;</w:t>
      </w:r>
    </w:p>
    <w:p>
      <w:pPr>
        <w:spacing w:after="0" w:line="221" w:lineRule="exact"/>
        <w:rPr>
          <w:rFonts w:ascii="Arial" w:cs="Arial" w:eastAsia="Arial" w:hAnsi="Arial"/>
          <w:sz w:val="16"/>
          <w:szCs w:val="16"/>
          <w:color w:val="auto"/>
        </w:rPr>
      </w:pPr>
    </w:p>
    <w:p>
      <w:pPr>
        <w:ind w:left="660" w:hanging="328"/>
        <w:spacing w:after="0"/>
        <w:tabs>
          <w:tab w:leader="none" w:pos="660" w:val="left"/>
        </w:tabs>
        <w:numPr>
          <w:ilvl w:val="0"/>
          <w:numId w:val="31"/>
        </w:numPr>
        <w:rPr>
          <w:rFonts w:ascii="Arial" w:cs="Arial" w:eastAsia="Arial" w:hAnsi="Arial"/>
          <w:sz w:val="16"/>
          <w:szCs w:val="16"/>
          <w:color w:val="auto"/>
        </w:rPr>
      </w:pPr>
      <w:r>
        <w:rPr>
          <w:rFonts w:ascii="Arial" w:cs="Arial" w:eastAsia="Arial" w:hAnsi="Arial"/>
          <w:sz w:val="16"/>
          <w:szCs w:val="16"/>
          <w:color w:val="auto"/>
        </w:rPr>
        <w:t>general macroeconomic conditions, including market prices for commodities that our assets may serve;</w:t>
      </w:r>
    </w:p>
    <w:p>
      <w:pPr>
        <w:spacing w:after="0" w:line="221" w:lineRule="exact"/>
        <w:rPr>
          <w:rFonts w:ascii="Arial" w:cs="Arial" w:eastAsia="Arial" w:hAnsi="Arial"/>
          <w:sz w:val="16"/>
          <w:szCs w:val="16"/>
          <w:color w:val="auto"/>
        </w:rPr>
      </w:pPr>
    </w:p>
    <w:p>
      <w:pPr>
        <w:ind w:left="660" w:hanging="328"/>
        <w:spacing w:after="0"/>
        <w:tabs>
          <w:tab w:leader="none" w:pos="660" w:val="left"/>
        </w:tabs>
        <w:numPr>
          <w:ilvl w:val="0"/>
          <w:numId w:val="31"/>
        </w:numPr>
        <w:rPr>
          <w:rFonts w:ascii="Arial" w:cs="Arial" w:eastAsia="Arial" w:hAnsi="Arial"/>
          <w:sz w:val="16"/>
          <w:szCs w:val="16"/>
          <w:color w:val="auto"/>
        </w:rPr>
      </w:pPr>
      <w:r>
        <w:rPr>
          <w:rFonts w:ascii="Arial" w:cs="Arial" w:eastAsia="Arial" w:hAnsi="Arial"/>
          <w:sz w:val="16"/>
          <w:szCs w:val="16"/>
          <w:color w:val="auto"/>
        </w:rPr>
        <w:t>geopolitical events, including war, prolonged armed conflict and acts of terrorism;</w:t>
      </w:r>
    </w:p>
    <w:p>
      <w:pPr>
        <w:spacing w:after="0" w:line="221" w:lineRule="exact"/>
        <w:rPr>
          <w:rFonts w:ascii="Arial" w:cs="Arial" w:eastAsia="Arial" w:hAnsi="Arial"/>
          <w:sz w:val="16"/>
          <w:szCs w:val="16"/>
          <w:color w:val="auto"/>
        </w:rPr>
      </w:pPr>
    </w:p>
    <w:p>
      <w:pPr>
        <w:ind w:left="660" w:hanging="328"/>
        <w:spacing w:after="0"/>
        <w:tabs>
          <w:tab w:leader="none" w:pos="660" w:val="left"/>
        </w:tabs>
        <w:numPr>
          <w:ilvl w:val="0"/>
          <w:numId w:val="31"/>
        </w:numPr>
        <w:rPr>
          <w:rFonts w:ascii="Arial" w:cs="Arial" w:eastAsia="Arial" w:hAnsi="Arial"/>
          <w:sz w:val="16"/>
          <w:szCs w:val="16"/>
          <w:color w:val="auto"/>
        </w:rPr>
      </w:pPr>
      <w:r>
        <w:rPr>
          <w:rFonts w:ascii="Arial" w:cs="Arial" w:eastAsia="Arial" w:hAnsi="Arial"/>
          <w:sz w:val="16"/>
          <w:szCs w:val="16"/>
          <w:color w:val="auto"/>
        </w:rPr>
        <w:t>outbreaks of communicable diseases and natural disasters;</w:t>
      </w:r>
    </w:p>
    <w:p>
      <w:pPr>
        <w:spacing w:after="0" w:line="221" w:lineRule="exact"/>
        <w:rPr>
          <w:rFonts w:ascii="Arial" w:cs="Arial" w:eastAsia="Arial" w:hAnsi="Arial"/>
          <w:sz w:val="16"/>
          <w:szCs w:val="16"/>
          <w:color w:val="auto"/>
        </w:rPr>
      </w:pPr>
    </w:p>
    <w:p>
      <w:pPr>
        <w:ind w:left="660" w:hanging="328"/>
        <w:spacing w:after="0"/>
        <w:tabs>
          <w:tab w:leader="none" w:pos="660" w:val="left"/>
        </w:tabs>
        <w:numPr>
          <w:ilvl w:val="0"/>
          <w:numId w:val="31"/>
        </w:numPr>
        <w:rPr>
          <w:rFonts w:ascii="Arial" w:cs="Arial" w:eastAsia="Arial" w:hAnsi="Arial"/>
          <w:sz w:val="16"/>
          <w:szCs w:val="16"/>
          <w:color w:val="auto"/>
        </w:rPr>
      </w:pPr>
      <w:r>
        <w:rPr>
          <w:rFonts w:ascii="Arial" w:cs="Arial" w:eastAsia="Arial" w:hAnsi="Arial"/>
          <w:sz w:val="16"/>
          <w:szCs w:val="16"/>
          <w:color w:val="auto"/>
        </w:rPr>
        <w:t>governmental regulation;</w:t>
      </w:r>
    </w:p>
    <w:p>
      <w:pPr>
        <w:spacing w:after="0" w:line="221" w:lineRule="exact"/>
        <w:rPr>
          <w:rFonts w:ascii="Arial" w:cs="Arial" w:eastAsia="Arial" w:hAnsi="Arial"/>
          <w:sz w:val="16"/>
          <w:szCs w:val="16"/>
          <w:color w:val="auto"/>
        </w:rPr>
      </w:pPr>
    </w:p>
    <w:p>
      <w:pPr>
        <w:ind w:left="660" w:hanging="328"/>
        <w:spacing w:after="0"/>
        <w:tabs>
          <w:tab w:leader="none" w:pos="660" w:val="left"/>
        </w:tabs>
        <w:numPr>
          <w:ilvl w:val="0"/>
          <w:numId w:val="31"/>
        </w:numPr>
        <w:rPr>
          <w:rFonts w:ascii="Arial" w:cs="Arial" w:eastAsia="Arial" w:hAnsi="Arial"/>
          <w:sz w:val="16"/>
          <w:szCs w:val="16"/>
          <w:color w:val="auto"/>
        </w:rPr>
      </w:pPr>
      <w:r>
        <w:rPr>
          <w:rFonts w:ascii="Arial" w:cs="Arial" w:eastAsia="Arial" w:hAnsi="Arial"/>
          <w:sz w:val="16"/>
          <w:szCs w:val="16"/>
          <w:color w:val="auto"/>
        </w:rPr>
        <w:t>interest rates;</w:t>
      </w:r>
    </w:p>
    <w:p>
      <w:pPr>
        <w:spacing w:after="0" w:line="221" w:lineRule="exact"/>
        <w:rPr>
          <w:rFonts w:ascii="Arial" w:cs="Arial" w:eastAsia="Arial" w:hAnsi="Arial"/>
          <w:sz w:val="16"/>
          <w:szCs w:val="16"/>
          <w:color w:val="auto"/>
        </w:rPr>
      </w:pPr>
    </w:p>
    <w:p>
      <w:pPr>
        <w:ind w:left="660" w:hanging="328"/>
        <w:spacing w:after="0"/>
        <w:tabs>
          <w:tab w:leader="none" w:pos="660" w:val="left"/>
        </w:tabs>
        <w:numPr>
          <w:ilvl w:val="0"/>
          <w:numId w:val="31"/>
        </w:numPr>
        <w:rPr>
          <w:rFonts w:ascii="Arial" w:cs="Arial" w:eastAsia="Arial" w:hAnsi="Arial"/>
          <w:sz w:val="16"/>
          <w:szCs w:val="16"/>
          <w:color w:val="auto"/>
        </w:rPr>
      </w:pPr>
      <w:r>
        <w:rPr>
          <w:rFonts w:ascii="Arial" w:cs="Arial" w:eastAsia="Arial" w:hAnsi="Arial"/>
          <w:sz w:val="16"/>
          <w:szCs w:val="16"/>
          <w:color w:val="auto"/>
        </w:rPr>
        <w:t>the availability of credit;</w:t>
      </w:r>
    </w:p>
    <w:p>
      <w:pPr>
        <w:spacing w:after="0" w:line="221" w:lineRule="exact"/>
        <w:rPr>
          <w:rFonts w:ascii="Arial" w:cs="Arial" w:eastAsia="Arial" w:hAnsi="Arial"/>
          <w:sz w:val="16"/>
          <w:szCs w:val="16"/>
          <w:color w:val="auto"/>
        </w:rPr>
      </w:pPr>
    </w:p>
    <w:p>
      <w:pPr>
        <w:ind w:left="660" w:hanging="328"/>
        <w:spacing w:after="0"/>
        <w:tabs>
          <w:tab w:leader="none" w:pos="660" w:val="left"/>
        </w:tabs>
        <w:numPr>
          <w:ilvl w:val="0"/>
          <w:numId w:val="31"/>
        </w:numPr>
        <w:rPr>
          <w:rFonts w:ascii="Arial" w:cs="Arial" w:eastAsia="Arial" w:hAnsi="Arial"/>
          <w:sz w:val="16"/>
          <w:szCs w:val="16"/>
          <w:color w:val="auto"/>
        </w:rPr>
      </w:pPr>
      <w:r>
        <w:rPr>
          <w:rFonts w:ascii="Arial" w:cs="Arial" w:eastAsia="Arial" w:hAnsi="Arial"/>
          <w:sz w:val="16"/>
          <w:szCs w:val="16"/>
          <w:color w:val="auto"/>
        </w:rPr>
        <w:t>restructurings and bankruptcies of companies in the industries in which we operate, including our customers;</w:t>
      </w:r>
    </w:p>
    <w:p>
      <w:pPr>
        <w:spacing w:after="0" w:line="221" w:lineRule="exact"/>
        <w:rPr>
          <w:rFonts w:ascii="Arial" w:cs="Arial" w:eastAsia="Arial" w:hAnsi="Arial"/>
          <w:sz w:val="16"/>
          <w:szCs w:val="16"/>
          <w:color w:val="auto"/>
        </w:rPr>
      </w:pPr>
    </w:p>
    <w:p>
      <w:pPr>
        <w:ind w:left="660" w:hanging="328"/>
        <w:spacing w:after="0"/>
        <w:tabs>
          <w:tab w:leader="none" w:pos="660" w:val="left"/>
        </w:tabs>
        <w:numPr>
          <w:ilvl w:val="0"/>
          <w:numId w:val="31"/>
        </w:numPr>
        <w:rPr>
          <w:rFonts w:ascii="Arial" w:cs="Arial" w:eastAsia="Arial" w:hAnsi="Arial"/>
          <w:sz w:val="16"/>
          <w:szCs w:val="16"/>
          <w:color w:val="auto"/>
        </w:rPr>
      </w:pPr>
      <w:r>
        <w:rPr>
          <w:rFonts w:ascii="Arial" w:cs="Arial" w:eastAsia="Arial" w:hAnsi="Arial"/>
          <w:sz w:val="16"/>
          <w:szCs w:val="16"/>
          <w:color w:val="auto"/>
        </w:rPr>
        <w:t>manufacturer production levels and technological innovation;</w:t>
      </w:r>
    </w:p>
    <w:p>
      <w:pPr>
        <w:spacing w:after="0" w:line="221" w:lineRule="exact"/>
        <w:rPr>
          <w:rFonts w:ascii="Arial" w:cs="Arial" w:eastAsia="Arial" w:hAnsi="Arial"/>
          <w:sz w:val="16"/>
          <w:szCs w:val="16"/>
          <w:color w:val="auto"/>
        </w:rPr>
      </w:pPr>
    </w:p>
    <w:p>
      <w:pPr>
        <w:ind w:left="660" w:hanging="328"/>
        <w:spacing w:after="0"/>
        <w:tabs>
          <w:tab w:leader="none" w:pos="660" w:val="left"/>
        </w:tabs>
        <w:numPr>
          <w:ilvl w:val="0"/>
          <w:numId w:val="31"/>
        </w:numPr>
        <w:rPr>
          <w:rFonts w:ascii="Arial" w:cs="Arial" w:eastAsia="Arial" w:hAnsi="Arial"/>
          <w:sz w:val="16"/>
          <w:szCs w:val="16"/>
          <w:color w:val="auto"/>
        </w:rPr>
      </w:pPr>
      <w:r>
        <w:rPr>
          <w:rFonts w:ascii="Arial" w:cs="Arial" w:eastAsia="Arial" w:hAnsi="Arial"/>
          <w:sz w:val="16"/>
          <w:szCs w:val="16"/>
          <w:color w:val="auto"/>
        </w:rPr>
        <w:t>manufacturers merging or exiting the industry or ceasing to produce certain asset types;</w:t>
      </w:r>
    </w:p>
    <w:p>
      <w:pPr>
        <w:spacing w:after="0" w:line="221" w:lineRule="exact"/>
        <w:rPr>
          <w:rFonts w:ascii="Arial" w:cs="Arial" w:eastAsia="Arial" w:hAnsi="Arial"/>
          <w:sz w:val="16"/>
          <w:szCs w:val="16"/>
          <w:color w:val="auto"/>
        </w:rPr>
      </w:pPr>
    </w:p>
    <w:p>
      <w:pPr>
        <w:ind w:left="660" w:hanging="328"/>
        <w:spacing w:after="0"/>
        <w:tabs>
          <w:tab w:leader="none" w:pos="660" w:val="left"/>
        </w:tabs>
        <w:numPr>
          <w:ilvl w:val="0"/>
          <w:numId w:val="31"/>
        </w:numPr>
        <w:rPr>
          <w:rFonts w:ascii="Arial" w:cs="Arial" w:eastAsia="Arial" w:hAnsi="Arial"/>
          <w:sz w:val="16"/>
          <w:szCs w:val="16"/>
          <w:color w:val="auto"/>
        </w:rPr>
      </w:pPr>
      <w:r>
        <w:rPr>
          <w:rFonts w:ascii="Arial" w:cs="Arial" w:eastAsia="Arial" w:hAnsi="Arial"/>
          <w:sz w:val="16"/>
          <w:szCs w:val="16"/>
          <w:color w:val="auto"/>
        </w:rPr>
        <w:t>retirement and obsolescence of the assets that we own;</w:t>
      </w:r>
    </w:p>
    <w:p>
      <w:pPr>
        <w:spacing w:after="0" w:line="221" w:lineRule="exact"/>
        <w:rPr>
          <w:rFonts w:ascii="Arial" w:cs="Arial" w:eastAsia="Arial" w:hAnsi="Arial"/>
          <w:sz w:val="16"/>
          <w:szCs w:val="16"/>
          <w:color w:val="auto"/>
        </w:rPr>
      </w:pPr>
    </w:p>
    <w:p>
      <w:pPr>
        <w:ind w:left="660" w:hanging="328"/>
        <w:spacing w:after="0"/>
        <w:tabs>
          <w:tab w:leader="none" w:pos="660" w:val="left"/>
        </w:tabs>
        <w:numPr>
          <w:ilvl w:val="0"/>
          <w:numId w:val="31"/>
        </w:numPr>
        <w:rPr>
          <w:rFonts w:ascii="Arial" w:cs="Arial" w:eastAsia="Arial" w:hAnsi="Arial"/>
          <w:sz w:val="16"/>
          <w:szCs w:val="16"/>
          <w:color w:val="auto"/>
        </w:rPr>
      </w:pPr>
      <w:r>
        <w:rPr>
          <w:rFonts w:ascii="Arial" w:cs="Arial" w:eastAsia="Arial" w:hAnsi="Arial"/>
          <w:sz w:val="16"/>
          <w:szCs w:val="16"/>
          <w:color w:val="auto"/>
        </w:rPr>
        <w:t>our railroad infrastructure may be damaged, including by flooding and railroad derailments;</w:t>
      </w:r>
    </w:p>
    <w:p>
      <w:pPr>
        <w:spacing w:after="0" w:line="221" w:lineRule="exact"/>
        <w:rPr>
          <w:rFonts w:ascii="Arial" w:cs="Arial" w:eastAsia="Arial" w:hAnsi="Arial"/>
          <w:sz w:val="16"/>
          <w:szCs w:val="16"/>
          <w:color w:val="auto"/>
        </w:rPr>
      </w:pPr>
    </w:p>
    <w:p>
      <w:pPr>
        <w:ind w:left="660" w:hanging="328"/>
        <w:spacing w:after="0"/>
        <w:tabs>
          <w:tab w:leader="none" w:pos="660" w:val="left"/>
        </w:tabs>
        <w:numPr>
          <w:ilvl w:val="0"/>
          <w:numId w:val="31"/>
        </w:numPr>
        <w:rPr>
          <w:rFonts w:ascii="Arial" w:cs="Arial" w:eastAsia="Arial" w:hAnsi="Arial"/>
          <w:sz w:val="16"/>
          <w:szCs w:val="16"/>
          <w:color w:val="auto"/>
        </w:rPr>
      </w:pPr>
      <w:r>
        <w:rPr>
          <w:rFonts w:ascii="Arial" w:cs="Arial" w:eastAsia="Arial" w:hAnsi="Arial"/>
          <w:sz w:val="16"/>
          <w:szCs w:val="16"/>
          <w:color w:val="auto"/>
        </w:rPr>
        <w:t>increases in supply levels of assets in the market due to the sale or merging of operating lessors; and</w:t>
      </w:r>
    </w:p>
    <w:p>
      <w:pPr>
        <w:spacing w:after="0" w:line="221" w:lineRule="exact"/>
        <w:rPr>
          <w:rFonts w:ascii="Arial" w:cs="Arial" w:eastAsia="Arial" w:hAnsi="Arial"/>
          <w:sz w:val="16"/>
          <w:szCs w:val="16"/>
          <w:color w:val="auto"/>
        </w:rPr>
      </w:pPr>
    </w:p>
    <w:p>
      <w:pPr>
        <w:ind w:left="660" w:hanging="328"/>
        <w:spacing w:after="0"/>
        <w:tabs>
          <w:tab w:leader="none" w:pos="660" w:val="left"/>
        </w:tabs>
        <w:numPr>
          <w:ilvl w:val="0"/>
          <w:numId w:val="31"/>
        </w:numPr>
        <w:rPr>
          <w:rFonts w:ascii="Arial" w:cs="Arial" w:eastAsia="Arial" w:hAnsi="Arial"/>
          <w:sz w:val="16"/>
          <w:szCs w:val="16"/>
          <w:color w:val="auto"/>
        </w:rPr>
      </w:pPr>
      <w:r>
        <w:rPr>
          <w:rFonts w:ascii="Arial" w:cs="Arial" w:eastAsia="Arial" w:hAnsi="Arial"/>
          <w:sz w:val="16"/>
          <w:szCs w:val="16"/>
          <w:color w:val="auto"/>
        </w:rPr>
        <w:t>reintroduction of previously unused or dormant assets into the industries in which we operate.</w:t>
      </w:r>
    </w:p>
    <w:p>
      <w:pPr>
        <w:spacing w:after="0" w:line="221" w:lineRule="exact"/>
        <w:rPr>
          <w:sz w:val="20"/>
          <w:szCs w:val="20"/>
          <w:color w:val="auto"/>
        </w:rPr>
      </w:pPr>
    </w:p>
    <w:p>
      <w:pPr>
        <w:jc w:val="both"/>
        <w:spacing w:after="0" w:line="254" w:lineRule="auto"/>
        <w:rPr>
          <w:sz w:val="20"/>
          <w:szCs w:val="20"/>
          <w:color w:val="auto"/>
        </w:rPr>
      </w:pPr>
      <w:r>
        <w:rPr>
          <w:rFonts w:ascii="Arial" w:cs="Arial" w:eastAsia="Arial" w:hAnsi="Arial"/>
          <w:sz w:val="16"/>
          <w:szCs w:val="16"/>
          <w:color w:val="auto"/>
        </w:rPr>
        <w:t>These and other related factors are generally outside of our control and could lead to persistence of, or increase in, the oversupply of the types of assets that we acquire or decreased utilization of our assets, either of which could materially adversely affect our results of operations and cash flow. In addition, lessees may redeliver our assets to locations where there is oversupply, which may lead to additional repositioning costs for us if we move them to areas with higher demand. Positioning expenses vary depending on geographic location, distance, freight rates and other factors, and may not be fully covered by drop-off charges collected from the last lessees of the equipment or pick-up charges paid by the new lessees. Positioning expenses can be significant if a large portion of our assets are returned to locations with weak demand, which could materially adversely affect our business, prospects, financial condition, results of operations and cash flow.</w:t>
      </w:r>
    </w:p>
    <w:p>
      <w:pPr>
        <w:spacing w:after="0" w:line="37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There can be no assurance that any target returns will be achieved.</w:t>
      </w:r>
    </w:p>
    <w:p>
      <w:pPr>
        <w:spacing w:after="0" w:line="221" w:lineRule="exact"/>
        <w:rPr>
          <w:sz w:val="20"/>
          <w:szCs w:val="20"/>
          <w:color w:val="auto"/>
        </w:rPr>
      </w:pPr>
    </w:p>
    <w:p>
      <w:pPr>
        <w:jc w:val="both"/>
        <w:spacing w:after="0" w:line="261" w:lineRule="auto"/>
        <w:rPr>
          <w:sz w:val="20"/>
          <w:szCs w:val="20"/>
          <w:color w:val="auto"/>
        </w:rPr>
      </w:pPr>
      <w:r>
        <w:rPr>
          <w:rFonts w:ascii="Arial" w:cs="Arial" w:eastAsia="Arial" w:hAnsi="Arial"/>
          <w:sz w:val="16"/>
          <w:szCs w:val="16"/>
          <w:color w:val="auto"/>
        </w:rPr>
        <w:t>Our target returns for assets are targets only and are not forecasts of future profits. We develop target returns based on our Manager’s assessment of appropriate expectations for returns on assets and the ability of our Manager to enhance the return generated by those assets through active management. There can be no assurance that these assessments and expectations will be achieved and failure to achieve any or all of them may materially adversely impact our ability to achieve any target return with respect to any or all of our assets.</w:t>
      </w:r>
    </w:p>
    <w:p>
      <w:pPr>
        <w:spacing w:after="0" w:line="172"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In addition, our target returns are based on estimates and assumptions regarding a number of other factors, including, without limitation, holding periods, the absence of material adverse events affecting specific investments (which could include, without limitation, natural disasters, terrorism, social unrest or civil disturbances), general and local economic and market conditions, changes in law, taxation, regulation or governmental policies and changes in the political approach to transportation investment, either generally or in specific countries in which we may invest or seek to invest. Many of these factors, as well as the other risks described elsewhere in this report, are beyond our control and all could adversely affect our ability to achieve a target return with respect to an asset. Further, target returns are targets for the return generated by specific assets and not by us. Numerous factors could prevent us from achieving similar returns, notwithstanding the performance of individual assets, including, without limitation, taxation and fees payable by us or our operating subsidiaries, including fees and incentive allocation payable to our Manager.</w:t>
      </w: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75</w:t>
      </w:r>
    </w:p>
    <w:p>
      <w:pPr>
        <w:sectPr>
          <w:pgSz w:w="11900" w:h="16838" w:orient="portrait"/>
          <w:cols w:equalWidth="0" w:num="1">
            <w:col w:w="11420"/>
          </w:cols>
          <w:pgMar w:left="240" w:top="581" w:right="239" w:bottom="1440" w:gutter="0" w:footer="0" w:header="0"/>
        </w:sectPr>
      </w:pPr>
    </w:p>
    <w:bookmarkStart w:id="75" w:name="page76"/>
    <w:bookmarkEnd w:id="75"/>
    <w:p>
      <w:pPr>
        <w:jc w:val="both"/>
        <w:spacing w:after="0" w:line="257" w:lineRule="auto"/>
        <w:rPr>
          <w:sz w:val="20"/>
          <w:szCs w:val="20"/>
          <w:color w:val="auto"/>
        </w:rPr>
      </w:pPr>
      <w:r>
        <w:rPr>
          <w:rFonts w:ascii="Arial" w:cs="Arial" w:eastAsia="Arial" w:hAnsi="Arial"/>
          <w:sz w:val="16"/>
          <w:szCs w:val="16"/>
          <w:color w:val="auto"/>
        </w:rPr>
        <w:t>There can be no assurance that the returns generated by any of our assets will meet our target returns, or any other level of return, or that we will achieve or successfully implement our asset acquisition objectives, and failure to achieve the target return in respect of any of our assets could, among other things, have a material adverse effect on our business, prospects, financial condition, results of operations and cash flow. Further, even if the returns generated by individual assets meet target returns, there can be no assurance that the returns generated by other existing or future assets would do so, and the historical performance of the assets in our existing portfolio should not be considered as indicative of future results with respect to any assets.</w:t>
      </w:r>
    </w:p>
    <w:p>
      <w:pPr>
        <w:spacing w:after="0" w:line="176" w:lineRule="exact"/>
        <w:rPr>
          <w:sz w:val="20"/>
          <w:szCs w:val="20"/>
          <w:color w:val="auto"/>
        </w:rPr>
      </w:pPr>
    </w:p>
    <w:p>
      <w:pPr>
        <w:jc w:val="both"/>
        <w:spacing w:after="0" w:line="302" w:lineRule="auto"/>
        <w:rPr>
          <w:sz w:val="20"/>
          <w:szCs w:val="20"/>
          <w:color w:val="auto"/>
        </w:rPr>
      </w:pPr>
      <w:r>
        <w:rPr>
          <w:rFonts w:ascii="Arial" w:cs="Arial" w:eastAsia="Arial" w:hAnsi="Arial"/>
          <w:sz w:val="16"/>
          <w:szCs w:val="16"/>
          <w:b w:val="1"/>
          <w:bCs w:val="1"/>
          <w:i w:val="1"/>
          <w:iCs w:val="1"/>
          <w:color w:val="auto"/>
        </w:rPr>
        <w:t>Contractual defaults may adversely affect our business, prospects, financial condition, results of operations and cash flows by decreasing revenues and increasing storage, positioning, collection, recovery and lost equipment expenses.</w:t>
      </w:r>
    </w:p>
    <w:p>
      <w:pPr>
        <w:spacing w:after="0" w:line="131"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The success of our business depends in large part on the success of the operators in the sectors in which we participate. Cash flows from our assets are substantially impacted by our ability to collect compensation and other amounts to be paid in respect of such assets from the customers with which we enter into leases, charters or other contractual arrangements. Inherent in the nature of the leases, charters and other arrangements for the use of such assets is the risk that we may not receive, or may experience delay in realizing, such amounts to be paid. While we target the entry into contracts with credit-worthy counterparties, no assurance can be given that such counterparties will perform their obligations during the term of the leases, charters or other contractual arrangements. In addition, when counterparties default, we may fail to recover all of our assets, and the assets we do recover may be returned in damaged condition or to locations where we will not be able to efficiently lease, charter or sell them. In most cases, we maintain, or require our lessees to maintain, certain insurances to cover the risk of damages or loss of our assets. However, these insurance policies may not be sufficient to protect us against a loss.</w:t>
      </w:r>
    </w:p>
    <w:p>
      <w:pPr>
        <w:spacing w:after="0" w:line="177"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Depending on the specific sector, the risk of contractual defaults may be elevated due to excess capacity as a result of oversupply during the recent economic downturn. We lease assets to our customers pursuant to fixed-price contracts, and our customers then seek to utilize those assets to transport goods and provide services. If the price at which our customers receive for their transportation services decreases as a result of an oversupply in the marketplace, then our customers may be forced to reduce their prices in order to attract business (which may have an adverse effect on their ability to meet their contractual lease obligations to us), or may seek to renegotiate or terminate their contractual lease arrangements with us to pursue a lower-priced opportunity with another lessor, which may have a direct, adverse effect on us. See “-The industries in which we operate have experienced periods of oversupply during which lease rates and asset values have declined, particularly during the financial crisis, and any future oversupply could materially adversely affect our results of operations and cash flows.” Any default by a material customer would have a significant impact on our profitability at the time the customer defaulted, which could materially adversely affect our operating results and growth prospects. In addition, some of our counterparties may reside in jurisdictions with legal and regulatory regimes that make it difficult and costly to enforce such counterparties’ obligations.</w:t>
      </w:r>
    </w:p>
    <w:p>
      <w:pPr>
        <w:spacing w:after="0" w:line="183" w:lineRule="exact"/>
        <w:rPr>
          <w:sz w:val="20"/>
          <w:szCs w:val="20"/>
          <w:color w:val="auto"/>
        </w:rPr>
      </w:pPr>
    </w:p>
    <w:p>
      <w:pPr>
        <w:jc w:val="both"/>
        <w:ind w:right="20"/>
        <w:spacing w:after="0" w:line="302" w:lineRule="auto"/>
        <w:rPr>
          <w:sz w:val="20"/>
          <w:szCs w:val="20"/>
          <w:color w:val="auto"/>
        </w:rPr>
      </w:pPr>
      <w:r>
        <w:rPr>
          <w:rFonts w:ascii="Arial" w:cs="Arial" w:eastAsia="Arial" w:hAnsi="Arial"/>
          <w:sz w:val="16"/>
          <w:szCs w:val="16"/>
          <w:b w:val="1"/>
          <w:bCs w:val="1"/>
          <w:i w:val="1"/>
          <w:iCs w:val="1"/>
          <w:color w:val="auto"/>
        </w:rPr>
        <w:t>We may not be able to renew or obtain new or favorable charters or leases, which could adversely affect our business, prospects, financial condition, results of operations and cash flows.</w:t>
      </w:r>
    </w:p>
    <w:p>
      <w:pPr>
        <w:spacing w:after="0" w:line="131" w:lineRule="exact"/>
        <w:rPr>
          <w:sz w:val="20"/>
          <w:szCs w:val="20"/>
          <w:color w:val="auto"/>
        </w:rPr>
      </w:pPr>
    </w:p>
    <w:p>
      <w:pPr>
        <w:jc w:val="both"/>
        <w:spacing w:after="0" w:line="252" w:lineRule="auto"/>
        <w:rPr>
          <w:sz w:val="20"/>
          <w:szCs w:val="20"/>
          <w:color w:val="auto"/>
        </w:rPr>
      </w:pPr>
      <w:r>
        <w:rPr>
          <w:rFonts w:ascii="Arial" w:cs="Arial" w:eastAsia="Arial" w:hAnsi="Arial"/>
          <w:sz w:val="16"/>
          <w:szCs w:val="16"/>
          <w:color w:val="auto"/>
        </w:rPr>
        <w:t>Our operating leases are subject to greater residual risk than direct finance leases because we will own the assets at the expiration of an operating lease term and we may be unable to renew existing charters or leases at favorable rates, or at all, or sell the leased or chartered assets, and the residual value of the asset may be lower than anticipated. In addition, our ability to renew existing charters or leases or obtain new charters or leases will also depend on prevailing market conditions, and upon expiration of the contracts governing the leasing or charter of the applicable assets, we may be exposed to increased volatility in terms of rates and contract provisions. For example, we do not currently have long-term charters for our construction support vessel and our ROV support vessel. Likewise, our customers may reduce their activity levels or seek to terminate or renegotiate their charters or leases with us. If we are not able to renew or obtain new charters or leases in direct continuation, or if new charters or leases are entered into at rates substantially below the existing rates or on terms otherwise less favorable compared to existing contractual terms, or if we are unable to sell assets for which we are unable to obtain new contracts or leases, our business, prospects, financial condition, results of operations and cash flows could be materially adversely affected.</w:t>
      </w:r>
    </w:p>
    <w:p>
      <w:pPr>
        <w:spacing w:after="0" w:line="179" w:lineRule="exact"/>
        <w:rPr>
          <w:sz w:val="20"/>
          <w:szCs w:val="20"/>
          <w:color w:val="auto"/>
        </w:rPr>
      </w:pPr>
    </w:p>
    <w:p>
      <w:pPr>
        <w:jc w:val="both"/>
        <w:spacing w:after="0" w:line="274" w:lineRule="auto"/>
        <w:rPr>
          <w:sz w:val="20"/>
          <w:szCs w:val="20"/>
          <w:color w:val="auto"/>
        </w:rPr>
      </w:pPr>
      <w:r>
        <w:rPr>
          <w:rFonts w:ascii="Arial" w:cs="Arial" w:eastAsia="Arial" w:hAnsi="Arial"/>
          <w:sz w:val="16"/>
          <w:szCs w:val="16"/>
          <w:b w:val="1"/>
          <w:bCs w:val="1"/>
          <w:i w:val="1"/>
          <w:iCs w:val="1"/>
          <w:color w:val="auto"/>
        </w:rPr>
        <w:t>If we acquire a high concentration of a particular type of asset, or concentrate our investments in a particular sector, our business, prospects, financial condition, results of operations and cash flows could be adversely affected by changes in market demand or problems specific to that asset or sector.</w:t>
      </w:r>
    </w:p>
    <w:p>
      <w:pPr>
        <w:spacing w:after="0" w:line="153" w:lineRule="exact"/>
        <w:rPr>
          <w:sz w:val="20"/>
          <w:szCs w:val="20"/>
          <w:color w:val="auto"/>
        </w:rPr>
      </w:pPr>
    </w:p>
    <w:p>
      <w:pPr>
        <w:jc w:val="both"/>
        <w:spacing w:after="0" w:line="254" w:lineRule="auto"/>
        <w:rPr>
          <w:sz w:val="20"/>
          <w:szCs w:val="20"/>
          <w:color w:val="auto"/>
        </w:rPr>
      </w:pPr>
      <w:r>
        <w:rPr>
          <w:rFonts w:ascii="Arial" w:cs="Arial" w:eastAsia="Arial" w:hAnsi="Arial"/>
          <w:sz w:val="16"/>
          <w:szCs w:val="16"/>
          <w:color w:val="auto"/>
        </w:rPr>
        <w:t>If we acquire a high concentration of a particular asset, or concentrate our investments in a particular sector, our business and financial results could be adversely affected by sector-specific or asset-specific factors. For example, if a particular sector experiences difficulties such as increased competition or oversupply, the operators we rely on as a lessor may be adversely affected and consequently our business and financial results may be similarly affected. If we acquire a high concentration of a particular asset and the market demand for a particular asset declines, it is redesigned or replaced by its manufacturer or it experiences design or technical problems, the value and rates relating to such asset may decline, and we may be unable to lease or charter such asset on favorable terms, if at all. Any decrease in the value and rates of our assets may have a material adverse effect on our business, prospects, financial condition, results of operations and cash flows.</w:t>
      </w: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76</w:t>
      </w:r>
    </w:p>
    <w:p>
      <w:pPr>
        <w:sectPr>
          <w:pgSz w:w="11900" w:h="16838" w:orient="portrait"/>
          <w:cols w:equalWidth="0" w:num="1">
            <w:col w:w="11420"/>
          </w:cols>
          <w:pgMar w:left="240" w:top="581" w:right="239" w:bottom="1440" w:gutter="0" w:footer="0" w:header="0"/>
        </w:sectPr>
      </w:pPr>
    </w:p>
    <w:bookmarkStart w:id="76" w:name="page77"/>
    <w:bookmarkEnd w:id="76"/>
    <w:p>
      <w:pPr>
        <w:spacing w:after="0"/>
        <w:rPr>
          <w:sz w:val="20"/>
          <w:szCs w:val="20"/>
          <w:color w:val="auto"/>
        </w:rPr>
      </w:pPr>
      <w:r>
        <w:rPr>
          <w:rFonts w:ascii="Arial" w:cs="Arial" w:eastAsia="Arial" w:hAnsi="Arial"/>
          <w:sz w:val="16"/>
          <w:szCs w:val="16"/>
          <w:b w:val="1"/>
          <w:bCs w:val="1"/>
          <w:i w:val="1"/>
          <w:iCs w:val="1"/>
          <w:color w:val="auto"/>
        </w:rPr>
        <w:t>We operate in highly competitive markets.</w:t>
      </w:r>
    </w:p>
    <w:p>
      <w:pPr>
        <w:spacing w:after="0" w:line="221"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The business of acquiring transportation and transportation-related infrastructure assets is highly competitive. Market competition for opportunities includes traditional transportation and infrastructure companies, commercial and investment banks, as well as a growing number of non-traditional participants, such as hedge funds, private equity funds and other private investors, including Fortress-related entities. Some of these competitors may have access to greater amounts of capital and/or to capital that may be committed for longer periods of time or may have different return thresholds than us, and thus these competitors may have certain advantages not shared by us. In addition, competitors may have incurred, or may in the future incur, leverage to finance their debt investments at levels or on terms more favorable than those available to us. Strong competition for investment opportunities could result in fewer such opportunities for us, as certain of these competitors have established and are establishing investment vehicles that target the same types of assets that we intend to purchase.</w:t>
      </w:r>
    </w:p>
    <w:p>
      <w:pPr>
        <w:spacing w:after="0" w:line="371" w:lineRule="exact"/>
        <w:rPr>
          <w:sz w:val="20"/>
          <w:szCs w:val="20"/>
          <w:color w:val="auto"/>
        </w:rPr>
      </w:pPr>
    </w:p>
    <w:p>
      <w:pPr>
        <w:jc w:val="both"/>
        <w:spacing w:after="0" w:line="261" w:lineRule="auto"/>
        <w:rPr>
          <w:sz w:val="20"/>
          <w:szCs w:val="20"/>
          <w:color w:val="auto"/>
        </w:rPr>
      </w:pPr>
      <w:r>
        <w:rPr>
          <w:rFonts w:ascii="Arial" w:cs="Arial" w:eastAsia="Arial" w:hAnsi="Arial"/>
          <w:sz w:val="16"/>
          <w:szCs w:val="16"/>
          <w:color w:val="auto"/>
        </w:rPr>
        <w:t>In addition, some of our competitors may have longer operating histories, greater financial resources and lower costs of capital than us, and consequently, may be able to compete more effectively in one or more of our target markets. We likely will not always be able to compete successfully with our competitors and competitive pressures or other factors may also result in significant price competition, particularly during industry downturns, which could have a material adverse effect on our business, prospects, financial condition, results of operations and cash flows.</w:t>
      </w:r>
    </w:p>
    <w:p>
      <w:pPr>
        <w:spacing w:after="0" w:line="172" w:lineRule="exact"/>
        <w:rPr>
          <w:sz w:val="20"/>
          <w:szCs w:val="20"/>
          <w:color w:val="auto"/>
        </w:rPr>
      </w:pPr>
    </w:p>
    <w:p>
      <w:pPr>
        <w:jc w:val="both"/>
        <w:spacing w:after="0" w:line="302" w:lineRule="auto"/>
        <w:rPr>
          <w:sz w:val="20"/>
          <w:szCs w:val="20"/>
          <w:color w:val="auto"/>
        </w:rPr>
      </w:pPr>
      <w:r>
        <w:rPr>
          <w:rFonts w:ascii="Arial" w:cs="Arial" w:eastAsia="Arial" w:hAnsi="Arial"/>
          <w:sz w:val="16"/>
          <w:szCs w:val="16"/>
          <w:b w:val="1"/>
          <w:bCs w:val="1"/>
          <w:i w:val="1"/>
          <w:iCs w:val="1"/>
          <w:color w:val="auto"/>
        </w:rPr>
        <w:t>Litigation to enforce our contracts and recover our assets has inherent uncertainties that are increased by the location of our assets in jurisdictions that have less developed legal systems.</w:t>
      </w:r>
    </w:p>
    <w:p>
      <w:pPr>
        <w:spacing w:after="0" w:line="131" w:lineRule="exact"/>
        <w:rPr>
          <w:sz w:val="20"/>
          <w:szCs w:val="20"/>
          <w:color w:val="auto"/>
        </w:rPr>
      </w:pPr>
    </w:p>
    <w:p>
      <w:pPr>
        <w:jc w:val="both"/>
        <w:spacing w:after="0" w:line="250" w:lineRule="auto"/>
        <w:rPr>
          <w:sz w:val="20"/>
          <w:szCs w:val="20"/>
          <w:color w:val="auto"/>
        </w:rPr>
      </w:pPr>
      <w:r>
        <w:rPr>
          <w:rFonts w:ascii="Arial" w:cs="Arial" w:eastAsia="Arial" w:hAnsi="Arial"/>
          <w:sz w:val="16"/>
          <w:szCs w:val="16"/>
          <w:color w:val="auto"/>
        </w:rPr>
        <w:t>While some of our contractual arrangements are governed by New York law and provide for the non-exclusive jurisdiction of the courts located in the state of New York, our ability to enforce our counterparties’ obligations under such contractual arrangements is subject to applicable laws in the jurisdiction in which enforcement is sought. While some of our existing assets are used in specific jurisdictions, transportation and transportation-related infrastructure assets by their nature generally move throughout multiple jurisdictions in the ordinary course of business. As a result, it is not possible to predict, with any degree of certainty, the jurisdictions in which enforcement proceedings may be commenced. Litigation and enforcement proceedings have inherent uncertainties in any jurisdiction and are expensive. These uncertainties are enhanced in countries that have less developed legal systems where the interpretation of laws and regulations is not consistent, may be influenced by factors other than legal merits and may be cumbersome, time-consuming and even more expensive. For example, repossession from defaulting lessees may be difficult and more expensive in jurisdictions whose laws do not confer the same security interests and rights to creditors and lessors as those in the United States and where the legal system is not as well developed. As a result, the remedies available and the relative success and expedience of collection and enforcement proceedings with respect to the owned assets in various jurisdictions cannot be predicted. To the extent more of our business shifts to areas outside of the United States and Europe, such as China and Malaysia, it may become more difficult and expensive to enforce our rights and recover our assets.</w:t>
      </w:r>
    </w:p>
    <w:p>
      <w:pPr>
        <w:spacing w:after="0" w:line="18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Certain liens may arise on our assets.</w:t>
      </w:r>
    </w:p>
    <w:p>
      <w:pPr>
        <w:spacing w:after="0" w:line="221" w:lineRule="exact"/>
        <w:rPr>
          <w:sz w:val="20"/>
          <w:szCs w:val="20"/>
          <w:color w:val="auto"/>
        </w:rPr>
      </w:pPr>
    </w:p>
    <w:p>
      <w:pPr>
        <w:jc w:val="both"/>
        <w:spacing w:after="0" w:line="254" w:lineRule="auto"/>
        <w:rPr>
          <w:sz w:val="20"/>
          <w:szCs w:val="20"/>
          <w:color w:val="auto"/>
        </w:rPr>
      </w:pPr>
      <w:r>
        <w:rPr>
          <w:rFonts w:ascii="Arial" w:cs="Arial" w:eastAsia="Arial" w:hAnsi="Arial"/>
          <w:sz w:val="16"/>
          <w:szCs w:val="16"/>
          <w:color w:val="auto"/>
        </w:rPr>
        <w:t>Certain of our assets are currently subject to liens under separate financing arrangements entered into by certain subsidiaries in connection with acquisitions of assets. In the event of a default under such arrangements by the applicable subsidiary, the lenders thereunder would be permitted to take possession of or sell such assets. See “Management’s Discussion and Analysis of Financial Condition and Results of Operations-Liquidity and Capital Resources.” In addition, our currently owned assets and assets that we purchase in the future may be subject to other liens based on the industry practices relating to such assets. Until they are discharged, these liens could impair our ability to repossess, re-lease or sell our assets, and to the extent our lessees or charterers do not comply with their obligations to discharge any liens on the applicable assets, we may find it necessary to pay the claims secured by such liens in order to repossess such assets. Such payments could materially adversely affect our operating results and growth prospects.</w:t>
      </w:r>
    </w:p>
    <w:p>
      <w:pPr>
        <w:spacing w:after="0" w:line="17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The values of the assets that we purchase may fluctuate due to various factors.</w:t>
      </w:r>
    </w:p>
    <w:p>
      <w:pPr>
        <w:spacing w:after="0" w:line="221" w:lineRule="exact"/>
        <w:rPr>
          <w:sz w:val="20"/>
          <w:szCs w:val="20"/>
          <w:color w:val="auto"/>
        </w:rPr>
      </w:pPr>
    </w:p>
    <w:p>
      <w:pPr>
        <w:jc w:val="both"/>
        <w:spacing w:after="0" w:line="254" w:lineRule="auto"/>
        <w:rPr>
          <w:sz w:val="20"/>
          <w:szCs w:val="20"/>
          <w:color w:val="auto"/>
        </w:rPr>
      </w:pPr>
      <w:r>
        <w:rPr>
          <w:rFonts w:ascii="Arial" w:cs="Arial" w:eastAsia="Arial" w:hAnsi="Arial"/>
          <w:sz w:val="16"/>
          <w:szCs w:val="16"/>
          <w:color w:val="auto"/>
        </w:rPr>
        <w:t>The fair market values of our assets may decrease or increase depending on a number of factors, including the prevailing level of charter or lease rates from time to time, general economic and market conditions affecting our target markets, type and age of assets, supply and demand for assets, competition, new governmental or other regulations and technological advances, all of which could impact our profitability and our ability to lease, charter, develop, operate, or sell such assets. In addition, our assets depreciate as they age and may generate lower revenues and cash flows. We must be able to replace such older, depreciated assets with newer assets, or our ability to maintain or increase our revenues and cash flows will decline. In addition, if we dispose of an asset for a price that is less than the depreciated book value of the asset on our balance sheet or if we determine that an asset’s value has been impaired, we will recognize a related charge in our consolidated statement of operations and such charge could be material.</w:t>
      </w: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77</w:t>
      </w:r>
    </w:p>
    <w:p>
      <w:pPr>
        <w:sectPr>
          <w:pgSz w:w="11900" w:h="16838" w:orient="portrait"/>
          <w:cols w:equalWidth="0" w:num="1">
            <w:col w:w="11420"/>
          </w:cols>
          <w:pgMar w:left="240" w:top="580" w:right="239" w:bottom="1440" w:gutter="0" w:footer="0" w:header="0"/>
        </w:sectPr>
      </w:pPr>
    </w:p>
    <w:bookmarkStart w:id="77" w:name="page78"/>
    <w:bookmarkEnd w:id="77"/>
    <w:p>
      <w:pPr>
        <w:spacing w:after="0"/>
        <w:rPr>
          <w:sz w:val="20"/>
          <w:szCs w:val="20"/>
          <w:color w:val="auto"/>
        </w:rPr>
      </w:pPr>
      <w:r>
        <w:rPr>
          <w:rFonts w:ascii="Arial" w:cs="Arial" w:eastAsia="Arial" w:hAnsi="Arial"/>
          <w:sz w:val="16"/>
          <w:szCs w:val="16"/>
          <w:b w:val="1"/>
          <w:bCs w:val="1"/>
          <w:i w:val="1"/>
          <w:iCs w:val="1"/>
          <w:color w:val="auto"/>
        </w:rPr>
        <w:t>Our use of joint ventures or partnerships, and our Manager’s outsourcing of certain functions, may present unforeseen obstacles or costs.</w:t>
      </w:r>
    </w:p>
    <w:p>
      <w:pPr>
        <w:spacing w:after="0" w:line="221"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We have acquired and may in the future acquire interests in certain assets in cooperation with third-party partners or co-investors through jointly-owned acquisition vehicles, joint ventures or other structures. In these co-investment situations, our ability to control the management of such assets depends upon the nature and terms of the joint arrangements with such partners and our relative ownership stake in the asset, each of which will be determined by negotiation at the time of the investment and the determination of which is subject to the discretion of our Manager. Depending on our Manager’s perception of the relative risks and rewards of a particular asset, our Manager may elect to acquire interests in structures that afford relatively little or no operational and/or management control to us. Such arrangements present risks not present with wholly-owned assets, such as the possibility that a co-investor becomes bankrupt, develops business interests or goals that conflict with our interests and goals in respect of the assets, all of which could materially adversely affect our business, prospects, financial condition, results of operations and cash flows.</w:t>
      </w:r>
    </w:p>
    <w:p>
      <w:pPr>
        <w:spacing w:after="0" w:line="177" w:lineRule="exact"/>
        <w:rPr>
          <w:sz w:val="20"/>
          <w:szCs w:val="20"/>
          <w:color w:val="auto"/>
        </w:rPr>
      </w:pPr>
    </w:p>
    <w:p>
      <w:pPr>
        <w:jc w:val="both"/>
        <w:spacing w:after="0" w:line="259" w:lineRule="auto"/>
        <w:rPr>
          <w:sz w:val="20"/>
          <w:szCs w:val="20"/>
          <w:color w:val="auto"/>
        </w:rPr>
      </w:pPr>
      <w:r>
        <w:rPr>
          <w:rFonts w:ascii="Arial" w:cs="Arial" w:eastAsia="Arial" w:hAnsi="Arial"/>
          <w:sz w:val="16"/>
          <w:szCs w:val="16"/>
          <w:color w:val="auto"/>
        </w:rPr>
        <w:t>In addition, our Manager expects to utilize third party contractors to perform services and functions related to the operation and leasing of our assets. These functions may include billing, collections, recovery and asset monitoring. Because we and our Manager do not directly control these third parties, there can be no assurance that the services they provide will be delivered at a level commensurate with our expectations, or at all. The failure of any such third party contractors to perform in accordance with our expectations could materially adversely affect our business, prospects, financial condition, results of operations and cash flows.</w:t>
      </w:r>
    </w:p>
    <w:p>
      <w:pPr>
        <w:spacing w:after="0" w:line="36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are subject to the risks and costs of obsolescence of our assets.</w:t>
      </w:r>
    </w:p>
    <w:p>
      <w:pPr>
        <w:spacing w:after="0" w:line="221"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Technological and other improvements expose us to the risk that certain of our assets may become technologically or commercially obsolete. For example, in our Aviation Leasing segment, as manufacturers introduce technological innovations and new types of aircraft, some of our assets could become less desirable to potential lessees. Such technological innovations may increase the rate of obsolescence of existing aircraft faster than currently anticipated by us. In addition, the imposition of increased regulation regarding stringent noise or emissions restrictions may make some of our aircraft less desirable and less valuable in the marketplace. In our Offshore Energy segment, development and construction of new, sophisticated, high-specification assets could cause our assets to become less desirable to potential charterers, and insurance rates may also increase with the age of a vessel, making older vessels less desirable to potential charterers. Any of these risks may adversely affect our ability to lease, charter or sell our assets on favorable terms, if at all, which could materially adversely affect our operating results and growth prospects.</w:t>
      </w:r>
    </w:p>
    <w:p>
      <w:pPr>
        <w:spacing w:after="0" w:line="177" w:lineRule="exact"/>
        <w:rPr>
          <w:sz w:val="20"/>
          <w:szCs w:val="20"/>
          <w:color w:val="auto"/>
        </w:rPr>
      </w:pPr>
    </w:p>
    <w:p>
      <w:pPr>
        <w:jc w:val="both"/>
        <w:ind w:right="20"/>
        <w:spacing w:after="0" w:line="302" w:lineRule="auto"/>
        <w:rPr>
          <w:sz w:val="20"/>
          <w:szCs w:val="20"/>
          <w:color w:val="auto"/>
        </w:rPr>
      </w:pPr>
      <w:r>
        <w:rPr>
          <w:rFonts w:ascii="Arial" w:cs="Arial" w:eastAsia="Arial" w:hAnsi="Arial"/>
          <w:sz w:val="16"/>
          <w:szCs w:val="16"/>
          <w:b w:val="1"/>
          <w:bCs w:val="1"/>
          <w:i w:val="1"/>
          <w:iCs w:val="1"/>
          <w:color w:val="auto"/>
        </w:rPr>
        <w:t>The North American rail sector is a highly regulated industry and increased costs of compliance with, or liability for violation of, existing or future laws, regulations and other requirements could significantly increase our costs of doing business, thereby adversely affecting our profitability.</w:t>
      </w:r>
    </w:p>
    <w:p>
      <w:pPr>
        <w:spacing w:after="0" w:line="131" w:lineRule="exact"/>
        <w:rPr>
          <w:sz w:val="20"/>
          <w:szCs w:val="20"/>
          <w:color w:val="auto"/>
        </w:rPr>
      </w:pPr>
    </w:p>
    <w:p>
      <w:pPr>
        <w:jc w:val="both"/>
        <w:spacing w:after="0" w:line="254" w:lineRule="auto"/>
        <w:rPr>
          <w:sz w:val="20"/>
          <w:szCs w:val="20"/>
          <w:color w:val="auto"/>
        </w:rPr>
      </w:pPr>
      <w:r>
        <w:rPr>
          <w:rFonts w:ascii="Arial" w:cs="Arial" w:eastAsia="Arial" w:hAnsi="Arial"/>
          <w:sz w:val="16"/>
          <w:szCs w:val="16"/>
          <w:color w:val="auto"/>
        </w:rPr>
        <w:t>The rail sector is subject to extensive laws, regulations and other requirements including, but not limited to, those relating to the environment, safety, rates and charges, service obligations, employment, labor, immigration, minimum wages and overtime pay, health care and benefits, working conditions, public accessibility and other requirements. These laws and regulations are enforced by U.S. and Canadian federal agencies including the U.S. and Canadian Environmental Protection Agencies, the U.S. and Canadian Departments of Transportation (USDOT or Transport Canada), the Occupational Safety and Health Act (OSHA or Canadian provincial equivalents), the U.S. Federal Railroad Administration, or FRA, and the U.S. Surface Transportation Board, or STB, as well as numerous other state, provincial, local and federal agencies. Ongoing compliance with, or a violation of, these laws, regulations and other requirements could have a material adverse effect on our business, financial condition and results of operations.</w:t>
      </w:r>
    </w:p>
    <w:p>
      <w:pPr>
        <w:spacing w:after="0" w:line="177" w:lineRule="exact"/>
        <w:rPr>
          <w:sz w:val="20"/>
          <w:szCs w:val="20"/>
          <w:color w:val="auto"/>
        </w:rPr>
      </w:pPr>
    </w:p>
    <w:p>
      <w:pPr>
        <w:jc w:val="both"/>
        <w:spacing w:after="0" w:line="257" w:lineRule="auto"/>
        <w:rPr>
          <w:sz w:val="20"/>
          <w:szCs w:val="20"/>
          <w:color w:val="auto"/>
        </w:rPr>
      </w:pPr>
      <w:r>
        <w:rPr>
          <w:rFonts w:ascii="Arial" w:cs="Arial" w:eastAsia="Arial" w:hAnsi="Arial"/>
          <w:sz w:val="16"/>
          <w:szCs w:val="16"/>
          <w:color w:val="auto"/>
        </w:rPr>
        <w:t>We believe that our rail operations are in substantial compliance with applicable laws and regulations. However, these laws and regulations, and the interpretation or enforcement thereof, are subject to frequent change and varying interpretation by regulatory authorities, and we are unable to predict the ongoing cost to us of complying with these laws and regulations or the future impact of these laws and regulations on our operations. In addition, from time to time we are subject to inspections and investigations by various regulators. Violation of environmental or other laws, regulations and permits can result in the imposition of significant administrative, civil and criminal penalties, injunctions and construction bans or delays.</w:t>
      </w:r>
    </w:p>
    <w:p>
      <w:pPr>
        <w:spacing w:after="0" w:line="176" w:lineRule="exact"/>
        <w:rPr>
          <w:sz w:val="20"/>
          <w:szCs w:val="20"/>
          <w:color w:val="auto"/>
        </w:rPr>
      </w:pPr>
    </w:p>
    <w:p>
      <w:pPr>
        <w:jc w:val="both"/>
        <w:spacing w:after="0" w:line="255" w:lineRule="auto"/>
        <w:rPr>
          <w:sz w:val="20"/>
          <w:szCs w:val="20"/>
          <w:color w:val="auto"/>
        </w:rPr>
      </w:pPr>
      <w:r>
        <w:rPr>
          <w:rFonts w:ascii="Arial" w:cs="Arial" w:eastAsia="Arial" w:hAnsi="Arial"/>
          <w:sz w:val="16"/>
          <w:szCs w:val="16"/>
          <w:color w:val="auto"/>
        </w:rPr>
        <w:t>Legislation passed by the U.S. Congress or Canadian Parliament or new regulations issued by federal agencies can significantly affect the revenues, costs and profitability of our business. For instance, in December 2009, a proposed bill called the “Surface Transportation Board Reauthorization Act of 2009” was introduced in the Senate but not advanced. In addition, more recently proposed bills such as the “Rail Shipper Fairness Act of 2015,” if adopted, could increase government involvement in railroad pricing, service and operations and significantly change the federal regulatory framework of the railroad industry. Several of the changes under consideration could have a significant negative impact on FTAI’s ability to determine prices for rail services, meet service standards and could force a reduction in capital spending. Statutes imposing price constraints or affecting rail-to-rail competition could adversely affect FTAI’s profitability.</w:t>
      </w:r>
    </w:p>
    <w:p>
      <w:pPr>
        <w:spacing w:after="0" w:line="178" w:lineRule="exact"/>
        <w:rPr>
          <w:sz w:val="20"/>
          <w:szCs w:val="20"/>
          <w:color w:val="auto"/>
        </w:rPr>
      </w:pPr>
    </w:p>
    <w:p>
      <w:pPr>
        <w:jc w:val="both"/>
        <w:spacing w:after="0" w:line="261" w:lineRule="auto"/>
        <w:rPr>
          <w:sz w:val="20"/>
          <w:szCs w:val="20"/>
          <w:color w:val="auto"/>
        </w:rPr>
      </w:pPr>
      <w:r>
        <w:rPr>
          <w:rFonts w:ascii="Arial" w:cs="Arial" w:eastAsia="Arial" w:hAnsi="Arial"/>
          <w:sz w:val="16"/>
          <w:szCs w:val="16"/>
          <w:color w:val="auto"/>
        </w:rPr>
        <w:t>Under various U.S. and Canadian federal, state, provincial and local environmental requirements, as the owner or operator of terminals or other facilities, we may be liable for the costs of removal or remediation of contamination at or from our existing locations, whether we knew of, or were responsible for, the presence of such contamination. The failure to timely report and properly remediate contamination may subject us to liability to third parties and may adversely affect our ability to sell or rent our property or to borrow</w:t>
      </w:r>
    </w:p>
    <w:p>
      <w:pPr>
        <w:spacing w:after="0" w:line="19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78</w:t>
      </w:r>
    </w:p>
    <w:p>
      <w:pPr>
        <w:sectPr>
          <w:pgSz w:w="11900" w:h="16838" w:orient="portrait"/>
          <w:cols w:equalWidth="0" w:num="1">
            <w:col w:w="11420"/>
          </w:cols>
          <w:pgMar w:left="240" w:top="581" w:right="239" w:bottom="1440" w:gutter="0" w:footer="0" w:header="0"/>
        </w:sectPr>
      </w:pPr>
    </w:p>
    <w:bookmarkStart w:id="78" w:name="page79"/>
    <w:bookmarkEnd w:id="78"/>
    <w:p>
      <w:pPr>
        <w:jc w:val="both"/>
        <w:spacing w:after="0" w:line="261" w:lineRule="auto"/>
        <w:rPr>
          <w:sz w:val="20"/>
          <w:szCs w:val="20"/>
          <w:color w:val="auto"/>
        </w:rPr>
      </w:pPr>
      <w:r>
        <w:rPr>
          <w:rFonts w:ascii="Arial" w:cs="Arial" w:eastAsia="Arial" w:hAnsi="Arial"/>
          <w:sz w:val="16"/>
          <w:szCs w:val="16"/>
          <w:color w:val="auto"/>
        </w:rPr>
        <w:t>money using our property as collateral. Additionally, we may be liable for the costs of remediating third-party sites where hazardous substances from our operations have been transported for treatment or disposal, regardless of whether we own or operate that site. In the future, we may incur substantial expenditures for investigation or remediation of contamination that has not yet been discovered at our current or former locations or locations that we may acquire.</w:t>
      </w:r>
    </w:p>
    <w:p>
      <w:pPr>
        <w:spacing w:after="0" w:line="172" w:lineRule="exact"/>
        <w:rPr>
          <w:sz w:val="20"/>
          <w:szCs w:val="20"/>
          <w:color w:val="auto"/>
        </w:rPr>
      </w:pPr>
    </w:p>
    <w:p>
      <w:pPr>
        <w:jc w:val="both"/>
        <w:spacing w:after="0" w:line="254" w:lineRule="auto"/>
        <w:rPr>
          <w:sz w:val="20"/>
          <w:szCs w:val="20"/>
          <w:color w:val="auto"/>
        </w:rPr>
      </w:pPr>
      <w:r>
        <w:rPr>
          <w:rFonts w:ascii="Arial" w:cs="Arial" w:eastAsia="Arial" w:hAnsi="Arial"/>
          <w:sz w:val="16"/>
          <w:szCs w:val="16"/>
          <w:color w:val="auto"/>
        </w:rPr>
        <w:t>A discharge of hydrocarbons or hazardous substances into the environment associated with operating our rail assets could subject us to substantial expense, including the cost to recover the materials spilled, restore the affected natural resources, pay fines and penalties, and natural resource damages and claims made by employees, neighboring landowners, government authorities and other third parties, including for personal injury and property damage. We may experience future catastrophic sudden or gradual releases into the environment from our facilities or discover historical releases that were previously unidentified or not assessed. Although our inspection and testing programs are designed to prevent, detect and address any such releases promptly, the liabilities incurred due to any future releases into the environment from our assets, have the potential to substantially affect our business. Such events could also subject us to media and public scrutiny that could have a negative effect on our operations and also on the value of our common shares.</w:t>
      </w:r>
    </w:p>
    <w:p>
      <w:pPr>
        <w:spacing w:after="0" w:line="177" w:lineRule="exact"/>
        <w:rPr>
          <w:sz w:val="20"/>
          <w:szCs w:val="20"/>
          <w:color w:val="auto"/>
        </w:rPr>
      </w:pPr>
    </w:p>
    <w:p>
      <w:pPr>
        <w:jc w:val="both"/>
        <w:spacing w:after="0" w:line="302" w:lineRule="auto"/>
        <w:rPr>
          <w:sz w:val="20"/>
          <w:szCs w:val="20"/>
          <w:color w:val="auto"/>
        </w:rPr>
      </w:pPr>
      <w:r>
        <w:rPr>
          <w:rFonts w:ascii="Arial" w:cs="Arial" w:eastAsia="Arial" w:hAnsi="Arial"/>
          <w:sz w:val="16"/>
          <w:szCs w:val="16"/>
          <w:b w:val="1"/>
          <w:bCs w:val="1"/>
          <w:i w:val="1"/>
          <w:iCs w:val="1"/>
          <w:color w:val="auto"/>
        </w:rPr>
        <w:t>Our business could be adversely affected if service on the railroads is interrupted or if more stringent regulations are adopted regarding railcar design or the transportation of crude oil by rail.</w:t>
      </w:r>
    </w:p>
    <w:p>
      <w:pPr>
        <w:spacing w:after="0" w:line="131" w:lineRule="exact"/>
        <w:rPr>
          <w:sz w:val="20"/>
          <w:szCs w:val="20"/>
          <w:color w:val="auto"/>
        </w:rPr>
      </w:pPr>
    </w:p>
    <w:p>
      <w:pPr>
        <w:jc w:val="both"/>
        <w:spacing w:after="0" w:line="257" w:lineRule="auto"/>
        <w:rPr>
          <w:sz w:val="20"/>
          <w:szCs w:val="20"/>
          <w:color w:val="auto"/>
        </w:rPr>
      </w:pPr>
      <w:r>
        <w:rPr>
          <w:rFonts w:ascii="Arial" w:cs="Arial" w:eastAsia="Arial" w:hAnsi="Arial"/>
          <w:sz w:val="16"/>
          <w:szCs w:val="16"/>
          <w:color w:val="auto"/>
        </w:rPr>
        <w:t>As a result of hydraulic fracturing and other improvements in extraction technologies, there has been a substantial increase in the volume of crude oil and liquid hydrocarbons produced and transported in North America, and a geographic shift in that production versus historical production. The increase in volume and shift in geography has resulted in a growing percentage of crude oil being transported by rail. High-profile accidents involving crude-oil-carrying trains in Quebec, North Dakota and Virginia, and more recently in West Virginia and Illinois, have raised concerns about the environmental and safety risks associated with crude oil transport by rail and the associated risks arising from railcar design.</w:t>
      </w:r>
    </w:p>
    <w:p>
      <w:pPr>
        <w:spacing w:after="0" w:line="176"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In May 2015, the DOT issued new production standards and operational controls for rail tank cars used in “High-Hazard Flammable Trains” (i.e., trains carrying commodities such as ethanol, crude oil and other flammable liquids). Similar standards have been adopted in Canada. The new standard applies for all cars manufactured after October 1, 2015, and existing tank cars must be retrofitted within the next three to eight years. The applicable operational controls include reduced speed restrictions, and maximum lengths on trains carrying these materials. Retrofitting our tank cars will be required under these new standards. While we may be able to pass some of these costs on to our customers, there may be costs that we cannot pass on to them. We continue to monitor the railcar regulatory landscape and remain in close contact with railcar suppliers and other industry stakeholders to stay informed of railcar regulation rulemaking developments. It is unclear how these regulations will impact the crude-by-rail industry, and any such impact would depend on a number of factors that are outside of our control. If, for example, overall volume of crude-by-rail decreases, or if we do not have access to a sufficient number of compliant cars to transport required volumes under our existing contracts, our operations may be negatively affected. This may lead to a decrease in revenues and other consequences.</w:t>
      </w:r>
    </w:p>
    <w:p>
      <w:pPr>
        <w:spacing w:after="0" w:line="375" w:lineRule="exact"/>
        <w:rPr>
          <w:sz w:val="20"/>
          <w:szCs w:val="20"/>
          <w:color w:val="auto"/>
        </w:rPr>
      </w:pPr>
    </w:p>
    <w:p>
      <w:pPr>
        <w:jc w:val="both"/>
        <w:spacing w:after="0" w:line="257" w:lineRule="auto"/>
        <w:rPr>
          <w:sz w:val="20"/>
          <w:szCs w:val="20"/>
          <w:color w:val="auto"/>
        </w:rPr>
      </w:pPr>
      <w:r>
        <w:rPr>
          <w:rFonts w:ascii="Arial" w:cs="Arial" w:eastAsia="Arial" w:hAnsi="Arial"/>
          <w:sz w:val="16"/>
          <w:szCs w:val="16"/>
          <w:color w:val="auto"/>
        </w:rPr>
        <w:t>The adoption of additional federal, state, provincial or local laws or regulations, including any voluntary measures by the rail industry regarding railcar design or crude oil and liquid hydrocarbon rail transport activities, or efforts by local communities to restrict or limit rail traffic involving crude oil, could affect our business by increasing compliance costs and decreasing demand for our services, which could adversely affect our financial position and cash flows. Moreover, any disruptions in the operations of railroads, including those due to shortages of railcars, weather-related problems, flooding, drought, accidents, mechanical difficulties, strikes, lockouts or bottlenecks, could adversely impact our customers’ ability to move their product and, as a result, could affect our business.</w:t>
      </w: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79</w:t>
      </w:r>
    </w:p>
    <w:p>
      <w:pPr>
        <w:sectPr>
          <w:pgSz w:w="11900" w:h="16838" w:orient="portrait"/>
          <w:cols w:equalWidth="0" w:num="1">
            <w:col w:w="11420"/>
          </w:cols>
          <w:pgMar w:left="240" w:top="580" w:right="239" w:bottom="1440" w:gutter="0" w:footer="0" w:header="0"/>
        </w:sectPr>
      </w:pPr>
    </w:p>
    <w:bookmarkStart w:id="79" w:name="page80"/>
    <w:bookmarkEnd w:id="79"/>
    <w:p>
      <w:pPr>
        <w:jc w:val="both"/>
        <w:ind w:right="20"/>
        <w:spacing w:after="0" w:line="302" w:lineRule="auto"/>
        <w:rPr>
          <w:sz w:val="20"/>
          <w:szCs w:val="20"/>
          <w:color w:val="auto"/>
        </w:rPr>
      </w:pPr>
      <w:r>
        <w:rPr>
          <w:rFonts w:ascii="Arial" w:cs="Arial" w:eastAsia="Arial" w:hAnsi="Arial"/>
          <w:sz w:val="16"/>
          <w:szCs w:val="16"/>
          <w:b w:val="1"/>
          <w:bCs w:val="1"/>
          <w:i w:val="1"/>
          <w:iCs w:val="1"/>
          <w:color w:val="auto"/>
        </w:rPr>
        <w:t>Our assets are exposed to unplanned interruptions caused by catastrophic events outside of our control which may disrupt our business and cause damage or losses that may not be adequately covered by insurance.</w:t>
      </w:r>
    </w:p>
    <w:p>
      <w:pPr>
        <w:spacing w:after="0" w:line="131" w:lineRule="exact"/>
        <w:rPr>
          <w:sz w:val="20"/>
          <w:szCs w:val="20"/>
          <w:color w:val="auto"/>
        </w:rPr>
      </w:pPr>
    </w:p>
    <w:p>
      <w:pPr>
        <w:jc w:val="both"/>
        <w:spacing w:after="0" w:line="252" w:lineRule="auto"/>
        <w:rPr>
          <w:sz w:val="20"/>
          <w:szCs w:val="20"/>
          <w:color w:val="auto"/>
        </w:rPr>
      </w:pPr>
      <w:r>
        <w:rPr>
          <w:rFonts w:ascii="Arial" w:cs="Arial" w:eastAsia="Arial" w:hAnsi="Arial"/>
          <w:sz w:val="16"/>
          <w:szCs w:val="16"/>
          <w:color w:val="auto"/>
        </w:rPr>
        <w:t>The operations of transportation and infrastructure projects are exposed to unplanned interruptions caused by significant catastrophic events, such as cyclones, earthquakes, landslides, floods, explosions, fires, major plant breakdowns, pipeline or electricity line ruptures or other disasters. Operational disruption, as well as supply disruption, could adversely impact the cash flows available from these assets. In addition, the cost of repairing or replacing damaged assets could be considerable. Repeated or prolonged interruption may result in temporary or permanent loss of customers, substantial litigation or penalties for regulatory or contractual non-compliance, and any loss from such events may not be recoverable under relevant insurance policies. Although we believe that we are adequately insured against these types of events, either indirectly through our lessees or charterers or through our own insurance policies, no assurance can be given that the occurrence of any such event will not materially adversely affect us. In addition, if a lessee or charterer is not obligated to maintain sufficient insurance, we may incur the costs of additional insurance coverage during the related lease or charter. We can give no assurance that such insurance will be available at commercially reasonable rates, if at all.</w:t>
      </w:r>
    </w:p>
    <w:p>
      <w:pPr>
        <w:spacing w:after="0" w:line="17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Our assets generally require routine maintenance, and we may be exposed to unforeseen maintenance costs.</w:t>
      </w:r>
    </w:p>
    <w:p>
      <w:pPr>
        <w:spacing w:after="0" w:line="221" w:lineRule="exact"/>
        <w:rPr>
          <w:sz w:val="20"/>
          <w:szCs w:val="20"/>
          <w:color w:val="auto"/>
        </w:rPr>
      </w:pPr>
    </w:p>
    <w:p>
      <w:pPr>
        <w:jc w:val="both"/>
        <w:spacing w:after="0" w:line="252" w:lineRule="auto"/>
        <w:rPr>
          <w:sz w:val="20"/>
          <w:szCs w:val="20"/>
          <w:color w:val="auto"/>
        </w:rPr>
      </w:pPr>
      <w:r>
        <w:rPr>
          <w:rFonts w:ascii="Arial" w:cs="Arial" w:eastAsia="Arial" w:hAnsi="Arial"/>
          <w:sz w:val="16"/>
          <w:szCs w:val="16"/>
          <w:color w:val="auto"/>
        </w:rPr>
        <w:t>We may be exposed to unforeseen maintenance costs for our assets associated with a lessee’s or charterer’s failure to properly maintain the asset. We enter into leases and charters with respect to some of our assets pursuant to which the lessees are primarily responsible for many obligations, which generally include complying with all governmental requirements applicable to the lessee or charterer, including operational, maintenance, government agency oversight, registration requirements and other applicable directives. Failure of a lessee or charterer to perform required maintenance during the term of a lease or charter could result in a decrease in value of an asset, an inability to re-lease or charter an asset at favorable rates, if at all, or a potential inability to utilize an asset. Maintenance failures would also likely require us to incur maintenance and modification costs upon the termination of the applicable lease or charter; such costs to restore the asset to an acceptable condition prior to re-leasing, charter or sale could be substantial. Any failure by our lessees or charterers to meet their obligations to perform required scheduled maintenance or our inability to maintain our assets could materially adversely affect our business, prospects, financial condition, results of operations and cash flows.</w:t>
      </w:r>
    </w:p>
    <w:p>
      <w:pPr>
        <w:spacing w:after="0" w:line="179" w:lineRule="exact"/>
        <w:rPr>
          <w:sz w:val="20"/>
          <w:szCs w:val="20"/>
          <w:color w:val="auto"/>
        </w:rPr>
      </w:pPr>
    </w:p>
    <w:p>
      <w:pPr>
        <w:jc w:val="both"/>
        <w:spacing w:after="0" w:line="302" w:lineRule="auto"/>
        <w:rPr>
          <w:sz w:val="20"/>
          <w:szCs w:val="20"/>
          <w:color w:val="auto"/>
        </w:rPr>
      </w:pPr>
      <w:r>
        <w:rPr>
          <w:rFonts w:ascii="Arial" w:cs="Arial" w:eastAsia="Arial" w:hAnsi="Arial"/>
          <w:sz w:val="16"/>
          <w:szCs w:val="16"/>
          <w:b w:val="1"/>
          <w:bCs w:val="1"/>
          <w:i w:val="1"/>
          <w:iCs w:val="1"/>
          <w:color w:val="auto"/>
        </w:rPr>
        <w:t>Some of our customers operate in highly regulated industries and changes in laws or regulations, including laws with respect to international trade, may adversely affect our ability to lease, charter or sell our assets.</w:t>
      </w:r>
    </w:p>
    <w:p>
      <w:pPr>
        <w:spacing w:after="0" w:line="131" w:lineRule="exact"/>
        <w:rPr>
          <w:sz w:val="20"/>
          <w:szCs w:val="20"/>
          <w:color w:val="auto"/>
        </w:rPr>
      </w:pPr>
    </w:p>
    <w:p>
      <w:pPr>
        <w:jc w:val="both"/>
        <w:spacing w:after="0" w:line="252" w:lineRule="auto"/>
        <w:rPr>
          <w:sz w:val="20"/>
          <w:szCs w:val="20"/>
          <w:color w:val="auto"/>
        </w:rPr>
      </w:pPr>
      <w:r>
        <w:rPr>
          <w:rFonts w:ascii="Arial" w:cs="Arial" w:eastAsia="Arial" w:hAnsi="Arial"/>
          <w:sz w:val="16"/>
          <w:szCs w:val="16"/>
          <w:color w:val="auto"/>
        </w:rPr>
        <w:t>Some of our customers operate in highly regulated industries such as aviation and offshore energy. A number of our contractual arrangements-for example, our leasing aircraft engines or offshore energy equipment to third-party operators-require the operator (our customer) to obtain specific governmental or regulatory licenses, consents or approvals. These include consents for certain payments under such arrangements and for the export, import or re-export of the related assets. Failure by our customers or, in certain circumstances, by us, to obtain certain licenses and approvals could negatively affect our ability to conduct our business. In addition, the shipment of goods, services and technology across international borders subjects the operation of our assets to international trade laws and regulations. Moreover, many countries, including the United States, control the export and re-export of certain goods, services and technology and impose related export recordkeeping and reporting obligations. Governments also may impose economic sanctions against certain countries, persons and other entities that may restrict or prohibit transactions involving such countries, persons and entities. If any such regulations or sanctions affect the asset operators that are our customers, our business, prospects, financial condition, results of operations and cash flows may be materially adversely affected.</w:t>
      </w:r>
    </w:p>
    <w:p>
      <w:pPr>
        <w:spacing w:after="0" w:line="179" w:lineRule="exact"/>
        <w:rPr>
          <w:sz w:val="20"/>
          <w:szCs w:val="20"/>
          <w:color w:val="auto"/>
        </w:rPr>
      </w:pPr>
    </w:p>
    <w:p>
      <w:pPr>
        <w:jc w:val="both"/>
        <w:spacing w:after="0" w:line="302" w:lineRule="auto"/>
        <w:rPr>
          <w:sz w:val="20"/>
          <w:szCs w:val="20"/>
          <w:color w:val="auto"/>
        </w:rPr>
      </w:pPr>
      <w:r>
        <w:rPr>
          <w:rFonts w:ascii="Arial" w:cs="Arial" w:eastAsia="Arial" w:hAnsi="Arial"/>
          <w:sz w:val="16"/>
          <w:szCs w:val="16"/>
          <w:b w:val="1"/>
          <w:bCs w:val="1"/>
          <w:i w:val="1"/>
          <w:iCs w:val="1"/>
          <w:color w:val="auto"/>
        </w:rPr>
        <w:t>It is impossible to predict whether third parties will allege liability related to our purchase of the Montreal, Maine and Atlantic Railway (“MM&amp;A”) assets out of bankruptcy, including possible claims related to the July 6, 2013 train derailment near Lac-Mégantic, Quebec.</w:t>
      </w:r>
    </w:p>
    <w:p>
      <w:pPr>
        <w:spacing w:after="0" w:line="131"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On July 6, 2013, prior to our ownership, a train carrying crude oil on the MM&amp;A line derailed near Lac-Mégantic, Quebec which resulted in fires that claimed the lives of 47 individuals (the “Incident”). Approximately two million gallons of crude oil were either burned or released into the environment, including into the nearby Chaudière River. Prior to our acquisition of the MM&amp;A assets in May and June 2014, we received written assurance from the Quebec Ministry of Sustainable Development, Environment, Wildlife and Parks that it would take full responsibility for the environmental clean-up and that it would not hold CMQR liable for any environmental damages or costs relating to clean-up or restoration of the affected area as a result of the Incident. While we don’t anticipate any liability relating to the Incident, including liability for claims alleging personal injury, property damage or natural resource damages, there can be no assurance that such claims relating to the Incident will not arise in the future. No claims have been made or threatened against us as of September 30, 2017 and we do not anticipate any expenditures relating to environmental clean-up (including impacts to the Chaudière River) as a result of the Incident.</w:t>
      </w: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80</w:t>
      </w:r>
    </w:p>
    <w:p>
      <w:pPr>
        <w:sectPr>
          <w:pgSz w:w="11900" w:h="16838" w:orient="portrait"/>
          <w:cols w:equalWidth="0" w:num="1">
            <w:col w:w="11420"/>
          </w:cols>
          <w:pgMar w:left="240" w:top="581" w:right="239" w:bottom="1440" w:gutter="0" w:footer="0" w:header="0"/>
        </w:sectPr>
      </w:pPr>
    </w:p>
    <w:bookmarkStart w:id="80" w:name="page81"/>
    <w:bookmarkEnd w:id="80"/>
    <w:p>
      <w:pPr>
        <w:jc w:val="both"/>
        <w:spacing w:after="0" w:line="302" w:lineRule="auto"/>
        <w:rPr>
          <w:sz w:val="20"/>
          <w:szCs w:val="20"/>
          <w:color w:val="auto"/>
        </w:rPr>
      </w:pPr>
      <w:r>
        <w:rPr>
          <w:rFonts w:ascii="Arial" w:cs="Arial" w:eastAsia="Arial" w:hAnsi="Arial"/>
          <w:sz w:val="16"/>
          <w:szCs w:val="16"/>
          <w:b w:val="1"/>
          <w:bCs w:val="1"/>
          <w:i w:val="1"/>
          <w:iCs w:val="1"/>
          <w:color w:val="auto"/>
        </w:rPr>
        <w:t>Certain of our assets are subject to purchase options held by the charterer or lessee of the asset which, if exercised, could reduce the size of our asset base and our future revenues.</w:t>
      </w:r>
    </w:p>
    <w:p>
      <w:pPr>
        <w:spacing w:after="0" w:line="131" w:lineRule="exact"/>
        <w:rPr>
          <w:sz w:val="20"/>
          <w:szCs w:val="20"/>
          <w:color w:val="auto"/>
        </w:rPr>
      </w:pPr>
    </w:p>
    <w:p>
      <w:pPr>
        <w:jc w:val="both"/>
        <w:spacing w:after="0" w:line="255" w:lineRule="auto"/>
        <w:rPr>
          <w:sz w:val="20"/>
          <w:szCs w:val="20"/>
          <w:color w:val="auto"/>
        </w:rPr>
      </w:pPr>
      <w:r>
        <w:rPr>
          <w:rFonts w:ascii="Arial" w:cs="Arial" w:eastAsia="Arial" w:hAnsi="Arial"/>
          <w:sz w:val="16"/>
          <w:szCs w:val="16"/>
          <w:color w:val="auto"/>
        </w:rPr>
        <w:t>We have granted purchase options to the charterers and lessees of certain of our assets. The market values of these assets may change from time to time depending on a number of factors, such as general economic and market conditions affecting the industries in which we operate, competition, cost of construction, governmental or other regulations, technological changes and prevailing levels of charter or lease rates from time to time. The purchase price under a purchase option may be less than the asset’s market value at the time the option may be exercised. In addition, we may not be able to obtain a replacement asset for the price at which the asset is sold. In such cases, our business, prospects, financial condition, results of operations and cash flows may be materially adversely affected.</w:t>
      </w:r>
    </w:p>
    <w:p>
      <w:pPr>
        <w:spacing w:after="0" w:line="178" w:lineRule="exact"/>
        <w:rPr>
          <w:sz w:val="20"/>
          <w:szCs w:val="20"/>
          <w:color w:val="auto"/>
        </w:rPr>
      </w:pPr>
    </w:p>
    <w:p>
      <w:pPr>
        <w:jc w:val="both"/>
        <w:spacing w:after="0" w:line="302" w:lineRule="auto"/>
        <w:rPr>
          <w:sz w:val="20"/>
          <w:szCs w:val="20"/>
          <w:color w:val="auto"/>
        </w:rPr>
      </w:pPr>
      <w:r>
        <w:rPr>
          <w:rFonts w:ascii="Arial" w:cs="Arial" w:eastAsia="Arial" w:hAnsi="Arial"/>
          <w:sz w:val="16"/>
          <w:szCs w:val="16"/>
          <w:b w:val="1"/>
          <w:bCs w:val="1"/>
          <w:i w:val="1"/>
          <w:iCs w:val="1"/>
          <w:color w:val="auto"/>
        </w:rPr>
        <w:t>The profitability of our Offshore Energy segment may be impacted by the profitability of the offshore oil and gas industry generally, which is significantly affected by, among other things, volatile oil and gas prices.</w:t>
      </w:r>
    </w:p>
    <w:p>
      <w:pPr>
        <w:spacing w:after="0" w:line="131" w:lineRule="exact"/>
        <w:rPr>
          <w:sz w:val="20"/>
          <w:szCs w:val="20"/>
          <w:color w:val="auto"/>
        </w:rPr>
      </w:pPr>
    </w:p>
    <w:p>
      <w:pPr>
        <w:jc w:val="both"/>
        <w:spacing w:after="0" w:line="250" w:lineRule="auto"/>
        <w:rPr>
          <w:sz w:val="20"/>
          <w:szCs w:val="20"/>
          <w:color w:val="auto"/>
        </w:rPr>
      </w:pPr>
      <w:r>
        <w:rPr>
          <w:rFonts w:ascii="Arial" w:cs="Arial" w:eastAsia="Arial" w:hAnsi="Arial"/>
          <w:sz w:val="16"/>
          <w:szCs w:val="16"/>
          <w:color w:val="auto"/>
        </w:rPr>
        <w:t>Demand for assets in the Offshore Energy segment and our ability to secure charter contracts for our assets at favorable charter rates following expiry or termination of existing charters will depend, among other things, on the level of activity in the offshore oil and gas industry. The offshore oil and gas industry is cyclical and volatile, and demand for oil-service assets depends on, among other things, the level of development and activity in oil and gas exploration, as well as the identification and development of oil and gas reserves and production in offshore areas worldwide. The availability of high quality oil and gas prospects, exploration success, relative production costs, the stage of reservoir development, political concerns and regulatory requirements all affect the level of activity for charterers of oil-service vessels. Accordingly, oil and gas prices and market expectations of potential changes in these prices significantly affect the level of activity and demand for oil-service assets. Oil and gas prices can be extremely volatile (and have declined significantly in the last year) and are affected by numerous factors beyond the Company’s control, such as: worldwide demand for oil and gas; costs of exploring, developing, producing and delivering oil and gas; expectations regarding future energy prices; the ability of the Organization of Petroleum Exporting Countries (“OPEC”) to set and maintain production levels and impact pricing; the level of production in non-OPEC countries; governmental regulations and policies regarding development of oil and gas reserves; local and international political, economic and weather conditions; domestic and foreign tax policies; political and military conflicts in oil-producing and other countries; and the development and exploration of alternative fuels. Any reduction in the demand for our assets due to these or other factors could materially adversely affect our operating results and growth prospects.</w:t>
      </w:r>
    </w:p>
    <w:p>
      <w:pPr>
        <w:spacing w:after="0" w:line="183" w:lineRule="exact"/>
        <w:rPr>
          <w:sz w:val="20"/>
          <w:szCs w:val="20"/>
          <w:color w:val="auto"/>
        </w:rPr>
      </w:pPr>
    </w:p>
    <w:p>
      <w:pPr>
        <w:jc w:val="both"/>
        <w:spacing w:after="0" w:line="302" w:lineRule="auto"/>
        <w:rPr>
          <w:sz w:val="20"/>
          <w:szCs w:val="20"/>
          <w:color w:val="auto"/>
        </w:rPr>
      </w:pPr>
      <w:r>
        <w:rPr>
          <w:rFonts w:ascii="Arial" w:cs="Arial" w:eastAsia="Arial" w:hAnsi="Arial"/>
          <w:sz w:val="16"/>
          <w:szCs w:val="16"/>
          <w:b w:val="1"/>
          <w:bCs w:val="1"/>
          <w:i w:val="1"/>
          <w:iCs w:val="1"/>
          <w:color w:val="auto"/>
        </w:rPr>
        <w:t>Our Shipping Containers segment is affected by the lack of an international title registry for containers, which increases the risk of ownership disputes.</w:t>
      </w:r>
    </w:p>
    <w:p>
      <w:pPr>
        <w:spacing w:after="0" w:line="131" w:lineRule="exact"/>
        <w:rPr>
          <w:sz w:val="20"/>
          <w:szCs w:val="20"/>
          <w:color w:val="auto"/>
        </w:rPr>
      </w:pPr>
    </w:p>
    <w:p>
      <w:pPr>
        <w:jc w:val="both"/>
        <w:spacing w:after="0" w:line="255" w:lineRule="auto"/>
        <w:rPr>
          <w:sz w:val="20"/>
          <w:szCs w:val="20"/>
          <w:color w:val="auto"/>
        </w:rPr>
      </w:pPr>
      <w:r>
        <w:rPr>
          <w:rFonts w:ascii="Arial" w:cs="Arial" w:eastAsia="Arial" w:hAnsi="Arial"/>
          <w:sz w:val="16"/>
          <w:szCs w:val="16"/>
          <w:color w:val="auto"/>
        </w:rPr>
        <w:t>Although the Bureau International des Containers registers and allocates a unique four letter prefix to every container in accordance with International Standardization Organization (“ISO”) standard 6346 (Freight container coding, identification and marking) there is no internationally recognized system of recordation or filing to evidence our title to containers nor is there an internationally recognized system for filing security interest in containers. While this has not historically had a material impact on our intermodal assets, the lack of a title recordation system with respect to containers could result in disputes with lessees, end-users, or third parties, such as creditors of end-users, who may improperly claim ownership of the containers, especially in countries with less developed legal systems.</w:t>
      </w:r>
    </w:p>
    <w:p>
      <w:pPr>
        <w:spacing w:after="0" w:line="178" w:lineRule="exact"/>
        <w:rPr>
          <w:sz w:val="20"/>
          <w:szCs w:val="20"/>
          <w:color w:val="auto"/>
        </w:rPr>
      </w:pPr>
    </w:p>
    <w:p>
      <w:pPr>
        <w:jc w:val="both"/>
        <w:spacing w:after="0" w:line="302" w:lineRule="auto"/>
        <w:rPr>
          <w:sz w:val="20"/>
          <w:szCs w:val="20"/>
          <w:color w:val="auto"/>
        </w:rPr>
      </w:pPr>
      <w:r>
        <w:rPr>
          <w:rFonts w:ascii="Arial" w:cs="Arial" w:eastAsia="Arial" w:hAnsi="Arial"/>
          <w:sz w:val="16"/>
          <w:szCs w:val="16"/>
          <w:b w:val="1"/>
          <w:bCs w:val="1"/>
          <w:i w:val="1"/>
          <w:iCs w:val="1"/>
          <w:color w:val="auto"/>
        </w:rPr>
        <w:t>Our international operations involve additional risks, which could adversely affect our business, prospects, financial condition, results of operations and cash flows.</w:t>
      </w:r>
    </w:p>
    <w:p>
      <w:pPr>
        <w:spacing w:after="0" w:line="131" w:lineRule="exact"/>
        <w:rPr>
          <w:sz w:val="20"/>
          <w:szCs w:val="20"/>
          <w:color w:val="auto"/>
        </w:rPr>
      </w:pPr>
    </w:p>
    <w:p>
      <w:pPr>
        <w:jc w:val="both"/>
        <w:ind w:right="20"/>
        <w:spacing w:after="0" w:line="291" w:lineRule="auto"/>
        <w:rPr>
          <w:sz w:val="20"/>
          <w:szCs w:val="20"/>
          <w:color w:val="auto"/>
        </w:rPr>
      </w:pPr>
      <w:r>
        <w:rPr>
          <w:rFonts w:ascii="Arial" w:cs="Arial" w:eastAsia="Arial" w:hAnsi="Arial"/>
          <w:sz w:val="16"/>
          <w:szCs w:val="16"/>
          <w:color w:val="auto"/>
        </w:rPr>
        <w:t>We and our customers operate in various regions throughout the world. As a result, we may, directly or indirectly, be exposed to political and other uncertainties, including risks of:</w:t>
      </w:r>
    </w:p>
    <w:p>
      <w:pPr>
        <w:spacing w:after="0" w:line="148" w:lineRule="exact"/>
        <w:rPr>
          <w:sz w:val="20"/>
          <w:szCs w:val="20"/>
          <w:color w:val="auto"/>
        </w:rPr>
      </w:pPr>
    </w:p>
    <w:p>
      <w:pPr>
        <w:ind w:left="660" w:hanging="328"/>
        <w:spacing w:after="0"/>
        <w:tabs>
          <w:tab w:leader="none" w:pos="660" w:val="left"/>
        </w:tabs>
        <w:numPr>
          <w:ilvl w:val="0"/>
          <w:numId w:val="32"/>
        </w:numPr>
        <w:rPr>
          <w:rFonts w:ascii="Arial" w:cs="Arial" w:eastAsia="Arial" w:hAnsi="Arial"/>
          <w:sz w:val="16"/>
          <w:szCs w:val="16"/>
          <w:color w:val="auto"/>
        </w:rPr>
      </w:pPr>
      <w:r>
        <w:rPr>
          <w:rFonts w:ascii="Arial" w:cs="Arial" w:eastAsia="Arial" w:hAnsi="Arial"/>
          <w:sz w:val="16"/>
          <w:szCs w:val="16"/>
          <w:color w:val="auto"/>
        </w:rPr>
        <w:t>terrorist acts, armed hostilities, war and civil disturbances;</w:t>
      </w:r>
    </w:p>
    <w:p>
      <w:pPr>
        <w:spacing w:after="0" w:line="221" w:lineRule="exact"/>
        <w:rPr>
          <w:rFonts w:ascii="Arial" w:cs="Arial" w:eastAsia="Arial" w:hAnsi="Arial"/>
          <w:sz w:val="16"/>
          <w:szCs w:val="16"/>
          <w:color w:val="auto"/>
        </w:rPr>
      </w:pPr>
    </w:p>
    <w:p>
      <w:pPr>
        <w:ind w:left="660" w:hanging="328"/>
        <w:spacing w:after="0"/>
        <w:tabs>
          <w:tab w:leader="none" w:pos="660" w:val="left"/>
        </w:tabs>
        <w:numPr>
          <w:ilvl w:val="0"/>
          <w:numId w:val="32"/>
        </w:numPr>
        <w:rPr>
          <w:rFonts w:ascii="Arial" w:cs="Arial" w:eastAsia="Arial" w:hAnsi="Arial"/>
          <w:sz w:val="16"/>
          <w:szCs w:val="16"/>
          <w:color w:val="auto"/>
        </w:rPr>
      </w:pPr>
      <w:r>
        <w:rPr>
          <w:rFonts w:ascii="Arial" w:cs="Arial" w:eastAsia="Arial" w:hAnsi="Arial"/>
          <w:sz w:val="16"/>
          <w:szCs w:val="16"/>
          <w:color w:val="auto"/>
        </w:rPr>
        <w:t>acts of piracy;</w:t>
      </w:r>
    </w:p>
    <w:p>
      <w:pPr>
        <w:spacing w:after="0" w:line="221" w:lineRule="exact"/>
        <w:rPr>
          <w:rFonts w:ascii="Arial" w:cs="Arial" w:eastAsia="Arial" w:hAnsi="Arial"/>
          <w:sz w:val="16"/>
          <w:szCs w:val="16"/>
          <w:color w:val="auto"/>
        </w:rPr>
      </w:pPr>
    </w:p>
    <w:p>
      <w:pPr>
        <w:ind w:left="660" w:hanging="328"/>
        <w:spacing w:after="0"/>
        <w:tabs>
          <w:tab w:leader="none" w:pos="660" w:val="left"/>
        </w:tabs>
        <w:numPr>
          <w:ilvl w:val="0"/>
          <w:numId w:val="32"/>
        </w:numPr>
        <w:rPr>
          <w:rFonts w:ascii="Arial" w:cs="Arial" w:eastAsia="Arial" w:hAnsi="Arial"/>
          <w:sz w:val="16"/>
          <w:szCs w:val="16"/>
          <w:color w:val="auto"/>
        </w:rPr>
      </w:pPr>
      <w:r>
        <w:rPr>
          <w:rFonts w:ascii="Arial" w:cs="Arial" w:eastAsia="Arial" w:hAnsi="Arial"/>
          <w:sz w:val="16"/>
          <w:szCs w:val="16"/>
          <w:color w:val="auto"/>
        </w:rPr>
        <w:t>significant governmental influence over many aspects of local economies;</w:t>
      </w:r>
    </w:p>
    <w:p>
      <w:pPr>
        <w:spacing w:after="0" w:line="221" w:lineRule="exact"/>
        <w:rPr>
          <w:rFonts w:ascii="Arial" w:cs="Arial" w:eastAsia="Arial" w:hAnsi="Arial"/>
          <w:sz w:val="16"/>
          <w:szCs w:val="16"/>
          <w:color w:val="auto"/>
        </w:rPr>
      </w:pPr>
    </w:p>
    <w:p>
      <w:pPr>
        <w:ind w:left="660" w:hanging="328"/>
        <w:spacing w:after="0"/>
        <w:tabs>
          <w:tab w:leader="none" w:pos="660" w:val="left"/>
        </w:tabs>
        <w:numPr>
          <w:ilvl w:val="0"/>
          <w:numId w:val="32"/>
        </w:numPr>
        <w:rPr>
          <w:rFonts w:ascii="Arial" w:cs="Arial" w:eastAsia="Arial" w:hAnsi="Arial"/>
          <w:sz w:val="16"/>
          <w:szCs w:val="16"/>
          <w:color w:val="auto"/>
        </w:rPr>
      </w:pPr>
      <w:r>
        <w:rPr>
          <w:rFonts w:ascii="Arial" w:cs="Arial" w:eastAsia="Arial" w:hAnsi="Arial"/>
          <w:sz w:val="16"/>
          <w:szCs w:val="16"/>
          <w:color w:val="auto"/>
        </w:rPr>
        <w:t>seizure, nationalization or expropriation of property or equipment;</w:t>
      </w:r>
    </w:p>
    <w:p>
      <w:pPr>
        <w:spacing w:after="0" w:line="221" w:lineRule="exact"/>
        <w:rPr>
          <w:rFonts w:ascii="Arial" w:cs="Arial" w:eastAsia="Arial" w:hAnsi="Arial"/>
          <w:sz w:val="16"/>
          <w:szCs w:val="16"/>
          <w:color w:val="auto"/>
        </w:rPr>
      </w:pPr>
    </w:p>
    <w:p>
      <w:pPr>
        <w:ind w:left="660" w:hanging="328"/>
        <w:spacing w:after="0"/>
        <w:tabs>
          <w:tab w:leader="none" w:pos="660" w:val="left"/>
        </w:tabs>
        <w:numPr>
          <w:ilvl w:val="0"/>
          <w:numId w:val="32"/>
        </w:numPr>
        <w:rPr>
          <w:rFonts w:ascii="Arial" w:cs="Arial" w:eastAsia="Arial" w:hAnsi="Arial"/>
          <w:sz w:val="16"/>
          <w:szCs w:val="16"/>
          <w:color w:val="auto"/>
        </w:rPr>
      </w:pPr>
      <w:r>
        <w:rPr>
          <w:rFonts w:ascii="Arial" w:cs="Arial" w:eastAsia="Arial" w:hAnsi="Arial"/>
          <w:sz w:val="16"/>
          <w:szCs w:val="16"/>
          <w:color w:val="auto"/>
        </w:rPr>
        <w:t>repudiation, nullification, modification or renegotiation of contracts;</w:t>
      </w:r>
    </w:p>
    <w:p>
      <w:pPr>
        <w:spacing w:after="0" w:line="221" w:lineRule="exact"/>
        <w:rPr>
          <w:rFonts w:ascii="Arial" w:cs="Arial" w:eastAsia="Arial" w:hAnsi="Arial"/>
          <w:sz w:val="16"/>
          <w:szCs w:val="16"/>
          <w:color w:val="auto"/>
        </w:rPr>
      </w:pPr>
    </w:p>
    <w:p>
      <w:pPr>
        <w:ind w:left="660" w:hanging="328"/>
        <w:spacing w:after="0"/>
        <w:tabs>
          <w:tab w:leader="none" w:pos="660" w:val="left"/>
        </w:tabs>
        <w:numPr>
          <w:ilvl w:val="0"/>
          <w:numId w:val="32"/>
        </w:numPr>
        <w:rPr>
          <w:rFonts w:ascii="Arial" w:cs="Arial" w:eastAsia="Arial" w:hAnsi="Arial"/>
          <w:sz w:val="16"/>
          <w:szCs w:val="16"/>
          <w:color w:val="auto"/>
        </w:rPr>
      </w:pPr>
      <w:r>
        <w:rPr>
          <w:rFonts w:ascii="Arial" w:cs="Arial" w:eastAsia="Arial" w:hAnsi="Arial"/>
          <w:sz w:val="16"/>
          <w:szCs w:val="16"/>
          <w:color w:val="auto"/>
        </w:rPr>
        <w:t>limitations on insurance coverage, such as war risk coverage, in certain areas;</w:t>
      </w:r>
    </w:p>
    <w:p>
      <w:pPr>
        <w:spacing w:after="0" w:line="221" w:lineRule="exact"/>
        <w:rPr>
          <w:rFonts w:ascii="Arial" w:cs="Arial" w:eastAsia="Arial" w:hAnsi="Arial"/>
          <w:sz w:val="16"/>
          <w:szCs w:val="16"/>
          <w:color w:val="auto"/>
        </w:rPr>
      </w:pPr>
    </w:p>
    <w:p>
      <w:pPr>
        <w:ind w:left="660" w:hanging="328"/>
        <w:spacing w:after="0"/>
        <w:tabs>
          <w:tab w:leader="none" w:pos="660" w:val="left"/>
        </w:tabs>
        <w:numPr>
          <w:ilvl w:val="0"/>
          <w:numId w:val="32"/>
        </w:numPr>
        <w:rPr>
          <w:rFonts w:ascii="Arial" w:cs="Arial" w:eastAsia="Arial" w:hAnsi="Arial"/>
          <w:sz w:val="16"/>
          <w:szCs w:val="16"/>
          <w:color w:val="auto"/>
        </w:rPr>
      </w:pPr>
      <w:r>
        <w:rPr>
          <w:rFonts w:ascii="Arial" w:cs="Arial" w:eastAsia="Arial" w:hAnsi="Arial"/>
          <w:sz w:val="16"/>
          <w:szCs w:val="16"/>
          <w:color w:val="auto"/>
        </w:rPr>
        <w:t>political unrest;</w:t>
      </w:r>
    </w:p>
    <w:p>
      <w:pPr>
        <w:spacing w:after="0" w:line="221" w:lineRule="exact"/>
        <w:rPr>
          <w:rFonts w:ascii="Arial" w:cs="Arial" w:eastAsia="Arial" w:hAnsi="Arial"/>
          <w:sz w:val="16"/>
          <w:szCs w:val="16"/>
          <w:color w:val="auto"/>
        </w:rPr>
      </w:pPr>
    </w:p>
    <w:p>
      <w:pPr>
        <w:ind w:left="5620" w:right="4720" w:hanging="5288"/>
        <w:spacing w:after="0" w:line="608" w:lineRule="auto"/>
        <w:tabs>
          <w:tab w:leader="none" w:pos="652" w:val="left"/>
        </w:tabs>
        <w:numPr>
          <w:ilvl w:val="0"/>
          <w:numId w:val="32"/>
        </w:numPr>
        <w:rPr>
          <w:rFonts w:ascii="Arial" w:cs="Arial" w:eastAsia="Arial" w:hAnsi="Arial"/>
          <w:sz w:val="16"/>
          <w:szCs w:val="16"/>
          <w:color w:val="auto"/>
        </w:rPr>
      </w:pPr>
      <w:r>
        <w:rPr>
          <w:rFonts w:ascii="Arial" w:cs="Arial" w:eastAsia="Arial" w:hAnsi="Arial"/>
          <w:sz w:val="16"/>
          <w:szCs w:val="16"/>
          <w:color w:val="auto"/>
        </w:rPr>
        <w:t>foreign and U.S. monetary policy and foreign currency fluctuations and devaluations; 81</w:t>
      </w:r>
    </w:p>
    <w:p>
      <w:pPr>
        <w:sectPr>
          <w:pgSz w:w="11900" w:h="16838" w:orient="portrait"/>
          <w:cols w:equalWidth="0" w:num="1">
            <w:col w:w="11420"/>
          </w:cols>
          <w:pgMar w:left="240" w:top="581" w:right="239" w:bottom="1440" w:gutter="0" w:footer="0" w:header="0"/>
        </w:sectPr>
      </w:pPr>
    </w:p>
    <w:bookmarkStart w:id="81" w:name="page82"/>
    <w:bookmarkEnd w:id="81"/>
    <w:p>
      <w:pPr>
        <w:ind w:left="660" w:hanging="328"/>
        <w:spacing w:after="0"/>
        <w:tabs>
          <w:tab w:leader="none" w:pos="660" w:val="left"/>
        </w:tabs>
        <w:numPr>
          <w:ilvl w:val="0"/>
          <w:numId w:val="33"/>
        </w:numPr>
        <w:rPr>
          <w:rFonts w:ascii="Arial" w:cs="Arial" w:eastAsia="Arial" w:hAnsi="Arial"/>
          <w:sz w:val="16"/>
          <w:szCs w:val="16"/>
          <w:color w:val="auto"/>
        </w:rPr>
      </w:pPr>
      <w:r>
        <w:rPr>
          <w:rFonts w:ascii="Arial" w:cs="Arial" w:eastAsia="Arial" w:hAnsi="Arial"/>
          <w:sz w:val="16"/>
          <w:szCs w:val="16"/>
          <w:color w:val="auto"/>
        </w:rPr>
        <w:t>the inability to repatriate income or capital;</w:t>
      </w:r>
    </w:p>
    <w:p>
      <w:pPr>
        <w:spacing w:after="0" w:line="221" w:lineRule="exact"/>
        <w:rPr>
          <w:rFonts w:ascii="Arial" w:cs="Arial" w:eastAsia="Arial" w:hAnsi="Arial"/>
          <w:sz w:val="16"/>
          <w:szCs w:val="16"/>
          <w:color w:val="auto"/>
        </w:rPr>
      </w:pPr>
    </w:p>
    <w:p>
      <w:pPr>
        <w:ind w:left="660" w:hanging="328"/>
        <w:spacing w:after="0"/>
        <w:tabs>
          <w:tab w:leader="none" w:pos="660" w:val="left"/>
        </w:tabs>
        <w:numPr>
          <w:ilvl w:val="0"/>
          <w:numId w:val="33"/>
        </w:numPr>
        <w:rPr>
          <w:rFonts w:ascii="Arial" w:cs="Arial" w:eastAsia="Arial" w:hAnsi="Arial"/>
          <w:sz w:val="16"/>
          <w:szCs w:val="16"/>
          <w:color w:val="auto"/>
        </w:rPr>
      </w:pPr>
      <w:r>
        <w:rPr>
          <w:rFonts w:ascii="Arial" w:cs="Arial" w:eastAsia="Arial" w:hAnsi="Arial"/>
          <w:sz w:val="16"/>
          <w:szCs w:val="16"/>
          <w:color w:val="auto"/>
        </w:rPr>
        <w:t>complications associated with repairing and replacing equipment in remote locations;</w:t>
      </w:r>
    </w:p>
    <w:p>
      <w:pPr>
        <w:spacing w:after="0" w:line="221" w:lineRule="exact"/>
        <w:rPr>
          <w:rFonts w:ascii="Arial" w:cs="Arial" w:eastAsia="Arial" w:hAnsi="Arial"/>
          <w:sz w:val="16"/>
          <w:szCs w:val="16"/>
          <w:color w:val="auto"/>
        </w:rPr>
      </w:pPr>
    </w:p>
    <w:p>
      <w:pPr>
        <w:ind w:left="660" w:hanging="328"/>
        <w:spacing w:after="0"/>
        <w:tabs>
          <w:tab w:leader="none" w:pos="660" w:val="left"/>
        </w:tabs>
        <w:numPr>
          <w:ilvl w:val="0"/>
          <w:numId w:val="33"/>
        </w:numPr>
        <w:rPr>
          <w:rFonts w:ascii="Arial" w:cs="Arial" w:eastAsia="Arial" w:hAnsi="Arial"/>
          <w:sz w:val="16"/>
          <w:szCs w:val="16"/>
          <w:color w:val="auto"/>
        </w:rPr>
      </w:pPr>
      <w:r>
        <w:rPr>
          <w:rFonts w:ascii="Arial" w:cs="Arial" w:eastAsia="Arial" w:hAnsi="Arial"/>
          <w:sz w:val="16"/>
          <w:szCs w:val="16"/>
          <w:color w:val="auto"/>
        </w:rPr>
        <w:t>import-export quotas, wage and price controls, imposition of trade barriers;</w:t>
      </w:r>
    </w:p>
    <w:p>
      <w:pPr>
        <w:spacing w:after="0" w:line="221" w:lineRule="exact"/>
        <w:rPr>
          <w:rFonts w:ascii="Arial" w:cs="Arial" w:eastAsia="Arial" w:hAnsi="Arial"/>
          <w:sz w:val="16"/>
          <w:szCs w:val="16"/>
          <w:color w:val="auto"/>
        </w:rPr>
      </w:pPr>
    </w:p>
    <w:p>
      <w:pPr>
        <w:ind w:left="660" w:hanging="328"/>
        <w:spacing w:after="0"/>
        <w:tabs>
          <w:tab w:leader="none" w:pos="660" w:val="left"/>
        </w:tabs>
        <w:numPr>
          <w:ilvl w:val="0"/>
          <w:numId w:val="33"/>
        </w:numPr>
        <w:rPr>
          <w:rFonts w:ascii="Arial" w:cs="Arial" w:eastAsia="Arial" w:hAnsi="Arial"/>
          <w:sz w:val="16"/>
          <w:szCs w:val="16"/>
          <w:color w:val="auto"/>
        </w:rPr>
      </w:pPr>
      <w:r>
        <w:rPr>
          <w:rFonts w:ascii="Arial" w:cs="Arial" w:eastAsia="Arial" w:hAnsi="Arial"/>
          <w:sz w:val="16"/>
          <w:szCs w:val="16"/>
          <w:color w:val="auto"/>
        </w:rPr>
        <w:t>U.S. and foreign sanctions or trade embargoes;</w:t>
      </w:r>
    </w:p>
    <w:p>
      <w:pPr>
        <w:spacing w:after="0" w:line="221" w:lineRule="exact"/>
        <w:rPr>
          <w:rFonts w:ascii="Arial" w:cs="Arial" w:eastAsia="Arial" w:hAnsi="Arial"/>
          <w:sz w:val="16"/>
          <w:szCs w:val="16"/>
          <w:color w:val="auto"/>
        </w:rPr>
      </w:pPr>
    </w:p>
    <w:p>
      <w:pPr>
        <w:ind w:left="660" w:hanging="328"/>
        <w:spacing w:after="0"/>
        <w:tabs>
          <w:tab w:leader="none" w:pos="660" w:val="left"/>
        </w:tabs>
        <w:numPr>
          <w:ilvl w:val="0"/>
          <w:numId w:val="33"/>
        </w:numPr>
        <w:rPr>
          <w:rFonts w:ascii="Arial" w:cs="Arial" w:eastAsia="Arial" w:hAnsi="Arial"/>
          <w:sz w:val="16"/>
          <w:szCs w:val="16"/>
          <w:color w:val="auto"/>
        </w:rPr>
      </w:pPr>
      <w:r>
        <w:rPr>
          <w:rFonts w:ascii="Arial" w:cs="Arial" w:eastAsia="Arial" w:hAnsi="Arial"/>
          <w:sz w:val="16"/>
          <w:szCs w:val="16"/>
          <w:color w:val="auto"/>
        </w:rPr>
        <w:t>restrictions on the transfer of funds into or out of countries in which we operate;</w:t>
      </w:r>
    </w:p>
    <w:p>
      <w:pPr>
        <w:spacing w:after="0" w:line="221" w:lineRule="exact"/>
        <w:rPr>
          <w:rFonts w:ascii="Arial" w:cs="Arial" w:eastAsia="Arial" w:hAnsi="Arial"/>
          <w:sz w:val="16"/>
          <w:szCs w:val="16"/>
          <w:color w:val="auto"/>
        </w:rPr>
      </w:pPr>
    </w:p>
    <w:p>
      <w:pPr>
        <w:ind w:left="660" w:hanging="328"/>
        <w:spacing w:after="0"/>
        <w:tabs>
          <w:tab w:leader="none" w:pos="660" w:val="left"/>
        </w:tabs>
        <w:numPr>
          <w:ilvl w:val="0"/>
          <w:numId w:val="33"/>
        </w:numPr>
        <w:rPr>
          <w:rFonts w:ascii="Arial" w:cs="Arial" w:eastAsia="Arial" w:hAnsi="Arial"/>
          <w:sz w:val="16"/>
          <w:szCs w:val="16"/>
          <w:color w:val="auto"/>
        </w:rPr>
      </w:pPr>
      <w:r>
        <w:rPr>
          <w:rFonts w:ascii="Arial" w:cs="Arial" w:eastAsia="Arial" w:hAnsi="Arial"/>
          <w:sz w:val="16"/>
          <w:szCs w:val="16"/>
          <w:color w:val="auto"/>
        </w:rPr>
        <w:t>compliance with U.S. Treasury sanctions regulations restricting doing business with certain nations or specially designated nationals;</w:t>
      </w:r>
    </w:p>
    <w:p>
      <w:pPr>
        <w:spacing w:after="0" w:line="221" w:lineRule="exact"/>
        <w:rPr>
          <w:rFonts w:ascii="Arial" w:cs="Arial" w:eastAsia="Arial" w:hAnsi="Arial"/>
          <w:sz w:val="16"/>
          <w:szCs w:val="16"/>
          <w:color w:val="auto"/>
        </w:rPr>
      </w:pPr>
    </w:p>
    <w:p>
      <w:pPr>
        <w:ind w:left="660" w:hanging="328"/>
        <w:spacing w:after="0"/>
        <w:tabs>
          <w:tab w:leader="none" w:pos="660" w:val="left"/>
        </w:tabs>
        <w:numPr>
          <w:ilvl w:val="0"/>
          <w:numId w:val="33"/>
        </w:numPr>
        <w:rPr>
          <w:rFonts w:ascii="Arial" w:cs="Arial" w:eastAsia="Arial" w:hAnsi="Arial"/>
          <w:sz w:val="16"/>
          <w:szCs w:val="16"/>
          <w:color w:val="auto"/>
        </w:rPr>
      </w:pPr>
      <w:r>
        <w:rPr>
          <w:rFonts w:ascii="Arial" w:cs="Arial" w:eastAsia="Arial" w:hAnsi="Arial"/>
          <w:sz w:val="16"/>
          <w:szCs w:val="16"/>
          <w:color w:val="auto"/>
        </w:rPr>
        <w:t>regulatory or financial requirements to comply with foreign bureaucratic actions;</w:t>
      </w:r>
    </w:p>
    <w:p>
      <w:pPr>
        <w:spacing w:after="0" w:line="221" w:lineRule="exact"/>
        <w:rPr>
          <w:rFonts w:ascii="Arial" w:cs="Arial" w:eastAsia="Arial" w:hAnsi="Arial"/>
          <w:sz w:val="16"/>
          <w:szCs w:val="16"/>
          <w:color w:val="auto"/>
        </w:rPr>
      </w:pPr>
    </w:p>
    <w:p>
      <w:pPr>
        <w:ind w:left="660" w:hanging="328"/>
        <w:spacing w:after="0"/>
        <w:tabs>
          <w:tab w:leader="none" w:pos="660" w:val="left"/>
        </w:tabs>
        <w:numPr>
          <w:ilvl w:val="0"/>
          <w:numId w:val="33"/>
        </w:numPr>
        <w:rPr>
          <w:rFonts w:ascii="Arial" w:cs="Arial" w:eastAsia="Arial" w:hAnsi="Arial"/>
          <w:sz w:val="16"/>
          <w:szCs w:val="16"/>
          <w:color w:val="auto"/>
        </w:rPr>
      </w:pPr>
      <w:r>
        <w:rPr>
          <w:rFonts w:ascii="Arial" w:cs="Arial" w:eastAsia="Arial" w:hAnsi="Arial"/>
          <w:sz w:val="16"/>
          <w:szCs w:val="16"/>
          <w:color w:val="auto"/>
        </w:rPr>
        <w:t>compliance with applicable anti-corruption laws and regulations;</w:t>
      </w:r>
    </w:p>
    <w:p>
      <w:pPr>
        <w:spacing w:after="0" w:line="221" w:lineRule="exact"/>
        <w:rPr>
          <w:rFonts w:ascii="Arial" w:cs="Arial" w:eastAsia="Arial" w:hAnsi="Arial"/>
          <w:sz w:val="16"/>
          <w:szCs w:val="16"/>
          <w:color w:val="auto"/>
        </w:rPr>
      </w:pPr>
    </w:p>
    <w:p>
      <w:pPr>
        <w:ind w:left="660" w:hanging="328"/>
        <w:spacing w:after="0"/>
        <w:tabs>
          <w:tab w:leader="none" w:pos="660" w:val="left"/>
        </w:tabs>
        <w:numPr>
          <w:ilvl w:val="0"/>
          <w:numId w:val="33"/>
        </w:numPr>
        <w:rPr>
          <w:rFonts w:ascii="Arial" w:cs="Arial" w:eastAsia="Arial" w:hAnsi="Arial"/>
          <w:sz w:val="16"/>
          <w:szCs w:val="16"/>
          <w:color w:val="auto"/>
        </w:rPr>
      </w:pPr>
      <w:r>
        <w:rPr>
          <w:rFonts w:ascii="Arial" w:cs="Arial" w:eastAsia="Arial" w:hAnsi="Arial"/>
          <w:sz w:val="16"/>
          <w:szCs w:val="16"/>
          <w:color w:val="auto"/>
        </w:rPr>
        <w:t>changing taxation policies, including confiscatory taxation;</w:t>
      </w:r>
    </w:p>
    <w:p>
      <w:pPr>
        <w:spacing w:after="0" w:line="221" w:lineRule="exact"/>
        <w:rPr>
          <w:rFonts w:ascii="Arial" w:cs="Arial" w:eastAsia="Arial" w:hAnsi="Arial"/>
          <w:sz w:val="16"/>
          <w:szCs w:val="16"/>
          <w:color w:val="auto"/>
        </w:rPr>
      </w:pPr>
    </w:p>
    <w:p>
      <w:pPr>
        <w:ind w:left="660" w:hanging="328"/>
        <w:spacing w:after="0"/>
        <w:tabs>
          <w:tab w:leader="none" w:pos="660" w:val="left"/>
        </w:tabs>
        <w:numPr>
          <w:ilvl w:val="0"/>
          <w:numId w:val="33"/>
        </w:numPr>
        <w:rPr>
          <w:rFonts w:ascii="Arial" w:cs="Arial" w:eastAsia="Arial" w:hAnsi="Arial"/>
          <w:sz w:val="16"/>
          <w:szCs w:val="16"/>
          <w:color w:val="auto"/>
        </w:rPr>
      </w:pPr>
      <w:r>
        <w:rPr>
          <w:rFonts w:ascii="Arial" w:cs="Arial" w:eastAsia="Arial" w:hAnsi="Arial"/>
          <w:sz w:val="16"/>
          <w:szCs w:val="16"/>
          <w:color w:val="auto"/>
        </w:rPr>
        <w:t>other forms of government regulation and economic conditions that are beyond our control; and</w:t>
      </w:r>
    </w:p>
    <w:p>
      <w:pPr>
        <w:spacing w:after="0" w:line="221" w:lineRule="exact"/>
        <w:rPr>
          <w:rFonts w:ascii="Arial" w:cs="Arial" w:eastAsia="Arial" w:hAnsi="Arial"/>
          <w:sz w:val="16"/>
          <w:szCs w:val="16"/>
          <w:color w:val="auto"/>
        </w:rPr>
      </w:pPr>
    </w:p>
    <w:p>
      <w:pPr>
        <w:ind w:left="660" w:hanging="328"/>
        <w:spacing w:after="0"/>
        <w:tabs>
          <w:tab w:leader="none" w:pos="660" w:val="left"/>
        </w:tabs>
        <w:numPr>
          <w:ilvl w:val="0"/>
          <w:numId w:val="33"/>
        </w:numPr>
        <w:rPr>
          <w:rFonts w:ascii="Arial" w:cs="Arial" w:eastAsia="Arial" w:hAnsi="Arial"/>
          <w:sz w:val="16"/>
          <w:szCs w:val="16"/>
          <w:color w:val="auto"/>
        </w:rPr>
      </w:pPr>
      <w:r>
        <w:rPr>
          <w:rFonts w:ascii="Arial" w:cs="Arial" w:eastAsia="Arial" w:hAnsi="Arial"/>
          <w:sz w:val="16"/>
          <w:szCs w:val="16"/>
          <w:color w:val="auto"/>
        </w:rPr>
        <w:t>governmental corruption.</w:t>
      </w:r>
    </w:p>
    <w:p>
      <w:pPr>
        <w:spacing w:after="0" w:line="221" w:lineRule="exact"/>
        <w:rPr>
          <w:sz w:val="20"/>
          <w:szCs w:val="20"/>
          <w:color w:val="auto"/>
        </w:rPr>
      </w:pPr>
    </w:p>
    <w:p>
      <w:pPr>
        <w:jc w:val="both"/>
        <w:ind w:right="20"/>
        <w:spacing w:after="0" w:line="291" w:lineRule="auto"/>
        <w:rPr>
          <w:sz w:val="20"/>
          <w:szCs w:val="20"/>
          <w:color w:val="auto"/>
        </w:rPr>
      </w:pPr>
      <w:r>
        <w:rPr>
          <w:rFonts w:ascii="Arial" w:cs="Arial" w:eastAsia="Arial" w:hAnsi="Arial"/>
          <w:sz w:val="16"/>
          <w:szCs w:val="16"/>
          <w:color w:val="auto"/>
        </w:rPr>
        <w:t>Any of these or other risks could adversely impact our customers’ international operations which could materially adversely impact our operating results and growth opportunities.</w:t>
      </w:r>
    </w:p>
    <w:p>
      <w:pPr>
        <w:spacing w:after="0" w:line="148" w:lineRule="exact"/>
        <w:rPr>
          <w:sz w:val="20"/>
          <w:szCs w:val="20"/>
          <w:color w:val="auto"/>
        </w:rPr>
      </w:pPr>
    </w:p>
    <w:p>
      <w:pPr>
        <w:jc w:val="both"/>
        <w:spacing w:after="0" w:line="302" w:lineRule="auto"/>
        <w:rPr>
          <w:sz w:val="20"/>
          <w:szCs w:val="20"/>
          <w:color w:val="auto"/>
        </w:rPr>
      </w:pPr>
      <w:r>
        <w:rPr>
          <w:rFonts w:ascii="Arial" w:cs="Arial" w:eastAsia="Arial" w:hAnsi="Arial"/>
          <w:sz w:val="16"/>
          <w:szCs w:val="16"/>
          <w:b w:val="1"/>
          <w:bCs w:val="1"/>
          <w:i w:val="1"/>
          <w:iCs w:val="1"/>
          <w:color w:val="auto"/>
        </w:rPr>
        <w:t>We may make acquisitions in emerging markets throughout the world, and investments in emerging markets are subject to greater risks than developed markets and could adversely affect our business, prospects, financial condition, results of operations and cash flows.</w:t>
      </w:r>
    </w:p>
    <w:p>
      <w:pPr>
        <w:spacing w:after="0" w:line="131" w:lineRule="exact"/>
        <w:rPr>
          <w:sz w:val="20"/>
          <w:szCs w:val="20"/>
          <w:color w:val="auto"/>
        </w:rPr>
      </w:pPr>
    </w:p>
    <w:p>
      <w:pPr>
        <w:jc w:val="both"/>
        <w:spacing w:after="0" w:line="255" w:lineRule="auto"/>
        <w:rPr>
          <w:sz w:val="20"/>
          <w:szCs w:val="20"/>
          <w:color w:val="auto"/>
        </w:rPr>
      </w:pPr>
      <w:r>
        <w:rPr>
          <w:rFonts w:ascii="Arial" w:cs="Arial" w:eastAsia="Arial" w:hAnsi="Arial"/>
          <w:sz w:val="16"/>
          <w:szCs w:val="16"/>
          <w:color w:val="auto"/>
        </w:rPr>
        <w:t>To the extent that we acquire assets in emerging markets-which we may do throughout the world-additional risks may be encountered that could adversely affect our business. Emerging market countries have less developed economies and infrastructure and are often more vulnerable to economic and geopolitical challenges and may experience significant fluctuations in gross domestic product, interest rates and currency exchange rates, as well as civil disturbances, government instability, nationalization and expropriation of private assets and the imposition of taxes or other charges by government authorities. In addition, the currencies in which investments are denominated may be unstable, may be subject to significant depreciation and may not be freely convertible or may be subject to the imposition of other monetary or fiscal controls and restrictions.</w:t>
      </w:r>
    </w:p>
    <w:p>
      <w:pPr>
        <w:spacing w:after="0" w:line="178"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Emerging markets are still in relatively early stages of their development and accordingly may not be highly or efficiently regulated. Moreover, emerging markets tend to be shallower and less liquid than more established markets which may adversely affect our ability to realize profits from our assets in emerging markets when we desire to do so or receive what we perceive to be their fair value in the event of a realization. In some cases, a market for realizing profits from an investment may not exist locally. In addition, issuers based in emerging markets are not generally subject to uniform accounting and financial reporting standards, practices and requirements comparable to those applicable to issuers based in more developed countries, thereby potentially increasing the risk of fraud and other deceptive practices. Settlement of transactions may be subject to greater delay and administrative uncertainties than in developed markets and less complete and reliable financial and other information may be available to investors in emerging markets than in developed markets. In addition, economic instability in emerging markets could adversely affect the value of our assets subject to leases or charters in such countries, or the ability of our lessees or charters, which operate in these markets, to meet their contractual obligations. As a result, lessees or charterers that operate in emerging market countries may be more likely to default under their contractual obligations than those that operate in developed countries. Liquidity and volatility limitations in these markets may also adversely affect our ability to dispose of our assets at the best price available or in a timely manner.</w:t>
      </w:r>
    </w:p>
    <w:p>
      <w:pPr>
        <w:spacing w:after="0" w:line="179"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As we have and may continue to acquire assets located in emerging markets throughout the world, we may be exposed to any one or a combination of these risks, which could adversely affect our operating results.</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82</w:t>
      </w:r>
    </w:p>
    <w:p>
      <w:pPr>
        <w:sectPr>
          <w:pgSz w:w="11900" w:h="16838" w:orient="portrait"/>
          <w:cols w:equalWidth="0" w:num="1">
            <w:col w:w="11420"/>
          </w:cols>
          <w:pgMar w:left="240" w:top="581" w:right="239" w:bottom="1440" w:gutter="0" w:footer="0" w:header="0"/>
        </w:sectPr>
      </w:pPr>
    </w:p>
    <w:bookmarkStart w:id="82" w:name="page83"/>
    <w:bookmarkEnd w:id="82"/>
    <w:p>
      <w:pPr>
        <w:jc w:val="both"/>
        <w:spacing w:after="0" w:line="302" w:lineRule="auto"/>
        <w:rPr>
          <w:sz w:val="20"/>
          <w:szCs w:val="20"/>
          <w:color w:val="auto"/>
        </w:rPr>
      </w:pPr>
      <w:r>
        <w:rPr>
          <w:rFonts w:ascii="Arial" w:cs="Arial" w:eastAsia="Arial" w:hAnsi="Arial"/>
          <w:sz w:val="16"/>
          <w:szCs w:val="16"/>
          <w:b w:val="1"/>
          <w:bCs w:val="1"/>
          <w:i w:val="1"/>
          <w:iCs w:val="1"/>
          <w:color w:val="auto"/>
        </w:rPr>
        <w:t>We are actively evaluating acquisitions of assets and operating companies in other transportation and infrastructure sectors which could result in additional risks and uncertainties for our business and unexpected regulatory compliance costs.</w:t>
      </w:r>
    </w:p>
    <w:p>
      <w:pPr>
        <w:spacing w:after="0" w:line="131" w:lineRule="exact"/>
        <w:rPr>
          <w:sz w:val="20"/>
          <w:szCs w:val="20"/>
          <w:color w:val="auto"/>
        </w:rPr>
      </w:pPr>
    </w:p>
    <w:p>
      <w:pPr>
        <w:jc w:val="both"/>
        <w:spacing w:after="0" w:line="250" w:lineRule="auto"/>
        <w:rPr>
          <w:sz w:val="20"/>
          <w:szCs w:val="20"/>
          <w:color w:val="auto"/>
        </w:rPr>
      </w:pPr>
      <w:r>
        <w:rPr>
          <w:rFonts w:ascii="Arial" w:cs="Arial" w:eastAsia="Arial" w:hAnsi="Arial"/>
          <w:sz w:val="16"/>
          <w:szCs w:val="16"/>
          <w:color w:val="auto"/>
        </w:rPr>
        <w:t>While our existing portfolio consists of assets in the aviation, energy, intermodal transport and rail sectors, we are actively evaluating acquisitions of assets and operating companies in other sectors of the transportation and transportation-related infrastructure and equipment markets and we plan to be flexible as other attractive opportunities arise over time. To the extent we make acquisitions in other sectors, we will face numerous risks and uncertainties, including risks associated with the required investment of capital and other resources and with combining or integrating operational and management systems and controls. Entry into certain lines of business may subject us to new laws and regulations and may lead to increased litigation and regulatory risk. Many types of transportation assets, including certain rail, airport and seaport assets, are subject to registration requirements by U.S. governmental agencies, as well as foreign governments if such assets are to be used outside of the United States. Failing to register the assets, or losing such registration, could result in substantial penalties, forced liquidation of the assets and/or the inability to operate and, if applicable, lease the assets. We may need to incur significant costs to comply with the laws and regulations applicable to any such new acquisition. The failure to comply with these laws and regulations could cause us to incur significant costs, fines or penalties or require the assets to be removed from service for a period of time resulting in reduced income from these assets. In addition, if our acquisitions in other sectors produce insufficient revenues, or produce investment losses, or if we are unable to efficiently manage our expanded operations, our results of operations will be adversely affected, and our reputation and business may be harmed.</w:t>
      </w:r>
    </w:p>
    <w:p>
      <w:pPr>
        <w:spacing w:after="0" w:line="185" w:lineRule="exact"/>
        <w:rPr>
          <w:sz w:val="20"/>
          <w:szCs w:val="20"/>
          <w:color w:val="auto"/>
        </w:rPr>
      </w:pPr>
    </w:p>
    <w:p>
      <w:pPr>
        <w:jc w:val="both"/>
        <w:spacing w:after="0" w:line="274" w:lineRule="auto"/>
        <w:rPr>
          <w:sz w:val="20"/>
          <w:szCs w:val="20"/>
          <w:color w:val="auto"/>
        </w:rPr>
      </w:pPr>
      <w:r>
        <w:rPr>
          <w:rFonts w:ascii="Arial" w:cs="Arial" w:eastAsia="Arial" w:hAnsi="Arial"/>
          <w:sz w:val="16"/>
          <w:szCs w:val="16"/>
          <w:b w:val="1"/>
          <w:bCs w:val="1"/>
          <w:i w:val="1"/>
          <w:iCs w:val="1"/>
          <w:color w:val="auto"/>
        </w:rPr>
        <w:t>We may acquire operating businesses, including businesses whose operations are not fully matured and stabilized. These businesses may be subject to significant operating and development risks, including increased competition, cost overruns and delays, and difficulties in obtaining approvals or financing. These factors could materially affect our business, financial condition, liquidity and results of operations.</w:t>
      </w:r>
    </w:p>
    <w:p>
      <w:pPr>
        <w:spacing w:after="0" w:line="153" w:lineRule="exact"/>
        <w:rPr>
          <w:sz w:val="20"/>
          <w:szCs w:val="20"/>
          <w:color w:val="auto"/>
        </w:rPr>
      </w:pPr>
    </w:p>
    <w:p>
      <w:pPr>
        <w:jc w:val="both"/>
        <w:spacing w:after="0" w:line="261" w:lineRule="auto"/>
        <w:rPr>
          <w:sz w:val="20"/>
          <w:szCs w:val="20"/>
          <w:color w:val="auto"/>
        </w:rPr>
      </w:pPr>
      <w:r>
        <w:rPr>
          <w:rFonts w:ascii="Arial" w:cs="Arial" w:eastAsia="Arial" w:hAnsi="Arial"/>
          <w:sz w:val="16"/>
          <w:szCs w:val="16"/>
          <w:color w:val="auto"/>
        </w:rPr>
        <w:t>We have acquired, and may in the future acquire, operating businesses including businesses whose operations are not fully matured and stabilized (such as Jefferson Terminal). While we have deep experience in the construction and operation of these companies, we are nevertheless subject to significant risks and contingencies of an operating business, and these risks are greater where the operations of such businesses are not fully matured and stabilized. Key factors that may affect our operating businesses include, but are not limited to:</w:t>
      </w:r>
    </w:p>
    <w:p>
      <w:pPr>
        <w:spacing w:after="0" w:line="172" w:lineRule="exact"/>
        <w:rPr>
          <w:sz w:val="20"/>
          <w:szCs w:val="20"/>
          <w:color w:val="auto"/>
        </w:rPr>
      </w:pPr>
    </w:p>
    <w:p>
      <w:pPr>
        <w:ind w:left="660" w:hanging="328"/>
        <w:spacing w:after="0"/>
        <w:tabs>
          <w:tab w:leader="none" w:pos="660" w:val="left"/>
        </w:tabs>
        <w:numPr>
          <w:ilvl w:val="0"/>
          <w:numId w:val="34"/>
        </w:numPr>
        <w:rPr>
          <w:rFonts w:ascii="Arial" w:cs="Arial" w:eastAsia="Arial" w:hAnsi="Arial"/>
          <w:sz w:val="16"/>
          <w:szCs w:val="16"/>
          <w:color w:val="auto"/>
        </w:rPr>
      </w:pPr>
      <w:r>
        <w:rPr>
          <w:rFonts w:ascii="Arial" w:cs="Arial" w:eastAsia="Arial" w:hAnsi="Arial"/>
          <w:sz w:val="16"/>
          <w:szCs w:val="16"/>
          <w:color w:val="auto"/>
        </w:rPr>
        <w:t>competition from market participants;</w:t>
      </w:r>
    </w:p>
    <w:p>
      <w:pPr>
        <w:spacing w:after="0" w:line="221" w:lineRule="exact"/>
        <w:rPr>
          <w:rFonts w:ascii="Arial" w:cs="Arial" w:eastAsia="Arial" w:hAnsi="Arial"/>
          <w:sz w:val="16"/>
          <w:szCs w:val="16"/>
          <w:color w:val="auto"/>
        </w:rPr>
      </w:pPr>
    </w:p>
    <w:p>
      <w:pPr>
        <w:ind w:left="660" w:hanging="328"/>
        <w:spacing w:after="0"/>
        <w:tabs>
          <w:tab w:leader="none" w:pos="660" w:val="left"/>
        </w:tabs>
        <w:numPr>
          <w:ilvl w:val="0"/>
          <w:numId w:val="34"/>
        </w:numPr>
        <w:rPr>
          <w:rFonts w:ascii="Arial" w:cs="Arial" w:eastAsia="Arial" w:hAnsi="Arial"/>
          <w:sz w:val="16"/>
          <w:szCs w:val="16"/>
          <w:color w:val="auto"/>
        </w:rPr>
      </w:pPr>
      <w:r>
        <w:rPr>
          <w:rFonts w:ascii="Arial" w:cs="Arial" w:eastAsia="Arial" w:hAnsi="Arial"/>
          <w:sz w:val="16"/>
          <w:szCs w:val="16"/>
          <w:color w:val="auto"/>
        </w:rPr>
        <w:t>general economic and/or industry trends, including pricing for the products or services offered by our operating businesses;</w:t>
      </w:r>
    </w:p>
    <w:p>
      <w:pPr>
        <w:spacing w:after="0" w:line="221" w:lineRule="exact"/>
        <w:rPr>
          <w:rFonts w:ascii="Arial" w:cs="Arial" w:eastAsia="Arial" w:hAnsi="Arial"/>
          <w:sz w:val="16"/>
          <w:szCs w:val="16"/>
          <w:color w:val="auto"/>
        </w:rPr>
      </w:pPr>
    </w:p>
    <w:p>
      <w:pPr>
        <w:ind w:left="980" w:hanging="648"/>
        <w:spacing w:after="0" w:line="291" w:lineRule="auto"/>
        <w:tabs>
          <w:tab w:leader="none" w:pos="656" w:val="left"/>
        </w:tabs>
        <w:numPr>
          <w:ilvl w:val="0"/>
          <w:numId w:val="34"/>
        </w:numPr>
        <w:rPr>
          <w:rFonts w:ascii="Arial" w:cs="Arial" w:eastAsia="Arial" w:hAnsi="Arial"/>
          <w:sz w:val="16"/>
          <w:szCs w:val="16"/>
          <w:color w:val="auto"/>
        </w:rPr>
      </w:pPr>
      <w:r>
        <w:rPr>
          <w:rFonts w:ascii="Arial" w:cs="Arial" w:eastAsia="Arial" w:hAnsi="Arial"/>
          <w:sz w:val="16"/>
          <w:szCs w:val="16"/>
          <w:color w:val="auto"/>
        </w:rPr>
        <w:t>the issuance and/or continued availability of necessary permits, licenses, approvals and agreements from governmental agencies and third parties as are required to construct and operate such businesses;</w:t>
      </w:r>
    </w:p>
    <w:p>
      <w:pPr>
        <w:spacing w:after="0" w:line="148" w:lineRule="exact"/>
        <w:rPr>
          <w:rFonts w:ascii="Arial" w:cs="Arial" w:eastAsia="Arial" w:hAnsi="Arial"/>
          <w:sz w:val="16"/>
          <w:szCs w:val="16"/>
          <w:color w:val="auto"/>
        </w:rPr>
      </w:pPr>
    </w:p>
    <w:p>
      <w:pPr>
        <w:ind w:left="660" w:hanging="328"/>
        <w:spacing w:after="0"/>
        <w:tabs>
          <w:tab w:leader="none" w:pos="660" w:val="left"/>
        </w:tabs>
        <w:numPr>
          <w:ilvl w:val="0"/>
          <w:numId w:val="34"/>
        </w:numPr>
        <w:rPr>
          <w:rFonts w:ascii="Arial" w:cs="Arial" w:eastAsia="Arial" w:hAnsi="Arial"/>
          <w:sz w:val="16"/>
          <w:szCs w:val="16"/>
          <w:color w:val="auto"/>
        </w:rPr>
      </w:pPr>
      <w:r>
        <w:rPr>
          <w:rFonts w:ascii="Arial" w:cs="Arial" w:eastAsia="Arial" w:hAnsi="Arial"/>
          <w:sz w:val="16"/>
          <w:szCs w:val="16"/>
          <w:color w:val="auto"/>
        </w:rPr>
        <w:t>changes or deficiencies in the design or construction of development projects;</w:t>
      </w:r>
    </w:p>
    <w:p>
      <w:pPr>
        <w:spacing w:after="0" w:line="221" w:lineRule="exact"/>
        <w:rPr>
          <w:rFonts w:ascii="Arial" w:cs="Arial" w:eastAsia="Arial" w:hAnsi="Arial"/>
          <w:sz w:val="16"/>
          <w:szCs w:val="16"/>
          <w:color w:val="auto"/>
        </w:rPr>
      </w:pPr>
    </w:p>
    <w:p>
      <w:pPr>
        <w:ind w:left="660" w:hanging="328"/>
        <w:spacing w:after="0"/>
        <w:tabs>
          <w:tab w:leader="none" w:pos="660" w:val="left"/>
        </w:tabs>
        <w:numPr>
          <w:ilvl w:val="0"/>
          <w:numId w:val="34"/>
        </w:numPr>
        <w:rPr>
          <w:rFonts w:ascii="Arial" w:cs="Arial" w:eastAsia="Arial" w:hAnsi="Arial"/>
          <w:sz w:val="16"/>
          <w:szCs w:val="16"/>
          <w:color w:val="auto"/>
        </w:rPr>
      </w:pPr>
      <w:r>
        <w:rPr>
          <w:rFonts w:ascii="Arial" w:cs="Arial" w:eastAsia="Arial" w:hAnsi="Arial"/>
          <w:sz w:val="16"/>
          <w:szCs w:val="16"/>
          <w:color w:val="auto"/>
        </w:rPr>
        <w:t>unforeseen engineering, environmental or geological problems;</w:t>
      </w:r>
    </w:p>
    <w:p>
      <w:pPr>
        <w:spacing w:after="0" w:line="221" w:lineRule="exact"/>
        <w:rPr>
          <w:rFonts w:ascii="Arial" w:cs="Arial" w:eastAsia="Arial" w:hAnsi="Arial"/>
          <w:sz w:val="16"/>
          <w:szCs w:val="16"/>
          <w:color w:val="auto"/>
        </w:rPr>
      </w:pPr>
    </w:p>
    <w:p>
      <w:pPr>
        <w:ind w:left="660" w:hanging="328"/>
        <w:spacing w:after="0"/>
        <w:tabs>
          <w:tab w:leader="none" w:pos="660" w:val="left"/>
        </w:tabs>
        <w:numPr>
          <w:ilvl w:val="0"/>
          <w:numId w:val="34"/>
        </w:numPr>
        <w:rPr>
          <w:rFonts w:ascii="Arial" w:cs="Arial" w:eastAsia="Arial" w:hAnsi="Arial"/>
          <w:sz w:val="16"/>
          <w:szCs w:val="16"/>
          <w:color w:val="auto"/>
        </w:rPr>
      </w:pPr>
      <w:r>
        <w:rPr>
          <w:rFonts w:ascii="Arial" w:cs="Arial" w:eastAsia="Arial" w:hAnsi="Arial"/>
          <w:sz w:val="16"/>
          <w:szCs w:val="16"/>
          <w:color w:val="auto"/>
        </w:rPr>
        <w:t>potential increases in construction and operating costs due to changes in the cost and availability of fuel, power, materials and supplies;</w:t>
      </w:r>
    </w:p>
    <w:p>
      <w:pPr>
        <w:spacing w:after="0" w:line="221" w:lineRule="exact"/>
        <w:rPr>
          <w:rFonts w:ascii="Arial" w:cs="Arial" w:eastAsia="Arial" w:hAnsi="Arial"/>
          <w:sz w:val="16"/>
          <w:szCs w:val="16"/>
          <w:color w:val="auto"/>
        </w:rPr>
      </w:pPr>
    </w:p>
    <w:p>
      <w:pPr>
        <w:ind w:left="660" w:hanging="328"/>
        <w:spacing w:after="0"/>
        <w:tabs>
          <w:tab w:leader="none" w:pos="660" w:val="left"/>
        </w:tabs>
        <w:numPr>
          <w:ilvl w:val="0"/>
          <w:numId w:val="34"/>
        </w:numPr>
        <w:rPr>
          <w:rFonts w:ascii="Arial" w:cs="Arial" w:eastAsia="Arial" w:hAnsi="Arial"/>
          <w:sz w:val="16"/>
          <w:szCs w:val="16"/>
          <w:color w:val="auto"/>
        </w:rPr>
      </w:pPr>
      <w:r>
        <w:rPr>
          <w:rFonts w:ascii="Arial" w:cs="Arial" w:eastAsia="Arial" w:hAnsi="Arial"/>
          <w:sz w:val="16"/>
          <w:szCs w:val="16"/>
          <w:color w:val="auto"/>
        </w:rPr>
        <w:t>the availability and cost of skilled labor and equipment;</w:t>
      </w:r>
    </w:p>
    <w:p>
      <w:pPr>
        <w:spacing w:after="0" w:line="221" w:lineRule="exact"/>
        <w:rPr>
          <w:rFonts w:ascii="Arial" w:cs="Arial" w:eastAsia="Arial" w:hAnsi="Arial"/>
          <w:sz w:val="16"/>
          <w:szCs w:val="16"/>
          <w:color w:val="auto"/>
        </w:rPr>
      </w:pPr>
    </w:p>
    <w:p>
      <w:pPr>
        <w:ind w:left="980" w:hanging="648"/>
        <w:spacing w:after="0" w:line="269" w:lineRule="auto"/>
        <w:tabs>
          <w:tab w:leader="none" w:pos="656" w:val="left"/>
        </w:tabs>
        <w:numPr>
          <w:ilvl w:val="0"/>
          <w:numId w:val="34"/>
        </w:numPr>
        <w:rPr>
          <w:rFonts w:ascii="Arial" w:cs="Arial" w:eastAsia="Arial" w:hAnsi="Arial"/>
          <w:sz w:val="16"/>
          <w:szCs w:val="16"/>
          <w:color w:val="auto"/>
        </w:rPr>
      </w:pPr>
      <w:r>
        <w:rPr>
          <w:rFonts w:ascii="Arial" w:cs="Arial" w:eastAsia="Arial" w:hAnsi="Arial"/>
          <w:sz w:val="16"/>
          <w:szCs w:val="16"/>
          <w:color w:val="auto"/>
        </w:rPr>
        <w:t>our ability to enter into additional satisfactory agreements with contractors and to maintain good relationships with these contractors in order to construct development projects within our expected cost parameters and time frame, and the ability of those contractors to perform their obligations under the contracts and to maintain their creditworthiness;</w:t>
      </w:r>
    </w:p>
    <w:p>
      <w:pPr>
        <w:spacing w:after="0" w:line="164" w:lineRule="exact"/>
        <w:rPr>
          <w:rFonts w:ascii="Arial" w:cs="Arial" w:eastAsia="Arial" w:hAnsi="Arial"/>
          <w:sz w:val="16"/>
          <w:szCs w:val="16"/>
          <w:color w:val="auto"/>
        </w:rPr>
      </w:pPr>
    </w:p>
    <w:p>
      <w:pPr>
        <w:ind w:left="660" w:hanging="328"/>
        <w:spacing w:after="0"/>
        <w:tabs>
          <w:tab w:leader="none" w:pos="660" w:val="left"/>
        </w:tabs>
        <w:numPr>
          <w:ilvl w:val="0"/>
          <w:numId w:val="34"/>
        </w:numPr>
        <w:rPr>
          <w:rFonts w:ascii="Arial" w:cs="Arial" w:eastAsia="Arial" w:hAnsi="Arial"/>
          <w:sz w:val="16"/>
          <w:szCs w:val="16"/>
          <w:color w:val="auto"/>
        </w:rPr>
      </w:pPr>
      <w:r>
        <w:rPr>
          <w:rFonts w:ascii="Arial" w:cs="Arial" w:eastAsia="Arial" w:hAnsi="Arial"/>
          <w:sz w:val="16"/>
          <w:szCs w:val="16"/>
          <w:color w:val="auto"/>
        </w:rPr>
        <w:t>potential liability for injury or casualty losses which are not covered by insurance;</w:t>
      </w:r>
    </w:p>
    <w:p>
      <w:pPr>
        <w:spacing w:after="0" w:line="221" w:lineRule="exact"/>
        <w:rPr>
          <w:rFonts w:ascii="Arial" w:cs="Arial" w:eastAsia="Arial" w:hAnsi="Arial"/>
          <w:sz w:val="16"/>
          <w:szCs w:val="16"/>
          <w:color w:val="auto"/>
        </w:rPr>
      </w:pPr>
    </w:p>
    <w:p>
      <w:pPr>
        <w:ind w:left="980" w:right="20" w:hanging="648"/>
        <w:spacing w:after="0" w:line="291" w:lineRule="auto"/>
        <w:tabs>
          <w:tab w:leader="none" w:pos="656" w:val="left"/>
        </w:tabs>
        <w:numPr>
          <w:ilvl w:val="0"/>
          <w:numId w:val="34"/>
        </w:numPr>
        <w:rPr>
          <w:rFonts w:ascii="Arial" w:cs="Arial" w:eastAsia="Arial" w:hAnsi="Arial"/>
          <w:sz w:val="16"/>
          <w:szCs w:val="16"/>
          <w:color w:val="auto"/>
        </w:rPr>
      </w:pPr>
      <w:r>
        <w:rPr>
          <w:rFonts w:ascii="Arial" w:cs="Arial" w:eastAsia="Arial" w:hAnsi="Arial"/>
          <w:sz w:val="16"/>
          <w:szCs w:val="16"/>
          <w:color w:val="auto"/>
        </w:rPr>
        <w:t>potential opposition from non-governmental organizations, environmental groups, local or other groups which may delay or prevent development activities;</w:t>
      </w:r>
    </w:p>
    <w:p>
      <w:pPr>
        <w:spacing w:after="0" w:line="148" w:lineRule="exact"/>
        <w:rPr>
          <w:rFonts w:ascii="Arial" w:cs="Arial" w:eastAsia="Arial" w:hAnsi="Arial"/>
          <w:sz w:val="16"/>
          <w:szCs w:val="16"/>
          <w:color w:val="auto"/>
        </w:rPr>
      </w:pPr>
    </w:p>
    <w:p>
      <w:pPr>
        <w:ind w:left="660" w:hanging="328"/>
        <w:spacing w:after="0"/>
        <w:tabs>
          <w:tab w:leader="none" w:pos="660" w:val="left"/>
        </w:tabs>
        <w:numPr>
          <w:ilvl w:val="0"/>
          <w:numId w:val="34"/>
        </w:numPr>
        <w:rPr>
          <w:rFonts w:ascii="Arial" w:cs="Arial" w:eastAsia="Arial" w:hAnsi="Arial"/>
          <w:sz w:val="16"/>
          <w:szCs w:val="16"/>
          <w:color w:val="auto"/>
        </w:rPr>
      </w:pPr>
      <w:r>
        <w:rPr>
          <w:rFonts w:ascii="Arial" w:cs="Arial" w:eastAsia="Arial" w:hAnsi="Arial"/>
          <w:sz w:val="16"/>
          <w:szCs w:val="16"/>
          <w:color w:val="auto"/>
        </w:rPr>
        <w:t>local and economic conditions;</w:t>
      </w:r>
    </w:p>
    <w:p>
      <w:pPr>
        <w:spacing w:after="0" w:line="221" w:lineRule="exact"/>
        <w:rPr>
          <w:rFonts w:ascii="Arial" w:cs="Arial" w:eastAsia="Arial" w:hAnsi="Arial"/>
          <w:sz w:val="16"/>
          <w:szCs w:val="16"/>
          <w:color w:val="auto"/>
        </w:rPr>
      </w:pPr>
    </w:p>
    <w:p>
      <w:pPr>
        <w:ind w:left="660" w:hanging="328"/>
        <w:spacing w:after="0"/>
        <w:tabs>
          <w:tab w:leader="none" w:pos="660" w:val="left"/>
        </w:tabs>
        <w:numPr>
          <w:ilvl w:val="0"/>
          <w:numId w:val="34"/>
        </w:numPr>
        <w:rPr>
          <w:rFonts w:ascii="Arial" w:cs="Arial" w:eastAsia="Arial" w:hAnsi="Arial"/>
          <w:sz w:val="16"/>
          <w:szCs w:val="16"/>
          <w:color w:val="auto"/>
        </w:rPr>
      </w:pPr>
      <w:r>
        <w:rPr>
          <w:rFonts w:ascii="Arial" w:cs="Arial" w:eastAsia="Arial" w:hAnsi="Arial"/>
          <w:sz w:val="16"/>
          <w:szCs w:val="16"/>
          <w:color w:val="auto"/>
        </w:rPr>
        <w:t>changes in legal requirements; and</w:t>
      </w:r>
    </w:p>
    <w:p>
      <w:pPr>
        <w:spacing w:after="0" w:line="221" w:lineRule="exact"/>
        <w:rPr>
          <w:rFonts w:ascii="Arial" w:cs="Arial" w:eastAsia="Arial" w:hAnsi="Arial"/>
          <w:sz w:val="16"/>
          <w:szCs w:val="16"/>
          <w:color w:val="auto"/>
        </w:rPr>
      </w:pPr>
    </w:p>
    <w:p>
      <w:pPr>
        <w:ind w:left="660" w:hanging="328"/>
        <w:spacing w:after="0"/>
        <w:tabs>
          <w:tab w:leader="none" w:pos="660" w:val="left"/>
        </w:tabs>
        <w:numPr>
          <w:ilvl w:val="0"/>
          <w:numId w:val="34"/>
        </w:numPr>
        <w:rPr>
          <w:rFonts w:ascii="Arial" w:cs="Arial" w:eastAsia="Arial" w:hAnsi="Arial"/>
          <w:sz w:val="16"/>
          <w:szCs w:val="16"/>
          <w:color w:val="auto"/>
        </w:rPr>
      </w:pPr>
      <w:r>
        <w:rPr>
          <w:rFonts w:ascii="Arial" w:cs="Arial" w:eastAsia="Arial" w:hAnsi="Arial"/>
          <w:sz w:val="16"/>
          <w:szCs w:val="16"/>
          <w:color w:val="auto"/>
        </w:rPr>
        <w:t>force majeure events, including catastrophes and adverse weather conditions.</w:t>
      </w:r>
    </w:p>
    <w:p>
      <w:pPr>
        <w:spacing w:after="0" w:line="167" w:lineRule="exact"/>
        <w:rPr>
          <w:sz w:val="20"/>
          <w:szCs w:val="20"/>
          <w:color w:val="auto"/>
        </w:rPr>
      </w:pPr>
    </w:p>
    <w:p>
      <w:pPr>
        <w:spacing w:after="0"/>
        <w:rPr>
          <w:sz w:val="20"/>
          <w:szCs w:val="20"/>
          <w:color w:val="auto"/>
        </w:rPr>
      </w:pPr>
      <w:r>
        <w:rPr>
          <w:rFonts w:ascii="Arial" w:cs="Arial" w:eastAsia="Arial" w:hAnsi="Arial"/>
          <w:sz w:val="16"/>
          <w:szCs w:val="16"/>
          <w:color w:val="auto"/>
        </w:rPr>
        <w:t>Any of these factors could materially affect our business, financial condition, liquidity and results of operations.</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83</w:t>
      </w:r>
    </w:p>
    <w:p>
      <w:pPr>
        <w:sectPr>
          <w:pgSz w:w="11900" w:h="16838" w:orient="portrait"/>
          <w:cols w:equalWidth="0" w:num="1">
            <w:col w:w="11420"/>
          </w:cols>
          <w:pgMar w:left="240" w:top="581" w:right="239" w:bottom="1440" w:gutter="0" w:footer="0" w:header="0"/>
        </w:sectPr>
      </w:pPr>
    </w:p>
    <w:bookmarkStart w:id="83" w:name="page84"/>
    <w:bookmarkEnd w:id="83"/>
    <w:p>
      <w:pPr>
        <w:ind w:right="420"/>
        <w:spacing w:after="0" w:line="302" w:lineRule="auto"/>
        <w:rPr>
          <w:sz w:val="20"/>
          <w:szCs w:val="20"/>
          <w:color w:val="auto"/>
        </w:rPr>
      </w:pPr>
      <w:r>
        <w:rPr>
          <w:rFonts w:ascii="Arial" w:cs="Arial" w:eastAsia="Arial" w:hAnsi="Arial"/>
          <w:sz w:val="16"/>
          <w:szCs w:val="16"/>
          <w:b w:val="1"/>
          <w:bCs w:val="1"/>
          <w:i w:val="1"/>
          <w:iCs w:val="1"/>
          <w:color w:val="auto"/>
        </w:rPr>
        <w:t>The agreements governing our indebtedness place restrictions on us and our subsidiaries, reducing operational flexibility and creating default risks.</w:t>
      </w:r>
    </w:p>
    <w:p>
      <w:pPr>
        <w:spacing w:after="0" w:line="131"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The agreements governing our indebtedness, including the indenture governing our Senior Notes, contain covenants that place restrictions on us and our subsidiaries. The indenture governing our Senior Notes restricts, among other things, our and certain of our subsidiaries’ ability to:</w:t>
      </w:r>
    </w:p>
    <w:p>
      <w:pPr>
        <w:spacing w:after="0" w:line="108" w:lineRule="exact"/>
        <w:rPr>
          <w:sz w:val="20"/>
          <w:szCs w:val="20"/>
          <w:color w:val="auto"/>
        </w:rPr>
      </w:pPr>
    </w:p>
    <w:p>
      <w:pPr>
        <w:ind w:left="660" w:hanging="328"/>
        <w:spacing w:after="0"/>
        <w:tabs>
          <w:tab w:leader="none" w:pos="660" w:val="left"/>
        </w:tabs>
        <w:numPr>
          <w:ilvl w:val="0"/>
          <w:numId w:val="35"/>
        </w:numPr>
        <w:rPr>
          <w:rFonts w:ascii="Times New Roman" w:cs="Times New Roman" w:eastAsia="Times New Roman" w:hAnsi="Times New Roman"/>
          <w:sz w:val="18"/>
          <w:szCs w:val="18"/>
          <w:color w:val="auto"/>
        </w:rPr>
      </w:pPr>
      <w:r>
        <w:rPr>
          <w:rFonts w:ascii="Arial" w:cs="Arial" w:eastAsia="Arial" w:hAnsi="Arial"/>
          <w:sz w:val="16"/>
          <w:szCs w:val="16"/>
          <w:color w:val="auto"/>
        </w:rPr>
        <w:t>merge, consolidate or transfer all, or substantially all, of our assets;</w:t>
      </w:r>
    </w:p>
    <w:p>
      <w:pPr>
        <w:spacing w:after="0" w:line="15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5"/>
        </w:numPr>
        <w:rPr>
          <w:rFonts w:ascii="Arial" w:cs="Arial" w:eastAsia="Arial" w:hAnsi="Arial"/>
          <w:sz w:val="16"/>
          <w:szCs w:val="16"/>
          <w:color w:val="auto"/>
        </w:rPr>
      </w:pPr>
      <w:r>
        <w:rPr>
          <w:rFonts w:ascii="Arial" w:cs="Arial" w:eastAsia="Arial" w:hAnsi="Arial"/>
          <w:sz w:val="16"/>
          <w:szCs w:val="16"/>
          <w:color w:val="auto"/>
        </w:rPr>
        <w:t>incur additional debt or issue preferred stock;</w:t>
      </w:r>
    </w:p>
    <w:p>
      <w:pPr>
        <w:spacing w:after="0" w:line="167" w:lineRule="exact"/>
        <w:rPr>
          <w:rFonts w:ascii="Arial" w:cs="Arial" w:eastAsia="Arial" w:hAnsi="Arial"/>
          <w:sz w:val="16"/>
          <w:szCs w:val="16"/>
          <w:color w:val="auto"/>
        </w:rPr>
      </w:pPr>
    </w:p>
    <w:p>
      <w:pPr>
        <w:ind w:left="660" w:hanging="328"/>
        <w:spacing w:after="0"/>
        <w:tabs>
          <w:tab w:leader="none" w:pos="660" w:val="left"/>
        </w:tabs>
        <w:numPr>
          <w:ilvl w:val="0"/>
          <w:numId w:val="35"/>
        </w:numPr>
        <w:rPr>
          <w:rFonts w:ascii="Arial" w:cs="Arial" w:eastAsia="Arial" w:hAnsi="Arial"/>
          <w:sz w:val="16"/>
          <w:szCs w:val="16"/>
          <w:color w:val="auto"/>
        </w:rPr>
      </w:pPr>
      <w:r>
        <w:rPr>
          <w:rFonts w:ascii="Arial" w:cs="Arial" w:eastAsia="Arial" w:hAnsi="Arial"/>
          <w:sz w:val="16"/>
          <w:szCs w:val="16"/>
          <w:color w:val="auto"/>
        </w:rPr>
        <w:t>make certain investments or acquisitions;</w:t>
      </w:r>
    </w:p>
    <w:p>
      <w:pPr>
        <w:spacing w:after="0" w:line="167" w:lineRule="exact"/>
        <w:rPr>
          <w:rFonts w:ascii="Arial" w:cs="Arial" w:eastAsia="Arial" w:hAnsi="Arial"/>
          <w:sz w:val="16"/>
          <w:szCs w:val="16"/>
          <w:color w:val="auto"/>
        </w:rPr>
      </w:pPr>
    </w:p>
    <w:p>
      <w:pPr>
        <w:ind w:left="660" w:hanging="328"/>
        <w:spacing w:after="0"/>
        <w:tabs>
          <w:tab w:leader="none" w:pos="660" w:val="left"/>
        </w:tabs>
        <w:numPr>
          <w:ilvl w:val="0"/>
          <w:numId w:val="35"/>
        </w:numPr>
        <w:rPr>
          <w:rFonts w:ascii="Arial" w:cs="Arial" w:eastAsia="Arial" w:hAnsi="Arial"/>
          <w:sz w:val="16"/>
          <w:szCs w:val="16"/>
          <w:color w:val="auto"/>
        </w:rPr>
      </w:pPr>
      <w:r>
        <w:rPr>
          <w:rFonts w:ascii="Arial" w:cs="Arial" w:eastAsia="Arial" w:hAnsi="Arial"/>
          <w:sz w:val="16"/>
          <w:szCs w:val="16"/>
          <w:color w:val="auto"/>
        </w:rPr>
        <w:t>create liens on our or our subsidiaries’ assets;</w:t>
      </w:r>
    </w:p>
    <w:p>
      <w:pPr>
        <w:spacing w:after="0" w:line="167" w:lineRule="exact"/>
        <w:rPr>
          <w:rFonts w:ascii="Arial" w:cs="Arial" w:eastAsia="Arial" w:hAnsi="Arial"/>
          <w:sz w:val="16"/>
          <w:szCs w:val="16"/>
          <w:color w:val="auto"/>
        </w:rPr>
      </w:pPr>
    </w:p>
    <w:p>
      <w:pPr>
        <w:ind w:left="660" w:hanging="328"/>
        <w:spacing w:after="0"/>
        <w:tabs>
          <w:tab w:leader="none" w:pos="660" w:val="left"/>
        </w:tabs>
        <w:numPr>
          <w:ilvl w:val="0"/>
          <w:numId w:val="35"/>
        </w:numPr>
        <w:rPr>
          <w:rFonts w:ascii="Arial" w:cs="Arial" w:eastAsia="Arial" w:hAnsi="Arial"/>
          <w:sz w:val="16"/>
          <w:szCs w:val="16"/>
          <w:color w:val="auto"/>
        </w:rPr>
      </w:pPr>
      <w:r>
        <w:rPr>
          <w:rFonts w:ascii="Arial" w:cs="Arial" w:eastAsia="Arial" w:hAnsi="Arial"/>
          <w:sz w:val="16"/>
          <w:szCs w:val="16"/>
          <w:color w:val="auto"/>
        </w:rPr>
        <w:t>sell assets;</w:t>
      </w:r>
    </w:p>
    <w:p>
      <w:pPr>
        <w:spacing w:after="0" w:line="167" w:lineRule="exact"/>
        <w:rPr>
          <w:rFonts w:ascii="Arial" w:cs="Arial" w:eastAsia="Arial" w:hAnsi="Arial"/>
          <w:sz w:val="16"/>
          <w:szCs w:val="16"/>
          <w:color w:val="auto"/>
        </w:rPr>
      </w:pPr>
    </w:p>
    <w:p>
      <w:pPr>
        <w:ind w:left="660" w:hanging="328"/>
        <w:spacing w:after="0"/>
        <w:tabs>
          <w:tab w:leader="none" w:pos="660" w:val="left"/>
        </w:tabs>
        <w:numPr>
          <w:ilvl w:val="0"/>
          <w:numId w:val="35"/>
        </w:numPr>
        <w:rPr>
          <w:rFonts w:ascii="Arial" w:cs="Arial" w:eastAsia="Arial" w:hAnsi="Arial"/>
          <w:sz w:val="16"/>
          <w:szCs w:val="16"/>
          <w:color w:val="auto"/>
        </w:rPr>
      </w:pPr>
      <w:r>
        <w:rPr>
          <w:rFonts w:ascii="Arial" w:cs="Arial" w:eastAsia="Arial" w:hAnsi="Arial"/>
          <w:sz w:val="16"/>
          <w:szCs w:val="16"/>
          <w:color w:val="auto"/>
        </w:rPr>
        <w:t>make distributions on or repurchase our stock;</w:t>
      </w:r>
    </w:p>
    <w:p>
      <w:pPr>
        <w:spacing w:after="0" w:line="167" w:lineRule="exact"/>
        <w:rPr>
          <w:rFonts w:ascii="Arial" w:cs="Arial" w:eastAsia="Arial" w:hAnsi="Arial"/>
          <w:sz w:val="16"/>
          <w:szCs w:val="16"/>
          <w:color w:val="auto"/>
        </w:rPr>
      </w:pPr>
    </w:p>
    <w:p>
      <w:pPr>
        <w:ind w:left="660" w:hanging="328"/>
        <w:spacing w:after="0"/>
        <w:tabs>
          <w:tab w:leader="none" w:pos="660" w:val="left"/>
        </w:tabs>
        <w:numPr>
          <w:ilvl w:val="0"/>
          <w:numId w:val="35"/>
        </w:numPr>
        <w:rPr>
          <w:rFonts w:ascii="Arial" w:cs="Arial" w:eastAsia="Arial" w:hAnsi="Arial"/>
          <w:sz w:val="16"/>
          <w:szCs w:val="16"/>
          <w:color w:val="auto"/>
        </w:rPr>
      </w:pPr>
      <w:r>
        <w:rPr>
          <w:rFonts w:ascii="Arial" w:cs="Arial" w:eastAsia="Arial" w:hAnsi="Arial"/>
          <w:sz w:val="16"/>
          <w:szCs w:val="16"/>
          <w:color w:val="auto"/>
        </w:rPr>
        <w:t>enter into transactions with affiliates; and</w:t>
      </w:r>
    </w:p>
    <w:p>
      <w:pPr>
        <w:spacing w:after="0" w:line="167" w:lineRule="exact"/>
        <w:rPr>
          <w:rFonts w:ascii="Arial" w:cs="Arial" w:eastAsia="Arial" w:hAnsi="Arial"/>
          <w:sz w:val="16"/>
          <w:szCs w:val="16"/>
          <w:color w:val="auto"/>
        </w:rPr>
      </w:pPr>
    </w:p>
    <w:p>
      <w:pPr>
        <w:ind w:left="660" w:hanging="328"/>
        <w:spacing w:after="0"/>
        <w:tabs>
          <w:tab w:leader="none" w:pos="660" w:val="left"/>
        </w:tabs>
        <w:numPr>
          <w:ilvl w:val="0"/>
          <w:numId w:val="35"/>
        </w:numPr>
        <w:rPr>
          <w:rFonts w:ascii="Arial" w:cs="Arial" w:eastAsia="Arial" w:hAnsi="Arial"/>
          <w:sz w:val="16"/>
          <w:szCs w:val="16"/>
          <w:color w:val="auto"/>
        </w:rPr>
      </w:pPr>
      <w:r>
        <w:rPr>
          <w:rFonts w:ascii="Arial" w:cs="Arial" w:eastAsia="Arial" w:hAnsi="Arial"/>
          <w:sz w:val="16"/>
          <w:szCs w:val="16"/>
          <w:color w:val="auto"/>
        </w:rPr>
        <w:t>create dividend restrictions and other payment restrictions that affect our subsidiaries.</w:t>
      </w:r>
    </w:p>
    <w:p>
      <w:pPr>
        <w:spacing w:after="0" w:line="221" w:lineRule="exact"/>
        <w:rPr>
          <w:sz w:val="20"/>
          <w:szCs w:val="20"/>
          <w:color w:val="auto"/>
        </w:rPr>
      </w:pPr>
    </w:p>
    <w:p>
      <w:pPr>
        <w:jc w:val="both"/>
        <w:spacing w:after="0" w:line="261" w:lineRule="auto"/>
        <w:rPr>
          <w:sz w:val="20"/>
          <w:szCs w:val="20"/>
          <w:color w:val="auto"/>
        </w:rPr>
      </w:pPr>
      <w:r>
        <w:rPr>
          <w:rFonts w:ascii="Arial" w:cs="Arial" w:eastAsia="Arial" w:hAnsi="Arial"/>
          <w:sz w:val="16"/>
          <w:szCs w:val="16"/>
          <w:color w:val="auto"/>
        </w:rPr>
        <w:t>These covenants could impair our ability to grow our business, take advantage of attractive business opportunities or successfully compete. A breach of any of these covenants could result in an event of default. Cross-default provisions in our debt agreements could cause an event of default under one debt agreement to trigger an event of default under our other debt agreements. Upon the occurrence of an event of default under any of our debt agreements, the lenders or holders thereof could elect to declare all outstanding debt under such agreements to be immediately due and payable.</w:t>
      </w:r>
    </w:p>
    <w:p>
      <w:pPr>
        <w:spacing w:after="0" w:line="17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Terrorist attacks could negatively impact our operations and our profitability and may expose us to liability and reputational damage.</w:t>
      </w:r>
    </w:p>
    <w:p>
      <w:pPr>
        <w:spacing w:after="0" w:line="221"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Terrorist attacks may negatively affect our operations. Such attacks have contributed to economic instability in the United States and elsewhere, and further acts of terrorism, violence or war could similarly affect world trade and the industries in which we and our customers operate. In addition, terrorist attacks or hostilities may directly impact airports or aircraft, ports where our containers and vessels travel, or our physical facilities or those of our customers. In addition, it is also possible that our assets could be involved in a terrorist attack. The consequences of any terrorist attacks or hostilities are unpredictable, and we may not be able to foresee events that could have a material adverse effect on our operations. Although our lease and charter agreements generally require the counterparties to indemnify us against all damages arising out of the use of our assets, and we carry insurance to potentially offset any costs in the event that our customer indemnifications prove to be insufficient, our insurance does not cover certain types of terrorist attacks, and we may not be fully protected from liability or the reputational damage that could arise from a terrorist attack which utilizes our assets.</w:t>
      </w:r>
    </w:p>
    <w:p>
      <w:pPr>
        <w:spacing w:after="0" w:line="177" w:lineRule="exact"/>
        <w:rPr>
          <w:sz w:val="20"/>
          <w:szCs w:val="20"/>
          <w:color w:val="auto"/>
        </w:rPr>
      </w:pPr>
    </w:p>
    <w:p>
      <w:pPr>
        <w:jc w:val="both"/>
        <w:spacing w:after="0" w:line="302" w:lineRule="auto"/>
        <w:rPr>
          <w:sz w:val="20"/>
          <w:szCs w:val="20"/>
          <w:color w:val="auto"/>
        </w:rPr>
      </w:pPr>
      <w:r>
        <w:rPr>
          <w:rFonts w:ascii="Arial" w:cs="Arial" w:eastAsia="Arial" w:hAnsi="Arial"/>
          <w:sz w:val="16"/>
          <w:szCs w:val="16"/>
          <w:b w:val="1"/>
          <w:bCs w:val="1"/>
          <w:i w:val="1"/>
          <w:iCs w:val="1"/>
          <w:color w:val="auto"/>
        </w:rPr>
        <w:t>Because we are a recently formed company with a limited operating history, our historical financial and operating data may not be representative of our future results.</w:t>
      </w:r>
    </w:p>
    <w:p>
      <w:pPr>
        <w:spacing w:after="0" w:line="131" w:lineRule="exact"/>
        <w:rPr>
          <w:sz w:val="20"/>
          <w:szCs w:val="20"/>
          <w:color w:val="auto"/>
        </w:rPr>
      </w:pPr>
    </w:p>
    <w:p>
      <w:pPr>
        <w:jc w:val="both"/>
        <w:spacing w:after="0" w:line="255" w:lineRule="auto"/>
        <w:rPr>
          <w:sz w:val="20"/>
          <w:szCs w:val="20"/>
          <w:color w:val="auto"/>
        </w:rPr>
      </w:pPr>
      <w:r>
        <w:rPr>
          <w:rFonts w:ascii="Arial" w:cs="Arial" w:eastAsia="Arial" w:hAnsi="Arial"/>
          <w:sz w:val="16"/>
          <w:szCs w:val="16"/>
          <w:color w:val="auto"/>
        </w:rPr>
        <w:t>We are a recently formed limited liability company with a limited operating history. Our results of operations, financial condition and cash flows reflected in our consolidated financial statements may not be indicative of the results we would have achieved if we were a public company or results that may be achieved in future periods. Consequently, there can be no assurance that we will be able to generate sufficient income to pay our operating expenses and make satisfactory distributions to our shareholders, or any distributions at all. Further, we only make acquisitions identified by our Manager. As a result of this concentration of assets, our financial performance depends on the performance of our Manager in identifying target assets, the availability of opportunities falling within our asset acquisition strategy and the performance of those underlying assets.</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84</w:t>
      </w:r>
    </w:p>
    <w:p>
      <w:pPr>
        <w:sectPr>
          <w:pgSz w:w="11900" w:h="16838" w:orient="portrait"/>
          <w:cols w:equalWidth="0" w:num="1">
            <w:col w:w="11420"/>
          </w:cols>
          <w:pgMar w:left="240" w:top="526" w:right="239" w:bottom="1440" w:gutter="0" w:footer="0" w:header="0"/>
        </w:sectPr>
      </w:pPr>
    </w:p>
    <w:bookmarkStart w:id="84" w:name="page85"/>
    <w:bookmarkEnd w:id="84"/>
    <w:p>
      <w:pPr>
        <w:jc w:val="both"/>
        <w:spacing w:after="0" w:line="302" w:lineRule="auto"/>
        <w:rPr>
          <w:sz w:val="20"/>
          <w:szCs w:val="20"/>
          <w:color w:val="auto"/>
        </w:rPr>
      </w:pPr>
      <w:r>
        <w:rPr>
          <w:rFonts w:ascii="Arial" w:cs="Arial" w:eastAsia="Arial" w:hAnsi="Arial"/>
          <w:sz w:val="16"/>
          <w:szCs w:val="16"/>
          <w:b w:val="1"/>
          <w:bCs w:val="1"/>
          <w:i w:val="1"/>
          <w:iCs w:val="1"/>
          <w:color w:val="auto"/>
        </w:rPr>
        <w:t>Our leases and charters require payments in U.S. dollars, but many of our customers operate in other currencies; if foreign currencies devalue against the U.S. dollar, our lessees or charterers may be unable to meet their payment obligations to us in a timely manner.</w:t>
      </w:r>
    </w:p>
    <w:p>
      <w:pPr>
        <w:spacing w:after="0" w:line="131" w:lineRule="exact"/>
        <w:rPr>
          <w:sz w:val="20"/>
          <w:szCs w:val="20"/>
          <w:color w:val="auto"/>
        </w:rPr>
      </w:pPr>
    </w:p>
    <w:p>
      <w:pPr>
        <w:jc w:val="both"/>
        <w:spacing w:after="0" w:line="255" w:lineRule="auto"/>
        <w:rPr>
          <w:sz w:val="20"/>
          <w:szCs w:val="20"/>
          <w:color w:val="auto"/>
        </w:rPr>
      </w:pPr>
      <w:r>
        <w:rPr>
          <w:rFonts w:ascii="Arial" w:cs="Arial" w:eastAsia="Arial" w:hAnsi="Arial"/>
          <w:sz w:val="16"/>
          <w:szCs w:val="16"/>
          <w:color w:val="auto"/>
        </w:rPr>
        <w:t>Our current leases and charters require that payments be made in U.S. dollars. If the currency that our lessees or charterers typically use in operating their businesses devalues against the U.S. dollar, our lessees or charterers could encounter difficulties in making payments to us in U.S. dollars. Furthermore, many foreign countries have currency and exchange laws regulating international payments that may impede or prevent payments from being paid to us in U.S. dollars. Future leases or charters may provide for payments to be made in euros or other foreign currencies. Any change in the currency exchange rate that reduces the amount of U.S. dollars obtained by us upon conversion of future lease payments denominated in euros or other foreign currencies, may, if not appropriately hedged by us, have a material adverse effect on us and increase the volatility of our earnings.</w:t>
      </w:r>
    </w:p>
    <w:p>
      <w:pPr>
        <w:spacing w:after="0" w:line="17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Our inability to obtain sufficient capital would constrain our ability to grow our portfolio and to increase our revenues.</w:t>
      </w:r>
    </w:p>
    <w:p>
      <w:pPr>
        <w:spacing w:after="0" w:line="221" w:lineRule="exact"/>
        <w:rPr>
          <w:sz w:val="20"/>
          <w:szCs w:val="20"/>
          <w:color w:val="auto"/>
        </w:rPr>
      </w:pPr>
    </w:p>
    <w:p>
      <w:pPr>
        <w:jc w:val="both"/>
        <w:spacing w:after="0" w:line="261" w:lineRule="auto"/>
        <w:rPr>
          <w:sz w:val="20"/>
          <w:szCs w:val="20"/>
          <w:color w:val="auto"/>
        </w:rPr>
      </w:pPr>
      <w:r>
        <w:rPr>
          <w:rFonts w:ascii="Arial" w:cs="Arial" w:eastAsia="Arial" w:hAnsi="Arial"/>
          <w:sz w:val="16"/>
          <w:szCs w:val="16"/>
          <w:color w:val="auto"/>
        </w:rPr>
        <w:t>Our business is capital intensive, and we have used and may continue to employ leverage to finance our operations. Accordingly, our ability to successfully execute our business strategy and maintain our operations depends on the availability and cost of debt and equity capital. Additionally, our ability to borrow against our assets is dependent, in part, on the appraised value of such assets. If the appraised value of such assets declines, we may be required to reduce the principal outstanding under our debt facilities or otherwise be unable to incur new borrowings.</w:t>
      </w:r>
    </w:p>
    <w:p>
      <w:pPr>
        <w:spacing w:after="0" w:line="172"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We can give no assurance that the capital we need will be available to us on favorable terms, or at all. Our inability to obtain sufficient capital, or to renew or expand our credit facilities, could result in increased funding costs and would limit our ability to:</w:t>
      </w:r>
    </w:p>
    <w:p>
      <w:pPr>
        <w:spacing w:after="0" w:line="175" w:lineRule="exact"/>
        <w:rPr>
          <w:sz w:val="20"/>
          <w:szCs w:val="20"/>
          <w:color w:val="auto"/>
        </w:rPr>
      </w:pPr>
    </w:p>
    <w:p>
      <w:pPr>
        <w:ind w:left="1580" w:hanging="708"/>
        <w:spacing w:after="0"/>
        <w:tabs>
          <w:tab w:leader="none" w:pos="1580" w:val="left"/>
        </w:tabs>
        <w:numPr>
          <w:ilvl w:val="0"/>
          <w:numId w:val="36"/>
        </w:numPr>
        <w:rPr>
          <w:rFonts w:ascii="Arial" w:cs="Arial" w:eastAsia="Arial" w:hAnsi="Arial"/>
          <w:sz w:val="16"/>
          <w:szCs w:val="16"/>
          <w:color w:val="auto"/>
        </w:rPr>
      </w:pPr>
      <w:r>
        <w:rPr>
          <w:rFonts w:ascii="Arial" w:cs="Arial" w:eastAsia="Arial" w:hAnsi="Arial"/>
          <w:sz w:val="16"/>
          <w:szCs w:val="16"/>
          <w:color w:val="auto"/>
        </w:rPr>
        <w:t>meet the terms and maturities of our existing and future debt facilities;</w:t>
      </w:r>
    </w:p>
    <w:p>
      <w:pPr>
        <w:spacing w:after="0" w:line="288" w:lineRule="exact"/>
        <w:rPr>
          <w:rFonts w:ascii="Arial" w:cs="Arial" w:eastAsia="Arial" w:hAnsi="Arial"/>
          <w:sz w:val="16"/>
          <w:szCs w:val="16"/>
          <w:color w:val="auto"/>
        </w:rPr>
      </w:pPr>
    </w:p>
    <w:p>
      <w:pPr>
        <w:ind w:left="1580" w:hanging="708"/>
        <w:spacing w:after="0"/>
        <w:tabs>
          <w:tab w:leader="none" w:pos="1580" w:val="left"/>
        </w:tabs>
        <w:numPr>
          <w:ilvl w:val="0"/>
          <w:numId w:val="36"/>
        </w:numPr>
        <w:rPr>
          <w:rFonts w:ascii="Arial" w:cs="Arial" w:eastAsia="Arial" w:hAnsi="Arial"/>
          <w:sz w:val="16"/>
          <w:szCs w:val="16"/>
          <w:color w:val="auto"/>
        </w:rPr>
      </w:pPr>
      <w:r>
        <w:rPr>
          <w:rFonts w:ascii="Arial" w:cs="Arial" w:eastAsia="Arial" w:hAnsi="Arial"/>
          <w:sz w:val="16"/>
          <w:szCs w:val="16"/>
          <w:color w:val="auto"/>
        </w:rPr>
        <w:t>purchase new assets or refinance existing assets;</w:t>
      </w:r>
    </w:p>
    <w:p>
      <w:pPr>
        <w:spacing w:after="0" w:line="288" w:lineRule="exact"/>
        <w:rPr>
          <w:rFonts w:ascii="Arial" w:cs="Arial" w:eastAsia="Arial" w:hAnsi="Arial"/>
          <w:sz w:val="16"/>
          <w:szCs w:val="16"/>
          <w:color w:val="auto"/>
        </w:rPr>
      </w:pPr>
    </w:p>
    <w:p>
      <w:pPr>
        <w:ind w:left="1540" w:hanging="668"/>
        <w:spacing w:after="0"/>
        <w:tabs>
          <w:tab w:leader="none" w:pos="1540" w:val="left"/>
        </w:tabs>
        <w:numPr>
          <w:ilvl w:val="0"/>
          <w:numId w:val="36"/>
        </w:numPr>
        <w:rPr>
          <w:rFonts w:ascii="Arial" w:cs="Arial" w:eastAsia="Arial" w:hAnsi="Arial"/>
          <w:sz w:val="16"/>
          <w:szCs w:val="16"/>
          <w:color w:val="auto"/>
        </w:rPr>
      </w:pPr>
      <w:r>
        <w:rPr>
          <w:rFonts w:ascii="Arial" w:cs="Arial" w:eastAsia="Arial" w:hAnsi="Arial"/>
          <w:sz w:val="16"/>
          <w:szCs w:val="16"/>
          <w:color w:val="auto"/>
        </w:rPr>
        <w:t>fund our working capital needs and maintain adequate liquidity; and</w:t>
      </w:r>
    </w:p>
    <w:p>
      <w:pPr>
        <w:spacing w:after="0" w:line="288" w:lineRule="exact"/>
        <w:rPr>
          <w:rFonts w:ascii="Arial" w:cs="Arial" w:eastAsia="Arial" w:hAnsi="Arial"/>
          <w:sz w:val="16"/>
          <w:szCs w:val="16"/>
          <w:color w:val="auto"/>
        </w:rPr>
      </w:pPr>
    </w:p>
    <w:p>
      <w:pPr>
        <w:ind w:left="1580" w:hanging="708"/>
        <w:spacing w:after="0"/>
        <w:tabs>
          <w:tab w:leader="none" w:pos="1580" w:val="left"/>
        </w:tabs>
        <w:numPr>
          <w:ilvl w:val="0"/>
          <w:numId w:val="36"/>
        </w:numPr>
        <w:rPr>
          <w:rFonts w:ascii="Arial" w:cs="Arial" w:eastAsia="Arial" w:hAnsi="Arial"/>
          <w:sz w:val="16"/>
          <w:szCs w:val="16"/>
          <w:color w:val="auto"/>
        </w:rPr>
      </w:pPr>
      <w:r>
        <w:rPr>
          <w:rFonts w:ascii="Arial" w:cs="Arial" w:eastAsia="Arial" w:hAnsi="Arial"/>
          <w:sz w:val="16"/>
          <w:szCs w:val="16"/>
          <w:color w:val="auto"/>
        </w:rPr>
        <w:t>finance other growth initiatives.</w:t>
      </w:r>
    </w:p>
    <w:p>
      <w:pPr>
        <w:spacing w:after="0" w:line="262" w:lineRule="exact"/>
        <w:rPr>
          <w:sz w:val="20"/>
          <w:szCs w:val="20"/>
          <w:color w:val="auto"/>
        </w:rPr>
      </w:pPr>
    </w:p>
    <w:p>
      <w:pPr>
        <w:jc w:val="both"/>
        <w:spacing w:after="0" w:line="261" w:lineRule="auto"/>
        <w:rPr>
          <w:sz w:val="20"/>
          <w:szCs w:val="20"/>
          <w:color w:val="auto"/>
        </w:rPr>
      </w:pPr>
      <w:r>
        <w:rPr>
          <w:rFonts w:ascii="Arial" w:cs="Arial" w:eastAsia="Arial" w:hAnsi="Arial"/>
          <w:sz w:val="16"/>
          <w:szCs w:val="16"/>
          <w:color w:val="auto"/>
        </w:rPr>
        <w:t>In addition, we conduct our operations so that neither we nor any of our subsidiaries are required to register as an investment company under the Investment Company Act of 1940 (the “Investment Company Act”). As such, certain forms of financing such as finance leases may not be available to us. Please see “- If we are deemed an investment company under the Investment Company Act, it could have a material adverse effect on our business, prospects, financial condition, results of operations and cash flows.”</w:t>
      </w:r>
    </w:p>
    <w:p>
      <w:pPr>
        <w:spacing w:after="0" w:line="172" w:lineRule="exact"/>
        <w:rPr>
          <w:sz w:val="20"/>
          <w:szCs w:val="20"/>
          <w:color w:val="auto"/>
        </w:rPr>
      </w:pPr>
    </w:p>
    <w:p>
      <w:pPr>
        <w:jc w:val="both"/>
        <w:spacing w:after="0" w:line="302" w:lineRule="auto"/>
        <w:rPr>
          <w:sz w:val="20"/>
          <w:szCs w:val="20"/>
          <w:color w:val="auto"/>
        </w:rPr>
      </w:pPr>
      <w:r>
        <w:rPr>
          <w:rFonts w:ascii="Arial" w:cs="Arial" w:eastAsia="Arial" w:hAnsi="Arial"/>
          <w:sz w:val="16"/>
          <w:szCs w:val="16"/>
          <w:b w:val="1"/>
          <w:bCs w:val="1"/>
          <w:i w:val="1"/>
          <w:iCs w:val="1"/>
          <w:color w:val="auto"/>
        </w:rPr>
        <w:t>The effects of various environmental regulations may negatively affect the industries in which we operate which could have a material adverse effect on our financial condition, results of operations and cash flows.</w:t>
      </w:r>
    </w:p>
    <w:p>
      <w:pPr>
        <w:spacing w:after="0" w:line="131" w:lineRule="exact"/>
        <w:rPr>
          <w:sz w:val="20"/>
          <w:szCs w:val="20"/>
          <w:color w:val="auto"/>
        </w:rPr>
      </w:pPr>
    </w:p>
    <w:p>
      <w:pPr>
        <w:jc w:val="both"/>
        <w:spacing w:after="0" w:line="250" w:lineRule="auto"/>
        <w:rPr>
          <w:sz w:val="20"/>
          <w:szCs w:val="20"/>
          <w:color w:val="auto"/>
        </w:rPr>
      </w:pPr>
      <w:r>
        <w:rPr>
          <w:rFonts w:ascii="Arial" w:cs="Arial" w:eastAsia="Arial" w:hAnsi="Arial"/>
          <w:sz w:val="16"/>
          <w:szCs w:val="16"/>
          <w:color w:val="auto"/>
        </w:rPr>
        <w:t>We are subject to federal, state, local and foreign laws and regulations relating to the protection of the environment, including those governing the discharge of pollutants to air and water, the management and disposal of hazardous substances and wastes, the cleanup of contaminated sites and noise and emission levels. Under some environmental laws in the United States and certain other countries, strict liability may be imposed on the owners or operators of assets, which could render us liable for environmental and natural resource damages without regard to negligence or fault on our part. We could incur substantial costs, including cleanup costs, fines and third-party claims for property or natural resource damage and personal injury, as a result of violations of or liabilities under environmental laws and regulations in connection with our or our lessee’s or charterer’s current or historical operations, any of which could have a material adverse effect on our results of operations and financial condition. While we typically maintain liability insurance coverage and typically require our lessees to provide us with indemnity against certain losses, the insurance coverage is subject to large deductibles, limits on maximum coverage and significant exclusions and may not be sufficient or available to protect against any or all liabilities and such indemnities may not cover or be sufficient to protect us against losses arising from environmental damage. In addition, changes to environmental standards or regulations in the industries in which we operate could limit the economic life of the assets we acquire or reduce their value, and also require us to make significant additional investments in order to maintain compliance, which would negatively impact our cash flows and results of operations.</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85</w:t>
      </w:r>
    </w:p>
    <w:p>
      <w:pPr>
        <w:sectPr>
          <w:pgSz w:w="11900" w:h="16838" w:orient="portrait"/>
          <w:cols w:equalWidth="0" w:num="1">
            <w:col w:w="11420"/>
          </w:cols>
          <w:pgMar w:left="240" w:top="581" w:right="239" w:bottom="1440" w:gutter="0" w:footer="0" w:header="0"/>
        </w:sectPr>
      </w:pPr>
    </w:p>
    <w:bookmarkStart w:id="85" w:name="page86"/>
    <w:bookmarkEnd w:id="85"/>
    <w:p>
      <w:pPr>
        <w:spacing w:after="0"/>
        <w:rPr>
          <w:sz w:val="20"/>
          <w:szCs w:val="20"/>
          <w:color w:val="auto"/>
        </w:rPr>
      </w:pPr>
      <w:r>
        <w:rPr>
          <w:rFonts w:ascii="Arial" w:cs="Arial" w:eastAsia="Arial" w:hAnsi="Arial"/>
          <w:sz w:val="16"/>
          <w:szCs w:val="16"/>
          <w:b w:val="1"/>
          <w:bCs w:val="1"/>
          <w:i w:val="1"/>
          <w:iCs w:val="1"/>
          <w:color w:val="auto"/>
        </w:rPr>
        <w:t>Our Repauno site and Hannibal property are subject to environmental laws and regulations that may expose us to significant costs and liabilities.</w:t>
      </w:r>
    </w:p>
    <w:p>
      <w:pPr>
        <w:spacing w:after="0" w:line="221"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Our Repauno site is subject to on-going environmental investigation and remediation by the former owner of the property related to historic industrial operations. The former owner is responsible for completion of this work, and we benefit from a related indemnity and insurance policy. If the former owner fails to fulfill its investigation and remediation, or indemnity obligations and the related insurance, which are subject to limits and conditions, fail to cover our costs, we could incur losses. Redevelopment of the property in those areas undergoing investigation and remediation must await state environmental agency confirmation that no further investigation or remediation is required before redevelopment activities can occur in such areas of the property. Therefore, any delay in the former owner’s completion of the environmental work or receipt of related approvals in an area of the property could delay our redevelopment activities. In addition, once received, permits and approvals may be subject to litigation, and projects may be delayed or approvals reversed or modified in litigation. If there is a delay in obtaining any required regulatory approval, it could delay projects and cause us to incur costs.</w:t>
      </w:r>
    </w:p>
    <w:p>
      <w:pPr>
        <w:spacing w:after="0" w:line="177" w:lineRule="exact"/>
        <w:rPr>
          <w:sz w:val="20"/>
          <w:szCs w:val="20"/>
          <w:color w:val="auto"/>
        </w:rPr>
      </w:pPr>
    </w:p>
    <w:p>
      <w:pPr>
        <w:jc w:val="both"/>
        <w:spacing w:after="0" w:line="249" w:lineRule="auto"/>
        <w:rPr>
          <w:sz w:val="20"/>
          <w:szCs w:val="20"/>
          <w:color w:val="auto"/>
        </w:rPr>
      </w:pPr>
      <w:r>
        <w:rPr>
          <w:rFonts w:ascii="Arial" w:cs="Arial" w:eastAsia="Arial" w:hAnsi="Arial"/>
          <w:sz w:val="16"/>
          <w:szCs w:val="16"/>
          <w:color w:val="auto"/>
        </w:rPr>
        <w:t>In connection with our acquisition of Hannibal, the former owner of the property is obligated to perform certain post-closing demolition activities, remove specified containers, equipment and structures and conduct investigation, removal, cleanup and decontamination related thereto. In addition, the former owner is responsible for on-going environmental remediation related to historic industrial operations on and off Hannibal. Pursuant to an order issued by the Ohio Environmental Protection Agency (“Ohio EPA”), the former owner is responsible for completing the removal and off-site disposal of electrolytic pots associated with the former use of Hannibal as an aluminum reduction plant. In addition, Hannibal is located adjacent to the former Ormet Corporation Superfund site (the “Ormet site”), which is owned and operated by the former owner of Hannibal. Pursuant to an order with the United States Environmental Protection Agency (“US EPA”), the former owner is obligated to pump groundwater that has been impacted by the adjacent Ormet site beneath our site and discharge it to the Ohio River and monitor the groundwater annually. Hannibal is also subject to an environmental covenant related to the adjacent Ormet site that, inter alia, restricts the use of groundwater beneath our site and requires US EPA consent for activities on Hannibal that could disrupt the groundwater monitoring or pumping. The former owner is contractually obligated to complete its regulatory obligations on Hannibal and we benefit from a related indemnity and insurance policy. If the former owner fails to fulfill its demolition, removal, investigation, remediation or monitoring obligations, or indemnity obligations and the related insurance, which are subject to limits and conditions, fail to cover our costs, we could incur losses. Redevelopment of the property in those areas undergoing investigation and remediation pursuant to the Ohio EPA order must await state environmental agency confirmation that no further investigation or remediation is required before redevelopment activities can occur in such area of the property. Therefore, any delay in the former owner’s completion of the environmental work or receipt of related approvals or consents from Ohio EPA or US EPA could delay our redevelopment activities.</w:t>
      </w:r>
    </w:p>
    <w:p>
      <w:pPr>
        <w:spacing w:after="0" w:line="189" w:lineRule="exact"/>
        <w:rPr>
          <w:sz w:val="20"/>
          <w:szCs w:val="20"/>
          <w:color w:val="auto"/>
        </w:rPr>
      </w:pPr>
    </w:p>
    <w:p>
      <w:pPr>
        <w:ind w:right="40"/>
        <w:spacing w:after="0" w:line="255" w:lineRule="auto"/>
        <w:rPr>
          <w:sz w:val="20"/>
          <w:szCs w:val="20"/>
          <w:color w:val="auto"/>
        </w:rPr>
      </w:pPr>
      <w:r>
        <w:rPr>
          <w:rFonts w:ascii="Arial" w:cs="Arial" w:eastAsia="Arial" w:hAnsi="Arial"/>
          <w:sz w:val="16"/>
          <w:szCs w:val="16"/>
          <w:color w:val="auto"/>
        </w:rPr>
        <w:t>In addition, a portion of Hannibal is proposed for redevelopment as a combined cycle gas-fired electric generating facility. Although environmental investigations in that portion of the property have not identified material impacts to soils or groundwater that reasonably would be expected to prevent or delay redevelopment, impacted materials could be encountered during construction that require special handling and/or result in delays to the project. In addition, the construction of an electric generating plant will require environmental permits and approvals from federal, state and local environmental agencies. Once received, permits and approvals may be subject to litigation, and projects may be delayed or approvals reversed or modified in litigation. If there is a delay in obtaining any required regulatory approval, it could delay projects and cause us to incur costs.</w:t>
      </w:r>
    </w:p>
    <w:p>
      <w:pPr>
        <w:spacing w:after="0" w:line="178" w:lineRule="exact"/>
        <w:rPr>
          <w:sz w:val="20"/>
          <w:szCs w:val="20"/>
          <w:color w:val="auto"/>
        </w:rPr>
      </w:pPr>
    </w:p>
    <w:p>
      <w:pPr>
        <w:ind w:right="40"/>
        <w:spacing w:after="0" w:line="261" w:lineRule="auto"/>
        <w:rPr>
          <w:sz w:val="20"/>
          <w:szCs w:val="20"/>
          <w:color w:val="auto"/>
        </w:rPr>
      </w:pPr>
      <w:r>
        <w:rPr>
          <w:rFonts w:ascii="Arial" w:cs="Arial" w:eastAsia="Arial" w:hAnsi="Arial"/>
          <w:sz w:val="16"/>
          <w:szCs w:val="16"/>
          <w:color w:val="auto"/>
        </w:rPr>
        <w:t>Moreover, new, stricter environmental laws, regulations or enforcement policies, including those imposed in response to climate change, could be implemented that significantly increase our compliance costs, or require us to adopt more costly methods of operation. If we are not able to transform Repauno or Hannibal into hubs for industrial and energy development in a timely manner, their future prospects could be materially and adversely affected, which may have a material adverse effect on our business, operating results and financial condition.</w:t>
      </w:r>
    </w:p>
    <w:p>
      <w:pPr>
        <w:spacing w:after="0" w:line="19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86</w:t>
      </w:r>
    </w:p>
    <w:p>
      <w:pPr>
        <w:sectPr>
          <w:pgSz w:w="11900" w:h="16838" w:orient="portrait"/>
          <w:cols w:equalWidth="0" w:num="1">
            <w:col w:w="11420"/>
          </w:cols>
          <w:pgMar w:left="240" w:top="581" w:right="239" w:bottom="1440" w:gutter="0" w:footer="0" w:header="0"/>
        </w:sectPr>
      </w:pPr>
    </w:p>
    <w:bookmarkStart w:id="86" w:name="page87"/>
    <w:bookmarkEnd w:id="86"/>
    <w:p>
      <w:pPr>
        <w:ind w:right="40"/>
        <w:spacing w:after="0" w:line="302" w:lineRule="auto"/>
        <w:rPr>
          <w:sz w:val="20"/>
          <w:szCs w:val="20"/>
          <w:color w:val="auto"/>
        </w:rPr>
      </w:pPr>
      <w:r>
        <w:rPr>
          <w:rFonts w:ascii="Arial" w:cs="Arial" w:eastAsia="Arial" w:hAnsi="Arial"/>
          <w:sz w:val="16"/>
          <w:szCs w:val="16"/>
          <w:b w:val="1"/>
          <w:bCs w:val="1"/>
          <w:i w:val="1"/>
          <w:iCs w:val="1"/>
          <w:color w:val="auto"/>
        </w:rPr>
        <w:t>If we are deemed an “investment company” under the Investment Company Act, it could have a material adverse effect on our business, prospects, financial condition, results of operations and cash flows.</w:t>
      </w:r>
    </w:p>
    <w:p>
      <w:pPr>
        <w:spacing w:after="0" w:line="131" w:lineRule="exact"/>
        <w:rPr>
          <w:sz w:val="20"/>
          <w:szCs w:val="20"/>
          <w:color w:val="auto"/>
        </w:rPr>
      </w:pPr>
    </w:p>
    <w:p>
      <w:pPr>
        <w:ind w:right="60"/>
        <w:spacing w:after="0" w:line="253" w:lineRule="auto"/>
        <w:rPr>
          <w:sz w:val="20"/>
          <w:szCs w:val="20"/>
          <w:color w:val="auto"/>
        </w:rPr>
      </w:pPr>
      <w:r>
        <w:rPr>
          <w:rFonts w:ascii="Arial" w:cs="Arial" w:eastAsia="Arial" w:hAnsi="Arial"/>
          <w:sz w:val="16"/>
          <w:szCs w:val="16"/>
          <w:color w:val="auto"/>
        </w:rPr>
        <w:t>We conduct our operations so that neither we nor any of our subsidiaries are required to register as an investment company under the Investment Company Act. Section 3(a)(1)(A) of the Investment Company Act defines an investment company as any issuer that is or holds itself out as being engaged primarily, or proposes to engage primarily, in the business of investing, reinvesting or trading in securities. Section 3(a)(1)(C) of the Investment Company Act defines an investment company as any issuer that is engaged or proposes to engage in the business of investing, reinvesting, owning, holding or trading in securities and owns or proposes to acquire investment securities having a value exceeding 40% of the value of the issuer’s total assets (exclusive of U.S. government securities and cash items) on an unconsolidated basis. Excluded from the term “investment securities,” among other things, are U.S. government securities and securities issued by majority-owned subsidiaries that are not themselves investment companies and are not relying on the exception from the definition of investment company for certain privately-offered investment vehicles set forth in Section 3(c)(1) or Section 3(c)(7) of the Investment Company Act.</w:t>
      </w:r>
    </w:p>
    <w:p>
      <w:pPr>
        <w:spacing w:after="0" w:line="177" w:lineRule="exact"/>
        <w:rPr>
          <w:sz w:val="20"/>
          <w:szCs w:val="20"/>
          <w:color w:val="auto"/>
        </w:rPr>
      </w:pPr>
    </w:p>
    <w:p>
      <w:pPr>
        <w:ind w:right="20"/>
        <w:spacing w:after="0" w:line="257" w:lineRule="auto"/>
        <w:rPr>
          <w:sz w:val="20"/>
          <w:szCs w:val="20"/>
          <w:color w:val="auto"/>
        </w:rPr>
      </w:pPr>
      <w:r>
        <w:rPr>
          <w:rFonts w:ascii="Arial" w:cs="Arial" w:eastAsia="Arial" w:hAnsi="Arial"/>
          <w:sz w:val="16"/>
          <w:szCs w:val="16"/>
          <w:color w:val="auto"/>
        </w:rPr>
        <w:t>We are a holding company that is not an investment company because we are engaged in the business of holding securities of our wholly-owned and majority-owned subsidiaries, which are engaged in transportation and related businesses which lease assets pursuant to operating leases and finance leases. The Investment Company Act may limit our and our subsidiaries’ ability to enter into financing leases and engage in other types of financial activity because less than 40% of the value of our and our subsidiaries’ total assets (exclusive of U.S. government securities and cash items) on an unconsolidated basis can consist of “investment securities.”</w:t>
      </w:r>
    </w:p>
    <w:p>
      <w:pPr>
        <w:spacing w:after="0" w:line="176" w:lineRule="exact"/>
        <w:rPr>
          <w:sz w:val="20"/>
          <w:szCs w:val="20"/>
          <w:color w:val="auto"/>
        </w:rPr>
      </w:pPr>
    </w:p>
    <w:p>
      <w:pPr>
        <w:ind w:right="160"/>
        <w:spacing w:after="0" w:line="261" w:lineRule="auto"/>
        <w:rPr>
          <w:sz w:val="20"/>
          <w:szCs w:val="20"/>
          <w:color w:val="auto"/>
        </w:rPr>
      </w:pPr>
      <w:r>
        <w:rPr>
          <w:rFonts w:ascii="Arial" w:cs="Arial" w:eastAsia="Arial" w:hAnsi="Arial"/>
          <w:sz w:val="16"/>
          <w:szCs w:val="16"/>
          <w:color w:val="auto"/>
        </w:rPr>
        <w:t>If we or any of our subsidiaries were required to register as an investment company under the Investment Company Act, the registered entity would become subject to substantial regulation that would significantly change our operations, and we would not be able to conduct our business as described in this report. We have not obtained a formal determination from the SEC as to our status under the Investment Company Act and, consequently, any violation of the Investment Company Act would subject us to material adverse consequences.</w:t>
      </w:r>
    </w:p>
    <w:p>
      <w:pPr>
        <w:spacing w:after="0" w:line="170" w:lineRule="exact"/>
        <w:rPr>
          <w:sz w:val="20"/>
          <w:szCs w:val="20"/>
          <w:color w:val="auto"/>
        </w:rPr>
      </w:pPr>
    </w:p>
    <w:p>
      <w:pPr>
        <w:ind w:left="60"/>
        <w:spacing w:after="0"/>
        <w:rPr>
          <w:sz w:val="20"/>
          <w:szCs w:val="20"/>
          <w:color w:val="auto"/>
        </w:rPr>
      </w:pPr>
      <w:r>
        <w:rPr>
          <w:rFonts w:ascii="Arial" w:cs="Arial" w:eastAsia="Arial" w:hAnsi="Arial"/>
          <w:sz w:val="16"/>
          <w:szCs w:val="16"/>
          <w:b w:val="1"/>
          <w:bCs w:val="1"/>
          <w:color w:val="auto"/>
        </w:rPr>
        <w:t>Risks Related to Our Manager</w:t>
      </w:r>
    </w:p>
    <w:p>
      <w:pPr>
        <w:spacing w:after="0" w:line="223" w:lineRule="exact"/>
        <w:rPr>
          <w:sz w:val="20"/>
          <w:szCs w:val="20"/>
          <w:color w:val="auto"/>
        </w:rPr>
      </w:pPr>
    </w:p>
    <w:p>
      <w:pPr>
        <w:ind w:right="540"/>
        <w:spacing w:after="0" w:line="302" w:lineRule="auto"/>
        <w:rPr>
          <w:sz w:val="20"/>
          <w:szCs w:val="20"/>
          <w:color w:val="auto"/>
        </w:rPr>
      </w:pPr>
      <w:r>
        <w:rPr>
          <w:rFonts w:ascii="Arial" w:cs="Arial" w:eastAsia="Arial" w:hAnsi="Arial"/>
          <w:sz w:val="16"/>
          <w:szCs w:val="16"/>
          <w:b w:val="1"/>
          <w:bCs w:val="1"/>
          <w:i w:val="1"/>
          <w:iCs w:val="1"/>
          <w:color w:val="auto"/>
        </w:rPr>
        <w:t>We are dependent on our Manager and other key personnel at Fortress and may not find suitable replacements if our Manager terminates the Management Agreement or if other key personnel depart.</w:t>
      </w:r>
    </w:p>
    <w:p>
      <w:pPr>
        <w:spacing w:after="0" w:line="131" w:lineRule="exact"/>
        <w:rPr>
          <w:sz w:val="20"/>
          <w:szCs w:val="20"/>
          <w:color w:val="auto"/>
        </w:rPr>
      </w:pPr>
    </w:p>
    <w:p>
      <w:pPr>
        <w:spacing w:after="0" w:line="252" w:lineRule="auto"/>
        <w:rPr>
          <w:sz w:val="20"/>
          <w:szCs w:val="20"/>
          <w:color w:val="auto"/>
        </w:rPr>
      </w:pPr>
      <w:r>
        <w:rPr>
          <w:rFonts w:ascii="Arial" w:cs="Arial" w:eastAsia="Arial" w:hAnsi="Arial"/>
          <w:sz w:val="16"/>
          <w:szCs w:val="16"/>
          <w:color w:val="auto"/>
        </w:rPr>
        <w:t>Our officers and other individuals who perform services for us (other than Jefferson and CMQR employees) are employees of our Manager or other Fortress entities. We are completely reliant on our Manager, which has significant discretion as to the implementation of our operating policies and strategies, to conduct our business. We are subject to the risk that our Manager will terminate the Management Agreement and that we will not be able to find a suitable replacement for our Manager in a timely manner, at a reasonable cost, or at all. Furthermore, we are dependent on the services of certain key employees of our Manager and certain key employees of Fortress entities whose compensation is partially or entirely dependent upon the amount of management fees earned by our Manager or the incentive allocations distributed to the General Partner and whose continued service is not guaranteed, and the loss of such personnel or services could materially adversely affect our operations. We do not have key man insurance for any of the personnel of the Manager or other Fortress entities that are key to us. An inability to find a suitable replacement for any departing employee of our Manager or Fortress entities on a timely basis could materially adversely affect our ability to operate and grow our business.</w:t>
      </w:r>
    </w:p>
    <w:p>
      <w:pPr>
        <w:spacing w:after="0" w:line="179" w:lineRule="exact"/>
        <w:rPr>
          <w:sz w:val="20"/>
          <w:szCs w:val="20"/>
          <w:color w:val="auto"/>
        </w:rPr>
      </w:pPr>
    </w:p>
    <w:p>
      <w:pPr>
        <w:ind w:right="60"/>
        <w:spacing w:after="0" w:line="255" w:lineRule="auto"/>
        <w:rPr>
          <w:sz w:val="20"/>
          <w:szCs w:val="20"/>
          <w:color w:val="auto"/>
        </w:rPr>
      </w:pPr>
      <w:r>
        <w:rPr>
          <w:rFonts w:ascii="Arial" w:cs="Arial" w:eastAsia="Arial" w:hAnsi="Arial"/>
          <w:sz w:val="16"/>
          <w:szCs w:val="16"/>
          <w:color w:val="auto"/>
        </w:rPr>
        <w:t>In addition, our Manager may assign our Management Agreement to an entity whose business and operations are managed or supervised by Mr. Wesley R. Edens, who is a principal and a Co-Chairman of the board of directors of Fortress, an affiliate of our Manager, and a member of the management committee of Fortress since co-founding Fortress in May 1998. In the event of any such assignment to a non-affiliate of Fortress, the functions currently performed by our Manager’s current personnel may be performed by others. We can give you no assurance that such personnel would manage our operations in the same manner as our Manager currently does, and the failure by the personnel of any such entity to acquire assets generating attractive risk-adjusted returns could have a material adverse effect on our business, financial condition, results of operations and cash flows.</w:t>
      </w:r>
    </w:p>
    <w:p>
      <w:pPr>
        <w:spacing w:after="0" w:line="178" w:lineRule="exact"/>
        <w:rPr>
          <w:sz w:val="20"/>
          <w:szCs w:val="20"/>
          <w:color w:val="auto"/>
        </w:rPr>
      </w:pPr>
    </w:p>
    <w:p>
      <w:pPr>
        <w:ind w:right="40"/>
        <w:spacing w:after="0" w:line="261" w:lineRule="auto"/>
        <w:rPr>
          <w:sz w:val="20"/>
          <w:szCs w:val="20"/>
          <w:color w:val="auto"/>
        </w:rPr>
      </w:pPr>
      <w:r>
        <w:rPr>
          <w:rFonts w:ascii="Arial" w:cs="Arial" w:eastAsia="Arial" w:hAnsi="Arial"/>
          <w:sz w:val="16"/>
          <w:szCs w:val="16"/>
          <w:color w:val="auto"/>
        </w:rPr>
        <w:t>On February 14, 2017, Fortress announced that it had entered into the Merger Agreement with SoftBank Parent and an affiliate of SoftBank, and SoftBank Merger Sub, pursuant to which SoftBank Merger Sub will merge with and into Fortress, with Fortress surviving as a wholly owned subsidiary of SoftBank Parent. While Fortress’s senior investment professionals are expected to remain in place, including those individuals who perform services for us, there can be no assurance that the SoftBank merger will not have an impact on us or our relationship with the Manager.</w:t>
      </w:r>
    </w:p>
    <w:p>
      <w:pPr>
        <w:spacing w:after="0" w:line="19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87</w:t>
      </w:r>
    </w:p>
    <w:p>
      <w:pPr>
        <w:sectPr>
          <w:pgSz w:w="11900" w:h="16838" w:orient="portrait"/>
          <w:cols w:equalWidth="0" w:num="1">
            <w:col w:w="11400"/>
          </w:cols>
          <w:pgMar w:left="240" w:top="581" w:right="259" w:bottom="1440" w:gutter="0" w:footer="0" w:header="0"/>
        </w:sectPr>
      </w:pPr>
    </w:p>
    <w:bookmarkStart w:id="87" w:name="page88"/>
    <w:bookmarkEnd w:id="87"/>
    <w:p>
      <w:pPr>
        <w:spacing w:after="0"/>
        <w:rPr>
          <w:sz w:val="20"/>
          <w:szCs w:val="20"/>
          <w:color w:val="auto"/>
        </w:rPr>
      </w:pPr>
      <w:r>
        <w:rPr>
          <w:rFonts w:ascii="Arial" w:cs="Arial" w:eastAsia="Arial" w:hAnsi="Arial"/>
          <w:sz w:val="16"/>
          <w:szCs w:val="16"/>
          <w:b w:val="1"/>
          <w:bCs w:val="1"/>
          <w:i w:val="1"/>
          <w:iCs w:val="1"/>
          <w:color w:val="auto"/>
        </w:rPr>
        <w:t>There are conflicts of interest in our relationship with our Manager.</w:t>
      </w:r>
    </w:p>
    <w:p>
      <w:pPr>
        <w:spacing w:after="0" w:line="221"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Our Management Agreement, the Partnership Agreement and our operating agreement were negotiated prior to our IPO and among affiliated parties, and their terms, including fees payable, may not be as favorable to us as if they had been negotiated after our IPO with an unaffiliated third-party.</w:t>
      </w:r>
    </w:p>
    <w:p>
      <w:pPr>
        <w:spacing w:after="0" w:line="148" w:lineRule="exact"/>
        <w:rPr>
          <w:sz w:val="20"/>
          <w:szCs w:val="20"/>
          <w:color w:val="auto"/>
        </w:rPr>
      </w:pPr>
    </w:p>
    <w:p>
      <w:pPr>
        <w:jc w:val="both"/>
        <w:spacing w:after="0" w:line="250" w:lineRule="auto"/>
        <w:rPr>
          <w:sz w:val="20"/>
          <w:szCs w:val="20"/>
          <w:color w:val="auto"/>
        </w:rPr>
      </w:pPr>
      <w:r>
        <w:rPr>
          <w:rFonts w:ascii="Arial" w:cs="Arial" w:eastAsia="Arial" w:hAnsi="Arial"/>
          <w:sz w:val="16"/>
          <w:szCs w:val="16"/>
          <w:color w:val="auto"/>
        </w:rPr>
        <w:t>There are conflicts of interest inherent in our relationship with our Manager insofar as our Manager and its affiliates - including investment funds, private investment funds, or businesses managed by our Manager, including Seacastle Ships Holdings Inc., Trac Intermodal and Florida East Coast Railway, L.L.C. - invest in transportation and transportation-related infrastructure assets and whose investment objectives overlap with our asset acquisition objectives. Certain opportunities appropriate for us may also be appropriate for one or more of these other investment vehicles. Certain members of our board of directors and employees of our Manager who are our officers also serve as officers and/or directors of these other entities. For example, we have some of the same directors and officers as Seacastle Ships Holdings Inc. and Trac Intermodal. Although we have the same Manager, we may compete with entities affiliated with our Manager or Fortress, including Seacastle Ships Holdings Inc. and Trac Intermodal, for certain target assets. From time to time, affiliates of Fortress focus on investments in assets with a similar profile as our target assets that we may seek to acquire. These affiliates may have meaningful purchasing capacity, which may change over time depending upon a variety of factors, including, but not limited to, available equity capital and debt financing, market conditions and cash on hand. Fortress has multiple existing and planned funds focused on investing in one or more of our target sectors, each with significant current or expected capital commitments. We may co-invest with these funds in transportation and transportation-related infrastructure assets. Fortress funds generally have a fee structure similar to ours, but the fees actually paid will vary depending on the size, terms and performance of each fund.</w:t>
      </w:r>
    </w:p>
    <w:p>
      <w:pPr>
        <w:spacing w:after="0" w:line="185"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Our Management Agreement generally does not limit or restrict our Manager or its affiliates from engaging in any business or managing other pooled investment vehicles that invest in assets that meet our asset acquisition objectives. Our Manager intends to engage in additional transportation and infrastructure related management and transportation, infrastructure and other investment opportunities in the future, which may compete with us for investments or result in a change in our current investment strategy. In addition, our operating agreement provides that if Fortress or an affiliate or any of their officers, directors or employees acquire knowledge of a potential transaction that could be a corporate opportunity, they have no duty, to the fullest extent permitted by law, to offer such corporate opportunity to us, our shareholders or our affiliates. In the event that any of our directors and officers who is also a director, officer or employee of Fortress or its affiliates acquires knowledge of a corporate opportunity or is offered a corporate opportunity, provided that this knowledge was not acquired solely in such person’s capacity as a director or officer of FTAI and such person acts in good faith, then to the fullest extent permitted by law such person is deemed to have fully satisfied such person’s fiduciary duties owed to us and is not liable to us if Fortress or its affiliates pursues or acquires the corporate opportunity or if such person did not present the corporate opportunity to us.</w:t>
      </w:r>
    </w:p>
    <w:p>
      <w:pPr>
        <w:spacing w:after="0" w:line="183" w:lineRule="exact"/>
        <w:rPr>
          <w:sz w:val="20"/>
          <w:szCs w:val="20"/>
          <w:color w:val="auto"/>
        </w:rPr>
      </w:pPr>
    </w:p>
    <w:p>
      <w:pPr>
        <w:jc w:val="both"/>
        <w:spacing w:after="0" w:line="250" w:lineRule="auto"/>
        <w:rPr>
          <w:sz w:val="20"/>
          <w:szCs w:val="20"/>
          <w:color w:val="auto"/>
        </w:rPr>
      </w:pPr>
      <w:r>
        <w:rPr>
          <w:rFonts w:ascii="Arial" w:cs="Arial" w:eastAsia="Arial" w:hAnsi="Arial"/>
          <w:sz w:val="16"/>
          <w:szCs w:val="16"/>
          <w:color w:val="auto"/>
        </w:rPr>
        <w:t>The ability of our Manager and its officers and employees to engage in other business activities, subject to the terms of our Management Agreement, may reduce the amount of time our Manager, its officers or other employees spend managing us. In addition, we may engage (subject to our strategy) in material transactions with our Manager or another entity managed by our Manager or one of its affiliates, including Seacastle Ships Holdings Inc., Trac Intermodal and Florida East Coast Railway, L.L.C., which may include, but are not limited to, certain acquisitions, financing arrangements, purchases of debt, co-investments, consumer loans, servicing advances and other assets that present an actual, potential or perceived conflict of interest. Our board of directors adopted a policy regarding the approval of any “related person transactions” pursuant to which certain of the material transactions described above may require disclosure to, and approval by, the independent members of our board of directors. Actual, potential or perceived conflicts have given, and may in the future give, rise to investor dissatisfaction, litigation or regulatory inquiries or enforcement actions. Appropriately dealing with conflicts of interest is complex and difficult, and our reputation could be damaged if we fail, or appear to fail, to deal appropriately with one or more potential, actual or perceived conflicts of interest. Regulatory scrutiny of, or litigation in connection with, conflicts of interest could have a material adverse effect on our reputation, which could materially adversely affect our business in a number of ways, including causing an inability to raise additional funds, a reluctance of counterparties to do business with us, a decrease in the prices of our equity securities and a resulting increased risk of litigation and regulatory enforcement actions.</w:t>
      </w:r>
    </w:p>
    <w:p>
      <w:pPr>
        <w:spacing w:after="0" w:line="185" w:lineRule="exact"/>
        <w:rPr>
          <w:sz w:val="20"/>
          <w:szCs w:val="20"/>
          <w:color w:val="auto"/>
        </w:rPr>
      </w:pPr>
    </w:p>
    <w:p>
      <w:pPr>
        <w:jc w:val="both"/>
        <w:spacing w:after="0" w:line="254" w:lineRule="auto"/>
        <w:rPr>
          <w:sz w:val="20"/>
          <w:szCs w:val="20"/>
          <w:color w:val="auto"/>
        </w:rPr>
      </w:pPr>
      <w:r>
        <w:rPr>
          <w:rFonts w:ascii="Arial" w:cs="Arial" w:eastAsia="Arial" w:hAnsi="Arial"/>
          <w:sz w:val="16"/>
          <w:szCs w:val="16"/>
          <w:color w:val="auto"/>
        </w:rPr>
        <w:t>The structure of our Manager’s and the General Partner’s compensation arrangements may have unintended consequences for us. We have agreed to pay our Manager a management fee and the General Partner is entitled to receive incentive allocations from Holdco that are each based on different measures of performance. Consequently, there may be conflicts in the incentives of our Manager to generate attractive risk-adjusted returns for us. In addition, because the General Partner and our Manager are both affiliates of Fortress, the Income Incentive Allocation paid to the General Partner may cause our Manager to place undue emphasis on the maximization of earnings, including through the use of leverage, at the expense of other objectives, such as preservation of capital, to achieve higher incentive allocations. Investments with higher yield potential are generally riskier or more speculative than investments with lower yield potential. This could result in increased risk to the value of our portfolio of assets and our common shares.</w:t>
      </w:r>
    </w:p>
    <w:p>
      <w:pPr>
        <w:spacing w:after="0" w:line="177" w:lineRule="exact"/>
        <w:rPr>
          <w:sz w:val="20"/>
          <w:szCs w:val="20"/>
          <w:color w:val="auto"/>
        </w:rPr>
      </w:pPr>
    </w:p>
    <w:p>
      <w:pPr>
        <w:jc w:val="both"/>
        <w:spacing w:after="0" w:line="274" w:lineRule="auto"/>
        <w:rPr>
          <w:sz w:val="20"/>
          <w:szCs w:val="20"/>
          <w:color w:val="auto"/>
        </w:rPr>
      </w:pPr>
      <w:r>
        <w:rPr>
          <w:rFonts w:ascii="Arial" w:cs="Arial" w:eastAsia="Arial" w:hAnsi="Arial"/>
          <w:sz w:val="16"/>
          <w:szCs w:val="16"/>
          <w:b w:val="1"/>
          <w:bCs w:val="1"/>
          <w:i w:val="1"/>
          <w:iCs w:val="1"/>
          <w:color w:val="auto"/>
        </w:rPr>
        <w:t>Our directors have approved a broad asset acquisition strategy for our Manager and do not approve each acquisition we make at the direction of our Manager. In addition, we may change our strategy without a shareholder vote, which may result in our acquiring assets that are different, riskier or less profitable than our current assets.</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88</w:t>
      </w:r>
    </w:p>
    <w:p>
      <w:pPr>
        <w:sectPr>
          <w:pgSz w:w="11900" w:h="16838" w:orient="portrait"/>
          <w:cols w:equalWidth="0" w:num="1">
            <w:col w:w="11420"/>
          </w:cols>
          <w:pgMar w:left="240" w:top="581" w:right="239" w:bottom="1440" w:gutter="0" w:footer="0" w:header="0"/>
        </w:sectPr>
      </w:pPr>
    </w:p>
    <w:bookmarkStart w:id="88" w:name="page89"/>
    <w:bookmarkEnd w:id="88"/>
    <w:p>
      <w:pPr>
        <w:jc w:val="both"/>
        <w:spacing w:after="0" w:line="252" w:lineRule="auto"/>
        <w:rPr>
          <w:sz w:val="20"/>
          <w:szCs w:val="20"/>
          <w:color w:val="auto"/>
        </w:rPr>
      </w:pPr>
      <w:r>
        <w:rPr>
          <w:rFonts w:ascii="Arial" w:cs="Arial" w:eastAsia="Arial" w:hAnsi="Arial"/>
          <w:sz w:val="16"/>
          <w:szCs w:val="16"/>
          <w:color w:val="auto"/>
        </w:rPr>
        <w:t>Our Manager is authorized to follow a broad asset acquisition strategy. We may pursue other types of acquisitions as market conditions evolve. Our Manager makes decisions about our investments in accordance with broad investment guidelines adopted by our board of directors. Accordingly, we may, without a shareholder vote, change our target sectors and acquire a variety of assets that differ from, and are possibly riskier than, our current asset portfolio. Consequently, our Manager has great latitude in determining the types and categories of assets it may decide are proper investments for us, including the latitude to invest in types and categories of assets that may differ from those in our existing portfolio. Our directors will periodically review our strategy and our portfolio of assets. However, our board does not review or pre-approve each proposed acquisition or our related financing arrangements. In addition, in conducting periodic reviews, the directors rely primarily on information provided to them by our Manager. Furthermore, transactions entered into by our Manager may be difficult or impossible to reverse by the time they are reviewed by the directors even if the transactions contravene the terms of the Management Agreement. In addition, we may change our asset acquisition strategy, including our target asset classes, without a shareholder vote.</w:t>
      </w:r>
    </w:p>
    <w:p>
      <w:pPr>
        <w:spacing w:after="0" w:line="179" w:lineRule="exact"/>
        <w:rPr>
          <w:sz w:val="20"/>
          <w:szCs w:val="20"/>
          <w:color w:val="auto"/>
        </w:rPr>
      </w:pPr>
    </w:p>
    <w:p>
      <w:pPr>
        <w:jc w:val="both"/>
        <w:spacing w:after="0" w:line="252" w:lineRule="auto"/>
        <w:rPr>
          <w:sz w:val="20"/>
          <w:szCs w:val="20"/>
          <w:color w:val="auto"/>
        </w:rPr>
      </w:pPr>
      <w:r>
        <w:rPr>
          <w:rFonts w:ascii="Arial" w:cs="Arial" w:eastAsia="Arial" w:hAnsi="Arial"/>
          <w:sz w:val="16"/>
          <w:szCs w:val="16"/>
          <w:color w:val="auto"/>
        </w:rPr>
        <w:t>Our asset acquisition strategy may evolve in light of existing market conditions and investment opportunities, and this evolution may involve additional risks depending upon the nature of the assets we target and our ability to finance such assets on a short or long-term basis. Opportunities that present unattractive risk-return profiles relative to other available opportunities under particular market conditions may become relatively attractive under changed market conditions and changes in market conditions may therefore result in changes in the assets we target. Decisions to make acquisitions in new asset categories present risks that may be difficult for us to adequately assess and could therefore reduce or eliminate our ability to pay dividends on our common shares or have adverse effects on our liquidity or financial condition. A change in our asset acquisition strategy may also increase our exposure to interest rate, foreign currency or credit market fluctuations. In addition, a change in our asset acquisition strategy may increase our use of non-match-funded financing, increase the guarantee obligations we agree to incur or increase the number of transactions we enter into with affiliates. Our failure to accurately assess the risks inherent in new asset categories or the financing risks associated with such assets could adversely affect our results of operations and our financial condition.</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89</w:t>
      </w:r>
    </w:p>
    <w:p>
      <w:pPr>
        <w:sectPr>
          <w:pgSz w:w="11900" w:h="16838" w:orient="portrait"/>
          <w:cols w:equalWidth="0" w:num="1">
            <w:col w:w="11420"/>
          </w:cols>
          <w:pgMar w:left="240" w:top="580" w:right="239" w:bottom="1440" w:gutter="0" w:footer="0" w:header="0"/>
        </w:sectPr>
      </w:pPr>
    </w:p>
    <w:bookmarkStart w:id="89" w:name="page90"/>
    <w:bookmarkEnd w:id="89"/>
    <w:p>
      <w:pPr>
        <w:jc w:val="both"/>
        <w:spacing w:after="0" w:line="302" w:lineRule="auto"/>
        <w:rPr>
          <w:sz w:val="20"/>
          <w:szCs w:val="20"/>
          <w:color w:val="auto"/>
        </w:rPr>
      </w:pPr>
      <w:r>
        <w:rPr>
          <w:rFonts w:ascii="Arial" w:cs="Arial" w:eastAsia="Arial" w:hAnsi="Arial"/>
          <w:sz w:val="16"/>
          <w:szCs w:val="16"/>
          <w:b w:val="1"/>
          <w:bCs w:val="1"/>
          <w:i w:val="1"/>
          <w:iCs w:val="1"/>
          <w:color w:val="auto"/>
        </w:rPr>
        <w:t>Our Manager will not be liable to us for any acts or omissions performed in accordance with the Management Agreement, including with respect to the performance of our assets.</w:t>
      </w:r>
    </w:p>
    <w:p>
      <w:pPr>
        <w:spacing w:after="0" w:line="131"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Pursuant to our Management Agreement, our Manager will not assume any responsibility other than to render the services called for thereunder in good faith and will not be responsible for any action of our board of directors in following or declining to follow its advice or recommendations. Our Manager, its members, managers, officers, employees, sub-advisers and any other person controlling or Manager, will not be liable to us or any of our subsidiaries, to our board of directors, or our or any subsidiary’s shareholders or partners for any acts or omissions by our Manager, its members, managers, officers, employees, sub-advisers and any other person controlling or Manager, except liability to the Company, our shareholders, directors, officers and employees and persons controlling us, by reason of acts constituting bad faith, willful misconduct, gross negligence or reckless disregard of our Manager’s duties under our Management Agreement. We will, to the full extent lawful, reimburse, indemnify and hold our Manager, its members, managers, officers and employees, sub-advisers and each other person, if any, controlling our Manager harmless of and from any and all expenses, losses, damages, liabilities, demands, charges and claims of any nature whatsoever (including attorneys’ fees) in respect of or arising from any acts or omissions of an indemnified party made in good faith in the performance of our Manager’s duties under our Management Agreement and not constituting such indemnified party’s bad faith, willful misconduct, gross negligence or reckless disregard of our Manager’s duties under our Management Agreement.</w:t>
      </w:r>
    </w:p>
    <w:p>
      <w:pPr>
        <w:spacing w:after="0" w:line="179" w:lineRule="exact"/>
        <w:rPr>
          <w:sz w:val="20"/>
          <w:szCs w:val="20"/>
          <w:color w:val="auto"/>
        </w:rPr>
      </w:pPr>
    </w:p>
    <w:p>
      <w:pPr>
        <w:jc w:val="both"/>
        <w:spacing w:after="0" w:line="302" w:lineRule="auto"/>
        <w:rPr>
          <w:sz w:val="20"/>
          <w:szCs w:val="20"/>
          <w:color w:val="auto"/>
        </w:rPr>
      </w:pPr>
      <w:r>
        <w:rPr>
          <w:rFonts w:ascii="Arial" w:cs="Arial" w:eastAsia="Arial" w:hAnsi="Arial"/>
          <w:sz w:val="16"/>
          <w:szCs w:val="16"/>
          <w:b w:val="1"/>
          <w:bCs w:val="1"/>
          <w:i w:val="1"/>
          <w:iCs w:val="1"/>
          <w:color w:val="auto"/>
        </w:rPr>
        <w:t>Our Manager’s due diligence of potential asset acquisitions or other transactions may not identify all pertinent risks, which could materially affect our business, financial condition, liquidity and results of operations.</w:t>
      </w:r>
    </w:p>
    <w:p>
      <w:pPr>
        <w:spacing w:after="0" w:line="131" w:lineRule="exact"/>
        <w:rPr>
          <w:sz w:val="20"/>
          <w:szCs w:val="20"/>
          <w:color w:val="auto"/>
        </w:rPr>
      </w:pPr>
    </w:p>
    <w:p>
      <w:pPr>
        <w:jc w:val="both"/>
        <w:spacing w:after="0" w:line="254" w:lineRule="auto"/>
        <w:rPr>
          <w:sz w:val="20"/>
          <w:szCs w:val="20"/>
          <w:color w:val="auto"/>
        </w:rPr>
      </w:pPr>
      <w:r>
        <w:rPr>
          <w:rFonts w:ascii="Arial" w:cs="Arial" w:eastAsia="Arial" w:hAnsi="Arial"/>
          <w:sz w:val="16"/>
          <w:szCs w:val="16"/>
          <w:color w:val="auto"/>
        </w:rPr>
        <w:t>Our Manager intends to conduct due diligence with respect to each asset acquisition opportunity or other transaction it pursues. It is possible, however, that our Manager’s due diligence processes will not uncover all relevant facts, particularly with respect to any assets we acquire from third parties. In these cases, our Manager may be given limited access to information about the asset and will rely on information provided by the seller of the asset. In addition, if asset acquisition opportunities are scarce, the process for selecting bidders is competitive, or the timeframe in which we are required to complete diligence is short, our ability to conduct a due diligence investigation may be limited, and we would be required to make decisions based upon a less thorough diligence process than would otherwise be the case. Accordingly, transactions that initially appear to be viable may prove not to be over time, due to the limitations of the due diligence process or other factors.</w:t>
      </w:r>
    </w:p>
    <w:p>
      <w:pPr>
        <w:spacing w:after="0" w:line="175" w:lineRule="exact"/>
        <w:rPr>
          <w:sz w:val="20"/>
          <w:szCs w:val="20"/>
          <w:color w:val="auto"/>
        </w:rPr>
      </w:pPr>
    </w:p>
    <w:p>
      <w:pPr>
        <w:ind w:left="60"/>
        <w:spacing w:after="0"/>
        <w:rPr>
          <w:sz w:val="20"/>
          <w:szCs w:val="20"/>
          <w:color w:val="auto"/>
        </w:rPr>
      </w:pPr>
      <w:r>
        <w:rPr>
          <w:rFonts w:ascii="Arial" w:cs="Arial" w:eastAsia="Arial" w:hAnsi="Arial"/>
          <w:sz w:val="16"/>
          <w:szCs w:val="16"/>
          <w:b w:val="1"/>
          <w:bCs w:val="1"/>
          <w:color w:val="auto"/>
        </w:rPr>
        <w:t>Risks Related to Taxation</w:t>
      </w:r>
    </w:p>
    <w:p>
      <w:pPr>
        <w:spacing w:after="0" w:line="223" w:lineRule="exact"/>
        <w:rPr>
          <w:sz w:val="20"/>
          <w:szCs w:val="20"/>
          <w:color w:val="auto"/>
        </w:rPr>
      </w:pPr>
    </w:p>
    <w:p>
      <w:pPr>
        <w:jc w:val="both"/>
        <w:spacing w:after="0" w:line="302" w:lineRule="auto"/>
        <w:rPr>
          <w:sz w:val="20"/>
          <w:szCs w:val="20"/>
          <w:color w:val="auto"/>
        </w:rPr>
      </w:pPr>
      <w:r>
        <w:rPr>
          <w:rFonts w:ascii="Arial" w:cs="Arial" w:eastAsia="Arial" w:hAnsi="Arial"/>
          <w:sz w:val="16"/>
          <w:szCs w:val="16"/>
          <w:b w:val="1"/>
          <w:bCs w:val="1"/>
          <w:i w:val="1"/>
          <w:iCs w:val="1"/>
          <w:color w:val="auto"/>
        </w:rPr>
        <w:t>Shareholders may be subject to U.S. federal income tax on their share of our taxable income, regardless of whether they receive any cash dividends from us.</w:t>
      </w:r>
    </w:p>
    <w:p>
      <w:pPr>
        <w:spacing w:after="0" w:line="131"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So long as we would not be required to register as an investment company under the Investment Company Act of 1940 if we were a U.S. Corporation and 90% of our gross income for each taxable year constitutes “qualifying income” within the meaning of the Internal Revenue Code of 1986, as amended (the “Code”), on a continuing basis, FTAI will be treated, for U.S. federal income tax purposes, as a partnership and not as an association or publicly traded partnership taxable as a corporation. Shareholders may be subject to U.S. federal, state, local and possibly, in some cases, non-U.S. income taxation on their allocable share of our items of income, gain, loss, deduction and credit (including our allocable share of those items of Holdco or any other entity in which we invest that is treated as a partnership or is otherwise subject to tax on a flow through basis) for each of our taxable years ending with or within their taxable year, regardless of whether they receive cash dividends from us. Shareholders may not receive cash dividends equal to their allocable share of our net taxable income or even the tax liability that results from that income.</w:t>
      </w:r>
    </w:p>
    <w:p>
      <w:pPr>
        <w:spacing w:after="0" w:line="177" w:lineRule="exact"/>
        <w:rPr>
          <w:sz w:val="20"/>
          <w:szCs w:val="20"/>
          <w:color w:val="auto"/>
        </w:rPr>
      </w:pPr>
    </w:p>
    <w:p>
      <w:pPr>
        <w:jc w:val="both"/>
        <w:spacing w:after="0" w:line="269" w:lineRule="auto"/>
        <w:rPr>
          <w:sz w:val="20"/>
          <w:szCs w:val="20"/>
          <w:color w:val="auto"/>
        </w:rPr>
      </w:pPr>
      <w:r>
        <w:rPr>
          <w:rFonts w:ascii="Arial" w:cs="Arial" w:eastAsia="Arial" w:hAnsi="Arial"/>
          <w:sz w:val="16"/>
          <w:szCs w:val="16"/>
          <w:color w:val="auto"/>
        </w:rPr>
        <w:t>In addition, certain of our holdings, including holdings, if any, in a Controlled Foreign Corporation (“CFC”) or a Passive Foreign Investment Company (“PFIC”), may produce taxable income prior to our receipt of cash relating to such income, and shareholders subject to U.S. federal income tax will be required to take such income into account in determining their taxable income.</w:t>
      </w:r>
    </w:p>
    <w:p>
      <w:pPr>
        <w:spacing w:after="0" w:line="165" w:lineRule="exact"/>
        <w:rPr>
          <w:sz w:val="20"/>
          <w:szCs w:val="20"/>
          <w:color w:val="auto"/>
        </w:rPr>
      </w:pPr>
    </w:p>
    <w:p>
      <w:pPr>
        <w:jc w:val="both"/>
        <w:spacing w:after="0" w:line="261" w:lineRule="auto"/>
        <w:rPr>
          <w:sz w:val="20"/>
          <w:szCs w:val="20"/>
          <w:color w:val="auto"/>
        </w:rPr>
      </w:pPr>
      <w:r>
        <w:rPr>
          <w:rFonts w:ascii="Arial" w:cs="Arial" w:eastAsia="Arial" w:hAnsi="Arial"/>
          <w:sz w:val="16"/>
          <w:szCs w:val="16"/>
          <w:color w:val="auto"/>
        </w:rPr>
        <w:t>Under our operating agreement, in the event of an inadvertent partnership termination in which the Internal Revenue Service (“IRS”) has granted us limited relief, each shareholder also is obligated to make such adjustments as are required by the IRS to maintain our status as a partnership. Such adjustments may require shareholders to recognize additional amounts in income during the years in which they have held common shares. We may also be required to make payments to the IRS.</w:t>
      </w:r>
    </w:p>
    <w:p>
      <w:pPr>
        <w:spacing w:after="0" w:line="17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Tax gain or loss on a sale or other disposition of our common shares could be more or less than expected.</w:t>
      </w:r>
    </w:p>
    <w:p>
      <w:pPr>
        <w:spacing w:after="0" w:line="221" w:lineRule="exact"/>
        <w:rPr>
          <w:sz w:val="20"/>
          <w:szCs w:val="20"/>
          <w:color w:val="auto"/>
        </w:rPr>
      </w:pPr>
    </w:p>
    <w:p>
      <w:pPr>
        <w:jc w:val="both"/>
        <w:spacing w:after="0" w:line="255" w:lineRule="auto"/>
        <w:rPr>
          <w:sz w:val="20"/>
          <w:szCs w:val="20"/>
          <w:color w:val="auto"/>
        </w:rPr>
      </w:pPr>
      <w:r>
        <w:rPr>
          <w:rFonts w:ascii="Arial" w:cs="Arial" w:eastAsia="Arial" w:hAnsi="Arial"/>
          <w:sz w:val="16"/>
          <w:szCs w:val="16"/>
          <w:color w:val="auto"/>
        </w:rPr>
        <w:t>If a sale of our common shares by a shareholder is taxable in the United States, the shareholder will recognize gain or loss equal to the difference between the amount realized by such shareholder on such sale and such shareholder’s adjusted tax basis in those shares. Prior distributions to such shareholder in excess of the total net taxable income allocated to such shareholder, which will have decreased such shareholder’s adjusted tax basis in its shares, will effectively increase any gain recognized by such shareholder if the shares are sold at a price greater than such shareholder’s adjusted tax basis in those shares, even if the price is less than their original cost to such shareholder. A portion of the amount realized, whether or not representing gain, may be treated as ordinary income to such shareholder.</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90</w:t>
      </w:r>
    </w:p>
    <w:p>
      <w:pPr>
        <w:sectPr>
          <w:pgSz w:w="11900" w:h="16838" w:orient="portrait"/>
          <w:cols w:equalWidth="0" w:num="1">
            <w:col w:w="11420"/>
          </w:cols>
          <w:pgMar w:left="240" w:top="581" w:right="239" w:bottom="1440" w:gutter="0" w:footer="0" w:header="0"/>
        </w:sectPr>
      </w:pPr>
    </w:p>
    <w:bookmarkStart w:id="90" w:name="page91"/>
    <w:bookmarkEnd w:id="90"/>
    <w:p>
      <w:pPr>
        <w:jc w:val="both"/>
        <w:spacing w:after="0" w:line="302" w:lineRule="auto"/>
        <w:rPr>
          <w:sz w:val="20"/>
          <w:szCs w:val="20"/>
          <w:color w:val="auto"/>
        </w:rPr>
      </w:pPr>
      <w:r>
        <w:rPr>
          <w:rFonts w:ascii="Arial" w:cs="Arial" w:eastAsia="Arial" w:hAnsi="Arial"/>
          <w:sz w:val="16"/>
          <w:szCs w:val="16"/>
          <w:b w:val="1"/>
          <w:bCs w:val="1"/>
          <w:i w:val="1"/>
          <w:iCs w:val="1"/>
          <w:color w:val="auto"/>
        </w:rPr>
        <w:t>Our ability to make distributions depends on our receiving sufficient cash distributions from our subsidiaries, and we cannot assure our shareholders that we will be able to make cash distributions to them in amounts that are sufficient to fund their tax liabilities.</w:t>
      </w:r>
    </w:p>
    <w:p>
      <w:pPr>
        <w:spacing w:after="0" w:line="131" w:lineRule="exact"/>
        <w:rPr>
          <w:sz w:val="20"/>
          <w:szCs w:val="20"/>
          <w:color w:val="auto"/>
        </w:rPr>
      </w:pPr>
    </w:p>
    <w:p>
      <w:pPr>
        <w:jc w:val="both"/>
        <w:ind w:right="20"/>
        <w:spacing w:after="0" w:line="269" w:lineRule="auto"/>
        <w:rPr>
          <w:sz w:val="20"/>
          <w:szCs w:val="20"/>
          <w:color w:val="auto"/>
        </w:rPr>
      </w:pPr>
      <w:r>
        <w:rPr>
          <w:rFonts w:ascii="Arial" w:cs="Arial" w:eastAsia="Arial" w:hAnsi="Arial"/>
          <w:sz w:val="16"/>
          <w:szCs w:val="16"/>
          <w:color w:val="auto"/>
        </w:rPr>
        <w:t>Our subsidiaries may be subject to local taxes in each of the relevant territories and jurisdictions in which they operate, including taxes on income, profits or gains and withholding taxes. As a result, our funds available for distribution is indirectly reduced by such taxes, and the post-tax return to our shareholders is similarly reduced by such taxes.</w:t>
      </w:r>
    </w:p>
    <w:p>
      <w:pPr>
        <w:spacing w:after="0" w:line="165" w:lineRule="exact"/>
        <w:rPr>
          <w:sz w:val="20"/>
          <w:szCs w:val="20"/>
          <w:color w:val="auto"/>
        </w:rPr>
      </w:pPr>
    </w:p>
    <w:p>
      <w:pPr>
        <w:jc w:val="both"/>
        <w:spacing w:after="0" w:line="257" w:lineRule="auto"/>
        <w:rPr>
          <w:sz w:val="20"/>
          <w:szCs w:val="20"/>
          <w:color w:val="auto"/>
        </w:rPr>
      </w:pPr>
      <w:r>
        <w:rPr>
          <w:rFonts w:ascii="Arial" w:cs="Arial" w:eastAsia="Arial" w:hAnsi="Arial"/>
          <w:sz w:val="16"/>
          <w:szCs w:val="16"/>
          <w:color w:val="auto"/>
        </w:rPr>
        <w:t>In general, a shareholder that is subject to U.S. federal income tax must include in income its allocable share of FTAI’s items of income, gain, loss, deduction, and credit (including, so long as FTAI is treated as a partnership for tax purposes, FTAI’s allocable share of those items of Holdco and any pass-through subsidiaries of Holdco) for each of our taxable years ending with or within such shareholder’s taxable year. However, the cash distributed to a shareholder may not be sufficient to pay the full amount of such shareholder’s tax liability in respect of its investment in us, because each shareholder’s tax liability depends on such shareholder’s particular tax situation and the tax treatment of our underlying activities or assets.</w:t>
      </w:r>
    </w:p>
    <w:p>
      <w:pPr>
        <w:spacing w:after="0" w:line="176"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If we are treated as a corporation for U.S. federal income tax purposes, the value of the shares could be adversely affected.</w:t>
      </w:r>
    </w:p>
    <w:p>
      <w:pPr>
        <w:spacing w:after="0" w:line="221" w:lineRule="exact"/>
        <w:rPr>
          <w:sz w:val="20"/>
          <w:szCs w:val="20"/>
          <w:color w:val="auto"/>
        </w:rPr>
      </w:pPr>
    </w:p>
    <w:p>
      <w:pPr>
        <w:jc w:val="both"/>
        <w:spacing w:after="0" w:line="250" w:lineRule="auto"/>
        <w:rPr>
          <w:sz w:val="20"/>
          <w:szCs w:val="20"/>
          <w:color w:val="auto"/>
        </w:rPr>
      </w:pPr>
      <w:r>
        <w:rPr>
          <w:rFonts w:ascii="Arial" w:cs="Arial" w:eastAsia="Arial" w:hAnsi="Arial"/>
          <w:sz w:val="16"/>
          <w:szCs w:val="16"/>
          <w:color w:val="auto"/>
        </w:rPr>
        <w:t>We have not requested, and do not plan to request, a ruling from the IRS on our treatment as a partnership for U.S. federal income tax purposes, or on any other matter affecting us. As of the date of the consummation of our initial public offering, under then current law and assuming full compliance with the terms of our operating agreement (and other relevant documents) and based upon factual statements and representations made by us, our outside counsel opined that we will be treated as a partnership, and not as an association or a publicly traded partnership taxable as a corporation for U.S. federal income tax purposes. However, opinions of counsel are not binding upon the IRS or any court, and the IRS may challenge this conclusion and a court may sustain such a challenge. The factual representations made by us upon which our outside counsel relied relate to our organization, operation, assets, activities, income, and present and future conduct of our operations. In general, if an entity that would otherwise be classified as a partnership for U.S. federal income tax purposes is a “publicly traded partnership” (as defined in the Code) it will be nonetheless treated as a corporation for U.S. federal income tax purposes, unless the exception described below, and upon which we intend to rely, applies. A publicly traded partnership will, however, be treated as a partnership, and not as a corporation for U.S. federal income tax purposes, so long as 90% or more of its gross income for each taxable year constitutes “qualifying income” within the meaning of the Code and it is not required to register as an investment company under the Investment Company Act of 1940. We refer to this exception as the “Qualifying Income Exception.”</w:t>
      </w:r>
    </w:p>
    <w:p>
      <w:pPr>
        <w:spacing w:after="0" w:line="185" w:lineRule="exact"/>
        <w:rPr>
          <w:sz w:val="20"/>
          <w:szCs w:val="20"/>
          <w:color w:val="auto"/>
        </w:rPr>
      </w:pPr>
    </w:p>
    <w:p>
      <w:pPr>
        <w:jc w:val="both"/>
        <w:spacing w:after="0" w:line="257" w:lineRule="auto"/>
        <w:rPr>
          <w:sz w:val="20"/>
          <w:szCs w:val="20"/>
          <w:color w:val="auto"/>
        </w:rPr>
      </w:pPr>
      <w:r>
        <w:rPr>
          <w:rFonts w:ascii="Arial" w:cs="Arial" w:eastAsia="Arial" w:hAnsi="Arial"/>
          <w:sz w:val="16"/>
          <w:szCs w:val="16"/>
          <w:color w:val="auto"/>
        </w:rPr>
        <w:t>Qualifying income generally includes dividends, interest, capital gains from the sale or other disposition of stocks and securities and certain other forms of investment income. We currently expect that a substantial portion of our income will constitute either “Subpart F” income (defined below) derived from CFCs or QEF Inclusions (as defined below). While we believe that such income constitutes qualifying income, no assurance can be given that the IRS will agree with such position. We also believe that our return from investments will include interest, dividends, capital gains and other types of qualifying income, but no assurance can be given as to the types of income that will be earned in any given year.</w:t>
      </w:r>
    </w:p>
    <w:p>
      <w:pPr>
        <w:spacing w:after="0" w:line="176" w:lineRule="exact"/>
        <w:rPr>
          <w:sz w:val="20"/>
          <w:szCs w:val="20"/>
          <w:color w:val="auto"/>
        </w:rPr>
      </w:pPr>
    </w:p>
    <w:p>
      <w:pPr>
        <w:jc w:val="both"/>
        <w:spacing w:after="0" w:line="257" w:lineRule="auto"/>
        <w:rPr>
          <w:sz w:val="20"/>
          <w:szCs w:val="20"/>
          <w:color w:val="auto"/>
        </w:rPr>
      </w:pPr>
      <w:r>
        <w:rPr>
          <w:rFonts w:ascii="Arial" w:cs="Arial" w:eastAsia="Arial" w:hAnsi="Arial"/>
          <w:sz w:val="16"/>
          <w:szCs w:val="16"/>
          <w:color w:val="auto"/>
        </w:rPr>
        <w:t>If we fail to satisfy the Qualifying Income Exception, we would be required to pay U.S. federal income tax at regular corporate rates on our worldwide income. In addition, we would likely be liable for state and local income and/or franchise taxes on such income. Dividends to shareholders would constitute ordinary dividend income taxable to such shareholders to the extent of our earnings and profits, and the payment of these dividends would not be deductible by us. Taxation of us as a publicly traded partnership taxable as a corporation could result in a material adverse effect on our cash flow and the after-tax returns for shareholders and thus could result in a substantial reduction in the value of our common shares.</w:t>
      </w:r>
    </w:p>
    <w:p>
      <w:pPr>
        <w:spacing w:after="0" w:line="176" w:lineRule="exact"/>
        <w:rPr>
          <w:sz w:val="20"/>
          <w:szCs w:val="20"/>
          <w:color w:val="auto"/>
        </w:rPr>
      </w:pPr>
    </w:p>
    <w:p>
      <w:pPr>
        <w:jc w:val="both"/>
        <w:ind w:right="20"/>
        <w:spacing w:after="0" w:line="302" w:lineRule="auto"/>
        <w:rPr>
          <w:sz w:val="20"/>
          <w:szCs w:val="20"/>
          <w:color w:val="auto"/>
        </w:rPr>
      </w:pPr>
      <w:r>
        <w:rPr>
          <w:rFonts w:ascii="Arial" w:cs="Arial" w:eastAsia="Arial" w:hAnsi="Arial"/>
          <w:sz w:val="16"/>
          <w:szCs w:val="16"/>
          <w:b w:val="1"/>
          <w:bCs w:val="1"/>
          <w:i w:val="1"/>
          <w:iCs w:val="1"/>
          <w:color w:val="auto"/>
        </w:rPr>
        <w:t>Non-U.S. Holders (defined below) should anticipate being required to file U.S. tax returns and may be required to pay U.S. tax solely on account of owning and disposing of our common shares.</w:t>
      </w:r>
    </w:p>
    <w:p>
      <w:pPr>
        <w:spacing w:after="0" w:line="131"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In light of our intended investment activities, we may be, or may become, engaged in a U.S. trade or business for U.S. federal income tax purposes, in which case some portion of our income would be treated as effectively connected income with respect to Non-U.S. Holders. Moreover, we anticipate that, in the future, we will sell interests in U.S. real holding property corporations (each a “USRPHC”) and therefore be deemed to be engaged in a U.S. trade or business for that reason at such time. If we were to realize gain from the sale or other disposition of a U.S. real property interest (including a USRPHC) or were otherwise engaged in a U.S. trade or business, Non-U.S. Holders generally would be required to file U.S. federal income tax returns and would be subject to U.S. federal withholding tax on their allocable share of the effectively connected income on gain at the highest marginal U.S. federal income tax rates applicable to ordinary income. Non-U.S. holders that are corporations may also be subject to a branch profits tax on their allocable share of such income. In addition, if we were treated as being engaged in a U.S. trade or business, a portion of any gain recognized by a Non-U.S. Holder on the sale or exchange of its common shares could be treated for U.S. federal income tax purposes as effectively connected income, and hence such Non-U.S. Holder could be subject to U.S. federal income tax on the sale or exchange. Accordingly, Non-U.S. Holders should anticipate being required to file U.S. tax returns and may be required to pay U.S. tax solely on account of owning our common shares.</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91</w:t>
      </w:r>
    </w:p>
    <w:p>
      <w:pPr>
        <w:sectPr>
          <w:pgSz w:w="11900" w:h="16838" w:orient="portrait"/>
          <w:cols w:equalWidth="0" w:num="1">
            <w:col w:w="11420"/>
          </w:cols>
          <w:pgMar w:left="240" w:top="580" w:right="239" w:bottom="1440" w:gutter="0" w:footer="0" w:header="0"/>
        </w:sectPr>
      </w:pPr>
    </w:p>
    <w:bookmarkStart w:id="91" w:name="page92"/>
    <w:bookmarkEnd w:id="91"/>
    <w:p>
      <w:pPr>
        <w:jc w:val="both"/>
        <w:spacing w:after="0" w:line="302" w:lineRule="auto"/>
        <w:rPr>
          <w:sz w:val="20"/>
          <w:szCs w:val="20"/>
          <w:color w:val="auto"/>
        </w:rPr>
      </w:pPr>
      <w:r>
        <w:rPr>
          <w:rFonts w:ascii="Arial" w:cs="Arial" w:eastAsia="Arial" w:hAnsi="Arial"/>
          <w:sz w:val="16"/>
          <w:szCs w:val="16"/>
          <w:b w:val="1"/>
          <w:bCs w:val="1"/>
          <w:i w:val="1"/>
          <w:iCs w:val="1"/>
          <w:color w:val="auto"/>
        </w:rPr>
        <w:t>Non-U.S. Holders that hold (or are deemed to hold) more than 5% of our common shares (or held, or were deemed to hold, more than 5% of our common shares) may be subject to U.S. federal income tax upon the disposition of some or all their common shares.</w:t>
      </w:r>
    </w:p>
    <w:p>
      <w:pPr>
        <w:spacing w:after="0" w:line="131" w:lineRule="exact"/>
        <w:rPr>
          <w:sz w:val="20"/>
          <w:szCs w:val="20"/>
          <w:color w:val="auto"/>
        </w:rPr>
      </w:pPr>
    </w:p>
    <w:p>
      <w:pPr>
        <w:jc w:val="both"/>
        <w:spacing w:after="0" w:line="261" w:lineRule="auto"/>
        <w:rPr>
          <w:sz w:val="20"/>
          <w:szCs w:val="20"/>
          <w:color w:val="auto"/>
        </w:rPr>
      </w:pPr>
      <w:r>
        <w:rPr>
          <w:rFonts w:ascii="Arial" w:cs="Arial" w:eastAsia="Arial" w:hAnsi="Arial"/>
          <w:sz w:val="16"/>
          <w:szCs w:val="16"/>
          <w:color w:val="auto"/>
        </w:rPr>
        <w:t>If a Non-U.S. Holder held more than 5% of our common shares at any time during the 5 year period preceding such Non-U.S. Holder’s disposition of our common shares, and we were considered a USRPHC (determined as if we were a U.S. corporation) at any time during such 5 year period because of our current or previous ownership of U.S. real property interests above a certain threshold, such Non-U.S. Holder may be subject to U.S. tax on such disposition of our common shares (and may have a U.S. tax return filing obligation).</w:t>
      </w:r>
    </w:p>
    <w:p>
      <w:pPr>
        <w:spacing w:after="0" w:line="17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Tax-exempt shareholders may face certain adverse U.S. tax consequences from owning our common shares.</w:t>
      </w:r>
    </w:p>
    <w:p>
      <w:pPr>
        <w:spacing w:after="0" w:line="221" w:lineRule="exact"/>
        <w:rPr>
          <w:sz w:val="20"/>
          <w:szCs w:val="20"/>
          <w:color w:val="auto"/>
        </w:rPr>
      </w:pPr>
    </w:p>
    <w:p>
      <w:pPr>
        <w:jc w:val="both"/>
        <w:spacing w:after="0" w:line="252" w:lineRule="auto"/>
        <w:rPr>
          <w:sz w:val="20"/>
          <w:szCs w:val="20"/>
          <w:color w:val="auto"/>
        </w:rPr>
      </w:pPr>
      <w:r>
        <w:rPr>
          <w:rFonts w:ascii="Arial" w:cs="Arial" w:eastAsia="Arial" w:hAnsi="Arial"/>
          <w:sz w:val="16"/>
          <w:szCs w:val="16"/>
          <w:color w:val="auto"/>
        </w:rPr>
        <w:t>We are not required to manage our operations in a manner that would minimize the likelihood of generating income that would constitute “unrelated business taxable income” (“UBTI”) to the extent allocated to a tax-exempt shareholder. Although we expect to invest through subsidiaries that are treated as corporations for U.S. federal income tax purposes and such corporate investments would generally not result in an allocation of UBTI to a shareholder on account of the activities of those subsidiaries, we may not invest through corporate subsidiaries in all cases. Moreover, UBTI includes income attributable to debt-financed property and we are not prohibited from debt financing our investments, including investments in subsidiaries. Furthermore, we are not prohibited from being (or causing a subsidiary to be) a guarantor of loans made to a subsidiary. If we (or certain of our subsidiaries) were treated as the borrower for U.S. tax purposes on account of those guarantees, some or all of our investments could be considered debt-financed property. The potential for income to be characterized as UBTI could make our common shares an unsuitable investment for a tax-exempt entity. Tax-exempt shareholders are urged to consult their tax advisors regarding the tax consequences of an investment in common shares.</w:t>
      </w:r>
    </w:p>
    <w:p>
      <w:pPr>
        <w:spacing w:after="0" w:line="17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may hold or acquire certain investments through an entity classified as a PFIC or CFC for U.S. federal income tax purposes.</w:t>
      </w:r>
    </w:p>
    <w:p>
      <w:pPr>
        <w:spacing w:after="0" w:line="221" w:lineRule="exact"/>
        <w:rPr>
          <w:sz w:val="20"/>
          <w:szCs w:val="20"/>
          <w:color w:val="auto"/>
        </w:rPr>
      </w:pPr>
    </w:p>
    <w:p>
      <w:pPr>
        <w:jc w:val="both"/>
        <w:spacing w:after="0" w:line="269" w:lineRule="auto"/>
        <w:rPr>
          <w:sz w:val="20"/>
          <w:szCs w:val="20"/>
          <w:color w:val="auto"/>
        </w:rPr>
      </w:pPr>
      <w:r>
        <w:rPr>
          <w:rFonts w:ascii="Arial" w:cs="Arial" w:eastAsia="Arial" w:hAnsi="Arial"/>
          <w:sz w:val="16"/>
          <w:szCs w:val="16"/>
          <w:color w:val="auto"/>
        </w:rPr>
        <w:t>Certain of our investments may be in non-U.S. corporations or may be acquired through a non-U.S. subsidiary that would be classified as a corporation for U.S. federal income tax purposes. Such an entity may be a PFIC or a CFC for U.S. federal income tax purposes. U.S. Holders indirectly owning an interest in a PFIC or a CFC may experience adverse U.S. tax consequences.</w:t>
      </w:r>
    </w:p>
    <w:p>
      <w:pPr>
        <w:spacing w:after="0" w:line="165" w:lineRule="exact"/>
        <w:rPr>
          <w:sz w:val="20"/>
          <w:szCs w:val="20"/>
          <w:color w:val="auto"/>
        </w:rPr>
      </w:pPr>
    </w:p>
    <w:p>
      <w:pPr>
        <w:jc w:val="both"/>
        <w:spacing w:after="0" w:line="265" w:lineRule="auto"/>
        <w:rPr>
          <w:sz w:val="20"/>
          <w:szCs w:val="20"/>
          <w:color w:val="auto"/>
        </w:rPr>
      </w:pPr>
      <w:r>
        <w:rPr>
          <w:rFonts w:ascii="Arial" w:cs="Arial" w:eastAsia="Arial" w:hAnsi="Arial"/>
          <w:sz w:val="16"/>
          <w:szCs w:val="16"/>
          <w:b w:val="1"/>
          <w:bCs w:val="1"/>
          <w:i w:val="1"/>
          <w:iCs w:val="1"/>
          <w:color w:val="auto"/>
        </w:rPr>
        <w:t>If substantially all of the U.S. source rental income derived from aircraft or ships used to transport passengers or cargo in international traffic (“U.S. source international transport rental income”) of any of our non-U.S. corporate subsidiaries is attributable to activities of personnel based in the United States, such subsidiary could be subject to U.S. federal income tax on a net income basis at regular tax rates, rather than at a rate of 4% on gross income, which would adversely affect our business and result in decreased funds available for distribution to our shareholders.</w:t>
      </w:r>
    </w:p>
    <w:p>
      <w:pPr>
        <w:spacing w:after="0" w:line="160" w:lineRule="exact"/>
        <w:rPr>
          <w:sz w:val="20"/>
          <w:szCs w:val="20"/>
          <w:color w:val="auto"/>
        </w:rPr>
      </w:pPr>
    </w:p>
    <w:p>
      <w:pPr>
        <w:jc w:val="both"/>
        <w:spacing w:after="0" w:line="252" w:lineRule="auto"/>
        <w:rPr>
          <w:sz w:val="20"/>
          <w:szCs w:val="20"/>
          <w:color w:val="auto"/>
        </w:rPr>
      </w:pPr>
      <w:r>
        <w:rPr>
          <w:rFonts w:ascii="Arial" w:cs="Arial" w:eastAsia="Arial" w:hAnsi="Arial"/>
          <w:sz w:val="16"/>
          <w:szCs w:val="16"/>
          <w:color w:val="auto"/>
        </w:rPr>
        <w:t>We expect that the U.S. source international transport rental income of our non-U.S. subsidiaries generally will be subject to U.S. federal income tax, on a gross income basis, at a rate of not in excess of 4% as provided in Section 887 of the Code. If, contrary to expectations, any of our non-U.S. subsidiaries that is treated as a corporation for U.S. federal income tax purposes did not comply with certain administrative guidelines of the IRS, such that 90% or more of such subsidiary’s U.S. source international transport rental income were attributable to the activities of personnel based in the United States (in the case of bareboat leases) or from “regularly scheduled transportation” as defined is such administrative guidelines (in the case of time-charter leases), such subsidiary’s U.S. source rental income would be treated as income effectively connected with a trade or business in the United States. In such case, such subsidiary’s U.S. source international transport rental income would be subject to U.S. federal income tax at a maximum rate of 35%. In addition, such subsidiary would be subject to the U.S. federal branch profits tax on its effectively connected earnings and profits at a rate of 30%. The imposition of such taxes would adversely affect our business and would result in decreased funds available for distribution to our shareholders.</w:t>
      </w:r>
    </w:p>
    <w:p>
      <w:pPr>
        <w:spacing w:after="0" w:line="17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Our subsidiaries may become subject to unanticipated tax liabilities that may have a material adverse effect on our results of operations.</w:t>
      </w:r>
    </w:p>
    <w:p>
      <w:pPr>
        <w:spacing w:after="0" w:line="221" w:lineRule="exact"/>
        <w:rPr>
          <w:sz w:val="20"/>
          <w:szCs w:val="20"/>
          <w:color w:val="auto"/>
        </w:rPr>
      </w:pPr>
    </w:p>
    <w:p>
      <w:pPr>
        <w:jc w:val="both"/>
        <w:spacing w:after="0" w:line="255" w:lineRule="auto"/>
        <w:rPr>
          <w:sz w:val="20"/>
          <w:szCs w:val="20"/>
          <w:color w:val="auto"/>
        </w:rPr>
      </w:pPr>
      <w:r>
        <w:rPr>
          <w:rFonts w:ascii="Arial" w:cs="Arial" w:eastAsia="Arial" w:hAnsi="Arial"/>
          <w:sz w:val="16"/>
          <w:szCs w:val="16"/>
          <w:color w:val="auto"/>
        </w:rPr>
        <w:t>Our subsidiaries may be subject to income, withholding or other taxes in certain non-U.S. jurisdictions by reason of their activities and operations, where their assets are used, or where the lessees of their assets (or others in possession of their assets) are located, and it is also possible that taxing authorities in any such jurisdictions could assert that our subsidiaries are subject to greater taxation than we currently anticipate. For example, a portion of certain of our non-U.S. corporate subsidiaries’ income is treated as effectively connected with a U.S. trade or business, and is accordingly subject to U.S. federal income tax. It is possible that the IRS could assert that a greater portion of any such non-U.S. subsidiaries’ income is effectively connected income that should be subject to U.S. federal income tax.</w:t>
      </w:r>
    </w:p>
    <w:p>
      <w:pPr>
        <w:spacing w:after="0" w:line="178" w:lineRule="exact"/>
        <w:rPr>
          <w:sz w:val="20"/>
          <w:szCs w:val="20"/>
          <w:color w:val="auto"/>
        </w:rPr>
      </w:pPr>
    </w:p>
    <w:p>
      <w:pPr>
        <w:jc w:val="both"/>
        <w:spacing w:after="0" w:line="302" w:lineRule="auto"/>
        <w:rPr>
          <w:sz w:val="20"/>
          <w:szCs w:val="20"/>
          <w:color w:val="auto"/>
        </w:rPr>
      </w:pPr>
      <w:r>
        <w:rPr>
          <w:rFonts w:ascii="Arial" w:cs="Arial" w:eastAsia="Arial" w:hAnsi="Arial"/>
          <w:sz w:val="16"/>
          <w:szCs w:val="16"/>
          <w:b w:val="1"/>
          <w:bCs w:val="1"/>
          <w:i w:val="1"/>
          <w:iCs w:val="1"/>
          <w:color w:val="auto"/>
        </w:rPr>
        <w:t>Our structure involves complex provisions of U.S. federal income tax law for which no clear precedent or authority may be available. Our structure also is subject to potential legislative, judicial or administrative change and differing interpretations, possibly on a retroactive basis.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92</w:t>
      </w:r>
    </w:p>
    <w:p>
      <w:pPr>
        <w:sectPr>
          <w:pgSz w:w="11900" w:h="16838" w:orient="portrait"/>
          <w:cols w:equalWidth="0" w:num="1">
            <w:col w:w="11420"/>
          </w:cols>
          <w:pgMar w:left="240" w:top="581" w:right="239" w:bottom="1440" w:gutter="0" w:footer="0" w:header="0"/>
        </w:sectPr>
      </w:pPr>
    </w:p>
    <w:bookmarkStart w:id="92" w:name="page93"/>
    <w:bookmarkEnd w:id="92"/>
    <w:p>
      <w:pPr>
        <w:jc w:val="both"/>
        <w:spacing w:after="0" w:line="254" w:lineRule="auto"/>
        <w:rPr>
          <w:sz w:val="20"/>
          <w:szCs w:val="20"/>
          <w:color w:val="auto"/>
        </w:rPr>
      </w:pPr>
      <w:r>
        <w:rPr>
          <w:rFonts w:ascii="Arial" w:cs="Arial" w:eastAsia="Arial" w:hAnsi="Arial"/>
          <w:sz w:val="16"/>
          <w:szCs w:val="16"/>
          <w:color w:val="auto"/>
        </w:rPr>
        <w:t>The U.S. federal income tax treatment of our shareholders depends in some instances on determinations of fact and interpretations of complex provisions of U.S. federal income tax law for which no clear precedent or authority may be available. Prospective investors should be aware that the U.S. federal income tax rules are constantly under review by persons involved in the legislative process, the IRS, and the U.S. Treasury Department, frequently resulting in revised interpretations of established concepts, statutory changes, revisions to regulations and other modifications and interpretations. The IRS pays close attention to the proper application of tax laws to partnerships. The present U.S. federal income tax treatment of an investment in our common shares may be modified by administrative, legislative or judicial interpretation at any time, possibly on a retroactive basis, and any such action may affect our investments and commitments that were previously made, and could adversely affect the value of our shares or cause us to change the way we conduct our business.</w:t>
      </w:r>
    </w:p>
    <w:p>
      <w:pPr>
        <w:spacing w:after="0" w:line="177"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Our organizational documents and agreements permit the board of directors to modify our operating agreement from time to time, without the consent of shareholders, in order to address certain changes in Treasury regulations, legislation or interpretation. In some circumstances, such revisions could have a material adverse impact on some or all shareholders. Moreover, we will apply certain assumptions and conventions in an attempt to comply with applicable rules and to report income, gain, deduction, loss and credit to shareholders in a manner that reflects such shareholders’ beneficial ownership of partnership items, taking into account variation in ownership interests during each taxable year because of trading activity. However, these assumptions and conventions may not be in compliance with all aspects of applicable tax requirements. It is possible that the IRS will assert successfully that the conventions and assumptions used by us do not satisfy the technical requirements of the Code and/or Treasury regulations and could require that items of income, gain, deduction, loss or credit, including interest deductions, be adjusted, reallocated, or disallowed, in a manner that adversely affects shareholders.</w:t>
      </w:r>
    </w:p>
    <w:p>
      <w:pPr>
        <w:spacing w:after="0" w:line="177" w:lineRule="exact"/>
        <w:rPr>
          <w:sz w:val="20"/>
          <w:szCs w:val="20"/>
          <w:color w:val="auto"/>
        </w:rPr>
      </w:pPr>
    </w:p>
    <w:p>
      <w:pPr>
        <w:jc w:val="both"/>
        <w:spacing w:after="0" w:line="302" w:lineRule="auto"/>
        <w:rPr>
          <w:sz w:val="20"/>
          <w:szCs w:val="20"/>
          <w:color w:val="auto"/>
        </w:rPr>
      </w:pPr>
      <w:r>
        <w:rPr>
          <w:rFonts w:ascii="Arial" w:cs="Arial" w:eastAsia="Arial" w:hAnsi="Arial"/>
          <w:sz w:val="16"/>
          <w:szCs w:val="16"/>
          <w:b w:val="1"/>
          <w:bCs w:val="1"/>
          <w:i w:val="1"/>
          <w:iCs w:val="1"/>
          <w:color w:val="auto"/>
        </w:rPr>
        <w:t>We could incur a significant tax liability if the IRS successfully asserts that the “anti-stapling” rules apply to our investments in our non-U.S. and U.S. subsidiaries, which would adversely affect our business and result in decreased funds available for distribution to our shareholders.</w:t>
      </w:r>
    </w:p>
    <w:p>
      <w:pPr>
        <w:spacing w:after="0" w:line="131" w:lineRule="exact"/>
        <w:rPr>
          <w:sz w:val="20"/>
          <w:szCs w:val="20"/>
          <w:color w:val="auto"/>
        </w:rPr>
      </w:pPr>
    </w:p>
    <w:p>
      <w:pPr>
        <w:jc w:val="both"/>
        <w:spacing w:after="0" w:line="254" w:lineRule="auto"/>
        <w:rPr>
          <w:sz w:val="20"/>
          <w:szCs w:val="20"/>
          <w:color w:val="auto"/>
        </w:rPr>
      </w:pPr>
      <w:r>
        <w:rPr>
          <w:rFonts w:ascii="Arial" w:cs="Arial" w:eastAsia="Arial" w:hAnsi="Arial"/>
          <w:sz w:val="16"/>
          <w:szCs w:val="16"/>
          <w:color w:val="auto"/>
        </w:rPr>
        <w:t>If we were subject to the “anti-stapling” rules of Section 269B of the Code, we would incur a significant tax liability as a result of owning more than 50% of the value of both U.S. and non-U.S. corporate subsidiaries, whose equity interests constitute “stapled interests” that may only be transferred together. If the “anti-stapling” rules applied, our non-U.S. corporate subsidiaries that are treated as corporations for U.S. federal income tax purposes would be treated as U.S. corporations, which would cause those entities to be subject to U.S. federal corporate income tax on their worldwide income. Because we intend to separately manage and operate our non-U.S. and U.S. corporate subsidiaries and structure their business activities in a manner that would allow us to dispose of such subsidiaries separately, we do not expect that the “anti-stapling” rules will apply. However, there can be no assurance that the IRS would not successfully assert a contrary position, which would adversely affect our business and result in decreased funds available for distribution to our shareholders.</w:t>
      </w:r>
    </w:p>
    <w:p>
      <w:pPr>
        <w:spacing w:after="0" w:line="177" w:lineRule="exact"/>
        <w:rPr>
          <w:sz w:val="20"/>
          <w:szCs w:val="20"/>
          <w:color w:val="auto"/>
        </w:rPr>
      </w:pPr>
    </w:p>
    <w:p>
      <w:pPr>
        <w:jc w:val="both"/>
        <w:spacing w:after="0" w:line="302" w:lineRule="auto"/>
        <w:rPr>
          <w:sz w:val="20"/>
          <w:szCs w:val="20"/>
          <w:color w:val="auto"/>
        </w:rPr>
      </w:pPr>
      <w:r>
        <w:rPr>
          <w:rFonts w:ascii="Arial" w:cs="Arial" w:eastAsia="Arial" w:hAnsi="Arial"/>
          <w:sz w:val="16"/>
          <w:szCs w:val="16"/>
          <w:b w:val="1"/>
          <w:bCs w:val="1"/>
          <w:i w:val="1"/>
          <w:iCs w:val="1"/>
          <w:color w:val="auto"/>
        </w:rPr>
        <w:t>We cannot match transferors and transferees of our shares, and we have therefore adopted certain income tax accounting positions that may not conform with all aspects of applicable tax requirements. The IRS may challenge this treatment, which could adversely affect the value of our shares.</w:t>
      </w:r>
    </w:p>
    <w:p>
      <w:pPr>
        <w:spacing w:after="0" w:line="131" w:lineRule="exact"/>
        <w:rPr>
          <w:sz w:val="20"/>
          <w:szCs w:val="20"/>
          <w:color w:val="auto"/>
        </w:rPr>
      </w:pPr>
    </w:p>
    <w:p>
      <w:pPr>
        <w:jc w:val="both"/>
        <w:spacing w:after="0" w:line="261" w:lineRule="auto"/>
        <w:rPr>
          <w:sz w:val="20"/>
          <w:szCs w:val="20"/>
          <w:color w:val="auto"/>
        </w:rPr>
      </w:pPr>
      <w:r>
        <w:rPr>
          <w:rFonts w:ascii="Arial" w:cs="Arial" w:eastAsia="Arial" w:hAnsi="Arial"/>
          <w:sz w:val="16"/>
          <w:szCs w:val="16"/>
          <w:color w:val="auto"/>
        </w:rPr>
        <w:t>Because we cannot match transferors and transferees of our shares, we have adopted depreciation, amortization and other tax accounting positions that may not conform with all aspects of existing Treasury regulations. A successful IRS challenge to those positions could adversely affect the amount of tax benefits available to our shareholders. It also could affect the timing of these tax benefits or the amount of gain on the sale of our common shares and could have a negative impact on the value of our common shares or result in audits of and adjustments to our shareholders’ tax returns.</w:t>
      </w:r>
    </w:p>
    <w:p>
      <w:pPr>
        <w:spacing w:after="0" w:line="172" w:lineRule="exact"/>
        <w:rPr>
          <w:sz w:val="20"/>
          <w:szCs w:val="20"/>
          <w:color w:val="auto"/>
        </w:rPr>
      </w:pPr>
    </w:p>
    <w:p>
      <w:pPr>
        <w:jc w:val="both"/>
        <w:spacing w:after="0" w:line="255" w:lineRule="auto"/>
        <w:rPr>
          <w:sz w:val="20"/>
          <w:szCs w:val="20"/>
          <w:color w:val="auto"/>
        </w:rPr>
      </w:pPr>
      <w:r>
        <w:rPr>
          <w:rFonts w:ascii="Arial" w:cs="Arial" w:eastAsia="Arial" w:hAnsi="Arial"/>
          <w:sz w:val="16"/>
          <w:szCs w:val="16"/>
          <w:color w:val="auto"/>
        </w:rPr>
        <w:t>We may allocate items of income, gain, loss, and deduction using a monthly or other convention, whereby any such items we recognize in a given month are allocated to our shareholders as of a specified date of such month. As a result, if a shareholder transfers its common shares, it might be allocated income, gain, loss, and deduction realized by us after the date of the transfer. Similarly, if a shareholder acquires additional common shares, it might be allocated income, gain, loss, and deduction realized by us prior to its ownership of such common shares. Consequently, our shareholders may recognize income in excess of cash distributions received from us, and any income so included by a shareholder would increase the basis such shareholder has in it common shares and would offset any gain (or increase the amount of loss) realized by such shareholder on a subsequent disposition of its common shares.</w:t>
      </w:r>
    </w:p>
    <w:p>
      <w:pPr>
        <w:spacing w:after="0" w:line="178" w:lineRule="exact"/>
        <w:rPr>
          <w:sz w:val="20"/>
          <w:szCs w:val="20"/>
          <w:color w:val="auto"/>
        </w:rPr>
      </w:pPr>
    </w:p>
    <w:p>
      <w:pPr>
        <w:jc w:val="both"/>
        <w:spacing w:after="0" w:line="302" w:lineRule="auto"/>
        <w:rPr>
          <w:sz w:val="20"/>
          <w:szCs w:val="20"/>
          <w:color w:val="auto"/>
        </w:rPr>
      </w:pPr>
      <w:r>
        <w:rPr>
          <w:rFonts w:ascii="Arial" w:cs="Arial" w:eastAsia="Arial" w:hAnsi="Arial"/>
          <w:sz w:val="16"/>
          <w:szCs w:val="16"/>
          <w:b w:val="1"/>
          <w:bCs w:val="1"/>
          <w:i w:val="1"/>
          <w:iCs w:val="1"/>
          <w:color w:val="auto"/>
        </w:rPr>
        <w:t>The sale or exchange of 50% or more of our common shares within a 12-month period will result in our termination for U.S. federal income tax purposes.</w:t>
      </w:r>
    </w:p>
    <w:p>
      <w:pPr>
        <w:spacing w:after="0" w:line="131" w:lineRule="exact"/>
        <w:rPr>
          <w:sz w:val="20"/>
          <w:szCs w:val="20"/>
          <w:color w:val="auto"/>
        </w:rPr>
      </w:pPr>
    </w:p>
    <w:p>
      <w:pPr>
        <w:jc w:val="both"/>
        <w:spacing w:after="0" w:line="269" w:lineRule="auto"/>
        <w:rPr>
          <w:sz w:val="20"/>
          <w:szCs w:val="20"/>
          <w:color w:val="auto"/>
        </w:rPr>
      </w:pPr>
      <w:r>
        <w:rPr>
          <w:rFonts w:ascii="Arial" w:cs="Arial" w:eastAsia="Arial" w:hAnsi="Arial"/>
          <w:sz w:val="16"/>
          <w:szCs w:val="16"/>
          <w:color w:val="auto"/>
        </w:rPr>
        <w:t>We will be considered to have terminated as a partnership for U.S. federal income tax purposes if there is a sale or exchange of 50% or more of our common shares within a 12-month period. Our termination would, among other things, result in the closing of our taxable year for all shareholders and could result in a deferral of depreciation and amortization deductions allowable in computing our taxable income.</w:t>
      </w:r>
    </w:p>
    <w:p>
      <w:pPr>
        <w:spacing w:after="0" w:line="16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Recently enacted legislation regarding U.S. federal income tax liability arising from IRS audits could adversely affect our shareholders.</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93</w:t>
      </w:r>
    </w:p>
    <w:p>
      <w:pPr>
        <w:sectPr>
          <w:pgSz w:w="11900" w:h="16838" w:orient="portrait"/>
          <w:cols w:equalWidth="0" w:num="1">
            <w:col w:w="11420"/>
          </w:cols>
          <w:pgMar w:left="240" w:top="581" w:right="239" w:bottom="1440" w:gutter="0" w:footer="0" w:header="0"/>
        </w:sectPr>
      </w:pPr>
    </w:p>
    <w:bookmarkStart w:id="93" w:name="page94"/>
    <w:bookmarkEnd w:id="93"/>
    <w:p>
      <w:pPr>
        <w:jc w:val="both"/>
        <w:spacing w:after="0" w:line="255" w:lineRule="auto"/>
        <w:rPr>
          <w:sz w:val="20"/>
          <w:szCs w:val="20"/>
          <w:color w:val="auto"/>
        </w:rPr>
      </w:pPr>
      <w:r>
        <w:rPr>
          <w:rFonts w:ascii="Arial" w:cs="Arial" w:eastAsia="Arial" w:hAnsi="Arial"/>
          <w:sz w:val="16"/>
          <w:szCs w:val="16"/>
          <w:color w:val="auto"/>
        </w:rPr>
        <w:t>For taxable years beginning on or after January 1, 2018, we will be liable for U.S. federal income tax liability arising from an IRS audit, unless certain alternative methods are available and we elect to use them. Under the new rules, it is possible that certain shareholders or we may be liable for taxes attributable to adjustments to our taxable income with respect to tax years that closed before such shareholders owned our shares. Accordingly, this new legislation may adversely affect certain shareholders in certain cases. This differs from the existing rules, which generally provide that tax adjustments only affect the persons who were shareholders in the tax year in which the item was reported on our tax return. The changes created by the new legislation are uncertain and in many respects depend on the promulgation of future regulations or other guidance by the U.S. Treasury Department or the IRS.</w:t>
      </w:r>
    </w:p>
    <w:p>
      <w:pPr>
        <w:spacing w:after="0" w:line="176" w:lineRule="exact"/>
        <w:rPr>
          <w:sz w:val="20"/>
          <w:szCs w:val="20"/>
          <w:color w:val="auto"/>
        </w:rPr>
      </w:pPr>
    </w:p>
    <w:p>
      <w:pPr>
        <w:ind w:left="60"/>
        <w:spacing w:after="0"/>
        <w:rPr>
          <w:sz w:val="20"/>
          <w:szCs w:val="20"/>
          <w:color w:val="auto"/>
        </w:rPr>
      </w:pPr>
      <w:r>
        <w:rPr>
          <w:rFonts w:ascii="Arial" w:cs="Arial" w:eastAsia="Arial" w:hAnsi="Arial"/>
          <w:sz w:val="16"/>
          <w:szCs w:val="16"/>
          <w:b w:val="1"/>
          <w:bCs w:val="1"/>
          <w:color w:val="auto"/>
        </w:rPr>
        <w:t>Risks Related to Our Common Shares</w:t>
      </w:r>
    </w:p>
    <w:p>
      <w:pPr>
        <w:spacing w:after="0" w:line="223" w:lineRule="exact"/>
        <w:rPr>
          <w:sz w:val="20"/>
          <w:szCs w:val="20"/>
          <w:color w:val="auto"/>
        </w:rPr>
      </w:pPr>
    </w:p>
    <w:p>
      <w:pPr>
        <w:jc w:val="both"/>
        <w:spacing w:after="0" w:line="271" w:lineRule="auto"/>
        <w:rPr>
          <w:sz w:val="20"/>
          <w:szCs w:val="20"/>
          <w:color w:val="auto"/>
        </w:rPr>
      </w:pPr>
      <w:r>
        <w:rPr>
          <w:rFonts w:ascii="Arial" w:cs="Arial" w:eastAsia="Arial" w:hAnsi="Arial"/>
          <w:sz w:val="16"/>
          <w:szCs w:val="16"/>
          <w:b w:val="1"/>
          <w:bCs w:val="1"/>
          <w:i w:val="1"/>
          <w:iCs w:val="1"/>
          <w:color w:val="auto"/>
        </w:rPr>
        <w:t>The market price and trading volume of our common shares may be volatile, which could result in rapid and substantial losses for our shareholders.</w:t>
      </w:r>
    </w:p>
    <w:p>
      <w:pPr>
        <w:spacing w:after="0" w:line="386" w:lineRule="exact"/>
        <w:rPr>
          <w:sz w:val="20"/>
          <w:szCs w:val="20"/>
          <w:color w:val="auto"/>
        </w:rPr>
      </w:pPr>
    </w:p>
    <w:p>
      <w:pPr>
        <w:jc w:val="both"/>
        <w:spacing w:after="0" w:line="261" w:lineRule="auto"/>
        <w:rPr>
          <w:sz w:val="20"/>
          <w:szCs w:val="20"/>
          <w:color w:val="auto"/>
        </w:rPr>
      </w:pPr>
      <w:r>
        <w:rPr>
          <w:rFonts w:ascii="Arial" w:cs="Arial" w:eastAsia="Arial" w:hAnsi="Arial"/>
          <w:sz w:val="16"/>
          <w:szCs w:val="16"/>
          <w:color w:val="auto"/>
        </w:rPr>
        <w:t>The market price of our common shares may be highly volatile and could be subject to wide fluctuations. In addition, the trading volume in our common shares may fluctuate and cause significant price variations to occur. If the market price of our common shares declines significantly, you may be unable to resell your shares at or above your purchase price, if at all. The market price of our common shares may fluctuate or decline significantly in the future. Some of the factors that could negatively affect our share price or result in fluctuations in the price or trading volume of our common shares include:</w:t>
      </w:r>
    </w:p>
    <w:p>
      <w:pPr>
        <w:spacing w:after="0" w:line="172" w:lineRule="exact"/>
        <w:rPr>
          <w:sz w:val="20"/>
          <w:szCs w:val="20"/>
          <w:color w:val="auto"/>
        </w:rPr>
      </w:pPr>
    </w:p>
    <w:p>
      <w:pPr>
        <w:ind w:left="660" w:hanging="328"/>
        <w:spacing w:after="0"/>
        <w:tabs>
          <w:tab w:leader="none" w:pos="660" w:val="left"/>
        </w:tabs>
        <w:numPr>
          <w:ilvl w:val="0"/>
          <w:numId w:val="37"/>
        </w:numPr>
        <w:rPr>
          <w:rFonts w:ascii="Arial" w:cs="Arial" w:eastAsia="Arial" w:hAnsi="Arial"/>
          <w:sz w:val="16"/>
          <w:szCs w:val="16"/>
          <w:color w:val="auto"/>
        </w:rPr>
      </w:pPr>
      <w:r>
        <w:rPr>
          <w:rFonts w:ascii="Arial" w:cs="Arial" w:eastAsia="Arial" w:hAnsi="Arial"/>
          <w:sz w:val="16"/>
          <w:szCs w:val="16"/>
          <w:color w:val="auto"/>
        </w:rPr>
        <w:t>a shift in our investor base;</w:t>
      </w:r>
    </w:p>
    <w:p>
      <w:pPr>
        <w:spacing w:after="0" w:line="221" w:lineRule="exact"/>
        <w:rPr>
          <w:rFonts w:ascii="Arial" w:cs="Arial" w:eastAsia="Arial" w:hAnsi="Arial"/>
          <w:sz w:val="16"/>
          <w:szCs w:val="16"/>
          <w:color w:val="auto"/>
        </w:rPr>
      </w:pPr>
    </w:p>
    <w:p>
      <w:pPr>
        <w:ind w:left="660" w:hanging="328"/>
        <w:spacing w:after="0"/>
        <w:tabs>
          <w:tab w:leader="none" w:pos="660" w:val="left"/>
        </w:tabs>
        <w:numPr>
          <w:ilvl w:val="0"/>
          <w:numId w:val="37"/>
        </w:numPr>
        <w:rPr>
          <w:rFonts w:ascii="Arial" w:cs="Arial" w:eastAsia="Arial" w:hAnsi="Arial"/>
          <w:sz w:val="16"/>
          <w:szCs w:val="16"/>
          <w:color w:val="auto"/>
        </w:rPr>
      </w:pPr>
      <w:r>
        <w:rPr>
          <w:rFonts w:ascii="Arial" w:cs="Arial" w:eastAsia="Arial" w:hAnsi="Arial"/>
          <w:sz w:val="16"/>
          <w:szCs w:val="16"/>
          <w:color w:val="auto"/>
        </w:rPr>
        <w:t>our quarterly or annual earnings, or those of other comparable companies;</w:t>
      </w:r>
    </w:p>
    <w:p>
      <w:pPr>
        <w:spacing w:after="0" w:line="221" w:lineRule="exact"/>
        <w:rPr>
          <w:rFonts w:ascii="Arial" w:cs="Arial" w:eastAsia="Arial" w:hAnsi="Arial"/>
          <w:sz w:val="16"/>
          <w:szCs w:val="16"/>
          <w:color w:val="auto"/>
        </w:rPr>
      </w:pPr>
    </w:p>
    <w:p>
      <w:pPr>
        <w:ind w:left="660" w:hanging="328"/>
        <w:spacing w:after="0"/>
        <w:tabs>
          <w:tab w:leader="none" w:pos="660" w:val="left"/>
        </w:tabs>
        <w:numPr>
          <w:ilvl w:val="0"/>
          <w:numId w:val="37"/>
        </w:numPr>
        <w:rPr>
          <w:rFonts w:ascii="Arial" w:cs="Arial" w:eastAsia="Arial" w:hAnsi="Arial"/>
          <w:sz w:val="16"/>
          <w:szCs w:val="16"/>
          <w:color w:val="auto"/>
        </w:rPr>
      </w:pPr>
      <w:r>
        <w:rPr>
          <w:rFonts w:ascii="Arial" w:cs="Arial" w:eastAsia="Arial" w:hAnsi="Arial"/>
          <w:sz w:val="16"/>
          <w:szCs w:val="16"/>
          <w:color w:val="auto"/>
        </w:rPr>
        <w:t>actual or anticipated fluctuations in our operating results;</w:t>
      </w:r>
    </w:p>
    <w:p>
      <w:pPr>
        <w:spacing w:after="0" w:line="221" w:lineRule="exact"/>
        <w:rPr>
          <w:rFonts w:ascii="Arial" w:cs="Arial" w:eastAsia="Arial" w:hAnsi="Arial"/>
          <w:sz w:val="16"/>
          <w:szCs w:val="16"/>
          <w:color w:val="auto"/>
        </w:rPr>
      </w:pPr>
    </w:p>
    <w:p>
      <w:pPr>
        <w:ind w:left="660" w:hanging="328"/>
        <w:spacing w:after="0"/>
        <w:tabs>
          <w:tab w:leader="none" w:pos="660" w:val="left"/>
        </w:tabs>
        <w:numPr>
          <w:ilvl w:val="0"/>
          <w:numId w:val="37"/>
        </w:numPr>
        <w:rPr>
          <w:rFonts w:ascii="Arial" w:cs="Arial" w:eastAsia="Arial" w:hAnsi="Arial"/>
          <w:sz w:val="16"/>
          <w:szCs w:val="16"/>
          <w:color w:val="auto"/>
        </w:rPr>
      </w:pPr>
      <w:r>
        <w:rPr>
          <w:rFonts w:ascii="Arial" w:cs="Arial" w:eastAsia="Arial" w:hAnsi="Arial"/>
          <w:sz w:val="16"/>
          <w:szCs w:val="16"/>
          <w:color w:val="auto"/>
        </w:rPr>
        <w:t>changes in accounting standards, policies, guidance, interpretations or principles;</w:t>
      </w:r>
    </w:p>
    <w:p>
      <w:pPr>
        <w:spacing w:after="0" w:line="221" w:lineRule="exact"/>
        <w:rPr>
          <w:rFonts w:ascii="Arial" w:cs="Arial" w:eastAsia="Arial" w:hAnsi="Arial"/>
          <w:sz w:val="16"/>
          <w:szCs w:val="16"/>
          <w:color w:val="auto"/>
        </w:rPr>
      </w:pPr>
    </w:p>
    <w:p>
      <w:pPr>
        <w:ind w:left="660" w:hanging="328"/>
        <w:spacing w:after="0"/>
        <w:tabs>
          <w:tab w:leader="none" w:pos="660" w:val="left"/>
        </w:tabs>
        <w:numPr>
          <w:ilvl w:val="0"/>
          <w:numId w:val="37"/>
        </w:numPr>
        <w:rPr>
          <w:rFonts w:ascii="Arial" w:cs="Arial" w:eastAsia="Arial" w:hAnsi="Arial"/>
          <w:sz w:val="16"/>
          <w:szCs w:val="16"/>
          <w:color w:val="auto"/>
        </w:rPr>
      </w:pPr>
      <w:r>
        <w:rPr>
          <w:rFonts w:ascii="Arial" w:cs="Arial" w:eastAsia="Arial" w:hAnsi="Arial"/>
          <w:sz w:val="16"/>
          <w:szCs w:val="16"/>
          <w:color w:val="auto"/>
        </w:rPr>
        <w:t>announcements by us or our competitors of significant investments, acquisitions or dispositions;</w:t>
      </w:r>
    </w:p>
    <w:p>
      <w:pPr>
        <w:spacing w:after="0" w:line="221" w:lineRule="exact"/>
        <w:rPr>
          <w:rFonts w:ascii="Arial" w:cs="Arial" w:eastAsia="Arial" w:hAnsi="Arial"/>
          <w:sz w:val="16"/>
          <w:szCs w:val="16"/>
          <w:color w:val="auto"/>
        </w:rPr>
      </w:pPr>
    </w:p>
    <w:p>
      <w:pPr>
        <w:ind w:left="660" w:hanging="328"/>
        <w:spacing w:after="0"/>
        <w:tabs>
          <w:tab w:leader="none" w:pos="660" w:val="left"/>
        </w:tabs>
        <w:numPr>
          <w:ilvl w:val="0"/>
          <w:numId w:val="37"/>
        </w:numPr>
        <w:rPr>
          <w:rFonts w:ascii="Arial" w:cs="Arial" w:eastAsia="Arial" w:hAnsi="Arial"/>
          <w:sz w:val="16"/>
          <w:szCs w:val="16"/>
          <w:color w:val="auto"/>
        </w:rPr>
      </w:pPr>
      <w:r>
        <w:rPr>
          <w:rFonts w:ascii="Arial" w:cs="Arial" w:eastAsia="Arial" w:hAnsi="Arial"/>
          <w:sz w:val="16"/>
          <w:szCs w:val="16"/>
          <w:color w:val="auto"/>
        </w:rPr>
        <w:t>the failure of securities analysts to cover our common shares;</w:t>
      </w:r>
    </w:p>
    <w:p>
      <w:pPr>
        <w:spacing w:after="0" w:line="221" w:lineRule="exact"/>
        <w:rPr>
          <w:rFonts w:ascii="Arial" w:cs="Arial" w:eastAsia="Arial" w:hAnsi="Arial"/>
          <w:sz w:val="16"/>
          <w:szCs w:val="16"/>
          <w:color w:val="auto"/>
        </w:rPr>
      </w:pPr>
    </w:p>
    <w:p>
      <w:pPr>
        <w:ind w:left="660" w:hanging="328"/>
        <w:spacing w:after="0"/>
        <w:tabs>
          <w:tab w:leader="none" w:pos="660" w:val="left"/>
        </w:tabs>
        <w:numPr>
          <w:ilvl w:val="0"/>
          <w:numId w:val="37"/>
        </w:numPr>
        <w:rPr>
          <w:rFonts w:ascii="Arial" w:cs="Arial" w:eastAsia="Arial" w:hAnsi="Arial"/>
          <w:sz w:val="16"/>
          <w:szCs w:val="16"/>
          <w:color w:val="auto"/>
        </w:rPr>
      </w:pPr>
      <w:r>
        <w:rPr>
          <w:rFonts w:ascii="Arial" w:cs="Arial" w:eastAsia="Arial" w:hAnsi="Arial"/>
          <w:sz w:val="16"/>
          <w:szCs w:val="16"/>
          <w:color w:val="auto"/>
        </w:rPr>
        <w:t>changes in earnings estimates by securities analysts or our ability to meet those estimates;</w:t>
      </w:r>
    </w:p>
    <w:p>
      <w:pPr>
        <w:spacing w:after="0" w:line="221" w:lineRule="exact"/>
        <w:rPr>
          <w:rFonts w:ascii="Arial" w:cs="Arial" w:eastAsia="Arial" w:hAnsi="Arial"/>
          <w:sz w:val="16"/>
          <w:szCs w:val="16"/>
          <w:color w:val="auto"/>
        </w:rPr>
      </w:pPr>
    </w:p>
    <w:p>
      <w:pPr>
        <w:ind w:left="660" w:hanging="328"/>
        <w:spacing w:after="0"/>
        <w:tabs>
          <w:tab w:leader="none" w:pos="660" w:val="left"/>
        </w:tabs>
        <w:numPr>
          <w:ilvl w:val="0"/>
          <w:numId w:val="37"/>
        </w:numPr>
        <w:rPr>
          <w:rFonts w:ascii="Arial" w:cs="Arial" w:eastAsia="Arial" w:hAnsi="Arial"/>
          <w:sz w:val="16"/>
          <w:szCs w:val="16"/>
          <w:color w:val="auto"/>
        </w:rPr>
      </w:pPr>
      <w:r>
        <w:rPr>
          <w:rFonts w:ascii="Arial" w:cs="Arial" w:eastAsia="Arial" w:hAnsi="Arial"/>
          <w:sz w:val="16"/>
          <w:szCs w:val="16"/>
          <w:color w:val="auto"/>
        </w:rPr>
        <w:t>the operating and share price performance of other comparable companies;</w:t>
      </w:r>
    </w:p>
    <w:p>
      <w:pPr>
        <w:spacing w:after="0" w:line="221" w:lineRule="exact"/>
        <w:rPr>
          <w:rFonts w:ascii="Arial" w:cs="Arial" w:eastAsia="Arial" w:hAnsi="Arial"/>
          <w:sz w:val="16"/>
          <w:szCs w:val="16"/>
          <w:color w:val="auto"/>
        </w:rPr>
      </w:pPr>
    </w:p>
    <w:p>
      <w:pPr>
        <w:ind w:left="660" w:hanging="328"/>
        <w:spacing w:after="0"/>
        <w:tabs>
          <w:tab w:leader="none" w:pos="660" w:val="left"/>
        </w:tabs>
        <w:numPr>
          <w:ilvl w:val="0"/>
          <w:numId w:val="37"/>
        </w:numPr>
        <w:rPr>
          <w:rFonts w:ascii="Arial" w:cs="Arial" w:eastAsia="Arial" w:hAnsi="Arial"/>
          <w:sz w:val="16"/>
          <w:szCs w:val="16"/>
          <w:color w:val="auto"/>
        </w:rPr>
      </w:pPr>
      <w:r>
        <w:rPr>
          <w:rFonts w:ascii="Arial" w:cs="Arial" w:eastAsia="Arial" w:hAnsi="Arial"/>
          <w:sz w:val="16"/>
          <w:szCs w:val="16"/>
          <w:color w:val="auto"/>
        </w:rPr>
        <w:t>overall market fluctuations;</w:t>
      </w:r>
    </w:p>
    <w:p>
      <w:pPr>
        <w:spacing w:after="0" w:line="221" w:lineRule="exact"/>
        <w:rPr>
          <w:rFonts w:ascii="Arial" w:cs="Arial" w:eastAsia="Arial" w:hAnsi="Arial"/>
          <w:sz w:val="16"/>
          <w:szCs w:val="16"/>
          <w:color w:val="auto"/>
        </w:rPr>
      </w:pPr>
    </w:p>
    <w:p>
      <w:pPr>
        <w:ind w:left="660" w:hanging="328"/>
        <w:spacing w:after="0"/>
        <w:tabs>
          <w:tab w:leader="none" w:pos="660" w:val="left"/>
        </w:tabs>
        <w:numPr>
          <w:ilvl w:val="0"/>
          <w:numId w:val="37"/>
        </w:numPr>
        <w:rPr>
          <w:rFonts w:ascii="Arial" w:cs="Arial" w:eastAsia="Arial" w:hAnsi="Arial"/>
          <w:sz w:val="16"/>
          <w:szCs w:val="16"/>
          <w:color w:val="auto"/>
        </w:rPr>
      </w:pPr>
      <w:r>
        <w:rPr>
          <w:rFonts w:ascii="Arial" w:cs="Arial" w:eastAsia="Arial" w:hAnsi="Arial"/>
          <w:sz w:val="16"/>
          <w:szCs w:val="16"/>
          <w:color w:val="auto"/>
        </w:rPr>
        <w:t>general economic conditions; and</w:t>
      </w:r>
    </w:p>
    <w:p>
      <w:pPr>
        <w:spacing w:after="0" w:line="221" w:lineRule="exact"/>
        <w:rPr>
          <w:rFonts w:ascii="Arial" w:cs="Arial" w:eastAsia="Arial" w:hAnsi="Arial"/>
          <w:sz w:val="16"/>
          <w:szCs w:val="16"/>
          <w:color w:val="auto"/>
        </w:rPr>
      </w:pPr>
    </w:p>
    <w:p>
      <w:pPr>
        <w:ind w:left="660" w:hanging="328"/>
        <w:spacing w:after="0"/>
        <w:tabs>
          <w:tab w:leader="none" w:pos="660" w:val="left"/>
        </w:tabs>
        <w:numPr>
          <w:ilvl w:val="0"/>
          <w:numId w:val="37"/>
        </w:numPr>
        <w:rPr>
          <w:rFonts w:ascii="Arial" w:cs="Arial" w:eastAsia="Arial" w:hAnsi="Arial"/>
          <w:sz w:val="16"/>
          <w:szCs w:val="16"/>
          <w:color w:val="auto"/>
        </w:rPr>
      </w:pPr>
      <w:r>
        <w:rPr>
          <w:rFonts w:ascii="Arial" w:cs="Arial" w:eastAsia="Arial" w:hAnsi="Arial"/>
          <w:sz w:val="16"/>
          <w:szCs w:val="16"/>
          <w:color w:val="auto"/>
        </w:rPr>
        <w:t>developments in the markets and market sectors in which we participate.</w:t>
      </w:r>
    </w:p>
    <w:p>
      <w:pPr>
        <w:spacing w:after="0" w:line="221" w:lineRule="exact"/>
        <w:rPr>
          <w:sz w:val="20"/>
          <w:szCs w:val="20"/>
          <w:color w:val="auto"/>
        </w:rPr>
      </w:pPr>
    </w:p>
    <w:p>
      <w:pPr>
        <w:jc w:val="both"/>
        <w:spacing w:after="0" w:line="269" w:lineRule="auto"/>
        <w:rPr>
          <w:sz w:val="20"/>
          <w:szCs w:val="20"/>
          <w:color w:val="auto"/>
        </w:rPr>
      </w:pPr>
      <w:r>
        <w:rPr>
          <w:rFonts w:ascii="Arial" w:cs="Arial" w:eastAsia="Arial" w:hAnsi="Arial"/>
          <w:sz w:val="16"/>
          <w:szCs w:val="16"/>
          <w:color w:val="auto"/>
        </w:rPr>
        <w:t>Stock markets in the United States have experienced extreme price and volume fluctuations. Market fluctuations, as well as general political and economic conditions such as acts of terrorism, prolonged economic uncertainty, a recession or interest rate or currency rate fluctuations, could adversely affect the market price of our common shares.</w:t>
      </w:r>
    </w:p>
    <w:p>
      <w:pPr>
        <w:spacing w:after="0" w:line="165" w:lineRule="exact"/>
        <w:rPr>
          <w:sz w:val="20"/>
          <w:szCs w:val="20"/>
          <w:color w:val="auto"/>
        </w:rPr>
      </w:pPr>
    </w:p>
    <w:p>
      <w:pPr>
        <w:jc w:val="both"/>
        <w:spacing w:after="0" w:line="302" w:lineRule="auto"/>
        <w:rPr>
          <w:sz w:val="20"/>
          <w:szCs w:val="20"/>
          <w:color w:val="auto"/>
        </w:rPr>
      </w:pPr>
      <w:r>
        <w:rPr>
          <w:rFonts w:ascii="Arial" w:cs="Arial" w:eastAsia="Arial" w:hAnsi="Arial"/>
          <w:sz w:val="16"/>
          <w:szCs w:val="16"/>
          <w:b w:val="1"/>
          <w:bCs w:val="1"/>
          <w:i w:val="1"/>
          <w:iCs w:val="1"/>
          <w:color w:val="auto"/>
        </w:rPr>
        <w:t>We are an emerging growth company within the meaning of the JOBS Act, and due to our taking advantage of certain exemptions from various reporting requirements applicable to emerging growth companies, our common shares could be less attractive to investors.</w:t>
      </w:r>
    </w:p>
    <w:p>
      <w:pPr>
        <w:spacing w:after="0" w:line="131"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We are an “emerging growth company” as defined in the JOBS Act. As such, we have taken advantage of certain exemptions from various reporting requirements that are applicable to other public companies that are not “emerging growth companies” including, but not limited to, not being required to comply with the auditor attestation requirements of Section 404 of the Sarbanes-Oxley Act and exemptions from the requirements of holding a non-binding advisory vote on executive compensation and shareholder approval of any golden parachute payments not previously approved. As a result, our shareholders may not have access to certain information they may deem important. We will remain an emerging growth company until the earliest of (a) the last day of the first fiscal year in which our annual gross revenues exceed $1.07 billion, (b) the last day of the fiscal year following the fifth anniversary of our initial public offering, (c) the date that we become a “large accelerated filer” as defined in Rule 12b-2 under the Exchange Act, which would occur if the market value of our common shares that are held by non-affiliates exceeds $700 million as of the last business day of our most recently completed second fiscal quarter or (d) the date on which we have issued more than $1 billion in non-convertible debt during the preceding three-year period. Because we have taken advantage of each of these exemptions, investors may find our common shares less attractive as a result. The result may be a less active trading market for our common shares and our share price may be more volatile.</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94</w:t>
      </w:r>
    </w:p>
    <w:p>
      <w:pPr>
        <w:sectPr>
          <w:pgSz w:w="11900" w:h="16838" w:orient="portrait"/>
          <w:cols w:equalWidth="0" w:num="1">
            <w:col w:w="11420"/>
          </w:cols>
          <w:pgMar w:left="240" w:top="581" w:right="239" w:bottom="1440" w:gutter="0" w:footer="0" w:header="0"/>
        </w:sectPr>
      </w:pPr>
    </w:p>
    <w:bookmarkStart w:id="94" w:name="page95"/>
    <w:bookmarkEnd w:id="94"/>
    <w:p>
      <w:pPr>
        <w:jc w:val="both"/>
        <w:spacing w:after="0" w:line="302" w:lineRule="auto"/>
        <w:rPr>
          <w:sz w:val="20"/>
          <w:szCs w:val="20"/>
          <w:color w:val="auto"/>
        </w:rPr>
      </w:pPr>
      <w:r>
        <w:rPr>
          <w:rFonts w:ascii="Arial" w:cs="Arial" w:eastAsia="Arial" w:hAnsi="Arial"/>
          <w:sz w:val="16"/>
          <w:szCs w:val="16"/>
          <w:b w:val="1"/>
          <w:bCs w:val="1"/>
          <w:i w:val="1"/>
          <w:iCs w:val="1"/>
          <w:color w:val="auto"/>
        </w:rPr>
        <w:t>We are required by Section 404 of the Sarbanes-Oxley Act to evaluate the effectiveness of our internal controls, and the outcome of that effort may adversely affect our results of operations, financial condition and liquidity.</w:t>
      </w:r>
    </w:p>
    <w:p>
      <w:pPr>
        <w:spacing w:after="0" w:line="131"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As a public company, we are required to comply with Section 404 of the Sarbanes-Oxley Act (the timing of when to comply with the auditor attestation requirements will be determined based on whether we take advantage of certain JOBS Act provisions applicable to emerging growth companies). Section 404 requires that we evaluate our internal control over financial reporting to enable management to report on the effectiveness of those controls. We have undertaken a review of our internal controls and procedures. The outcome of our review may adversely affect our results of operations, financial condition and liquidity. During the course of our review, we may identify control deficiencies of varying degrees of severity, and we may incur significant costs to remediate those deficiencies or otherwise improve our internal controls. As a public company, we are required to report control deficiencies that constitute a “material weakness” in our internal control over financial reporting. Furthermore, if we discover a material weakness, our share price could decline and our ability to raise capital could be impaired.</w:t>
      </w:r>
    </w:p>
    <w:p>
      <w:pPr>
        <w:spacing w:after="0" w:line="17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Your percentage ownership in us may be diluted in the future.</w:t>
      </w:r>
    </w:p>
    <w:p>
      <w:pPr>
        <w:spacing w:after="0" w:line="221"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Your percentage ownership in FTAI may be diluted in the future because of equity awards that may be granted to our Manager pursuant to our Management Agreement. Upon the successful completion of an offering of our common shares or other equity securities (including securities issued as consideration in an acquisition), we will grant our Manager options to purchase common shares in an amount equal to 10% of the number of common shares being sold in such offering (or if the issuance relates to equity securities other than our common shares, options to purchase a number of common shares equal to 10% of the gross capital raised in the equity issuance divided by the fair market value of a common share as of the date of the issuance), with an exercise price equal to the offering price per share paid by the public or other ultimate purchaser or attributed to such securities in connection with an acquisition (or the fair market value of a common share as of the date of the equity issuance if it relates to equity securities other than our common shares), and any such offering or the exercise of the option in connection with such offering would cause dilution.</w:t>
      </w:r>
    </w:p>
    <w:p>
      <w:pPr>
        <w:spacing w:after="0" w:line="177" w:lineRule="exact"/>
        <w:rPr>
          <w:sz w:val="20"/>
          <w:szCs w:val="20"/>
          <w:color w:val="auto"/>
        </w:rPr>
      </w:pPr>
    </w:p>
    <w:p>
      <w:pPr>
        <w:jc w:val="both"/>
        <w:ind w:firstLine="81"/>
        <w:spacing w:after="0" w:line="251" w:lineRule="auto"/>
        <w:rPr>
          <w:sz w:val="20"/>
          <w:szCs w:val="20"/>
          <w:color w:val="auto"/>
        </w:rPr>
      </w:pPr>
      <w:r>
        <w:rPr>
          <w:rFonts w:ascii="Arial" w:cs="Arial" w:eastAsia="Arial" w:hAnsi="Arial"/>
          <w:sz w:val="16"/>
          <w:szCs w:val="16"/>
          <w:color w:val="auto"/>
        </w:rPr>
        <w:t>Our board of directors has adopted the Fortress Transportation and Infrastructure Investors Nonqualified Stock Option and Incentive Award Plan (the “Incentive Plan”) which provides for the grant of equity-based awards, including restricted stock, stock options, stock appreciation rights, performance awards, restricted stock units, tandem awards and other equity-based and non-equity based awards, in each case to our Manager, to the directors, officers, employees, service providers, consultants and advisors of our Manager who perform services for us, and to our directors, officers, employees, service providers, consultants and advisors. We have initially reserved 30,000,000 common shares for issuance under the Incentive Plan; on the date of any equity issuance by the Company during the ten-year term of the Incentive Plan (including in respect of securities issued as consideration in an acquisition), the maximum number of shares available for issuance under the Plan will be increased to include an additional number of common shares equal to ten percent (10%) of either (i) the total number of common shares newly issued by the Company in such equity issuance or (ii) if such equity issuance relates to equity securities other than our common shares, a number of our common shares equal to 10% of (i) the gross capital raised in an equity issuance of equity securities other than common shares during the ten-year term of the Incentive Plan, divided by (ii) the fair market value of a common share as of the date of such equity issuance.</w:t>
      </w:r>
    </w:p>
    <w:p>
      <w:pPr>
        <w:spacing w:after="0" w:line="18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Sales or issuances of shares of our common shares could adversely affect the market price of our common shares.</w:t>
      </w:r>
    </w:p>
    <w:p>
      <w:pPr>
        <w:spacing w:after="0" w:line="221" w:lineRule="exact"/>
        <w:rPr>
          <w:sz w:val="20"/>
          <w:szCs w:val="20"/>
          <w:color w:val="auto"/>
        </w:rPr>
      </w:pPr>
    </w:p>
    <w:p>
      <w:pPr>
        <w:jc w:val="both"/>
        <w:spacing w:after="0" w:line="269" w:lineRule="auto"/>
        <w:rPr>
          <w:sz w:val="20"/>
          <w:szCs w:val="20"/>
          <w:color w:val="auto"/>
        </w:rPr>
      </w:pPr>
      <w:r>
        <w:rPr>
          <w:rFonts w:ascii="Arial" w:cs="Arial" w:eastAsia="Arial" w:hAnsi="Arial"/>
          <w:sz w:val="16"/>
          <w:szCs w:val="16"/>
          <w:color w:val="auto"/>
        </w:rPr>
        <w:t>Sales of substantial amounts of shares of our common shares in the public market, or the perception that such sales might occur, could adversely affect the market price of our common shares. The issuance of our common shares in connection with property, portfolio or business acquisitions or the exercise of outstanding options or otherwise could also have an adverse effect on the market price of our common shares.</w:t>
      </w:r>
    </w:p>
    <w:p>
      <w:pPr>
        <w:spacing w:after="0" w:line="165" w:lineRule="exact"/>
        <w:rPr>
          <w:sz w:val="20"/>
          <w:szCs w:val="20"/>
          <w:color w:val="auto"/>
        </w:rPr>
      </w:pPr>
    </w:p>
    <w:p>
      <w:pPr>
        <w:jc w:val="both"/>
        <w:spacing w:after="0" w:line="274" w:lineRule="auto"/>
        <w:rPr>
          <w:sz w:val="20"/>
          <w:szCs w:val="20"/>
          <w:color w:val="auto"/>
        </w:rPr>
      </w:pPr>
      <w:r>
        <w:rPr>
          <w:rFonts w:ascii="Arial" w:cs="Arial" w:eastAsia="Arial" w:hAnsi="Arial"/>
          <w:sz w:val="16"/>
          <w:szCs w:val="16"/>
          <w:b w:val="1"/>
          <w:bCs w:val="1"/>
          <w:i w:val="1"/>
          <w:iCs w:val="1"/>
          <w:color w:val="auto"/>
        </w:rPr>
        <w:t>The incurrence or issuance of debt, which ranks senior to our common shares upon our liquidation, and future issuances of equity or equity-related securities, which would dilute the holdings of our existing common shareholders and may be senior to our common shares for the purposes of making distributions, periodically or upon liquidation, may negatively affect the market price of our common shares.</w:t>
      </w:r>
    </w:p>
    <w:p>
      <w:pPr>
        <w:spacing w:after="0" w:line="153"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We have incurred and may in the future incur or issue debt or issue equity or equity-related securities to finance our operations. Upon our liquidation, lenders and holders of our debt and holders of our preferred shares (if any) would receive a distribution of our available assets before common shareholders. Any future incurrence or issuance of debt would increase our interest cost and could adversely affect our results of operations and cash flows. We are not required to offer any additional equity securities to existing common shareholders on a preemptive basis. Therefore, additional issuances of common shares, directly or through convertible or exchangeable securities (including limited partnership interests in our operating partnership), warrants or options, will dilute the holdings of our existing common shareholders and such issuances, or the perception of such issuances, may reduce the market price of our common shares. Any preferred shares issued by us would likely have a preference on distribution payments, periodically or upon liquidation, which could eliminate or otherwise limit our ability to make distributions to common shareholders. Because our decision to incur or issue debt or issue equity or equity-related securities in the future will depend on market conditions and other factors beyond our control, we cannot predict or estimate the amount, timing, nature or success of our future capital raising efforts. Thus, common shareholders bear the risk that our future incurrence or issuance of debt or issuance of equity or equity-related securities will adversely affect the market price of our common shares.</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95</w:t>
      </w:r>
    </w:p>
    <w:p>
      <w:pPr>
        <w:sectPr>
          <w:pgSz w:w="11900" w:h="16838" w:orient="portrait"/>
          <w:cols w:equalWidth="0" w:num="1">
            <w:col w:w="11420"/>
          </w:cols>
          <w:pgMar w:left="240" w:top="581" w:right="239" w:bottom="1440" w:gutter="0" w:footer="0" w:header="0"/>
        </w:sectPr>
      </w:pPr>
    </w:p>
    <w:bookmarkStart w:id="95" w:name="page96"/>
    <w:bookmarkEnd w:id="95"/>
    <w:p>
      <w:pPr>
        <w:jc w:val="both"/>
        <w:spacing w:after="0" w:line="302" w:lineRule="auto"/>
        <w:rPr>
          <w:sz w:val="20"/>
          <w:szCs w:val="20"/>
          <w:color w:val="auto"/>
        </w:rPr>
      </w:pPr>
      <w:r>
        <w:rPr>
          <w:rFonts w:ascii="Arial" w:cs="Arial" w:eastAsia="Arial" w:hAnsi="Arial"/>
          <w:sz w:val="16"/>
          <w:szCs w:val="16"/>
          <w:b w:val="1"/>
          <w:bCs w:val="1"/>
          <w:i w:val="1"/>
          <w:iCs w:val="1"/>
          <w:color w:val="auto"/>
        </w:rPr>
        <w:t>Our determination of how much leverage to use to finance our acquisitions may adversely affect our return on our assets and may reduce funds available for distribution.</w:t>
      </w:r>
    </w:p>
    <w:p>
      <w:pPr>
        <w:spacing w:after="0" w:line="131" w:lineRule="exact"/>
        <w:rPr>
          <w:sz w:val="20"/>
          <w:szCs w:val="20"/>
          <w:color w:val="auto"/>
        </w:rPr>
      </w:pPr>
    </w:p>
    <w:p>
      <w:pPr>
        <w:jc w:val="both"/>
        <w:ind w:right="20"/>
        <w:spacing w:after="0" w:line="261" w:lineRule="auto"/>
        <w:rPr>
          <w:sz w:val="20"/>
          <w:szCs w:val="20"/>
          <w:color w:val="auto"/>
        </w:rPr>
      </w:pPr>
      <w:r>
        <w:rPr>
          <w:rFonts w:ascii="Arial" w:cs="Arial" w:eastAsia="Arial" w:hAnsi="Arial"/>
          <w:sz w:val="16"/>
          <w:szCs w:val="16"/>
          <w:color w:val="auto"/>
        </w:rPr>
        <w:t>We utilize leverage to finance many of our asset acquisitions, which entitles certain lenders to cash flows prior to retaining a return on our assets. While our Manager targets using only what we believe to be reasonable leverage, our strategy does not limit the amount of leverage we may incur with respect to any specific asset. The return we are able to earn on our assets and funds available for distribution to our shareholders may be significantly reduced due to changes in market conditions, which may cause the cost of our financing to increase relative to the income that can be derived from our assets.</w:t>
      </w:r>
    </w:p>
    <w:p>
      <w:pPr>
        <w:spacing w:after="0" w:line="17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While we currently intend to pay regular quarterly dividends to our shareholders, we may change our dividend policy at any time.</w:t>
      </w:r>
    </w:p>
    <w:p>
      <w:pPr>
        <w:spacing w:after="0" w:line="221"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Although we currently intend to pay regular quarterly dividends to holders of our common shares, we may change our dividend policy at any time. Our net cash provided by operating activities has been less than the amount of distributions to our shareholders. The declaration and payment of dividends to holders of our common shares will be at the discretion of our board of directors in accordance with applicable law after taking into account various factors, including actual results of operations, liquidity and financial condition, net cash provided by operating activities, restrictions imposed by applicable law, our taxable income, our operating expenses and other factors our board of directors deem relevant. Our long term goal is to maintain a payout ratio of between 50-60% of funds available for distribution, with remaining amounts used primarily to fund our future acquisitions and opportunities. There can be no assurance that we will continue to pay dividends in amounts or on a basis consistent with prior distributions to our investors, if at all. Because we are a holding company and have no direct operations, we will only be able to pay dividends from our available cash on hand and any funds we receive from our subsidiaries and our ability to receive distributions from our subsidiaries may be limited by the financing agreements to which they are subject. In addition, pursuant to the Partnership Agreement, the General Partner will be entitled to receive incentive allocations before any amounts are distributed by the Company based both on our consolidated net income and capital gains income in each fiscal quarter and for each fiscal year, respectively.</w:t>
      </w:r>
    </w:p>
    <w:p>
      <w:pPr>
        <w:spacing w:after="0" w:line="17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Anti-takeover provisions in our operating agreement and Delaware law could delay or prevent a change in control.</w:t>
      </w:r>
    </w:p>
    <w:p>
      <w:pPr>
        <w:spacing w:after="0" w:line="221" w:lineRule="exact"/>
        <w:rPr>
          <w:sz w:val="20"/>
          <w:szCs w:val="20"/>
          <w:color w:val="auto"/>
        </w:rPr>
      </w:pPr>
    </w:p>
    <w:p>
      <w:pPr>
        <w:jc w:val="both"/>
        <w:spacing w:after="0" w:line="255" w:lineRule="auto"/>
        <w:rPr>
          <w:sz w:val="20"/>
          <w:szCs w:val="20"/>
          <w:color w:val="auto"/>
        </w:rPr>
      </w:pPr>
      <w:r>
        <w:rPr>
          <w:rFonts w:ascii="Arial" w:cs="Arial" w:eastAsia="Arial" w:hAnsi="Arial"/>
          <w:sz w:val="16"/>
          <w:szCs w:val="16"/>
          <w:color w:val="auto"/>
        </w:rPr>
        <w:t>Provisions in our operating agreement may make it more difficult and expensive for a third party to acquire control of us even if a change of control would be beneficial to the interests of our shareholders. For example, our operating agreement provides for a staggered board, requires advance notice for proposals by shareholders and nominations, places limitations on convening shareholder meetings, and authorizes the issuance of preferred shares that could be issued by our board of directors to thwart a takeover attempt. In addition, certain provisions of Delaware law may delay or prevent a transaction that could cause a change in our control. The market price of our shares could be adversely affected to the extent that provisions of our operating agreement discourage potential takeover attempts that our shareholders may favor.</w:t>
      </w:r>
    </w:p>
    <w:p>
      <w:pPr>
        <w:spacing w:after="0" w:line="178" w:lineRule="exact"/>
        <w:rPr>
          <w:sz w:val="20"/>
          <w:szCs w:val="20"/>
          <w:color w:val="auto"/>
        </w:rPr>
      </w:pPr>
    </w:p>
    <w:p>
      <w:pPr>
        <w:jc w:val="both"/>
        <w:spacing w:after="0" w:line="302" w:lineRule="auto"/>
        <w:rPr>
          <w:sz w:val="20"/>
          <w:szCs w:val="20"/>
          <w:color w:val="auto"/>
        </w:rPr>
      </w:pPr>
      <w:r>
        <w:rPr>
          <w:rFonts w:ascii="Arial" w:cs="Arial" w:eastAsia="Arial" w:hAnsi="Arial"/>
          <w:sz w:val="16"/>
          <w:szCs w:val="16"/>
          <w:b w:val="1"/>
          <w:bCs w:val="1"/>
          <w:i w:val="1"/>
          <w:iCs w:val="1"/>
          <w:color w:val="auto"/>
        </w:rPr>
        <w:t>There are certain provisions in our operating agreement regarding exculpation and indemnification of our officers and directors that differ from the Delaware General Corporation Law (the “DGCL”) in a manner that may be less protective of the interests of our shareholders.</w:t>
      </w:r>
    </w:p>
    <w:p>
      <w:pPr>
        <w:spacing w:after="0" w:line="131"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Our operating agreement provides that to the fullest extent permitted by applicable law our directors or officers will not be liable to us. Under the DGCL, a director or officer would be liable to us for (i) breach of duty of loyalty to us or our shareholders, (ii) intentional misconduct or knowing violations of the law that are not done in good faith, (iii) improper redemption of shares or declaration of dividend, or (iv) a transaction from which the director derived an improper personal benefit. In addition, our operating agreement provides that we indemnify our directors and officers for acts or omissions to the fullest extent provided by law. Under the DGCL, a corporation can only indemnify directors and officers for acts or omissions if the director or officer acted in good faith, in a manner he reasonably believed to be in the best interests of the corporation, and, in criminal action, if the officer or director had no reasonable cause to believe his conduct was unlawful. Accordingly, our operating agreement may be less protective of the interests of our shareholders, when compared to the DGCL, insofar as it relates to the exculpation and indemnification of our officers and directors.</w:t>
      </w:r>
    </w:p>
    <w:p>
      <w:pPr>
        <w:spacing w:after="0" w:line="17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As a public company, we will incur additional costs and face increased demands on our management.</w:t>
      </w:r>
    </w:p>
    <w:p>
      <w:pPr>
        <w:spacing w:after="0" w:line="221" w:lineRule="exact"/>
        <w:rPr>
          <w:sz w:val="20"/>
          <w:szCs w:val="20"/>
          <w:color w:val="auto"/>
        </w:rPr>
      </w:pPr>
    </w:p>
    <w:p>
      <w:pPr>
        <w:jc w:val="both"/>
        <w:spacing w:after="0" w:line="254" w:lineRule="auto"/>
        <w:rPr>
          <w:sz w:val="20"/>
          <w:szCs w:val="20"/>
          <w:color w:val="auto"/>
        </w:rPr>
      </w:pPr>
      <w:r>
        <w:rPr>
          <w:rFonts w:ascii="Arial" w:cs="Arial" w:eastAsia="Arial" w:hAnsi="Arial"/>
          <w:sz w:val="16"/>
          <w:szCs w:val="16"/>
          <w:color w:val="auto"/>
        </w:rPr>
        <w:t>As a relatively new public company with shares listed on the NYSE, we need to comply with an extensive body of regulations that did not apply to us previously, including certain provisions of the Sarbanes-Oxley Act, the Dodd-Frank Wall Street Reform and Consumer Protection Act, regulations of the SEC and requirements of the NYSE. We expect these rules and regulations will increase our legal and financial compliance costs and make some activities to our board of directors more time-consuming and costly. For example, as a result of becoming a public company, we have independent directors and board committees. In addition, we may incur additional costs associated with our public company reporting requirements and maintaining directors’ and officers’ liability insurance. We are currently evaluating and monitoring developments with respect to these rules, which may impose additional costs on us and have a material adverse effect on our business, prospects, financial condition, results of operations and cash flows.</w:t>
      </w:r>
    </w:p>
    <w:p>
      <w:pPr>
        <w:spacing w:after="0" w:line="177" w:lineRule="exact"/>
        <w:rPr>
          <w:sz w:val="20"/>
          <w:szCs w:val="20"/>
          <w:color w:val="auto"/>
        </w:rPr>
      </w:pPr>
    </w:p>
    <w:p>
      <w:pPr>
        <w:jc w:val="both"/>
        <w:spacing w:after="0" w:line="302" w:lineRule="auto"/>
        <w:rPr>
          <w:sz w:val="20"/>
          <w:szCs w:val="20"/>
          <w:color w:val="auto"/>
        </w:rPr>
      </w:pPr>
      <w:r>
        <w:rPr>
          <w:rFonts w:ascii="Arial" w:cs="Arial" w:eastAsia="Arial" w:hAnsi="Arial"/>
          <w:sz w:val="16"/>
          <w:szCs w:val="16"/>
          <w:b w:val="1"/>
          <w:bCs w:val="1"/>
          <w:i w:val="1"/>
          <w:iCs w:val="1"/>
          <w:color w:val="auto"/>
        </w:rPr>
        <w:t>If securities or industry analysts do not publish research or reports about our business, or if they downgrade their recommendations regarding our common shares, our share price and trading volume could decline.</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96</w:t>
      </w:r>
    </w:p>
    <w:p>
      <w:pPr>
        <w:sectPr>
          <w:pgSz w:w="11900" w:h="16838" w:orient="portrait"/>
          <w:cols w:equalWidth="0" w:num="1">
            <w:col w:w="11420"/>
          </w:cols>
          <w:pgMar w:left="240" w:top="580" w:right="239" w:bottom="1440" w:gutter="0" w:footer="0" w:header="0"/>
        </w:sectPr>
      </w:pPr>
    </w:p>
    <w:bookmarkStart w:id="96" w:name="page97"/>
    <w:bookmarkEnd w:id="96"/>
    <w:p>
      <w:pPr>
        <w:jc w:val="both"/>
        <w:spacing w:after="0" w:line="261" w:lineRule="auto"/>
        <w:rPr>
          <w:sz w:val="20"/>
          <w:szCs w:val="20"/>
          <w:color w:val="auto"/>
        </w:rPr>
      </w:pPr>
      <w:r>
        <w:rPr>
          <w:rFonts w:ascii="Arial" w:cs="Arial" w:eastAsia="Arial" w:hAnsi="Arial"/>
          <w:sz w:val="16"/>
          <w:szCs w:val="16"/>
          <w:color w:val="auto"/>
        </w:rPr>
        <w:t>The trading market for our common shares are influenced by the research and reports that industry or securities analysts publish about us or our business. If any of the analysts who cover us downgrades our common units or publishes inaccurate or unfavorable research about our business, our common share price may decline. If analysts cease coverage of us or fail to regularly publish reports on us, we could lose visibility in the financial markets, which in turn could cause our common share price or trading volume to decline and our common shares to be less liquid.</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006EBF"/>
        </w:rPr>
        <w:t>Item 2. Unregistered Sales of Equity Securities and Use of Proceeds</w:t>
      </w:r>
    </w:p>
    <w:p>
      <w:pPr>
        <w:spacing w:after="0" w:line="178" w:lineRule="exact"/>
        <w:rPr>
          <w:sz w:val="20"/>
          <w:szCs w:val="20"/>
          <w:color w:val="auto"/>
        </w:rPr>
      </w:pPr>
    </w:p>
    <w:p>
      <w:pPr>
        <w:spacing w:after="0"/>
        <w:rPr>
          <w:sz w:val="20"/>
          <w:szCs w:val="20"/>
          <w:color w:val="auto"/>
        </w:rPr>
      </w:pPr>
      <w:r>
        <w:rPr>
          <w:rFonts w:ascii="Arial" w:cs="Arial" w:eastAsia="Arial" w:hAnsi="Arial"/>
          <w:sz w:val="16"/>
          <w:szCs w:val="16"/>
          <w:color w:val="auto"/>
        </w:rPr>
        <w:t>None.</w:t>
      </w: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b w:val="1"/>
          <w:bCs w:val="1"/>
          <w:color w:val="006EBF"/>
        </w:rPr>
        <w:t>Item 3. Defaults Upon Senior Securities</w:t>
      </w:r>
    </w:p>
    <w:p>
      <w:pPr>
        <w:spacing w:after="0" w:line="178" w:lineRule="exact"/>
        <w:rPr>
          <w:sz w:val="20"/>
          <w:szCs w:val="20"/>
          <w:color w:val="auto"/>
        </w:rPr>
      </w:pPr>
    </w:p>
    <w:p>
      <w:pPr>
        <w:spacing w:after="0"/>
        <w:rPr>
          <w:sz w:val="20"/>
          <w:szCs w:val="20"/>
          <w:color w:val="auto"/>
        </w:rPr>
      </w:pPr>
      <w:r>
        <w:rPr>
          <w:rFonts w:ascii="Arial" w:cs="Arial" w:eastAsia="Arial" w:hAnsi="Arial"/>
          <w:sz w:val="16"/>
          <w:szCs w:val="16"/>
          <w:color w:val="auto"/>
        </w:rPr>
        <w:t>None.</w:t>
      </w: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b w:val="1"/>
          <w:bCs w:val="1"/>
          <w:color w:val="006EBF"/>
        </w:rPr>
        <w:t>Item 4. Mine Safety Disclosures</w:t>
      </w:r>
    </w:p>
    <w:p>
      <w:pPr>
        <w:spacing w:after="0" w:line="178" w:lineRule="exact"/>
        <w:rPr>
          <w:sz w:val="20"/>
          <w:szCs w:val="20"/>
          <w:color w:val="auto"/>
        </w:rPr>
      </w:pPr>
    </w:p>
    <w:p>
      <w:pPr>
        <w:spacing w:after="0"/>
        <w:rPr>
          <w:sz w:val="20"/>
          <w:szCs w:val="20"/>
          <w:color w:val="auto"/>
        </w:rPr>
      </w:pPr>
      <w:r>
        <w:rPr>
          <w:rFonts w:ascii="Arial" w:cs="Arial" w:eastAsia="Arial" w:hAnsi="Arial"/>
          <w:sz w:val="16"/>
          <w:szCs w:val="16"/>
          <w:color w:val="auto"/>
        </w:rPr>
        <w:t>Not applicable.</w:t>
      </w: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b w:val="1"/>
          <w:bCs w:val="1"/>
          <w:color w:val="006EBF"/>
        </w:rPr>
        <w:t>Item 5. Other Information</w:t>
      </w:r>
    </w:p>
    <w:p>
      <w:pPr>
        <w:spacing w:after="0" w:line="178" w:lineRule="exact"/>
        <w:rPr>
          <w:sz w:val="20"/>
          <w:szCs w:val="20"/>
          <w:color w:val="auto"/>
        </w:rPr>
      </w:pPr>
    </w:p>
    <w:p>
      <w:pPr>
        <w:spacing w:after="0"/>
        <w:rPr>
          <w:sz w:val="20"/>
          <w:szCs w:val="20"/>
          <w:color w:val="auto"/>
        </w:rPr>
      </w:pPr>
      <w:r>
        <w:rPr>
          <w:rFonts w:ascii="Arial" w:cs="Arial" w:eastAsia="Arial" w:hAnsi="Arial"/>
          <w:sz w:val="16"/>
          <w:szCs w:val="16"/>
          <w:color w:val="auto"/>
        </w:rPr>
        <w:t>None.</w:t>
      </w: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b w:val="1"/>
          <w:bCs w:val="1"/>
          <w:color w:val="006EBF"/>
        </w:rPr>
        <w:t>Item 6. Exhibits</w:t>
      </w:r>
    </w:p>
    <w:p>
      <w:pPr>
        <w:spacing w:after="0" w:line="178" w:lineRule="exact"/>
        <w:rPr>
          <w:sz w:val="20"/>
          <w:szCs w:val="20"/>
          <w:color w:val="auto"/>
        </w:rPr>
      </w:pPr>
    </w:p>
    <w:p>
      <w:pPr>
        <w:spacing w:after="0"/>
        <w:rPr>
          <w:sz w:val="20"/>
          <w:szCs w:val="20"/>
          <w:color w:val="auto"/>
        </w:rPr>
      </w:pPr>
      <w:r>
        <w:rPr>
          <w:rFonts w:ascii="Arial" w:cs="Arial" w:eastAsia="Arial" w:hAnsi="Arial"/>
          <w:sz w:val="16"/>
          <w:szCs w:val="16"/>
          <w:color w:val="auto"/>
        </w:rPr>
        <w:t>See Index to Exhibits immediately following the signature page of this Form 10-Q.</w:t>
      </w:r>
    </w:p>
    <w:p>
      <w:pPr>
        <w:spacing w:after="0" w:line="273"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00497F"/>
        </w:rPr>
        <w:t>SIGNATURES</w:t>
      </w:r>
    </w:p>
    <w:p>
      <w:pPr>
        <w:spacing w:after="0" w:line="196" w:lineRule="exact"/>
        <w:rPr>
          <w:sz w:val="20"/>
          <w:szCs w:val="20"/>
          <w:color w:val="auto"/>
        </w:rPr>
      </w:pPr>
    </w:p>
    <w:p>
      <w:pPr>
        <w:ind w:right="200"/>
        <w:spacing w:after="0" w:line="291" w:lineRule="auto"/>
        <w:rPr>
          <w:sz w:val="20"/>
          <w:szCs w:val="20"/>
          <w:color w:val="auto"/>
        </w:rPr>
      </w:pPr>
      <w:r>
        <w:rPr>
          <w:rFonts w:ascii="Arial" w:cs="Arial" w:eastAsia="Arial" w:hAnsi="Arial"/>
          <w:sz w:val="16"/>
          <w:szCs w:val="16"/>
          <w:color w:val="auto"/>
        </w:rPr>
        <w:t>Pursuant to the requirements of the Securities Exchange Act of 1934, the registrant has duly caused this report to be signed on its behalf by the undersigned thereunto duly authorized:</w:t>
      </w:r>
    </w:p>
    <w:p>
      <w:pPr>
        <w:spacing w:after="0" w:line="121" w:lineRule="exact"/>
        <w:rPr>
          <w:sz w:val="20"/>
          <w:szCs w:val="20"/>
          <w:color w:val="auto"/>
        </w:rPr>
      </w:pPr>
    </w:p>
    <w:p>
      <w:pPr>
        <w:spacing w:after="0"/>
        <w:rPr>
          <w:sz w:val="20"/>
          <w:szCs w:val="20"/>
          <w:color w:val="auto"/>
        </w:rPr>
      </w:pPr>
      <w:r>
        <w:rPr>
          <w:rFonts w:ascii="Arial" w:cs="Arial" w:eastAsia="Arial" w:hAnsi="Arial"/>
          <w:sz w:val="16"/>
          <w:szCs w:val="16"/>
          <w:color w:val="auto"/>
        </w:rPr>
        <w:t>FORTRESS TRANSPORTATION AND INFRASTRUCTURE INVESTORS LLC</w:t>
      </w:r>
    </w:p>
    <w:p>
      <w:pPr>
        <w:spacing w:after="0" w:line="194" w:lineRule="exact"/>
        <w:rPr>
          <w:sz w:val="20"/>
          <w:szCs w:val="20"/>
          <w:color w:val="auto"/>
        </w:rPr>
      </w:pPr>
    </w:p>
    <w:tbl>
      <w:tblPr>
        <w:tblLayout w:type="fixed"/>
        <w:tblInd w:w="40" w:type="dxa"/>
        <w:tblCellMar>
          <w:top w:w="0" w:type="dxa"/>
          <w:left w:w="0" w:type="dxa"/>
          <w:bottom w:w="0" w:type="dxa"/>
          <w:right w:w="0" w:type="dxa"/>
        </w:tblCellMar>
      </w:tblPr>
      <w:tr>
        <w:trPr>
          <w:trHeight w:val="228"/>
        </w:trPr>
        <w:tc>
          <w:tcPr>
            <w:tcW w:w="540" w:type="dxa"/>
            <w:vAlign w:val="bottom"/>
          </w:tcPr>
          <w:p>
            <w:pPr>
              <w:spacing w:after="0"/>
              <w:rPr>
                <w:sz w:val="20"/>
                <w:szCs w:val="20"/>
                <w:color w:val="auto"/>
              </w:rPr>
            </w:pPr>
            <w:r>
              <w:rPr>
                <w:rFonts w:ascii="Arial" w:cs="Arial" w:eastAsia="Arial" w:hAnsi="Arial"/>
                <w:sz w:val="16"/>
                <w:szCs w:val="16"/>
                <w:color w:val="auto"/>
              </w:rPr>
              <w:t>By:</w:t>
            </w:r>
          </w:p>
        </w:tc>
        <w:tc>
          <w:tcPr>
            <w:tcW w:w="3660" w:type="dxa"/>
            <w:vAlign w:val="bottom"/>
            <w:tcBorders>
              <w:bottom w:val="single" w:sz="8" w:color="auto"/>
            </w:tcBorders>
          </w:tcPr>
          <w:p>
            <w:pPr>
              <w:ind w:left="40"/>
              <w:spacing w:after="0"/>
              <w:rPr>
                <w:sz w:val="20"/>
                <w:szCs w:val="20"/>
                <w:color w:val="auto"/>
              </w:rPr>
            </w:pPr>
            <w:r>
              <w:rPr>
                <w:rFonts w:ascii="Arial" w:cs="Arial" w:eastAsia="Arial" w:hAnsi="Arial"/>
                <w:sz w:val="16"/>
                <w:szCs w:val="16"/>
                <w:color w:val="auto"/>
              </w:rPr>
              <w:t>/s/ Joseph P. Adams, Jr.</w:t>
            </w:r>
          </w:p>
        </w:tc>
        <w:tc>
          <w:tcPr>
            <w:tcW w:w="4600" w:type="dxa"/>
            <w:vAlign w:val="bottom"/>
          </w:tcPr>
          <w:p>
            <w:pPr>
              <w:ind w:left="3900"/>
              <w:spacing w:after="0"/>
              <w:rPr>
                <w:sz w:val="20"/>
                <w:szCs w:val="20"/>
                <w:color w:val="auto"/>
              </w:rPr>
            </w:pPr>
            <w:r>
              <w:rPr>
                <w:rFonts w:ascii="Arial" w:cs="Arial" w:eastAsia="Arial" w:hAnsi="Arial"/>
                <w:sz w:val="16"/>
                <w:szCs w:val="16"/>
                <w:color w:val="auto"/>
              </w:rPr>
              <w:t>Date:</w:t>
            </w:r>
          </w:p>
        </w:tc>
        <w:tc>
          <w:tcPr>
            <w:tcW w:w="1660" w:type="dxa"/>
            <w:vAlign w:val="bottom"/>
          </w:tcPr>
          <w:p>
            <w:pPr>
              <w:ind w:left="320"/>
              <w:spacing w:after="0"/>
              <w:rPr>
                <w:sz w:val="20"/>
                <w:szCs w:val="20"/>
                <w:color w:val="auto"/>
              </w:rPr>
            </w:pPr>
            <w:r>
              <w:rPr>
                <w:rFonts w:ascii="Arial" w:cs="Arial" w:eastAsia="Arial" w:hAnsi="Arial"/>
                <w:sz w:val="16"/>
                <w:szCs w:val="16"/>
                <w:color w:val="auto"/>
              </w:rPr>
              <w:t>November 3, 2017</w:t>
            </w:r>
          </w:p>
        </w:tc>
      </w:tr>
      <w:tr>
        <w:trPr>
          <w:trHeight w:val="241"/>
        </w:trPr>
        <w:tc>
          <w:tcPr>
            <w:tcW w:w="540" w:type="dxa"/>
            <w:vAlign w:val="bottom"/>
          </w:tcPr>
          <w:p>
            <w:pPr>
              <w:spacing w:after="0"/>
              <w:rPr>
                <w:sz w:val="20"/>
                <w:szCs w:val="20"/>
                <w:color w:val="auto"/>
              </w:rPr>
            </w:pPr>
          </w:p>
        </w:tc>
        <w:tc>
          <w:tcPr>
            <w:tcW w:w="3660" w:type="dxa"/>
            <w:vAlign w:val="bottom"/>
          </w:tcPr>
          <w:p>
            <w:pPr>
              <w:ind w:left="40"/>
              <w:spacing w:after="0"/>
              <w:rPr>
                <w:sz w:val="20"/>
                <w:szCs w:val="20"/>
                <w:color w:val="auto"/>
              </w:rPr>
            </w:pPr>
            <w:r>
              <w:rPr>
                <w:rFonts w:ascii="Arial" w:cs="Arial" w:eastAsia="Arial" w:hAnsi="Arial"/>
                <w:sz w:val="16"/>
                <w:szCs w:val="16"/>
                <w:color w:val="auto"/>
              </w:rPr>
              <w:t>Joseph P. Adams, Jr.</w:t>
            </w:r>
          </w:p>
        </w:tc>
        <w:tc>
          <w:tcPr>
            <w:tcW w:w="4600" w:type="dxa"/>
            <w:vAlign w:val="bottom"/>
          </w:tcPr>
          <w:p>
            <w:pPr>
              <w:spacing w:after="0"/>
              <w:rPr>
                <w:sz w:val="20"/>
                <w:szCs w:val="20"/>
                <w:color w:val="auto"/>
              </w:rPr>
            </w:pPr>
          </w:p>
        </w:tc>
        <w:tc>
          <w:tcPr>
            <w:tcW w:w="1660" w:type="dxa"/>
            <w:vAlign w:val="bottom"/>
          </w:tcPr>
          <w:p>
            <w:pPr>
              <w:spacing w:after="0"/>
              <w:rPr>
                <w:sz w:val="20"/>
                <w:szCs w:val="20"/>
                <w:color w:val="auto"/>
              </w:rPr>
            </w:pPr>
          </w:p>
        </w:tc>
      </w:tr>
      <w:tr>
        <w:trPr>
          <w:trHeight w:val="270"/>
        </w:trPr>
        <w:tc>
          <w:tcPr>
            <w:tcW w:w="540" w:type="dxa"/>
            <w:vAlign w:val="bottom"/>
          </w:tcPr>
          <w:p>
            <w:pPr>
              <w:spacing w:after="0"/>
              <w:rPr>
                <w:sz w:val="23"/>
                <w:szCs w:val="23"/>
                <w:color w:val="auto"/>
              </w:rPr>
            </w:pPr>
          </w:p>
        </w:tc>
        <w:tc>
          <w:tcPr>
            <w:tcW w:w="3660" w:type="dxa"/>
            <w:vAlign w:val="bottom"/>
          </w:tcPr>
          <w:p>
            <w:pPr>
              <w:ind w:left="40"/>
              <w:spacing w:after="0"/>
              <w:rPr>
                <w:sz w:val="20"/>
                <w:szCs w:val="20"/>
                <w:color w:val="auto"/>
              </w:rPr>
            </w:pPr>
            <w:r>
              <w:rPr>
                <w:rFonts w:ascii="Arial" w:cs="Arial" w:eastAsia="Arial" w:hAnsi="Arial"/>
                <w:sz w:val="16"/>
                <w:szCs w:val="16"/>
                <w:color w:val="auto"/>
              </w:rPr>
              <w:t>Chairman and Chief Executive Officer</w:t>
            </w:r>
          </w:p>
        </w:tc>
        <w:tc>
          <w:tcPr>
            <w:tcW w:w="4600" w:type="dxa"/>
            <w:vAlign w:val="bottom"/>
          </w:tcPr>
          <w:p>
            <w:pPr>
              <w:spacing w:after="0"/>
              <w:rPr>
                <w:sz w:val="23"/>
                <w:szCs w:val="23"/>
                <w:color w:val="auto"/>
              </w:rPr>
            </w:pPr>
          </w:p>
        </w:tc>
        <w:tc>
          <w:tcPr>
            <w:tcW w:w="1660" w:type="dxa"/>
            <w:vAlign w:val="bottom"/>
          </w:tcPr>
          <w:p>
            <w:pPr>
              <w:spacing w:after="0"/>
              <w:rPr>
                <w:sz w:val="23"/>
                <w:szCs w:val="23"/>
                <w:color w:val="auto"/>
              </w:rPr>
            </w:pPr>
          </w:p>
        </w:tc>
      </w:tr>
      <w:tr>
        <w:trPr>
          <w:trHeight w:val="711"/>
        </w:trPr>
        <w:tc>
          <w:tcPr>
            <w:tcW w:w="540" w:type="dxa"/>
            <w:vAlign w:val="bottom"/>
          </w:tcPr>
          <w:p>
            <w:pPr>
              <w:spacing w:after="0"/>
              <w:rPr>
                <w:sz w:val="20"/>
                <w:szCs w:val="20"/>
                <w:color w:val="auto"/>
              </w:rPr>
            </w:pPr>
            <w:r>
              <w:rPr>
                <w:rFonts w:ascii="Arial" w:cs="Arial" w:eastAsia="Arial" w:hAnsi="Arial"/>
                <w:sz w:val="16"/>
                <w:szCs w:val="16"/>
                <w:color w:val="auto"/>
              </w:rPr>
              <w:t>By:</w:t>
            </w:r>
          </w:p>
        </w:tc>
        <w:tc>
          <w:tcPr>
            <w:tcW w:w="3660" w:type="dxa"/>
            <w:vAlign w:val="bottom"/>
            <w:tcBorders>
              <w:bottom w:val="single" w:sz="8" w:color="auto"/>
            </w:tcBorders>
          </w:tcPr>
          <w:p>
            <w:pPr>
              <w:ind w:left="40"/>
              <w:spacing w:after="0"/>
              <w:rPr>
                <w:sz w:val="20"/>
                <w:szCs w:val="20"/>
                <w:color w:val="auto"/>
              </w:rPr>
            </w:pPr>
            <w:r>
              <w:rPr>
                <w:rFonts w:ascii="Arial" w:cs="Arial" w:eastAsia="Arial" w:hAnsi="Arial"/>
                <w:sz w:val="16"/>
                <w:szCs w:val="16"/>
                <w:color w:val="auto"/>
              </w:rPr>
              <w:t>/s/ Scott Christopher</w:t>
            </w:r>
          </w:p>
        </w:tc>
        <w:tc>
          <w:tcPr>
            <w:tcW w:w="4600" w:type="dxa"/>
            <w:vAlign w:val="bottom"/>
          </w:tcPr>
          <w:p>
            <w:pPr>
              <w:ind w:left="3900"/>
              <w:spacing w:after="0"/>
              <w:rPr>
                <w:sz w:val="20"/>
                <w:szCs w:val="20"/>
                <w:color w:val="auto"/>
              </w:rPr>
            </w:pPr>
            <w:r>
              <w:rPr>
                <w:rFonts w:ascii="Arial" w:cs="Arial" w:eastAsia="Arial" w:hAnsi="Arial"/>
                <w:sz w:val="16"/>
                <w:szCs w:val="16"/>
                <w:color w:val="auto"/>
              </w:rPr>
              <w:t>Date:</w:t>
            </w:r>
          </w:p>
        </w:tc>
        <w:tc>
          <w:tcPr>
            <w:tcW w:w="1660" w:type="dxa"/>
            <w:vAlign w:val="bottom"/>
          </w:tcPr>
          <w:p>
            <w:pPr>
              <w:ind w:left="320"/>
              <w:spacing w:after="0"/>
              <w:rPr>
                <w:sz w:val="20"/>
                <w:szCs w:val="20"/>
                <w:color w:val="auto"/>
              </w:rPr>
            </w:pPr>
            <w:r>
              <w:rPr>
                <w:rFonts w:ascii="Arial" w:cs="Arial" w:eastAsia="Arial" w:hAnsi="Arial"/>
                <w:sz w:val="16"/>
                <w:szCs w:val="16"/>
                <w:color w:val="auto"/>
              </w:rPr>
              <w:t>November 3, 2017</w:t>
            </w:r>
          </w:p>
        </w:tc>
      </w:tr>
      <w:tr>
        <w:trPr>
          <w:trHeight w:val="241"/>
        </w:trPr>
        <w:tc>
          <w:tcPr>
            <w:tcW w:w="540" w:type="dxa"/>
            <w:vAlign w:val="bottom"/>
          </w:tcPr>
          <w:p>
            <w:pPr>
              <w:spacing w:after="0"/>
              <w:rPr>
                <w:sz w:val="20"/>
                <w:szCs w:val="20"/>
                <w:color w:val="auto"/>
              </w:rPr>
            </w:pPr>
          </w:p>
        </w:tc>
        <w:tc>
          <w:tcPr>
            <w:tcW w:w="3660" w:type="dxa"/>
            <w:vAlign w:val="bottom"/>
          </w:tcPr>
          <w:p>
            <w:pPr>
              <w:ind w:left="40"/>
              <w:spacing w:after="0"/>
              <w:rPr>
                <w:sz w:val="20"/>
                <w:szCs w:val="20"/>
                <w:color w:val="auto"/>
              </w:rPr>
            </w:pPr>
            <w:r>
              <w:rPr>
                <w:rFonts w:ascii="Arial" w:cs="Arial" w:eastAsia="Arial" w:hAnsi="Arial"/>
                <w:sz w:val="16"/>
                <w:szCs w:val="16"/>
                <w:color w:val="auto"/>
              </w:rPr>
              <w:t>Scott Christopher</w:t>
            </w:r>
          </w:p>
        </w:tc>
        <w:tc>
          <w:tcPr>
            <w:tcW w:w="4600" w:type="dxa"/>
            <w:vAlign w:val="bottom"/>
          </w:tcPr>
          <w:p>
            <w:pPr>
              <w:spacing w:after="0"/>
              <w:rPr>
                <w:sz w:val="20"/>
                <w:szCs w:val="20"/>
                <w:color w:val="auto"/>
              </w:rPr>
            </w:pPr>
          </w:p>
        </w:tc>
        <w:tc>
          <w:tcPr>
            <w:tcW w:w="1660" w:type="dxa"/>
            <w:vAlign w:val="bottom"/>
          </w:tcPr>
          <w:p>
            <w:pPr>
              <w:spacing w:after="0"/>
              <w:rPr>
                <w:sz w:val="20"/>
                <w:szCs w:val="20"/>
                <w:color w:val="auto"/>
              </w:rPr>
            </w:pPr>
          </w:p>
        </w:tc>
      </w:tr>
      <w:tr>
        <w:trPr>
          <w:trHeight w:val="270"/>
        </w:trPr>
        <w:tc>
          <w:tcPr>
            <w:tcW w:w="540" w:type="dxa"/>
            <w:vAlign w:val="bottom"/>
          </w:tcPr>
          <w:p>
            <w:pPr>
              <w:spacing w:after="0"/>
              <w:rPr>
                <w:sz w:val="23"/>
                <w:szCs w:val="23"/>
                <w:color w:val="auto"/>
              </w:rPr>
            </w:pPr>
          </w:p>
        </w:tc>
        <w:tc>
          <w:tcPr>
            <w:tcW w:w="3660" w:type="dxa"/>
            <w:vAlign w:val="bottom"/>
          </w:tcPr>
          <w:p>
            <w:pPr>
              <w:ind w:left="40"/>
              <w:spacing w:after="0"/>
              <w:rPr>
                <w:sz w:val="20"/>
                <w:szCs w:val="20"/>
                <w:color w:val="auto"/>
              </w:rPr>
            </w:pPr>
            <w:r>
              <w:rPr>
                <w:rFonts w:ascii="Arial" w:cs="Arial" w:eastAsia="Arial" w:hAnsi="Arial"/>
                <w:sz w:val="16"/>
                <w:szCs w:val="16"/>
                <w:color w:val="auto"/>
              </w:rPr>
              <w:t>Chief Financial Officer and</w:t>
            </w:r>
          </w:p>
        </w:tc>
        <w:tc>
          <w:tcPr>
            <w:tcW w:w="4600" w:type="dxa"/>
            <w:vAlign w:val="bottom"/>
          </w:tcPr>
          <w:p>
            <w:pPr>
              <w:spacing w:after="0"/>
              <w:rPr>
                <w:sz w:val="23"/>
                <w:szCs w:val="23"/>
                <w:color w:val="auto"/>
              </w:rPr>
            </w:pPr>
          </w:p>
        </w:tc>
        <w:tc>
          <w:tcPr>
            <w:tcW w:w="1660" w:type="dxa"/>
            <w:vAlign w:val="bottom"/>
          </w:tcPr>
          <w:p>
            <w:pPr>
              <w:spacing w:after="0"/>
              <w:rPr>
                <w:sz w:val="23"/>
                <w:szCs w:val="23"/>
                <w:color w:val="auto"/>
              </w:rPr>
            </w:pPr>
          </w:p>
        </w:tc>
      </w:tr>
      <w:tr>
        <w:trPr>
          <w:trHeight w:val="270"/>
        </w:trPr>
        <w:tc>
          <w:tcPr>
            <w:tcW w:w="540" w:type="dxa"/>
            <w:vAlign w:val="bottom"/>
          </w:tcPr>
          <w:p>
            <w:pPr>
              <w:spacing w:after="0"/>
              <w:rPr>
                <w:sz w:val="23"/>
                <w:szCs w:val="23"/>
                <w:color w:val="auto"/>
              </w:rPr>
            </w:pPr>
          </w:p>
        </w:tc>
        <w:tc>
          <w:tcPr>
            <w:tcW w:w="3660" w:type="dxa"/>
            <w:vAlign w:val="bottom"/>
          </w:tcPr>
          <w:p>
            <w:pPr>
              <w:ind w:left="40"/>
              <w:spacing w:after="0"/>
              <w:rPr>
                <w:sz w:val="20"/>
                <w:szCs w:val="20"/>
                <w:color w:val="auto"/>
              </w:rPr>
            </w:pPr>
            <w:r>
              <w:rPr>
                <w:rFonts w:ascii="Arial" w:cs="Arial" w:eastAsia="Arial" w:hAnsi="Arial"/>
                <w:sz w:val="16"/>
                <w:szCs w:val="16"/>
                <w:color w:val="auto"/>
              </w:rPr>
              <w:t>Chief Accounting Officer</w:t>
            </w:r>
          </w:p>
        </w:tc>
        <w:tc>
          <w:tcPr>
            <w:tcW w:w="4600" w:type="dxa"/>
            <w:vAlign w:val="bottom"/>
          </w:tcPr>
          <w:p>
            <w:pPr>
              <w:spacing w:after="0"/>
              <w:rPr>
                <w:sz w:val="23"/>
                <w:szCs w:val="23"/>
                <w:color w:val="auto"/>
              </w:rPr>
            </w:pPr>
          </w:p>
        </w:tc>
        <w:tc>
          <w:tcPr>
            <w:tcW w:w="1660" w:type="dxa"/>
            <w:vAlign w:val="bottom"/>
          </w:tcPr>
          <w:p>
            <w:pPr>
              <w:spacing w:after="0"/>
              <w:rPr>
                <w:sz w:val="23"/>
                <w:szCs w:val="23"/>
                <w:color w:val="auto"/>
              </w:rPr>
            </w:pPr>
          </w:p>
        </w:tc>
      </w:tr>
      <w:tr>
        <w:trPr>
          <w:trHeight w:val="675"/>
        </w:trPr>
        <w:tc>
          <w:tcPr>
            <w:tcW w:w="540" w:type="dxa"/>
            <w:vAlign w:val="bottom"/>
          </w:tcPr>
          <w:p>
            <w:pPr>
              <w:spacing w:after="0"/>
              <w:rPr>
                <w:sz w:val="24"/>
                <w:szCs w:val="24"/>
                <w:color w:val="auto"/>
              </w:rPr>
            </w:pPr>
          </w:p>
        </w:tc>
        <w:tc>
          <w:tcPr>
            <w:tcW w:w="3660" w:type="dxa"/>
            <w:vAlign w:val="bottom"/>
          </w:tcPr>
          <w:p>
            <w:pPr>
              <w:spacing w:after="0"/>
              <w:rPr>
                <w:sz w:val="24"/>
                <w:szCs w:val="24"/>
                <w:color w:val="auto"/>
              </w:rPr>
            </w:pPr>
          </w:p>
        </w:tc>
        <w:tc>
          <w:tcPr>
            <w:tcW w:w="4600" w:type="dxa"/>
            <w:vAlign w:val="bottom"/>
          </w:tcPr>
          <w:p>
            <w:pPr>
              <w:jc w:val="right"/>
              <w:ind w:right="2959"/>
              <w:spacing w:after="0"/>
              <w:rPr>
                <w:sz w:val="20"/>
                <w:szCs w:val="20"/>
                <w:color w:val="auto"/>
              </w:rPr>
            </w:pPr>
            <w:r>
              <w:rPr>
                <w:rFonts w:ascii="Arial" w:cs="Arial" w:eastAsia="Arial" w:hAnsi="Arial"/>
                <w:sz w:val="16"/>
                <w:szCs w:val="16"/>
                <w:color w:val="auto"/>
              </w:rPr>
              <w:t>97</w:t>
            </w:r>
          </w:p>
        </w:tc>
        <w:tc>
          <w:tcPr>
            <w:tcW w:w="1660" w:type="dxa"/>
            <w:vAlign w:val="bottom"/>
          </w:tcPr>
          <w:p>
            <w:pPr>
              <w:spacing w:after="0"/>
              <w:rPr>
                <w:sz w:val="24"/>
                <w:szCs w:val="24"/>
                <w:color w:val="auto"/>
              </w:rPr>
            </w:pPr>
          </w:p>
        </w:tc>
      </w:tr>
    </w:tbl>
    <w:p>
      <w:pPr>
        <w:sectPr>
          <w:pgSz w:w="11900" w:h="16838" w:orient="portrait"/>
          <w:cols w:equalWidth="0" w:num="1">
            <w:col w:w="11420"/>
          </w:cols>
          <w:pgMar w:left="240" w:top="581" w:right="239" w:bottom="1440" w:gutter="0" w:footer="0" w:header="0"/>
        </w:sectPr>
      </w:pPr>
    </w:p>
    <w:bookmarkStart w:id="97" w:name="page98"/>
    <w:bookmarkEnd w:id="97"/>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920" w:type="dxa"/>
            <w:vAlign w:val="bottom"/>
          </w:tcPr>
          <w:p>
            <w:pPr>
              <w:ind w:left="3440"/>
              <w:spacing w:after="0"/>
              <w:rPr>
                <w:sz w:val="20"/>
                <w:szCs w:val="20"/>
                <w:color w:val="auto"/>
              </w:rPr>
            </w:pPr>
            <w:r>
              <w:rPr>
                <w:rFonts w:ascii="Arial" w:cs="Arial" w:eastAsia="Arial" w:hAnsi="Arial"/>
                <w:sz w:val="16"/>
                <w:szCs w:val="16"/>
                <w:b w:val="1"/>
                <w:bCs w:val="1"/>
                <w:color w:val="00497F"/>
              </w:rPr>
              <w:t>INDEX TO EXHIBITS</w:t>
            </w:r>
          </w:p>
        </w:tc>
      </w:tr>
      <w:tr>
        <w:trPr>
          <w:trHeight w:val="385"/>
        </w:trPr>
        <w:tc>
          <w:tcPr>
            <w:tcW w:w="240" w:type="dxa"/>
            <w:vAlign w:val="bottom"/>
          </w:tcPr>
          <w:p>
            <w:pPr>
              <w:spacing w:after="0"/>
              <w:rPr>
                <w:sz w:val="24"/>
                <w:szCs w:val="24"/>
                <w:color w:val="auto"/>
              </w:rPr>
            </w:pPr>
          </w:p>
        </w:tc>
        <w:tc>
          <w:tcPr>
            <w:tcW w:w="1260" w:type="dxa"/>
            <w:vAlign w:val="bottom"/>
            <w:gridSpan w:val="6"/>
          </w:tcPr>
          <w:p>
            <w:pPr>
              <w:ind w:left="20"/>
              <w:spacing w:after="0"/>
              <w:rPr>
                <w:sz w:val="20"/>
                <w:szCs w:val="20"/>
                <w:color w:val="auto"/>
              </w:rPr>
            </w:pPr>
            <w:r>
              <w:rPr>
                <w:rFonts w:ascii="Arial" w:cs="Arial" w:eastAsia="Arial" w:hAnsi="Arial"/>
                <w:sz w:val="14"/>
                <w:szCs w:val="14"/>
                <w:b w:val="1"/>
                <w:bCs w:val="1"/>
                <w:color w:val="auto"/>
              </w:rPr>
              <w:t>Exhibit No.</w:t>
            </w:r>
          </w:p>
        </w:tc>
        <w:tc>
          <w:tcPr>
            <w:tcW w:w="9920" w:type="dxa"/>
            <w:vAlign w:val="bottom"/>
          </w:tcPr>
          <w:p>
            <w:pPr>
              <w:ind w:left="4560"/>
              <w:spacing w:after="0"/>
              <w:rPr>
                <w:sz w:val="20"/>
                <w:szCs w:val="20"/>
                <w:color w:val="auto"/>
              </w:rPr>
            </w:pPr>
            <w:r>
              <w:rPr>
                <w:rFonts w:ascii="Arial" w:cs="Arial" w:eastAsia="Arial" w:hAnsi="Arial"/>
                <w:sz w:val="14"/>
                <w:szCs w:val="14"/>
                <w:b w:val="1"/>
                <w:bCs w:val="1"/>
                <w:color w:val="auto"/>
              </w:rPr>
              <w:t>Description</w:t>
            </w:r>
          </w:p>
        </w:tc>
      </w:tr>
      <w:tr>
        <w:trPr>
          <w:trHeight w:val="170"/>
        </w:trPr>
        <w:tc>
          <w:tcPr>
            <w:tcW w:w="240" w:type="dxa"/>
            <w:vAlign w:val="bottom"/>
          </w:tcPr>
          <w:p>
            <w:pPr>
              <w:spacing w:after="0"/>
              <w:rPr>
                <w:sz w:val="14"/>
                <w:szCs w:val="14"/>
                <w:color w:val="auto"/>
              </w:rPr>
            </w:pPr>
          </w:p>
        </w:tc>
        <w:tc>
          <w:tcPr>
            <w:tcW w:w="300" w:type="dxa"/>
            <w:vAlign w:val="bottom"/>
            <w:tcBorders>
              <w:top w:val="single" w:sz="8" w:color="auto"/>
            </w:tcBorders>
            <w:gridSpan w:val="3"/>
          </w:tcPr>
          <w:p>
            <w:pPr>
              <w:ind w:left="20"/>
              <w:spacing w:after="0"/>
              <w:rPr>
                <w:rFonts w:ascii="Arial" w:cs="Arial" w:eastAsia="Arial" w:hAnsi="Arial"/>
                <w:sz w:val="14"/>
                <w:szCs w:val="14"/>
                <w:color w:val="0000FF"/>
              </w:rPr>
            </w:pPr>
            <w:hyperlink r:id="rId24">
              <w:r>
                <w:rPr>
                  <w:rFonts w:ascii="Arial" w:cs="Arial" w:eastAsia="Arial" w:hAnsi="Arial"/>
                  <w:sz w:val="14"/>
                  <w:szCs w:val="14"/>
                  <w:color w:val="0000FF"/>
                </w:rPr>
                <w:t>3.</w:t>
              </w:r>
              <w:r>
                <w:rPr>
                  <w:rFonts w:ascii="Arial" w:cs="Arial" w:eastAsia="Arial" w:hAnsi="Arial"/>
                  <w:sz w:val="14"/>
                  <w:szCs w:val="14"/>
                  <w:u w:val="single" w:color="auto"/>
                  <w:color w:val="0000FF"/>
                </w:rPr>
                <w:t>1</w:t>
              </w:r>
            </w:hyperlink>
          </w:p>
        </w:tc>
        <w:tc>
          <w:tcPr>
            <w:tcW w:w="80" w:type="dxa"/>
            <w:vAlign w:val="bottom"/>
            <w:tcBorders>
              <w:top w:val="single" w:sz="8" w:color="auto"/>
            </w:tcBorders>
          </w:tcPr>
          <w:p>
            <w:pPr>
              <w:spacing w:after="0"/>
              <w:rPr>
                <w:sz w:val="14"/>
                <w:szCs w:val="14"/>
                <w:color w:val="auto"/>
              </w:rPr>
            </w:pPr>
          </w:p>
        </w:tc>
        <w:tc>
          <w:tcPr>
            <w:tcW w:w="76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9920" w:type="dxa"/>
            <w:vAlign w:val="bottom"/>
            <w:tcBorders>
              <w:top w:val="single" w:sz="8" w:color="auto"/>
            </w:tcBorders>
          </w:tcPr>
          <w:p>
            <w:pPr>
              <w:ind w:left="20"/>
              <w:spacing w:after="0"/>
              <w:rPr>
                <w:sz w:val="20"/>
                <w:szCs w:val="20"/>
                <w:color w:val="auto"/>
              </w:rPr>
            </w:pPr>
            <w:r>
              <w:rPr>
                <w:rFonts w:ascii="Arial" w:cs="Arial" w:eastAsia="Arial" w:hAnsi="Arial"/>
                <w:sz w:val="14"/>
                <w:szCs w:val="14"/>
                <w:color w:val="auto"/>
              </w:rPr>
              <w:t>Certificate of Formation (incorporated by reference to Exhibit 3.1 of Amendment No. 4 to the Company's Registration Statement on Form S-1, filed on April</w:t>
            </w:r>
          </w:p>
        </w:tc>
      </w:tr>
      <w:tr>
        <w:trPr>
          <w:trHeight w:val="179"/>
        </w:trPr>
        <w:tc>
          <w:tcPr>
            <w:tcW w:w="2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Borders>
              <w:top w:val="single" w:sz="8" w:color="0000FF"/>
            </w:tcBorders>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920" w:type="dxa"/>
            <w:vAlign w:val="bottom"/>
          </w:tcPr>
          <w:p>
            <w:pPr>
              <w:ind w:left="20"/>
              <w:spacing w:after="0"/>
              <w:rPr>
                <w:sz w:val="20"/>
                <w:szCs w:val="20"/>
                <w:color w:val="auto"/>
              </w:rPr>
            </w:pPr>
            <w:r>
              <w:rPr>
                <w:rFonts w:ascii="Arial" w:cs="Arial" w:eastAsia="Arial" w:hAnsi="Arial"/>
                <w:sz w:val="14"/>
                <w:szCs w:val="14"/>
                <w:color w:val="auto"/>
              </w:rPr>
              <w:t>30, 2015).</w:t>
            </w:r>
          </w:p>
        </w:tc>
      </w:tr>
      <w:tr>
        <w:trPr>
          <w:trHeight w:val="180"/>
        </w:trPr>
        <w:tc>
          <w:tcPr>
            <w:tcW w:w="240" w:type="dxa"/>
            <w:vAlign w:val="bottom"/>
            <w:shd w:val="clear" w:color="auto" w:fill="CCEEFF"/>
          </w:tcPr>
          <w:p>
            <w:pPr>
              <w:spacing w:after="0"/>
              <w:rPr>
                <w:sz w:val="15"/>
                <w:szCs w:val="15"/>
                <w:color w:val="auto"/>
              </w:rPr>
            </w:pPr>
          </w:p>
        </w:tc>
        <w:tc>
          <w:tcPr>
            <w:tcW w:w="300" w:type="dxa"/>
            <w:vAlign w:val="bottom"/>
            <w:gridSpan w:val="3"/>
            <w:shd w:val="clear" w:color="auto" w:fill="CCEEFF"/>
          </w:tcPr>
          <w:p>
            <w:pPr>
              <w:ind w:left="20"/>
              <w:spacing w:after="0"/>
              <w:rPr>
                <w:rFonts w:ascii="Arial" w:cs="Arial" w:eastAsia="Arial" w:hAnsi="Arial"/>
                <w:sz w:val="14"/>
                <w:szCs w:val="14"/>
                <w:color w:val="0000FF"/>
              </w:rPr>
            </w:pPr>
            <w:hyperlink r:id="rId25">
              <w:r>
                <w:rPr>
                  <w:rFonts w:ascii="Arial" w:cs="Arial" w:eastAsia="Arial" w:hAnsi="Arial"/>
                  <w:sz w:val="14"/>
                  <w:szCs w:val="14"/>
                  <w:color w:val="0000FF"/>
                </w:rPr>
                <w:t>3.</w:t>
              </w:r>
              <w:r>
                <w:rPr>
                  <w:rFonts w:ascii="Arial" w:cs="Arial" w:eastAsia="Arial" w:hAnsi="Arial"/>
                  <w:sz w:val="14"/>
                  <w:szCs w:val="14"/>
                  <w:u w:val="single" w:color="auto"/>
                  <w:color w:val="0000FF"/>
                </w:rPr>
                <w:t>2</w:t>
              </w:r>
            </w:hyperlink>
          </w:p>
        </w:tc>
        <w:tc>
          <w:tcPr>
            <w:tcW w:w="8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920" w:type="dxa"/>
            <w:vAlign w:val="bottom"/>
            <w:shd w:val="clear" w:color="auto" w:fill="CCEEFF"/>
          </w:tcPr>
          <w:p>
            <w:pPr>
              <w:ind w:left="20"/>
              <w:spacing w:after="0"/>
              <w:rPr>
                <w:sz w:val="20"/>
                <w:szCs w:val="20"/>
                <w:color w:val="auto"/>
              </w:rPr>
            </w:pPr>
            <w:r>
              <w:rPr>
                <w:rFonts w:ascii="Arial" w:cs="Arial" w:eastAsia="Arial" w:hAnsi="Arial"/>
                <w:sz w:val="14"/>
                <w:szCs w:val="14"/>
                <w:color w:val="auto"/>
              </w:rPr>
              <w:t>Amended and Restated Limited Liability Company Agreement of Fortress Transportation and Infrastructure Investors LLC (incorporated by reference to</w:t>
            </w:r>
          </w:p>
        </w:tc>
      </w:tr>
      <w:tr>
        <w:trPr>
          <w:trHeight w:val="183"/>
        </w:trPr>
        <w:tc>
          <w:tcPr>
            <w:tcW w:w="24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0000FF"/>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76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99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Exhibit 3.2 of the Company's Current Report on Form 8-K, filed on May 21, 2015).</w:t>
            </w:r>
          </w:p>
        </w:tc>
      </w:tr>
      <w:tr>
        <w:trPr>
          <w:trHeight w:val="176"/>
        </w:trPr>
        <w:tc>
          <w:tcPr>
            <w:tcW w:w="240" w:type="dxa"/>
            <w:vAlign w:val="bottom"/>
          </w:tcPr>
          <w:p>
            <w:pPr>
              <w:spacing w:after="0"/>
              <w:rPr>
                <w:sz w:val="15"/>
                <w:szCs w:val="15"/>
                <w:color w:val="auto"/>
              </w:rPr>
            </w:pPr>
          </w:p>
        </w:tc>
        <w:tc>
          <w:tcPr>
            <w:tcW w:w="300" w:type="dxa"/>
            <w:vAlign w:val="bottom"/>
            <w:gridSpan w:val="3"/>
          </w:tcPr>
          <w:p>
            <w:pPr>
              <w:ind w:left="20"/>
              <w:spacing w:after="0"/>
              <w:rPr>
                <w:rFonts w:ascii="Arial" w:cs="Arial" w:eastAsia="Arial" w:hAnsi="Arial"/>
                <w:sz w:val="14"/>
                <w:szCs w:val="14"/>
                <w:color w:val="0000FF"/>
              </w:rPr>
            </w:pPr>
            <w:hyperlink r:id="rId26">
              <w:r>
                <w:rPr>
                  <w:rFonts w:ascii="Arial" w:cs="Arial" w:eastAsia="Arial" w:hAnsi="Arial"/>
                  <w:sz w:val="14"/>
                  <w:szCs w:val="14"/>
                  <w:color w:val="0000FF"/>
                </w:rPr>
                <w:t>3.</w:t>
              </w:r>
              <w:r>
                <w:rPr>
                  <w:rFonts w:ascii="Arial" w:cs="Arial" w:eastAsia="Arial" w:hAnsi="Arial"/>
                  <w:sz w:val="14"/>
                  <w:szCs w:val="14"/>
                  <w:u w:val="single" w:color="auto"/>
                  <w:color w:val="0000FF"/>
                </w:rPr>
                <w:t>3</w:t>
              </w:r>
            </w:hyperlink>
          </w:p>
        </w:tc>
        <w:tc>
          <w:tcPr>
            <w:tcW w:w="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920" w:type="dxa"/>
            <w:vAlign w:val="bottom"/>
          </w:tcPr>
          <w:p>
            <w:pPr>
              <w:ind w:left="20"/>
              <w:spacing w:after="0"/>
              <w:rPr>
                <w:sz w:val="20"/>
                <w:szCs w:val="20"/>
                <w:color w:val="auto"/>
              </w:rPr>
            </w:pPr>
            <w:r>
              <w:rPr>
                <w:rFonts w:ascii="Arial" w:cs="Arial" w:eastAsia="Arial" w:hAnsi="Arial"/>
                <w:sz w:val="14"/>
                <w:szCs w:val="14"/>
                <w:color w:val="auto"/>
              </w:rPr>
              <w:t>First Amendment to Amended and Restated Limited Liability Company Agreement of Fortress Transportation and Infrastructure Investors LLC</w:t>
            </w:r>
          </w:p>
        </w:tc>
      </w:tr>
      <w:tr>
        <w:trPr>
          <w:trHeight w:val="179"/>
        </w:trPr>
        <w:tc>
          <w:tcPr>
            <w:tcW w:w="2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Borders>
              <w:top w:val="single" w:sz="8" w:color="0000FF"/>
            </w:tcBorders>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920" w:type="dxa"/>
            <w:vAlign w:val="bottom"/>
          </w:tcPr>
          <w:p>
            <w:pPr>
              <w:ind w:left="20"/>
              <w:spacing w:after="0"/>
              <w:rPr>
                <w:sz w:val="20"/>
                <w:szCs w:val="20"/>
                <w:color w:val="auto"/>
              </w:rPr>
            </w:pPr>
            <w:r>
              <w:rPr>
                <w:rFonts w:ascii="Arial" w:cs="Arial" w:eastAsia="Arial" w:hAnsi="Arial"/>
                <w:sz w:val="14"/>
                <w:szCs w:val="14"/>
                <w:color w:val="auto"/>
              </w:rPr>
              <w:t>(incorporated by reference to Exhibit 3.3 of the Company's Annual Report on Form 10-K, filed on March 10, 2016).</w:t>
            </w:r>
          </w:p>
        </w:tc>
      </w:tr>
      <w:tr>
        <w:trPr>
          <w:trHeight w:val="180"/>
        </w:trPr>
        <w:tc>
          <w:tcPr>
            <w:tcW w:w="240" w:type="dxa"/>
            <w:vAlign w:val="bottom"/>
            <w:shd w:val="clear" w:color="auto" w:fill="CCEEFF"/>
          </w:tcPr>
          <w:p>
            <w:pPr>
              <w:spacing w:after="0"/>
              <w:rPr>
                <w:sz w:val="15"/>
                <w:szCs w:val="15"/>
                <w:color w:val="auto"/>
              </w:rPr>
            </w:pPr>
          </w:p>
        </w:tc>
        <w:tc>
          <w:tcPr>
            <w:tcW w:w="300" w:type="dxa"/>
            <w:vAlign w:val="bottom"/>
            <w:gridSpan w:val="3"/>
            <w:shd w:val="clear" w:color="auto" w:fill="CCEEFF"/>
          </w:tcPr>
          <w:p>
            <w:pPr>
              <w:ind w:left="20"/>
              <w:spacing w:after="0"/>
              <w:rPr>
                <w:rFonts w:ascii="Arial" w:cs="Arial" w:eastAsia="Arial" w:hAnsi="Arial"/>
                <w:sz w:val="14"/>
                <w:szCs w:val="14"/>
                <w:color w:val="0000FF"/>
              </w:rPr>
            </w:pPr>
            <w:hyperlink r:id="rId27">
              <w:r>
                <w:rPr>
                  <w:rFonts w:ascii="Arial" w:cs="Arial" w:eastAsia="Arial" w:hAnsi="Arial"/>
                  <w:sz w:val="14"/>
                  <w:szCs w:val="14"/>
                  <w:color w:val="0000FF"/>
                </w:rPr>
                <w:t>4.</w:t>
              </w:r>
              <w:r>
                <w:rPr>
                  <w:rFonts w:ascii="Arial" w:cs="Arial" w:eastAsia="Arial" w:hAnsi="Arial"/>
                  <w:sz w:val="14"/>
                  <w:szCs w:val="14"/>
                  <w:u w:val="single" w:color="auto"/>
                  <w:color w:val="0000FF"/>
                </w:rPr>
                <w:t>1</w:t>
              </w:r>
            </w:hyperlink>
          </w:p>
        </w:tc>
        <w:tc>
          <w:tcPr>
            <w:tcW w:w="8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920" w:type="dxa"/>
            <w:vAlign w:val="bottom"/>
            <w:shd w:val="clear" w:color="auto" w:fill="CCEEFF"/>
          </w:tcPr>
          <w:p>
            <w:pPr>
              <w:ind w:left="20"/>
              <w:spacing w:after="0"/>
              <w:rPr>
                <w:sz w:val="20"/>
                <w:szCs w:val="20"/>
                <w:color w:val="auto"/>
              </w:rPr>
            </w:pPr>
            <w:r>
              <w:rPr>
                <w:rFonts w:ascii="Arial" w:cs="Arial" w:eastAsia="Arial" w:hAnsi="Arial"/>
                <w:sz w:val="14"/>
                <w:szCs w:val="14"/>
                <w:color w:val="auto"/>
              </w:rPr>
              <w:t>Indenture, dated March 15, 2017, between Fortress Transportation and Infrastructure Investors LLC and U.S. Bank National</w:t>
            </w:r>
          </w:p>
        </w:tc>
      </w:tr>
      <w:tr>
        <w:trPr>
          <w:trHeight w:val="142"/>
        </w:trPr>
        <w:tc>
          <w:tcPr>
            <w:tcW w:w="24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200" w:type="dxa"/>
            <w:vAlign w:val="bottom"/>
            <w:tcBorders>
              <w:top w:val="single" w:sz="8" w:color="0000FF"/>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76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9920" w:type="dxa"/>
            <w:vAlign w:val="bottom"/>
            <w:tcBorders>
              <w:top w:val="single" w:sz="8" w:color="CCEEFF"/>
            </w:tcBorders>
            <w:shd w:val="clear" w:color="auto" w:fill="CCEEFF"/>
          </w:tcPr>
          <w:p>
            <w:pPr>
              <w:ind w:left="20"/>
              <w:spacing w:after="0" w:line="143" w:lineRule="exact"/>
              <w:rPr>
                <w:sz w:val="20"/>
                <w:szCs w:val="20"/>
                <w:color w:val="auto"/>
              </w:rPr>
            </w:pPr>
            <w:r>
              <w:rPr>
                <w:rFonts w:ascii="Arial" w:cs="Arial" w:eastAsia="Arial" w:hAnsi="Arial"/>
                <w:sz w:val="14"/>
                <w:szCs w:val="14"/>
                <w:color w:val="auto"/>
              </w:rPr>
              <w:t>Association, as trustee, relating to the Company’s 6.75% senior unsecured notes due 2022 (incorporated by reference to Exhibit 4.1 of the Company’s</w:t>
            </w:r>
          </w:p>
        </w:tc>
      </w:tr>
      <w:tr>
        <w:trPr>
          <w:trHeight w:val="194"/>
        </w:trPr>
        <w:tc>
          <w:tcPr>
            <w:tcW w:w="2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920" w:type="dxa"/>
            <w:vAlign w:val="bottom"/>
            <w:shd w:val="clear" w:color="auto" w:fill="CCEEFF"/>
          </w:tcPr>
          <w:p>
            <w:pPr>
              <w:ind w:left="20"/>
              <w:spacing w:after="0"/>
              <w:rPr>
                <w:sz w:val="20"/>
                <w:szCs w:val="20"/>
                <w:color w:val="auto"/>
              </w:rPr>
            </w:pPr>
            <w:r>
              <w:rPr>
                <w:rFonts w:ascii="Arial" w:cs="Arial" w:eastAsia="Arial" w:hAnsi="Arial"/>
                <w:sz w:val="14"/>
                <w:szCs w:val="14"/>
                <w:color w:val="auto"/>
              </w:rPr>
              <w:t>Current Report on Form 8-K, filed on March 15, 2017).</w:t>
            </w:r>
          </w:p>
        </w:tc>
      </w:tr>
      <w:tr>
        <w:trPr>
          <w:trHeight w:val="170"/>
        </w:trPr>
        <w:tc>
          <w:tcPr>
            <w:tcW w:w="2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920" w:type="dxa"/>
            <w:vAlign w:val="bottom"/>
            <w:shd w:val="clear" w:color="auto" w:fill="CCEEFF"/>
          </w:tcPr>
          <w:p>
            <w:pPr>
              <w:spacing w:after="0"/>
              <w:rPr>
                <w:sz w:val="14"/>
                <w:szCs w:val="14"/>
                <w:color w:val="auto"/>
              </w:rPr>
            </w:pPr>
          </w:p>
        </w:tc>
      </w:tr>
      <w:tr>
        <w:trPr>
          <w:trHeight w:val="176"/>
        </w:trPr>
        <w:tc>
          <w:tcPr>
            <w:tcW w:w="240" w:type="dxa"/>
            <w:vAlign w:val="bottom"/>
          </w:tcPr>
          <w:p>
            <w:pPr>
              <w:spacing w:after="0"/>
              <w:rPr>
                <w:sz w:val="15"/>
                <w:szCs w:val="15"/>
                <w:color w:val="auto"/>
              </w:rPr>
            </w:pPr>
          </w:p>
        </w:tc>
        <w:tc>
          <w:tcPr>
            <w:tcW w:w="300" w:type="dxa"/>
            <w:vAlign w:val="bottom"/>
            <w:gridSpan w:val="3"/>
          </w:tcPr>
          <w:p>
            <w:pPr>
              <w:ind w:left="20"/>
              <w:spacing w:after="0"/>
              <w:rPr>
                <w:rFonts w:ascii="Arial" w:cs="Arial" w:eastAsia="Arial" w:hAnsi="Arial"/>
                <w:sz w:val="14"/>
                <w:szCs w:val="14"/>
                <w:color w:val="0000FF"/>
              </w:rPr>
            </w:pPr>
            <w:hyperlink r:id="rId28">
              <w:r>
                <w:rPr>
                  <w:rFonts w:ascii="Arial" w:cs="Arial" w:eastAsia="Arial" w:hAnsi="Arial"/>
                  <w:sz w:val="14"/>
                  <w:szCs w:val="14"/>
                  <w:color w:val="0000FF"/>
                </w:rPr>
                <w:t>4.</w:t>
              </w:r>
              <w:r>
                <w:rPr>
                  <w:rFonts w:ascii="Arial" w:cs="Arial" w:eastAsia="Arial" w:hAnsi="Arial"/>
                  <w:sz w:val="14"/>
                  <w:szCs w:val="14"/>
                  <w:u w:val="single" w:color="auto"/>
                  <w:color w:val="0000FF"/>
                </w:rPr>
                <w:t>2</w:t>
              </w:r>
            </w:hyperlink>
          </w:p>
        </w:tc>
        <w:tc>
          <w:tcPr>
            <w:tcW w:w="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920" w:type="dxa"/>
            <w:vAlign w:val="bottom"/>
          </w:tcPr>
          <w:p>
            <w:pPr>
              <w:ind w:left="20"/>
              <w:spacing w:after="0"/>
              <w:rPr>
                <w:sz w:val="20"/>
                <w:szCs w:val="20"/>
                <w:color w:val="auto"/>
              </w:rPr>
            </w:pPr>
            <w:r>
              <w:rPr>
                <w:rFonts w:ascii="Arial" w:cs="Arial" w:eastAsia="Arial" w:hAnsi="Arial"/>
                <w:sz w:val="14"/>
                <w:szCs w:val="14"/>
                <w:color w:val="auto"/>
              </w:rPr>
              <w:t>Form of global note representing the Company’s 6.75% senior unsecured notes due 2022 (included in Exhibit 4.1).</w:t>
            </w:r>
          </w:p>
        </w:tc>
      </w:tr>
      <w:tr>
        <w:trPr>
          <w:trHeight w:val="75"/>
        </w:trPr>
        <w:tc>
          <w:tcPr>
            <w:tcW w:w="240" w:type="dxa"/>
            <w:vAlign w:val="bottom"/>
          </w:tcPr>
          <w:p>
            <w:pPr>
              <w:spacing w:after="0"/>
              <w:rPr>
                <w:sz w:val="6"/>
                <w:szCs w:val="6"/>
                <w:color w:val="auto"/>
              </w:rPr>
            </w:pPr>
          </w:p>
        </w:tc>
        <w:tc>
          <w:tcPr>
            <w:tcW w:w="20" w:type="dxa"/>
            <w:vAlign w:val="bottom"/>
          </w:tcPr>
          <w:p>
            <w:pPr>
              <w:spacing w:after="0"/>
              <w:rPr>
                <w:sz w:val="6"/>
                <w:szCs w:val="6"/>
                <w:color w:val="auto"/>
              </w:rPr>
            </w:pPr>
          </w:p>
        </w:tc>
        <w:tc>
          <w:tcPr>
            <w:tcW w:w="200" w:type="dxa"/>
            <w:vAlign w:val="bottom"/>
            <w:tcBorders>
              <w:top w:val="single" w:sz="8" w:color="0000FF"/>
            </w:tcBorders>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760" w:type="dxa"/>
            <w:vAlign w:val="bottom"/>
          </w:tcPr>
          <w:p>
            <w:pPr>
              <w:spacing w:after="0"/>
              <w:rPr>
                <w:sz w:val="6"/>
                <w:szCs w:val="6"/>
                <w:color w:val="auto"/>
              </w:rPr>
            </w:pPr>
          </w:p>
        </w:tc>
        <w:tc>
          <w:tcPr>
            <w:tcW w:w="120" w:type="dxa"/>
            <w:vAlign w:val="bottom"/>
          </w:tcPr>
          <w:p>
            <w:pPr>
              <w:spacing w:after="0"/>
              <w:rPr>
                <w:sz w:val="6"/>
                <w:szCs w:val="6"/>
                <w:color w:val="auto"/>
              </w:rPr>
            </w:pPr>
          </w:p>
        </w:tc>
        <w:tc>
          <w:tcPr>
            <w:tcW w:w="9920" w:type="dxa"/>
            <w:vAlign w:val="bottom"/>
          </w:tcPr>
          <w:p>
            <w:pPr>
              <w:spacing w:after="0"/>
              <w:rPr>
                <w:sz w:val="6"/>
                <w:szCs w:val="6"/>
                <w:color w:val="auto"/>
              </w:rPr>
            </w:pPr>
          </w:p>
        </w:tc>
      </w:tr>
      <w:tr>
        <w:trPr>
          <w:trHeight w:val="176"/>
        </w:trPr>
        <w:tc>
          <w:tcPr>
            <w:tcW w:w="240" w:type="dxa"/>
            <w:vAlign w:val="bottom"/>
            <w:shd w:val="clear" w:color="auto" w:fill="CCEEFF"/>
          </w:tcPr>
          <w:p>
            <w:pPr>
              <w:spacing w:after="0"/>
              <w:rPr>
                <w:sz w:val="15"/>
                <w:szCs w:val="15"/>
                <w:color w:val="auto"/>
              </w:rPr>
            </w:pPr>
          </w:p>
        </w:tc>
        <w:tc>
          <w:tcPr>
            <w:tcW w:w="300" w:type="dxa"/>
            <w:vAlign w:val="bottom"/>
            <w:gridSpan w:val="3"/>
            <w:shd w:val="clear" w:color="auto" w:fill="CCEEFF"/>
          </w:tcPr>
          <w:p>
            <w:pPr>
              <w:ind w:left="20"/>
              <w:spacing w:after="0"/>
              <w:rPr>
                <w:rFonts w:ascii="Arial" w:cs="Arial" w:eastAsia="Arial" w:hAnsi="Arial"/>
                <w:sz w:val="14"/>
                <w:szCs w:val="14"/>
                <w:color w:val="0000FF"/>
              </w:rPr>
            </w:pPr>
            <w:hyperlink r:id="rId29">
              <w:r>
                <w:rPr>
                  <w:rFonts w:ascii="Arial" w:cs="Arial" w:eastAsia="Arial" w:hAnsi="Arial"/>
                  <w:sz w:val="14"/>
                  <w:szCs w:val="14"/>
                  <w:color w:val="0000FF"/>
                </w:rPr>
                <w:t>4.</w:t>
              </w:r>
              <w:r>
                <w:rPr>
                  <w:rFonts w:ascii="Arial" w:cs="Arial" w:eastAsia="Arial" w:hAnsi="Arial"/>
                  <w:sz w:val="14"/>
                  <w:szCs w:val="14"/>
                  <w:u w:val="single" w:color="auto"/>
                  <w:color w:val="0000FF"/>
                </w:rPr>
                <w:t>3</w:t>
              </w:r>
            </w:hyperlink>
          </w:p>
        </w:tc>
        <w:tc>
          <w:tcPr>
            <w:tcW w:w="8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920" w:type="dxa"/>
            <w:vAlign w:val="bottom"/>
            <w:shd w:val="clear" w:color="auto" w:fill="CCEEFF"/>
          </w:tcPr>
          <w:p>
            <w:pPr>
              <w:ind w:left="20"/>
              <w:spacing w:after="0"/>
              <w:rPr>
                <w:sz w:val="20"/>
                <w:szCs w:val="20"/>
                <w:color w:val="auto"/>
              </w:rPr>
            </w:pPr>
            <w:r>
              <w:rPr>
                <w:rFonts w:ascii="Arial" w:cs="Arial" w:eastAsia="Arial" w:hAnsi="Arial"/>
                <w:sz w:val="14"/>
                <w:szCs w:val="14"/>
                <w:color w:val="auto"/>
              </w:rPr>
              <w:t>Second Supplemental Indenture, dated August 23, 2017, between Fortress Transportation and Infrastructure Investors LLC and U.S. Bank National</w:t>
            </w:r>
          </w:p>
        </w:tc>
      </w:tr>
      <w:tr>
        <w:trPr>
          <w:trHeight w:val="142"/>
        </w:trPr>
        <w:tc>
          <w:tcPr>
            <w:tcW w:w="24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200" w:type="dxa"/>
            <w:vAlign w:val="bottom"/>
            <w:tcBorders>
              <w:top w:val="single" w:sz="8" w:color="0000FF"/>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76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9920" w:type="dxa"/>
            <w:vAlign w:val="bottom"/>
            <w:tcBorders>
              <w:top w:val="single" w:sz="8" w:color="CCEEFF"/>
            </w:tcBorders>
            <w:shd w:val="clear" w:color="auto" w:fill="CCEEFF"/>
          </w:tcPr>
          <w:p>
            <w:pPr>
              <w:ind w:left="20"/>
              <w:spacing w:after="0" w:line="143" w:lineRule="exact"/>
              <w:rPr>
                <w:sz w:val="20"/>
                <w:szCs w:val="20"/>
                <w:color w:val="auto"/>
              </w:rPr>
            </w:pPr>
            <w:r>
              <w:rPr>
                <w:rFonts w:ascii="Arial" w:cs="Arial" w:eastAsia="Arial" w:hAnsi="Arial"/>
                <w:sz w:val="14"/>
                <w:szCs w:val="14"/>
                <w:color w:val="auto"/>
              </w:rPr>
              <w:t>Association, as trustee, relating to the Company’s 6.75% senior unsecured notes due 2022 (incorporated by reference to Exhibit 4.1 of the Company’s</w:t>
            </w:r>
          </w:p>
        </w:tc>
      </w:tr>
      <w:tr>
        <w:trPr>
          <w:trHeight w:val="194"/>
        </w:trPr>
        <w:tc>
          <w:tcPr>
            <w:tcW w:w="2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920" w:type="dxa"/>
            <w:vAlign w:val="bottom"/>
            <w:shd w:val="clear" w:color="auto" w:fill="CCEEFF"/>
          </w:tcPr>
          <w:p>
            <w:pPr>
              <w:ind w:left="20"/>
              <w:spacing w:after="0"/>
              <w:rPr>
                <w:sz w:val="20"/>
                <w:szCs w:val="20"/>
                <w:color w:val="auto"/>
              </w:rPr>
            </w:pPr>
            <w:r>
              <w:rPr>
                <w:rFonts w:ascii="Arial" w:cs="Arial" w:eastAsia="Arial" w:hAnsi="Arial"/>
                <w:sz w:val="14"/>
                <w:szCs w:val="14"/>
                <w:color w:val="auto"/>
              </w:rPr>
              <w:t>Current Report on Form 8-K, filed on August 23, 2017).</w:t>
            </w:r>
          </w:p>
        </w:tc>
      </w:tr>
      <w:tr>
        <w:trPr>
          <w:trHeight w:val="170"/>
        </w:trPr>
        <w:tc>
          <w:tcPr>
            <w:tcW w:w="2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920" w:type="dxa"/>
            <w:vAlign w:val="bottom"/>
            <w:shd w:val="clear" w:color="auto" w:fill="CCEEFF"/>
          </w:tcPr>
          <w:p>
            <w:pPr>
              <w:spacing w:after="0"/>
              <w:rPr>
                <w:sz w:val="14"/>
                <w:szCs w:val="14"/>
                <w:color w:val="auto"/>
              </w:rPr>
            </w:pPr>
          </w:p>
        </w:tc>
      </w:tr>
      <w:tr>
        <w:trPr>
          <w:trHeight w:val="176"/>
        </w:trPr>
        <w:tc>
          <w:tcPr>
            <w:tcW w:w="240" w:type="dxa"/>
            <w:vAlign w:val="bottom"/>
          </w:tcPr>
          <w:p>
            <w:pPr>
              <w:spacing w:after="0"/>
              <w:rPr>
                <w:sz w:val="15"/>
                <w:szCs w:val="15"/>
                <w:color w:val="auto"/>
              </w:rPr>
            </w:pPr>
          </w:p>
        </w:tc>
        <w:tc>
          <w:tcPr>
            <w:tcW w:w="380" w:type="dxa"/>
            <w:vAlign w:val="bottom"/>
            <w:gridSpan w:val="4"/>
          </w:tcPr>
          <w:p>
            <w:pPr>
              <w:ind w:left="20"/>
              <w:spacing w:after="0"/>
              <w:rPr>
                <w:rFonts w:ascii="Arial" w:cs="Arial" w:eastAsia="Arial" w:hAnsi="Arial"/>
                <w:sz w:val="14"/>
                <w:szCs w:val="14"/>
                <w:color w:val="0000FF"/>
              </w:rPr>
            </w:pPr>
            <w:hyperlink r:id="rId30">
              <w:r>
                <w:rPr>
                  <w:rFonts w:ascii="Arial" w:cs="Arial" w:eastAsia="Arial" w:hAnsi="Arial"/>
                  <w:sz w:val="14"/>
                  <w:szCs w:val="14"/>
                  <w:color w:val="0000FF"/>
                </w:rPr>
                <w:t>10.</w:t>
              </w:r>
              <w:r>
                <w:rPr>
                  <w:rFonts w:ascii="Arial" w:cs="Arial" w:eastAsia="Arial" w:hAnsi="Arial"/>
                  <w:sz w:val="14"/>
                  <w:szCs w:val="14"/>
                  <w:u w:val="single" w:color="auto"/>
                  <w:color w:val="0000FF"/>
                </w:rPr>
                <w:t>1</w:t>
              </w:r>
            </w:hyperlink>
          </w:p>
        </w:tc>
        <w:tc>
          <w:tcPr>
            <w:tcW w:w="7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920" w:type="dxa"/>
            <w:vAlign w:val="bottom"/>
          </w:tcPr>
          <w:p>
            <w:pPr>
              <w:ind w:left="20"/>
              <w:spacing w:after="0"/>
              <w:rPr>
                <w:sz w:val="20"/>
                <w:szCs w:val="20"/>
                <w:color w:val="auto"/>
              </w:rPr>
            </w:pPr>
            <w:r>
              <w:rPr>
                <w:rFonts w:ascii="Arial" w:cs="Arial" w:eastAsia="Arial" w:hAnsi="Arial"/>
                <w:sz w:val="14"/>
                <w:szCs w:val="14"/>
                <w:color w:val="auto"/>
              </w:rPr>
              <w:t>Fourth Amended and Restated Partnership Agreement of Fortress Worldwide Transportation and Infrastructure General Partnership (incorporated by</w:t>
            </w:r>
          </w:p>
        </w:tc>
      </w:tr>
      <w:tr>
        <w:trPr>
          <w:trHeight w:val="179"/>
        </w:trPr>
        <w:tc>
          <w:tcPr>
            <w:tcW w:w="2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Borders>
              <w:top w:val="single" w:sz="8" w:color="0000FF"/>
            </w:tcBorders>
          </w:tcPr>
          <w:p>
            <w:pPr>
              <w:spacing w:after="0"/>
              <w:rPr>
                <w:sz w:val="15"/>
                <w:szCs w:val="15"/>
                <w:color w:val="auto"/>
              </w:rPr>
            </w:pPr>
          </w:p>
        </w:tc>
        <w:tc>
          <w:tcPr>
            <w:tcW w:w="80" w:type="dxa"/>
            <w:vAlign w:val="bottom"/>
            <w:tcBorders>
              <w:top w:val="single" w:sz="8" w:color="0000FF"/>
            </w:tcBorders>
          </w:tcPr>
          <w:p>
            <w:pPr>
              <w:spacing w:after="0"/>
              <w:rPr>
                <w:sz w:val="15"/>
                <w:szCs w:val="15"/>
                <w:color w:val="auto"/>
              </w:rPr>
            </w:pPr>
          </w:p>
        </w:tc>
        <w:tc>
          <w:tcPr>
            <w:tcW w:w="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920" w:type="dxa"/>
            <w:vAlign w:val="bottom"/>
          </w:tcPr>
          <w:p>
            <w:pPr>
              <w:ind w:left="20"/>
              <w:spacing w:after="0"/>
              <w:rPr>
                <w:sz w:val="20"/>
                <w:szCs w:val="20"/>
                <w:color w:val="auto"/>
              </w:rPr>
            </w:pPr>
            <w:r>
              <w:rPr>
                <w:rFonts w:ascii="Arial" w:cs="Arial" w:eastAsia="Arial" w:hAnsi="Arial"/>
                <w:sz w:val="14"/>
                <w:szCs w:val="14"/>
                <w:color w:val="auto"/>
              </w:rPr>
              <w:t>reference to Exhibit 10.1 of the Company's Current Report on Form 8-K, filed on May 21, 2015).</w:t>
            </w:r>
          </w:p>
        </w:tc>
      </w:tr>
      <w:tr>
        <w:trPr>
          <w:trHeight w:val="180"/>
        </w:trPr>
        <w:tc>
          <w:tcPr>
            <w:tcW w:w="240" w:type="dxa"/>
            <w:vAlign w:val="bottom"/>
            <w:shd w:val="clear" w:color="auto" w:fill="CCEEFF"/>
          </w:tcPr>
          <w:p>
            <w:pPr>
              <w:ind w:left="40"/>
              <w:spacing w:after="0"/>
              <w:rPr>
                <w:sz w:val="20"/>
                <w:szCs w:val="20"/>
                <w:color w:val="auto"/>
              </w:rPr>
            </w:pPr>
            <w:r>
              <w:rPr>
                <w:rFonts w:ascii="Arial" w:cs="Arial" w:eastAsia="Arial" w:hAnsi="Arial"/>
                <w:sz w:val="14"/>
                <w:szCs w:val="14"/>
                <w:color w:val="auto"/>
              </w:rPr>
              <w:t>†</w:t>
            </w:r>
          </w:p>
        </w:tc>
        <w:tc>
          <w:tcPr>
            <w:tcW w:w="380" w:type="dxa"/>
            <w:vAlign w:val="bottom"/>
            <w:gridSpan w:val="4"/>
            <w:shd w:val="clear" w:color="auto" w:fill="CCEEFF"/>
          </w:tcPr>
          <w:p>
            <w:pPr>
              <w:ind w:left="20"/>
              <w:spacing w:after="0"/>
              <w:rPr>
                <w:rFonts w:ascii="Arial" w:cs="Arial" w:eastAsia="Arial" w:hAnsi="Arial"/>
                <w:sz w:val="14"/>
                <w:szCs w:val="14"/>
                <w:color w:val="0000FF"/>
              </w:rPr>
            </w:pPr>
            <w:hyperlink r:id="rId31">
              <w:r>
                <w:rPr>
                  <w:rFonts w:ascii="Arial" w:cs="Arial" w:eastAsia="Arial" w:hAnsi="Arial"/>
                  <w:sz w:val="14"/>
                  <w:szCs w:val="14"/>
                  <w:color w:val="0000FF"/>
                </w:rPr>
                <w:t>10.2</w:t>
              </w:r>
            </w:hyperlink>
          </w:p>
        </w:tc>
        <w:tc>
          <w:tcPr>
            <w:tcW w:w="7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920" w:type="dxa"/>
            <w:vAlign w:val="bottom"/>
            <w:shd w:val="clear" w:color="auto" w:fill="CCEEFF"/>
          </w:tcPr>
          <w:p>
            <w:pPr>
              <w:ind w:left="20"/>
              <w:spacing w:after="0"/>
              <w:rPr>
                <w:sz w:val="20"/>
                <w:szCs w:val="20"/>
                <w:color w:val="auto"/>
              </w:rPr>
            </w:pPr>
            <w:r>
              <w:rPr>
                <w:rFonts w:ascii="Arial" w:cs="Arial" w:eastAsia="Arial" w:hAnsi="Arial"/>
                <w:sz w:val="14"/>
                <w:szCs w:val="14"/>
                <w:color w:val="auto"/>
              </w:rPr>
              <w:t>Management and Advisory Agreement, dated as of May 20, 2015, between Fortress Transportation and Infrastructure Investors LLC and FIG LLC</w:t>
            </w:r>
          </w:p>
        </w:tc>
      </w:tr>
      <w:tr>
        <w:trPr>
          <w:trHeight w:val="183"/>
        </w:trPr>
        <w:tc>
          <w:tcPr>
            <w:tcW w:w="24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0000FF"/>
            </w:tcBorders>
            <w:shd w:val="clear" w:color="auto" w:fill="CCEEFF"/>
          </w:tcPr>
          <w:p>
            <w:pPr>
              <w:spacing w:after="0"/>
              <w:rPr>
                <w:sz w:val="15"/>
                <w:szCs w:val="15"/>
                <w:color w:val="auto"/>
              </w:rPr>
            </w:pPr>
          </w:p>
        </w:tc>
        <w:tc>
          <w:tcPr>
            <w:tcW w:w="80" w:type="dxa"/>
            <w:vAlign w:val="bottom"/>
            <w:tcBorders>
              <w:top w:val="single" w:sz="8" w:color="0000FF"/>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76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99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(incorporated by reference to Exhibit 10.2 of the Company's Current Report on Form 8-K, filed on May 21, 2015).</w:t>
            </w:r>
          </w:p>
        </w:tc>
      </w:tr>
      <w:tr>
        <w:trPr>
          <w:trHeight w:val="176"/>
        </w:trPr>
        <w:tc>
          <w:tcPr>
            <w:tcW w:w="240" w:type="dxa"/>
            <w:vAlign w:val="bottom"/>
          </w:tcPr>
          <w:p>
            <w:pPr>
              <w:ind w:left="40"/>
              <w:spacing w:after="0"/>
              <w:rPr>
                <w:sz w:val="20"/>
                <w:szCs w:val="20"/>
                <w:color w:val="auto"/>
              </w:rPr>
            </w:pPr>
            <w:r>
              <w:rPr>
                <w:rFonts w:ascii="Arial" w:cs="Arial" w:eastAsia="Arial" w:hAnsi="Arial"/>
                <w:sz w:val="14"/>
                <w:szCs w:val="14"/>
                <w:color w:val="auto"/>
              </w:rPr>
              <w:t>†</w:t>
            </w:r>
          </w:p>
        </w:tc>
        <w:tc>
          <w:tcPr>
            <w:tcW w:w="380" w:type="dxa"/>
            <w:vAlign w:val="bottom"/>
            <w:gridSpan w:val="4"/>
          </w:tcPr>
          <w:p>
            <w:pPr>
              <w:ind w:left="20"/>
              <w:spacing w:after="0"/>
              <w:rPr>
                <w:rFonts w:ascii="Arial" w:cs="Arial" w:eastAsia="Arial" w:hAnsi="Arial"/>
                <w:sz w:val="14"/>
                <w:szCs w:val="14"/>
                <w:color w:val="0000FF"/>
              </w:rPr>
            </w:pPr>
            <w:hyperlink r:id="rId32">
              <w:r>
                <w:rPr>
                  <w:rFonts w:ascii="Arial" w:cs="Arial" w:eastAsia="Arial" w:hAnsi="Arial"/>
                  <w:sz w:val="14"/>
                  <w:szCs w:val="14"/>
                  <w:color w:val="0000FF"/>
                </w:rPr>
                <w:t>10.3</w:t>
              </w:r>
            </w:hyperlink>
          </w:p>
        </w:tc>
        <w:tc>
          <w:tcPr>
            <w:tcW w:w="7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920" w:type="dxa"/>
            <w:vAlign w:val="bottom"/>
          </w:tcPr>
          <w:p>
            <w:pPr>
              <w:ind w:left="20"/>
              <w:spacing w:after="0"/>
              <w:rPr>
                <w:sz w:val="20"/>
                <w:szCs w:val="20"/>
                <w:color w:val="auto"/>
              </w:rPr>
            </w:pPr>
            <w:r>
              <w:rPr>
                <w:rFonts w:ascii="Arial" w:cs="Arial" w:eastAsia="Arial" w:hAnsi="Arial"/>
                <w:sz w:val="14"/>
                <w:szCs w:val="14"/>
                <w:color w:val="auto"/>
              </w:rPr>
              <w:t>Registration Rights Agreement, dated as of May 20, 2015, among Fortress Transportation and Infrastructure Investors LLC, FIG LLC and Fortress</w:t>
            </w:r>
          </w:p>
        </w:tc>
      </w:tr>
      <w:tr>
        <w:trPr>
          <w:trHeight w:val="142"/>
        </w:trPr>
        <w:tc>
          <w:tcPr>
            <w:tcW w:w="2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Borders>
              <w:top w:val="single" w:sz="8" w:color="0000FF"/>
            </w:tcBorders>
          </w:tcPr>
          <w:p>
            <w:pPr>
              <w:spacing w:after="0"/>
              <w:rPr>
                <w:sz w:val="12"/>
                <w:szCs w:val="12"/>
                <w:color w:val="auto"/>
              </w:rPr>
            </w:pPr>
          </w:p>
        </w:tc>
        <w:tc>
          <w:tcPr>
            <w:tcW w:w="80" w:type="dxa"/>
            <w:vAlign w:val="bottom"/>
            <w:tcBorders>
              <w:top w:val="single" w:sz="8" w:color="0000FF"/>
            </w:tcBorders>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920" w:type="dxa"/>
            <w:vAlign w:val="bottom"/>
          </w:tcPr>
          <w:p>
            <w:pPr>
              <w:ind w:left="20"/>
              <w:spacing w:after="0" w:line="143" w:lineRule="exact"/>
              <w:rPr>
                <w:sz w:val="20"/>
                <w:szCs w:val="20"/>
                <w:color w:val="auto"/>
              </w:rPr>
            </w:pPr>
            <w:r>
              <w:rPr>
                <w:rFonts w:ascii="Arial" w:cs="Arial" w:eastAsia="Arial" w:hAnsi="Arial"/>
                <w:sz w:val="14"/>
                <w:szCs w:val="14"/>
                <w:color w:val="auto"/>
              </w:rPr>
              <w:t>Transportation and Infrastructure Master GP LLC (incorporated by reference to Exhibit 10.3 of the Company's Current Report on Form 8-K, filed on May</w:t>
            </w:r>
          </w:p>
        </w:tc>
      </w:tr>
      <w:tr>
        <w:trPr>
          <w:trHeight w:val="198"/>
        </w:trPr>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920" w:type="dxa"/>
            <w:vAlign w:val="bottom"/>
          </w:tcPr>
          <w:p>
            <w:pPr>
              <w:ind w:left="20"/>
              <w:spacing w:after="0"/>
              <w:rPr>
                <w:sz w:val="20"/>
                <w:szCs w:val="20"/>
                <w:color w:val="auto"/>
              </w:rPr>
            </w:pPr>
            <w:r>
              <w:rPr>
                <w:rFonts w:ascii="Arial" w:cs="Arial" w:eastAsia="Arial" w:hAnsi="Arial"/>
                <w:sz w:val="14"/>
                <w:szCs w:val="14"/>
                <w:color w:val="auto"/>
              </w:rPr>
              <w:t>21, 2015).</w:t>
            </w:r>
          </w:p>
        </w:tc>
      </w:tr>
      <w:tr>
        <w:trPr>
          <w:trHeight w:val="180"/>
        </w:trPr>
        <w:tc>
          <w:tcPr>
            <w:tcW w:w="240" w:type="dxa"/>
            <w:vAlign w:val="bottom"/>
            <w:shd w:val="clear" w:color="auto" w:fill="CCEEFF"/>
          </w:tcPr>
          <w:p>
            <w:pPr>
              <w:spacing w:after="0"/>
              <w:rPr>
                <w:sz w:val="15"/>
                <w:szCs w:val="15"/>
                <w:color w:val="auto"/>
              </w:rPr>
            </w:pPr>
          </w:p>
        </w:tc>
        <w:tc>
          <w:tcPr>
            <w:tcW w:w="380" w:type="dxa"/>
            <w:vAlign w:val="bottom"/>
            <w:gridSpan w:val="4"/>
            <w:shd w:val="clear" w:color="auto" w:fill="CCEEFF"/>
          </w:tcPr>
          <w:p>
            <w:pPr>
              <w:ind w:left="20"/>
              <w:spacing w:after="0"/>
              <w:rPr>
                <w:rFonts w:ascii="Arial" w:cs="Arial" w:eastAsia="Arial" w:hAnsi="Arial"/>
                <w:sz w:val="14"/>
                <w:szCs w:val="14"/>
                <w:color w:val="0000FF"/>
              </w:rPr>
            </w:pPr>
            <w:hyperlink r:id="rId33">
              <w:r>
                <w:rPr>
                  <w:rFonts w:ascii="Arial" w:cs="Arial" w:eastAsia="Arial" w:hAnsi="Arial"/>
                  <w:sz w:val="14"/>
                  <w:szCs w:val="14"/>
                  <w:color w:val="0000FF"/>
                </w:rPr>
                <w:t>10.</w:t>
              </w:r>
              <w:r>
                <w:rPr>
                  <w:rFonts w:ascii="Arial" w:cs="Arial" w:eastAsia="Arial" w:hAnsi="Arial"/>
                  <w:sz w:val="14"/>
                  <w:szCs w:val="14"/>
                  <w:u w:val="single" w:color="auto"/>
                  <w:color w:val="0000FF"/>
                </w:rPr>
                <w:t>4</w:t>
              </w:r>
            </w:hyperlink>
          </w:p>
        </w:tc>
        <w:tc>
          <w:tcPr>
            <w:tcW w:w="7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920" w:type="dxa"/>
            <w:vAlign w:val="bottom"/>
            <w:shd w:val="clear" w:color="auto" w:fill="CCEEFF"/>
          </w:tcPr>
          <w:p>
            <w:pPr>
              <w:ind w:left="20"/>
              <w:spacing w:after="0"/>
              <w:rPr>
                <w:sz w:val="20"/>
                <w:szCs w:val="20"/>
                <w:color w:val="auto"/>
              </w:rPr>
            </w:pPr>
            <w:r>
              <w:rPr>
                <w:rFonts w:ascii="Arial" w:cs="Arial" w:eastAsia="Arial" w:hAnsi="Arial"/>
                <w:sz w:val="14"/>
                <w:szCs w:val="14"/>
                <w:color w:val="auto"/>
              </w:rPr>
              <w:t>Fortress Transportation and Infrastructure Investors LLC Nonqualified Stock Option and Incentive Award Plan (incorporated by reference to Exhibit 10.4 of</w:t>
            </w:r>
          </w:p>
        </w:tc>
      </w:tr>
      <w:tr>
        <w:trPr>
          <w:trHeight w:val="183"/>
        </w:trPr>
        <w:tc>
          <w:tcPr>
            <w:tcW w:w="24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0000FF"/>
            </w:tcBorders>
            <w:shd w:val="clear" w:color="auto" w:fill="CCEEFF"/>
          </w:tcPr>
          <w:p>
            <w:pPr>
              <w:spacing w:after="0"/>
              <w:rPr>
                <w:sz w:val="15"/>
                <w:szCs w:val="15"/>
                <w:color w:val="auto"/>
              </w:rPr>
            </w:pPr>
          </w:p>
        </w:tc>
        <w:tc>
          <w:tcPr>
            <w:tcW w:w="80" w:type="dxa"/>
            <w:vAlign w:val="bottom"/>
            <w:tcBorders>
              <w:top w:val="single" w:sz="8" w:color="0000FF"/>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76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99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the Company's Current Report on Form 8-K, filed on May 21, 2015).</w:t>
            </w:r>
          </w:p>
        </w:tc>
      </w:tr>
      <w:tr>
        <w:trPr>
          <w:trHeight w:val="176"/>
        </w:trPr>
        <w:tc>
          <w:tcPr>
            <w:tcW w:w="240" w:type="dxa"/>
            <w:vAlign w:val="bottom"/>
          </w:tcPr>
          <w:p>
            <w:pPr>
              <w:spacing w:after="0"/>
              <w:rPr>
                <w:sz w:val="15"/>
                <w:szCs w:val="15"/>
                <w:color w:val="auto"/>
              </w:rPr>
            </w:pPr>
          </w:p>
        </w:tc>
        <w:tc>
          <w:tcPr>
            <w:tcW w:w="380" w:type="dxa"/>
            <w:vAlign w:val="bottom"/>
            <w:gridSpan w:val="4"/>
          </w:tcPr>
          <w:p>
            <w:pPr>
              <w:ind w:left="20"/>
              <w:spacing w:after="0"/>
              <w:rPr>
                <w:rFonts w:ascii="Arial" w:cs="Arial" w:eastAsia="Arial" w:hAnsi="Arial"/>
                <w:sz w:val="14"/>
                <w:szCs w:val="14"/>
                <w:color w:val="0000FF"/>
              </w:rPr>
            </w:pPr>
            <w:hyperlink r:id="rId34">
              <w:r>
                <w:rPr>
                  <w:rFonts w:ascii="Arial" w:cs="Arial" w:eastAsia="Arial" w:hAnsi="Arial"/>
                  <w:sz w:val="14"/>
                  <w:szCs w:val="14"/>
                  <w:color w:val="0000FF"/>
                </w:rPr>
                <w:t>10.</w:t>
              </w:r>
              <w:r>
                <w:rPr>
                  <w:rFonts w:ascii="Arial" w:cs="Arial" w:eastAsia="Arial" w:hAnsi="Arial"/>
                  <w:sz w:val="14"/>
                  <w:szCs w:val="14"/>
                  <w:u w:val="single" w:color="auto"/>
                  <w:color w:val="0000FF"/>
                </w:rPr>
                <w:t>5</w:t>
              </w:r>
            </w:hyperlink>
          </w:p>
        </w:tc>
        <w:tc>
          <w:tcPr>
            <w:tcW w:w="7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920" w:type="dxa"/>
            <w:vAlign w:val="bottom"/>
          </w:tcPr>
          <w:p>
            <w:pPr>
              <w:ind w:left="20"/>
              <w:spacing w:after="0"/>
              <w:rPr>
                <w:sz w:val="20"/>
                <w:szCs w:val="20"/>
                <w:color w:val="auto"/>
              </w:rPr>
            </w:pPr>
            <w:r>
              <w:rPr>
                <w:rFonts w:ascii="Arial" w:cs="Arial" w:eastAsia="Arial" w:hAnsi="Arial"/>
                <w:sz w:val="14"/>
                <w:szCs w:val="14"/>
                <w:color w:val="auto"/>
              </w:rPr>
              <w:t>Form of director and officer indemnification agreement of Fortress Transportation and Infrastructure Investors LLC (incorporated by reference to Exhibit</w:t>
            </w:r>
          </w:p>
        </w:tc>
      </w:tr>
      <w:tr>
        <w:trPr>
          <w:trHeight w:val="179"/>
        </w:trPr>
        <w:tc>
          <w:tcPr>
            <w:tcW w:w="2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Borders>
              <w:top w:val="single" w:sz="8" w:color="0000FF"/>
            </w:tcBorders>
          </w:tcPr>
          <w:p>
            <w:pPr>
              <w:spacing w:after="0"/>
              <w:rPr>
                <w:sz w:val="15"/>
                <w:szCs w:val="15"/>
                <w:color w:val="auto"/>
              </w:rPr>
            </w:pPr>
          </w:p>
        </w:tc>
        <w:tc>
          <w:tcPr>
            <w:tcW w:w="80" w:type="dxa"/>
            <w:vAlign w:val="bottom"/>
            <w:tcBorders>
              <w:top w:val="single" w:sz="8" w:color="0000FF"/>
            </w:tcBorders>
          </w:tcPr>
          <w:p>
            <w:pPr>
              <w:spacing w:after="0"/>
              <w:rPr>
                <w:sz w:val="15"/>
                <w:szCs w:val="15"/>
                <w:color w:val="auto"/>
              </w:rPr>
            </w:pPr>
          </w:p>
        </w:tc>
        <w:tc>
          <w:tcPr>
            <w:tcW w:w="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920" w:type="dxa"/>
            <w:vAlign w:val="bottom"/>
          </w:tcPr>
          <w:p>
            <w:pPr>
              <w:ind w:left="20"/>
              <w:spacing w:after="0"/>
              <w:rPr>
                <w:sz w:val="20"/>
                <w:szCs w:val="20"/>
                <w:color w:val="auto"/>
              </w:rPr>
            </w:pPr>
            <w:r>
              <w:rPr>
                <w:rFonts w:ascii="Arial" w:cs="Arial" w:eastAsia="Arial" w:hAnsi="Arial"/>
                <w:sz w:val="14"/>
                <w:szCs w:val="14"/>
                <w:color w:val="auto"/>
              </w:rPr>
              <w:t>10.5 of Amendment No. 4 to the Company's Registration Statement on Form S-1, filed April 30, 2015).</w:t>
            </w:r>
          </w:p>
        </w:tc>
      </w:tr>
      <w:tr>
        <w:trPr>
          <w:trHeight w:val="180"/>
        </w:trPr>
        <w:tc>
          <w:tcPr>
            <w:tcW w:w="240" w:type="dxa"/>
            <w:vAlign w:val="bottom"/>
            <w:shd w:val="clear" w:color="auto" w:fill="CCEEFF"/>
          </w:tcPr>
          <w:p>
            <w:pPr>
              <w:spacing w:after="0"/>
              <w:rPr>
                <w:sz w:val="15"/>
                <w:szCs w:val="15"/>
                <w:color w:val="auto"/>
              </w:rPr>
            </w:pPr>
          </w:p>
        </w:tc>
        <w:tc>
          <w:tcPr>
            <w:tcW w:w="380" w:type="dxa"/>
            <w:vAlign w:val="bottom"/>
            <w:gridSpan w:val="4"/>
            <w:shd w:val="clear" w:color="auto" w:fill="CCEEFF"/>
          </w:tcPr>
          <w:p>
            <w:pPr>
              <w:ind w:left="20"/>
              <w:spacing w:after="0"/>
              <w:rPr>
                <w:rFonts w:ascii="Arial" w:cs="Arial" w:eastAsia="Arial" w:hAnsi="Arial"/>
                <w:sz w:val="14"/>
                <w:szCs w:val="14"/>
                <w:color w:val="0000FF"/>
              </w:rPr>
            </w:pPr>
            <w:hyperlink r:id="rId35">
              <w:r>
                <w:rPr>
                  <w:rFonts w:ascii="Arial" w:cs="Arial" w:eastAsia="Arial" w:hAnsi="Arial"/>
                  <w:sz w:val="14"/>
                  <w:szCs w:val="14"/>
                  <w:color w:val="0000FF"/>
                </w:rPr>
                <w:t>10.</w:t>
              </w:r>
              <w:r>
                <w:rPr>
                  <w:rFonts w:ascii="Arial" w:cs="Arial" w:eastAsia="Arial" w:hAnsi="Arial"/>
                  <w:sz w:val="14"/>
                  <w:szCs w:val="14"/>
                  <w:u w:val="single" w:color="auto"/>
                  <w:color w:val="0000FF"/>
                </w:rPr>
                <w:t>6</w:t>
              </w:r>
            </w:hyperlink>
          </w:p>
        </w:tc>
        <w:tc>
          <w:tcPr>
            <w:tcW w:w="7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920" w:type="dxa"/>
            <w:vAlign w:val="bottom"/>
            <w:shd w:val="clear" w:color="auto" w:fill="CCEEFF"/>
          </w:tcPr>
          <w:p>
            <w:pPr>
              <w:ind w:left="20"/>
              <w:spacing w:after="0"/>
              <w:rPr>
                <w:sz w:val="20"/>
                <w:szCs w:val="20"/>
                <w:color w:val="auto"/>
              </w:rPr>
            </w:pPr>
            <w:r>
              <w:rPr>
                <w:rFonts w:ascii="Arial" w:cs="Arial" w:eastAsia="Arial" w:hAnsi="Arial"/>
                <w:sz w:val="14"/>
                <w:szCs w:val="14"/>
                <w:color w:val="auto"/>
              </w:rPr>
              <w:t>Credit Agreement, dated as of August 27, 2014, among Morgan Stanley Senior Funding, Inc., as administrative agent, Jefferson Gulf Coast Energy</w:t>
            </w:r>
          </w:p>
        </w:tc>
      </w:tr>
      <w:tr>
        <w:trPr>
          <w:trHeight w:val="142"/>
        </w:trPr>
        <w:tc>
          <w:tcPr>
            <w:tcW w:w="24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200" w:type="dxa"/>
            <w:vAlign w:val="bottom"/>
            <w:tcBorders>
              <w:top w:val="single" w:sz="8" w:color="0000FF"/>
            </w:tcBorders>
            <w:shd w:val="clear" w:color="auto" w:fill="CCEEFF"/>
          </w:tcPr>
          <w:p>
            <w:pPr>
              <w:spacing w:after="0"/>
              <w:rPr>
                <w:sz w:val="12"/>
                <w:szCs w:val="12"/>
                <w:color w:val="auto"/>
              </w:rPr>
            </w:pPr>
          </w:p>
        </w:tc>
        <w:tc>
          <w:tcPr>
            <w:tcW w:w="80" w:type="dxa"/>
            <w:vAlign w:val="bottom"/>
            <w:tcBorders>
              <w:top w:val="single" w:sz="8" w:color="0000FF"/>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76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9920" w:type="dxa"/>
            <w:vAlign w:val="bottom"/>
            <w:tcBorders>
              <w:top w:val="single" w:sz="8" w:color="CCEEFF"/>
            </w:tcBorders>
            <w:shd w:val="clear" w:color="auto" w:fill="CCEEFF"/>
          </w:tcPr>
          <w:p>
            <w:pPr>
              <w:ind w:left="20"/>
              <w:spacing w:after="0" w:line="143" w:lineRule="exact"/>
              <w:rPr>
                <w:sz w:val="20"/>
                <w:szCs w:val="20"/>
                <w:color w:val="auto"/>
              </w:rPr>
            </w:pPr>
            <w:r>
              <w:rPr>
                <w:rFonts w:ascii="Arial" w:cs="Arial" w:eastAsia="Arial" w:hAnsi="Arial"/>
                <w:sz w:val="14"/>
                <w:szCs w:val="14"/>
                <w:color w:val="auto"/>
              </w:rPr>
              <w:t>Partners LLC and the other lenders party thereto (incorporated by reference to Exhibit 10.6 of Amendment No. 4 to the Company's Registration Statement</w:t>
            </w:r>
          </w:p>
        </w:tc>
      </w:tr>
      <w:tr>
        <w:trPr>
          <w:trHeight w:val="202"/>
        </w:trPr>
        <w:tc>
          <w:tcPr>
            <w:tcW w:w="2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920" w:type="dxa"/>
            <w:vAlign w:val="bottom"/>
            <w:shd w:val="clear" w:color="auto" w:fill="CCEEFF"/>
          </w:tcPr>
          <w:p>
            <w:pPr>
              <w:ind w:left="20"/>
              <w:spacing w:after="0"/>
              <w:rPr>
                <w:sz w:val="20"/>
                <w:szCs w:val="20"/>
                <w:color w:val="auto"/>
              </w:rPr>
            </w:pPr>
            <w:r>
              <w:rPr>
                <w:rFonts w:ascii="Arial" w:cs="Arial" w:eastAsia="Arial" w:hAnsi="Arial"/>
                <w:sz w:val="14"/>
                <w:szCs w:val="14"/>
                <w:color w:val="auto"/>
              </w:rPr>
              <w:t>on Form S-1, filed April 30, 2015).</w:t>
            </w:r>
          </w:p>
        </w:tc>
      </w:tr>
      <w:tr>
        <w:trPr>
          <w:trHeight w:val="176"/>
        </w:trPr>
        <w:tc>
          <w:tcPr>
            <w:tcW w:w="240" w:type="dxa"/>
            <w:vAlign w:val="bottom"/>
          </w:tcPr>
          <w:p>
            <w:pPr>
              <w:spacing w:after="0"/>
              <w:rPr>
                <w:sz w:val="15"/>
                <w:szCs w:val="15"/>
                <w:color w:val="auto"/>
              </w:rPr>
            </w:pPr>
          </w:p>
        </w:tc>
        <w:tc>
          <w:tcPr>
            <w:tcW w:w="380" w:type="dxa"/>
            <w:vAlign w:val="bottom"/>
            <w:gridSpan w:val="4"/>
          </w:tcPr>
          <w:p>
            <w:pPr>
              <w:ind w:left="20"/>
              <w:spacing w:after="0"/>
              <w:rPr>
                <w:rFonts w:ascii="Arial" w:cs="Arial" w:eastAsia="Arial" w:hAnsi="Arial"/>
                <w:sz w:val="14"/>
                <w:szCs w:val="14"/>
                <w:color w:val="0000FF"/>
              </w:rPr>
            </w:pPr>
            <w:hyperlink r:id="rId36">
              <w:r>
                <w:rPr>
                  <w:rFonts w:ascii="Arial" w:cs="Arial" w:eastAsia="Arial" w:hAnsi="Arial"/>
                  <w:sz w:val="14"/>
                  <w:szCs w:val="14"/>
                  <w:color w:val="0000FF"/>
                </w:rPr>
                <w:t>10.</w:t>
              </w:r>
              <w:r>
                <w:rPr>
                  <w:rFonts w:ascii="Arial" w:cs="Arial" w:eastAsia="Arial" w:hAnsi="Arial"/>
                  <w:sz w:val="14"/>
                  <w:szCs w:val="14"/>
                  <w:u w:val="single" w:color="auto"/>
                  <w:color w:val="0000FF"/>
                </w:rPr>
                <w:t>7</w:t>
              </w:r>
            </w:hyperlink>
          </w:p>
        </w:tc>
        <w:tc>
          <w:tcPr>
            <w:tcW w:w="7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920" w:type="dxa"/>
            <w:vAlign w:val="bottom"/>
          </w:tcPr>
          <w:p>
            <w:pPr>
              <w:ind w:left="20"/>
              <w:spacing w:after="0"/>
              <w:rPr>
                <w:sz w:val="20"/>
                <w:szCs w:val="20"/>
                <w:color w:val="auto"/>
              </w:rPr>
            </w:pPr>
            <w:r>
              <w:rPr>
                <w:rFonts w:ascii="Arial" w:cs="Arial" w:eastAsia="Arial" w:hAnsi="Arial"/>
                <w:sz w:val="14"/>
                <w:szCs w:val="14"/>
                <w:color w:val="auto"/>
              </w:rPr>
              <w:t>Trust Indenture and Security Agreement between the District and The Bank of New York Mellon Trust Company, National Association, dated as of February</w:t>
            </w:r>
          </w:p>
        </w:tc>
      </w:tr>
      <w:tr>
        <w:trPr>
          <w:trHeight w:val="179"/>
        </w:trPr>
        <w:tc>
          <w:tcPr>
            <w:tcW w:w="2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Borders>
              <w:top w:val="single" w:sz="8" w:color="0000FF"/>
            </w:tcBorders>
          </w:tcPr>
          <w:p>
            <w:pPr>
              <w:spacing w:after="0"/>
              <w:rPr>
                <w:sz w:val="15"/>
                <w:szCs w:val="15"/>
                <w:color w:val="auto"/>
              </w:rPr>
            </w:pPr>
          </w:p>
        </w:tc>
        <w:tc>
          <w:tcPr>
            <w:tcW w:w="80" w:type="dxa"/>
            <w:vAlign w:val="bottom"/>
            <w:tcBorders>
              <w:top w:val="single" w:sz="8" w:color="0000FF"/>
            </w:tcBorders>
          </w:tcPr>
          <w:p>
            <w:pPr>
              <w:spacing w:after="0"/>
              <w:rPr>
                <w:sz w:val="15"/>
                <w:szCs w:val="15"/>
                <w:color w:val="auto"/>
              </w:rPr>
            </w:pPr>
          </w:p>
        </w:tc>
        <w:tc>
          <w:tcPr>
            <w:tcW w:w="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920" w:type="dxa"/>
            <w:vAlign w:val="bottom"/>
          </w:tcPr>
          <w:p>
            <w:pPr>
              <w:ind w:left="20"/>
              <w:spacing w:after="0"/>
              <w:rPr>
                <w:sz w:val="20"/>
                <w:szCs w:val="20"/>
                <w:color w:val="auto"/>
              </w:rPr>
            </w:pPr>
            <w:r>
              <w:rPr>
                <w:rFonts w:ascii="Arial" w:cs="Arial" w:eastAsia="Arial" w:hAnsi="Arial"/>
                <w:sz w:val="14"/>
                <w:szCs w:val="14"/>
                <w:color w:val="auto"/>
              </w:rPr>
              <w:t>1, 2016 (incorporated by reference to Exhibit 10.7 of the Company's Annual Report on Form 10-K, filed on March 10, 2016).</w:t>
            </w:r>
          </w:p>
        </w:tc>
      </w:tr>
      <w:tr>
        <w:trPr>
          <w:trHeight w:val="180"/>
        </w:trPr>
        <w:tc>
          <w:tcPr>
            <w:tcW w:w="240" w:type="dxa"/>
            <w:vAlign w:val="bottom"/>
            <w:shd w:val="clear" w:color="auto" w:fill="CCEEFF"/>
          </w:tcPr>
          <w:p>
            <w:pPr>
              <w:spacing w:after="0"/>
              <w:rPr>
                <w:sz w:val="15"/>
                <w:szCs w:val="15"/>
                <w:color w:val="auto"/>
              </w:rPr>
            </w:pPr>
          </w:p>
        </w:tc>
        <w:tc>
          <w:tcPr>
            <w:tcW w:w="380" w:type="dxa"/>
            <w:vAlign w:val="bottom"/>
            <w:gridSpan w:val="4"/>
            <w:shd w:val="clear" w:color="auto" w:fill="CCEEFF"/>
          </w:tcPr>
          <w:p>
            <w:pPr>
              <w:ind w:left="20"/>
              <w:spacing w:after="0"/>
              <w:rPr>
                <w:rFonts w:ascii="Arial" w:cs="Arial" w:eastAsia="Arial" w:hAnsi="Arial"/>
                <w:sz w:val="14"/>
                <w:szCs w:val="14"/>
                <w:color w:val="0000FF"/>
              </w:rPr>
            </w:pPr>
            <w:hyperlink r:id="rId37">
              <w:r>
                <w:rPr>
                  <w:rFonts w:ascii="Arial" w:cs="Arial" w:eastAsia="Arial" w:hAnsi="Arial"/>
                  <w:sz w:val="14"/>
                  <w:szCs w:val="14"/>
                  <w:color w:val="0000FF"/>
                </w:rPr>
                <w:t>10.</w:t>
              </w:r>
              <w:r>
                <w:rPr>
                  <w:rFonts w:ascii="Arial" w:cs="Arial" w:eastAsia="Arial" w:hAnsi="Arial"/>
                  <w:sz w:val="14"/>
                  <w:szCs w:val="14"/>
                  <w:u w:val="single" w:color="auto"/>
                  <w:color w:val="0000FF"/>
                </w:rPr>
                <w:t>8</w:t>
              </w:r>
            </w:hyperlink>
          </w:p>
        </w:tc>
        <w:tc>
          <w:tcPr>
            <w:tcW w:w="7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920" w:type="dxa"/>
            <w:vAlign w:val="bottom"/>
            <w:shd w:val="clear" w:color="auto" w:fill="CCEEFF"/>
          </w:tcPr>
          <w:p>
            <w:pPr>
              <w:ind w:left="20"/>
              <w:spacing w:after="0"/>
              <w:rPr>
                <w:sz w:val="20"/>
                <w:szCs w:val="20"/>
                <w:color w:val="auto"/>
              </w:rPr>
            </w:pPr>
            <w:r>
              <w:rPr>
                <w:rFonts w:ascii="Arial" w:cs="Arial" w:eastAsia="Arial" w:hAnsi="Arial"/>
                <w:sz w:val="14"/>
                <w:szCs w:val="14"/>
                <w:color w:val="auto"/>
              </w:rPr>
              <w:t>Standby Bond Purchase Agreement among the Port of Beaumont Navigation District of Jefferson County, Texas, The Bank of New York Mellon Trust</w:t>
            </w:r>
          </w:p>
        </w:tc>
      </w:tr>
      <w:tr>
        <w:trPr>
          <w:trHeight w:val="142"/>
        </w:trPr>
        <w:tc>
          <w:tcPr>
            <w:tcW w:w="24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200" w:type="dxa"/>
            <w:vAlign w:val="bottom"/>
            <w:tcBorders>
              <w:top w:val="single" w:sz="8" w:color="0000FF"/>
            </w:tcBorders>
            <w:shd w:val="clear" w:color="auto" w:fill="CCEEFF"/>
          </w:tcPr>
          <w:p>
            <w:pPr>
              <w:spacing w:after="0"/>
              <w:rPr>
                <w:sz w:val="12"/>
                <w:szCs w:val="12"/>
                <w:color w:val="auto"/>
              </w:rPr>
            </w:pPr>
          </w:p>
        </w:tc>
        <w:tc>
          <w:tcPr>
            <w:tcW w:w="80" w:type="dxa"/>
            <w:vAlign w:val="bottom"/>
            <w:tcBorders>
              <w:top w:val="single" w:sz="8" w:color="0000FF"/>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76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9920" w:type="dxa"/>
            <w:vAlign w:val="bottom"/>
            <w:tcBorders>
              <w:top w:val="single" w:sz="8" w:color="CCEEFF"/>
            </w:tcBorders>
            <w:shd w:val="clear" w:color="auto" w:fill="CCEEFF"/>
          </w:tcPr>
          <w:p>
            <w:pPr>
              <w:ind w:left="20"/>
              <w:spacing w:after="0" w:line="143" w:lineRule="exact"/>
              <w:rPr>
                <w:sz w:val="20"/>
                <w:szCs w:val="20"/>
                <w:color w:val="auto"/>
              </w:rPr>
            </w:pPr>
            <w:r>
              <w:rPr>
                <w:rFonts w:ascii="Arial" w:cs="Arial" w:eastAsia="Arial" w:hAnsi="Arial"/>
                <w:sz w:val="14"/>
                <w:szCs w:val="14"/>
                <w:color w:val="auto"/>
              </w:rPr>
              <w:t>Company, National Association, Jefferson Railport Terminal II Holdings LLC and Jefferson Railport Terminal II LLC dated as of February 1, 2016</w:t>
            </w:r>
          </w:p>
        </w:tc>
      </w:tr>
      <w:tr>
        <w:trPr>
          <w:trHeight w:val="202"/>
        </w:trPr>
        <w:tc>
          <w:tcPr>
            <w:tcW w:w="2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920" w:type="dxa"/>
            <w:vAlign w:val="bottom"/>
            <w:shd w:val="clear" w:color="auto" w:fill="CCEEFF"/>
          </w:tcPr>
          <w:p>
            <w:pPr>
              <w:ind w:left="20"/>
              <w:spacing w:after="0"/>
              <w:rPr>
                <w:sz w:val="20"/>
                <w:szCs w:val="20"/>
                <w:color w:val="auto"/>
              </w:rPr>
            </w:pPr>
            <w:r>
              <w:rPr>
                <w:rFonts w:ascii="Arial" w:cs="Arial" w:eastAsia="Arial" w:hAnsi="Arial"/>
                <w:sz w:val="14"/>
                <w:szCs w:val="14"/>
                <w:color w:val="auto"/>
              </w:rPr>
              <w:t>(incorporated by reference to Exhibit 10.8 of the Company's Annual Report on Form 10-K, filed on March 10, 2016).</w:t>
            </w:r>
          </w:p>
        </w:tc>
      </w:tr>
      <w:tr>
        <w:trPr>
          <w:trHeight w:val="176"/>
        </w:trPr>
        <w:tc>
          <w:tcPr>
            <w:tcW w:w="240" w:type="dxa"/>
            <w:vAlign w:val="bottom"/>
          </w:tcPr>
          <w:p>
            <w:pPr>
              <w:spacing w:after="0"/>
              <w:rPr>
                <w:sz w:val="15"/>
                <w:szCs w:val="15"/>
                <w:color w:val="auto"/>
              </w:rPr>
            </w:pPr>
          </w:p>
        </w:tc>
        <w:tc>
          <w:tcPr>
            <w:tcW w:w="380" w:type="dxa"/>
            <w:vAlign w:val="bottom"/>
            <w:gridSpan w:val="4"/>
          </w:tcPr>
          <w:p>
            <w:pPr>
              <w:ind w:left="20"/>
              <w:spacing w:after="0"/>
              <w:rPr>
                <w:rFonts w:ascii="Arial" w:cs="Arial" w:eastAsia="Arial" w:hAnsi="Arial"/>
                <w:sz w:val="14"/>
                <w:szCs w:val="14"/>
                <w:color w:val="0000FF"/>
              </w:rPr>
            </w:pPr>
            <w:hyperlink r:id="rId38">
              <w:r>
                <w:rPr>
                  <w:rFonts w:ascii="Arial" w:cs="Arial" w:eastAsia="Arial" w:hAnsi="Arial"/>
                  <w:sz w:val="14"/>
                  <w:szCs w:val="14"/>
                  <w:color w:val="0000FF"/>
                </w:rPr>
                <w:t>10.</w:t>
              </w:r>
              <w:r>
                <w:rPr>
                  <w:rFonts w:ascii="Arial" w:cs="Arial" w:eastAsia="Arial" w:hAnsi="Arial"/>
                  <w:sz w:val="14"/>
                  <w:szCs w:val="14"/>
                  <w:u w:val="single" w:color="auto"/>
                  <w:color w:val="0000FF"/>
                </w:rPr>
                <w:t>9</w:t>
              </w:r>
            </w:hyperlink>
          </w:p>
        </w:tc>
        <w:tc>
          <w:tcPr>
            <w:tcW w:w="7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920" w:type="dxa"/>
            <w:vAlign w:val="bottom"/>
          </w:tcPr>
          <w:p>
            <w:pPr>
              <w:ind w:left="20"/>
              <w:spacing w:after="0"/>
              <w:rPr>
                <w:sz w:val="20"/>
                <w:szCs w:val="20"/>
                <w:color w:val="auto"/>
              </w:rPr>
            </w:pPr>
            <w:r>
              <w:rPr>
                <w:rFonts w:ascii="Arial" w:cs="Arial" w:eastAsia="Arial" w:hAnsi="Arial"/>
                <w:sz w:val="14"/>
                <w:szCs w:val="14"/>
                <w:color w:val="auto"/>
              </w:rPr>
              <w:t>Capital Call Agreement, by and among Fortress Transportation and Infrastructure Investors LLC, FTAI Energy Holdings LLC, FTAI Partner Holdings LLC,</w:t>
            </w:r>
          </w:p>
        </w:tc>
      </w:tr>
      <w:tr>
        <w:trPr>
          <w:trHeight w:val="142"/>
        </w:trPr>
        <w:tc>
          <w:tcPr>
            <w:tcW w:w="2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Borders>
              <w:top w:val="single" w:sz="8" w:color="0000FF"/>
            </w:tcBorders>
          </w:tcPr>
          <w:p>
            <w:pPr>
              <w:spacing w:after="0"/>
              <w:rPr>
                <w:sz w:val="12"/>
                <w:szCs w:val="12"/>
                <w:color w:val="auto"/>
              </w:rPr>
            </w:pPr>
          </w:p>
        </w:tc>
        <w:tc>
          <w:tcPr>
            <w:tcW w:w="80" w:type="dxa"/>
            <w:vAlign w:val="bottom"/>
            <w:tcBorders>
              <w:top w:val="single" w:sz="8" w:color="0000FF"/>
            </w:tcBorders>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920" w:type="dxa"/>
            <w:vAlign w:val="bottom"/>
          </w:tcPr>
          <w:p>
            <w:pPr>
              <w:ind w:left="20"/>
              <w:spacing w:after="0" w:line="143" w:lineRule="exact"/>
              <w:rPr>
                <w:sz w:val="20"/>
                <w:szCs w:val="20"/>
                <w:color w:val="auto"/>
              </w:rPr>
            </w:pPr>
            <w:r>
              <w:rPr>
                <w:rFonts w:ascii="Arial" w:cs="Arial" w:eastAsia="Arial" w:hAnsi="Arial"/>
                <w:sz w:val="14"/>
                <w:szCs w:val="14"/>
                <w:color w:val="auto"/>
              </w:rPr>
              <w:t>FTAI Midstream GP Holdings LLC, FTAI Midstream GP LLC, FTAI Midstream Holdings LLC, FTAI Energy Partners LLC and Jefferson Railport Terminal II</w:t>
            </w:r>
          </w:p>
        </w:tc>
      </w:tr>
      <w:tr>
        <w:trPr>
          <w:trHeight w:val="162"/>
        </w:trPr>
        <w:tc>
          <w:tcPr>
            <w:tcW w:w="2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920" w:type="dxa"/>
            <w:vAlign w:val="bottom"/>
          </w:tcPr>
          <w:p>
            <w:pPr>
              <w:ind w:left="20"/>
              <w:spacing w:after="0"/>
              <w:rPr>
                <w:sz w:val="20"/>
                <w:szCs w:val="20"/>
                <w:color w:val="auto"/>
              </w:rPr>
            </w:pPr>
            <w:r>
              <w:rPr>
                <w:rFonts w:ascii="Arial" w:cs="Arial" w:eastAsia="Arial" w:hAnsi="Arial"/>
                <w:sz w:val="14"/>
                <w:szCs w:val="14"/>
                <w:color w:val="auto"/>
              </w:rPr>
              <w:t>Holdings LLC, dated as of February 1, 2016 (incorporated by reference to Exhibit 10.9 of the Company's Annual Report on Form 10-K, filed on March 10,</w:t>
            </w:r>
          </w:p>
        </w:tc>
      </w:tr>
      <w:tr>
        <w:trPr>
          <w:trHeight w:val="198"/>
        </w:trPr>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920" w:type="dxa"/>
            <w:vAlign w:val="bottom"/>
          </w:tcPr>
          <w:p>
            <w:pPr>
              <w:ind w:left="20"/>
              <w:spacing w:after="0"/>
              <w:rPr>
                <w:sz w:val="20"/>
                <w:szCs w:val="20"/>
                <w:color w:val="auto"/>
              </w:rPr>
            </w:pPr>
            <w:r>
              <w:rPr>
                <w:rFonts w:ascii="Arial" w:cs="Arial" w:eastAsia="Arial" w:hAnsi="Arial"/>
                <w:sz w:val="14"/>
                <w:szCs w:val="14"/>
                <w:color w:val="auto"/>
              </w:rPr>
              <w:t>2016).</w:t>
            </w:r>
          </w:p>
        </w:tc>
      </w:tr>
      <w:tr>
        <w:trPr>
          <w:trHeight w:val="180"/>
        </w:trPr>
        <w:tc>
          <w:tcPr>
            <w:tcW w:w="240" w:type="dxa"/>
            <w:vAlign w:val="bottom"/>
            <w:shd w:val="clear" w:color="auto" w:fill="CCEEFF"/>
          </w:tcPr>
          <w:p>
            <w:pPr>
              <w:spacing w:after="0"/>
              <w:rPr>
                <w:sz w:val="15"/>
                <w:szCs w:val="15"/>
                <w:color w:val="auto"/>
              </w:rPr>
            </w:pPr>
          </w:p>
        </w:tc>
        <w:tc>
          <w:tcPr>
            <w:tcW w:w="1140" w:type="dxa"/>
            <w:vAlign w:val="bottom"/>
            <w:gridSpan w:val="5"/>
            <w:shd w:val="clear" w:color="auto" w:fill="CCEEFF"/>
          </w:tcPr>
          <w:p>
            <w:pPr>
              <w:ind w:left="20"/>
              <w:spacing w:after="0"/>
              <w:rPr>
                <w:rFonts w:ascii="Arial" w:cs="Arial" w:eastAsia="Arial" w:hAnsi="Arial"/>
                <w:sz w:val="14"/>
                <w:szCs w:val="14"/>
                <w:color w:val="0000FF"/>
              </w:rPr>
            </w:pPr>
            <w:hyperlink r:id="rId39">
              <w:r>
                <w:rPr>
                  <w:rFonts w:ascii="Arial" w:cs="Arial" w:eastAsia="Arial" w:hAnsi="Arial"/>
                  <w:sz w:val="14"/>
                  <w:szCs w:val="14"/>
                  <w:color w:val="0000FF"/>
                </w:rPr>
                <w:t>10.</w:t>
              </w:r>
              <w:r>
                <w:rPr>
                  <w:rFonts w:ascii="Arial" w:cs="Arial" w:eastAsia="Arial" w:hAnsi="Arial"/>
                  <w:sz w:val="14"/>
                  <w:szCs w:val="14"/>
                  <w:u w:val="single" w:color="auto"/>
                  <w:color w:val="0000FF"/>
                </w:rPr>
                <w:t>10</w:t>
              </w:r>
            </w:hyperlink>
          </w:p>
        </w:tc>
        <w:tc>
          <w:tcPr>
            <w:tcW w:w="120" w:type="dxa"/>
            <w:vAlign w:val="bottom"/>
            <w:shd w:val="clear" w:color="auto" w:fill="CCEEFF"/>
          </w:tcPr>
          <w:p>
            <w:pPr>
              <w:spacing w:after="0"/>
              <w:rPr>
                <w:sz w:val="15"/>
                <w:szCs w:val="15"/>
                <w:color w:val="auto"/>
              </w:rPr>
            </w:pPr>
          </w:p>
        </w:tc>
        <w:tc>
          <w:tcPr>
            <w:tcW w:w="9920" w:type="dxa"/>
            <w:vAlign w:val="bottom"/>
            <w:shd w:val="clear" w:color="auto" w:fill="CCEEFF"/>
          </w:tcPr>
          <w:p>
            <w:pPr>
              <w:ind w:left="20"/>
              <w:spacing w:after="0"/>
              <w:rPr>
                <w:sz w:val="20"/>
                <w:szCs w:val="20"/>
                <w:color w:val="auto"/>
              </w:rPr>
            </w:pPr>
            <w:r>
              <w:rPr>
                <w:rFonts w:ascii="Arial" w:cs="Arial" w:eastAsia="Arial" w:hAnsi="Arial"/>
                <w:sz w:val="14"/>
                <w:szCs w:val="14"/>
                <w:color w:val="auto"/>
              </w:rPr>
              <w:t>Fee and Support Agreement, among FTAI Energy Holdings LLC, FEP Terminal Holdings LLC, FTAI Energy Partners LLC and Jefferson Railport Terminal II</w:t>
            </w:r>
          </w:p>
        </w:tc>
      </w:tr>
      <w:tr>
        <w:trPr>
          <w:trHeight w:val="142"/>
        </w:trPr>
        <w:tc>
          <w:tcPr>
            <w:tcW w:w="24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200" w:type="dxa"/>
            <w:vAlign w:val="bottom"/>
            <w:tcBorders>
              <w:top w:val="single" w:sz="8" w:color="0000FF"/>
            </w:tcBorders>
            <w:shd w:val="clear" w:color="auto" w:fill="CCEEFF"/>
          </w:tcPr>
          <w:p>
            <w:pPr>
              <w:spacing w:after="0"/>
              <w:rPr>
                <w:sz w:val="12"/>
                <w:szCs w:val="12"/>
                <w:color w:val="auto"/>
              </w:rPr>
            </w:pPr>
          </w:p>
        </w:tc>
        <w:tc>
          <w:tcPr>
            <w:tcW w:w="80" w:type="dxa"/>
            <w:vAlign w:val="bottom"/>
            <w:tcBorders>
              <w:top w:val="single" w:sz="8" w:color="0000FF"/>
            </w:tcBorders>
            <w:shd w:val="clear" w:color="auto" w:fill="CCEEFF"/>
          </w:tcPr>
          <w:p>
            <w:pPr>
              <w:spacing w:after="0"/>
              <w:rPr>
                <w:sz w:val="12"/>
                <w:szCs w:val="12"/>
                <w:color w:val="auto"/>
              </w:rPr>
            </w:pPr>
          </w:p>
        </w:tc>
        <w:tc>
          <w:tcPr>
            <w:tcW w:w="80" w:type="dxa"/>
            <w:vAlign w:val="bottom"/>
            <w:tcBorders>
              <w:top w:val="single" w:sz="8" w:color="0000FF"/>
            </w:tcBorders>
            <w:shd w:val="clear" w:color="auto" w:fill="CCEEFF"/>
          </w:tcPr>
          <w:p>
            <w:pPr>
              <w:spacing w:after="0"/>
              <w:rPr>
                <w:sz w:val="12"/>
                <w:szCs w:val="12"/>
                <w:color w:val="auto"/>
              </w:rPr>
            </w:pPr>
          </w:p>
        </w:tc>
        <w:tc>
          <w:tcPr>
            <w:tcW w:w="76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9920" w:type="dxa"/>
            <w:vAlign w:val="bottom"/>
            <w:tcBorders>
              <w:top w:val="single" w:sz="8" w:color="CCEEFF"/>
            </w:tcBorders>
            <w:shd w:val="clear" w:color="auto" w:fill="CCEEFF"/>
          </w:tcPr>
          <w:p>
            <w:pPr>
              <w:ind w:left="20"/>
              <w:spacing w:after="0" w:line="143" w:lineRule="exact"/>
              <w:rPr>
                <w:sz w:val="20"/>
                <w:szCs w:val="20"/>
                <w:color w:val="auto"/>
              </w:rPr>
            </w:pPr>
            <w:r>
              <w:rPr>
                <w:rFonts w:ascii="Arial" w:cs="Arial" w:eastAsia="Arial" w:hAnsi="Arial"/>
                <w:sz w:val="14"/>
                <w:szCs w:val="14"/>
                <w:color w:val="auto"/>
              </w:rPr>
              <w:t>LLC, dated as of March 7, 2016 (incorporated by reference to Exhibit 10.10 of the Company's Amended Annual Report on Form 10-K/A, filed on April 29,</w:t>
            </w:r>
          </w:p>
        </w:tc>
      </w:tr>
      <w:tr>
        <w:trPr>
          <w:trHeight w:val="202"/>
        </w:trPr>
        <w:tc>
          <w:tcPr>
            <w:tcW w:w="2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920" w:type="dxa"/>
            <w:vAlign w:val="bottom"/>
            <w:shd w:val="clear" w:color="auto" w:fill="CCEEFF"/>
          </w:tcPr>
          <w:p>
            <w:pPr>
              <w:ind w:left="20"/>
              <w:spacing w:after="0"/>
              <w:rPr>
                <w:sz w:val="20"/>
                <w:szCs w:val="20"/>
                <w:color w:val="auto"/>
              </w:rPr>
            </w:pPr>
            <w:r>
              <w:rPr>
                <w:rFonts w:ascii="Arial" w:cs="Arial" w:eastAsia="Arial" w:hAnsi="Arial"/>
                <w:sz w:val="14"/>
                <w:szCs w:val="14"/>
                <w:color w:val="auto"/>
              </w:rPr>
              <w:t>2016).</w:t>
            </w:r>
          </w:p>
        </w:tc>
      </w:tr>
      <w:tr>
        <w:trPr>
          <w:trHeight w:val="176"/>
        </w:trPr>
        <w:tc>
          <w:tcPr>
            <w:tcW w:w="240" w:type="dxa"/>
            <w:vAlign w:val="bottom"/>
          </w:tcPr>
          <w:p>
            <w:pPr>
              <w:spacing w:after="0"/>
              <w:rPr>
                <w:sz w:val="15"/>
                <w:szCs w:val="15"/>
                <w:color w:val="auto"/>
              </w:rPr>
            </w:pPr>
          </w:p>
        </w:tc>
        <w:tc>
          <w:tcPr>
            <w:tcW w:w="380" w:type="dxa"/>
            <w:vAlign w:val="bottom"/>
            <w:gridSpan w:val="4"/>
          </w:tcPr>
          <w:p>
            <w:pPr>
              <w:ind w:left="20"/>
              <w:spacing w:after="0"/>
              <w:rPr>
                <w:rFonts w:ascii="Arial" w:cs="Arial" w:eastAsia="Arial" w:hAnsi="Arial"/>
                <w:sz w:val="14"/>
                <w:szCs w:val="14"/>
                <w:color w:val="0000FF"/>
                <w:w w:val="96"/>
              </w:rPr>
            </w:pPr>
            <w:hyperlink r:id="rId40">
              <w:r>
                <w:rPr>
                  <w:rFonts w:ascii="Arial" w:cs="Arial" w:eastAsia="Arial" w:hAnsi="Arial"/>
                  <w:sz w:val="14"/>
                  <w:szCs w:val="14"/>
                  <w:color w:val="0000FF"/>
                  <w:w w:val="96"/>
                </w:rPr>
                <w:t>10.</w:t>
              </w:r>
              <w:r>
                <w:rPr>
                  <w:rFonts w:ascii="Arial" w:cs="Arial" w:eastAsia="Arial" w:hAnsi="Arial"/>
                  <w:sz w:val="14"/>
                  <w:szCs w:val="14"/>
                  <w:u w:val="single" w:color="auto"/>
                  <w:color w:val="0000FF"/>
                  <w:w w:val="96"/>
                </w:rPr>
                <w:t>11</w:t>
              </w:r>
            </w:hyperlink>
          </w:p>
        </w:tc>
        <w:tc>
          <w:tcPr>
            <w:tcW w:w="7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920" w:type="dxa"/>
            <w:vAlign w:val="bottom"/>
          </w:tcPr>
          <w:p>
            <w:pPr>
              <w:ind w:left="20"/>
              <w:spacing w:after="0"/>
              <w:rPr>
                <w:sz w:val="20"/>
                <w:szCs w:val="20"/>
                <w:color w:val="auto"/>
              </w:rPr>
            </w:pPr>
            <w:r>
              <w:rPr>
                <w:rFonts w:ascii="Arial" w:cs="Arial" w:eastAsia="Arial" w:hAnsi="Arial"/>
                <w:sz w:val="14"/>
                <w:szCs w:val="14"/>
                <w:color w:val="auto"/>
              </w:rPr>
              <w:t>Lease and Development Agreement (Facilities Lease), dated as of February 1, 2016, by and between the Port of Beaumont Navigation District of Jefferson</w:t>
            </w:r>
          </w:p>
        </w:tc>
      </w:tr>
      <w:tr>
        <w:trPr>
          <w:trHeight w:val="142"/>
        </w:trPr>
        <w:tc>
          <w:tcPr>
            <w:tcW w:w="2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Borders>
              <w:top w:val="single" w:sz="8" w:color="0000FF"/>
            </w:tcBorders>
          </w:tcPr>
          <w:p>
            <w:pPr>
              <w:spacing w:after="0"/>
              <w:rPr>
                <w:sz w:val="12"/>
                <w:szCs w:val="12"/>
                <w:color w:val="auto"/>
              </w:rPr>
            </w:pPr>
          </w:p>
        </w:tc>
        <w:tc>
          <w:tcPr>
            <w:tcW w:w="80" w:type="dxa"/>
            <w:vAlign w:val="bottom"/>
            <w:tcBorders>
              <w:top w:val="single" w:sz="8" w:color="0000FF"/>
            </w:tcBorders>
          </w:tcPr>
          <w:p>
            <w:pPr>
              <w:spacing w:after="0"/>
              <w:rPr>
                <w:sz w:val="12"/>
                <w:szCs w:val="12"/>
                <w:color w:val="auto"/>
              </w:rPr>
            </w:pPr>
          </w:p>
        </w:tc>
        <w:tc>
          <w:tcPr>
            <w:tcW w:w="80" w:type="dxa"/>
            <w:vAlign w:val="bottom"/>
            <w:tcBorders>
              <w:top w:val="single" w:sz="8" w:color="0000FF"/>
            </w:tcBorders>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920" w:type="dxa"/>
            <w:vAlign w:val="bottom"/>
          </w:tcPr>
          <w:p>
            <w:pPr>
              <w:ind w:left="20"/>
              <w:spacing w:after="0" w:line="143" w:lineRule="exact"/>
              <w:rPr>
                <w:sz w:val="20"/>
                <w:szCs w:val="20"/>
                <w:color w:val="auto"/>
              </w:rPr>
            </w:pPr>
            <w:r>
              <w:rPr>
                <w:rFonts w:ascii="Arial" w:cs="Arial" w:eastAsia="Arial" w:hAnsi="Arial"/>
                <w:sz w:val="14"/>
                <w:szCs w:val="14"/>
                <w:color w:val="auto"/>
              </w:rPr>
              <w:t>County, Texas and Jefferson Railport Terminal II LLC (incorporated by reference to Exhibit 10.11 of the Company's Annual Report on Form 10-K, filed on</w:t>
            </w:r>
          </w:p>
        </w:tc>
      </w:tr>
      <w:tr>
        <w:trPr>
          <w:trHeight w:val="198"/>
        </w:trPr>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920" w:type="dxa"/>
            <w:vAlign w:val="bottom"/>
          </w:tcPr>
          <w:p>
            <w:pPr>
              <w:ind w:left="20"/>
              <w:spacing w:after="0"/>
              <w:rPr>
                <w:sz w:val="20"/>
                <w:szCs w:val="20"/>
                <w:color w:val="auto"/>
              </w:rPr>
            </w:pPr>
            <w:r>
              <w:rPr>
                <w:rFonts w:ascii="Arial" w:cs="Arial" w:eastAsia="Arial" w:hAnsi="Arial"/>
                <w:sz w:val="14"/>
                <w:szCs w:val="14"/>
                <w:color w:val="auto"/>
              </w:rPr>
              <w:t>March 10, 2016).</w:t>
            </w:r>
          </w:p>
        </w:tc>
      </w:tr>
      <w:tr>
        <w:trPr>
          <w:trHeight w:val="180"/>
        </w:trPr>
        <w:tc>
          <w:tcPr>
            <w:tcW w:w="240" w:type="dxa"/>
            <w:vAlign w:val="bottom"/>
            <w:shd w:val="clear" w:color="auto" w:fill="CCEEFF"/>
          </w:tcPr>
          <w:p>
            <w:pPr>
              <w:spacing w:after="0"/>
              <w:rPr>
                <w:sz w:val="15"/>
                <w:szCs w:val="15"/>
                <w:color w:val="auto"/>
              </w:rPr>
            </w:pPr>
          </w:p>
        </w:tc>
        <w:tc>
          <w:tcPr>
            <w:tcW w:w="1140" w:type="dxa"/>
            <w:vAlign w:val="bottom"/>
            <w:gridSpan w:val="5"/>
            <w:shd w:val="clear" w:color="auto" w:fill="CCEEFF"/>
          </w:tcPr>
          <w:p>
            <w:pPr>
              <w:ind w:left="20"/>
              <w:spacing w:after="0"/>
              <w:rPr>
                <w:rFonts w:ascii="Arial" w:cs="Arial" w:eastAsia="Arial" w:hAnsi="Arial"/>
                <w:sz w:val="14"/>
                <w:szCs w:val="14"/>
                <w:color w:val="0000FF"/>
              </w:rPr>
            </w:pPr>
            <w:hyperlink r:id="rId41">
              <w:r>
                <w:rPr>
                  <w:rFonts w:ascii="Arial" w:cs="Arial" w:eastAsia="Arial" w:hAnsi="Arial"/>
                  <w:sz w:val="14"/>
                  <w:szCs w:val="14"/>
                  <w:color w:val="0000FF"/>
                </w:rPr>
                <w:t>10.</w:t>
              </w:r>
              <w:r>
                <w:rPr>
                  <w:rFonts w:ascii="Arial" w:cs="Arial" w:eastAsia="Arial" w:hAnsi="Arial"/>
                  <w:sz w:val="14"/>
                  <w:szCs w:val="14"/>
                  <w:u w:val="single" w:color="auto"/>
                  <w:color w:val="0000FF"/>
                </w:rPr>
                <w:t>12</w:t>
              </w:r>
            </w:hyperlink>
          </w:p>
        </w:tc>
        <w:tc>
          <w:tcPr>
            <w:tcW w:w="120" w:type="dxa"/>
            <w:vAlign w:val="bottom"/>
            <w:shd w:val="clear" w:color="auto" w:fill="CCEEFF"/>
          </w:tcPr>
          <w:p>
            <w:pPr>
              <w:spacing w:after="0"/>
              <w:rPr>
                <w:sz w:val="15"/>
                <w:szCs w:val="15"/>
                <w:color w:val="auto"/>
              </w:rPr>
            </w:pPr>
          </w:p>
        </w:tc>
        <w:tc>
          <w:tcPr>
            <w:tcW w:w="9920" w:type="dxa"/>
            <w:vAlign w:val="bottom"/>
            <w:shd w:val="clear" w:color="auto" w:fill="CCEEFF"/>
          </w:tcPr>
          <w:p>
            <w:pPr>
              <w:ind w:left="20"/>
              <w:spacing w:after="0"/>
              <w:rPr>
                <w:sz w:val="20"/>
                <w:szCs w:val="20"/>
                <w:color w:val="auto"/>
              </w:rPr>
            </w:pPr>
            <w:r>
              <w:rPr>
                <w:rFonts w:ascii="Arial" w:cs="Arial" w:eastAsia="Arial" w:hAnsi="Arial"/>
                <w:sz w:val="14"/>
                <w:szCs w:val="14"/>
                <w:color w:val="auto"/>
              </w:rPr>
              <w:t>Deed of Trust of Jefferson Railport Terminal II LLC, dated as of February 1, 2016 (incorporated by reference to Exhibit 10.12 of the Company's Annual</w:t>
            </w:r>
          </w:p>
        </w:tc>
      </w:tr>
      <w:tr>
        <w:trPr>
          <w:trHeight w:val="183"/>
        </w:trPr>
        <w:tc>
          <w:tcPr>
            <w:tcW w:w="24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0000FF"/>
            </w:tcBorders>
            <w:shd w:val="clear" w:color="auto" w:fill="CCEEFF"/>
          </w:tcPr>
          <w:p>
            <w:pPr>
              <w:spacing w:after="0"/>
              <w:rPr>
                <w:sz w:val="15"/>
                <w:szCs w:val="15"/>
                <w:color w:val="auto"/>
              </w:rPr>
            </w:pPr>
          </w:p>
        </w:tc>
        <w:tc>
          <w:tcPr>
            <w:tcW w:w="80" w:type="dxa"/>
            <w:vAlign w:val="bottom"/>
            <w:tcBorders>
              <w:top w:val="single" w:sz="8" w:color="0000FF"/>
            </w:tcBorders>
            <w:shd w:val="clear" w:color="auto" w:fill="CCEEFF"/>
          </w:tcPr>
          <w:p>
            <w:pPr>
              <w:spacing w:after="0"/>
              <w:rPr>
                <w:sz w:val="15"/>
                <w:szCs w:val="15"/>
                <w:color w:val="auto"/>
              </w:rPr>
            </w:pPr>
          </w:p>
        </w:tc>
        <w:tc>
          <w:tcPr>
            <w:tcW w:w="80" w:type="dxa"/>
            <w:vAlign w:val="bottom"/>
            <w:tcBorders>
              <w:top w:val="single" w:sz="8" w:color="0000FF"/>
            </w:tcBorders>
            <w:shd w:val="clear" w:color="auto" w:fill="CCEEFF"/>
          </w:tcPr>
          <w:p>
            <w:pPr>
              <w:spacing w:after="0"/>
              <w:rPr>
                <w:sz w:val="15"/>
                <w:szCs w:val="15"/>
                <w:color w:val="auto"/>
              </w:rPr>
            </w:pPr>
          </w:p>
        </w:tc>
        <w:tc>
          <w:tcPr>
            <w:tcW w:w="76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99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Report on Form 10-K, filed on March 10, 2016).</w:t>
            </w:r>
          </w:p>
        </w:tc>
      </w:tr>
      <w:tr>
        <w:trPr>
          <w:trHeight w:val="176"/>
        </w:trPr>
        <w:tc>
          <w:tcPr>
            <w:tcW w:w="240" w:type="dxa"/>
            <w:vAlign w:val="bottom"/>
          </w:tcPr>
          <w:p>
            <w:pPr>
              <w:spacing w:after="0"/>
              <w:rPr>
                <w:sz w:val="15"/>
                <w:szCs w:val="15"/>
                <w:color w:val="auto"/>
              </w:rPr>
            </w:pPr>
          </w:p>
        </w:tc>
        <w:tc>
          <w:tcPr>
            <w:tcW w:w="1140" w:type="dxa"/>
            <w:vAlign w:val="bottom"/>
            <w:gridSpan w:val="5"/>
          </w:tcPr>
          <w:p>
            <w:pPr>
              <w:ind w:left="20"/>
              <w:spacing w:after="0"/>
              <w:rPr>
                <w:rFonts w:ascii="Arial" w:cs="Arial" w:eastAsia="Arial" w:hAnsi="Arial"/>
                <w:sz w:val="14"/>
                <w:szCs w:val="14"/>
                <w:color w:val="0000FF"/>
              </w:rPr>
            </w:pPr>
            <w:hyperlink r:id="rId42">
              <w:r>
                <w:rPr>
                  <w:rFonts w:ascii="Arial" w:cs="Arial" w:eastAsia="Arial" w:hAnsi="Arial"/>
                  <w:sz w:val="14"/>
                  <w:szCs w:val="14"/>
                  <w:color w:val="0000FF"/>
                </w:rPr>
                <w:t>10.</w:t>
              </w:r>
              <w:r>
                <w:rPr>
                  <w:rFonts w:ascii="Arial" w:cs="Arial" w:eastAsia="Arial" w:hAnsi="Arial"/>
                  <w:sz w:val="14"/>
                  <w:szCs w:val="14"/>
                  <w:u w:val="single" w:color="auto"/>
                  <w:color w:val="0000FF"/>
                </w:rPr>
                <w:t>13</w:t>
              </w:r>
            </w:hyperlink>
          </w:p>
        </w:tc>
        <w:tc>
          <w:tcPr>
            <w:tcW w:w="120" w:type="dxa"/>
            <w:vAlign w:val="bottom"/>
          </w:tcPr>
          <w:p>
            <w:pPr>
              <w:spacing w:after="0"/>
              <w:rPr>
                <w:sz w:val="15"/>
                <w:szCs w:val="15"/>
                <w:color w:val="auto"/>
              </w:rPr>
            </w:pPr>
          </w:p>
        </w:tc>
        <w:tc>
          <w:tcPr>
            <w:tcW w:w="9920" w:type="dxa"/>
            <w:vAlign w:val="bottom"/>
          </w:tcPr>
          <w:p>
            <w:pPr>
              <w:ind w:left="20"/>
              <w:spacing w:after="0"/>
              <w:rPr>
                <w:sz w:val="20"/>
                <w:szCs w:val="20"/>
                <w:color w:val="auto"/>
              </w:rPr>
            </w:pPr>
            <w:r>
              <w:rPr>
                <w:rFonts w:ascii="Arial" w:cs="Arial" w:eastAsia="Arial" w:hAnsi="Arial"/>
                <w:sz w:val="14"/>
                <w:szCs w:val="14"/>
                <w:color w:val="auto"/>
              </w:rPr>
              <w:t>Credit Agreement, dated January 23, 2017, among Fortress Transportation and Infrastructure Investors LLC, as holdings, Fortress Worldwide</w:t>
            </w:r>
          </w:p>
        </w:tc>
      </w:tr>
      <w:tr>
        <w:trPr>
          <w:trHeight w:val="142"/>
        </w:trPr>
        <w:tc>
          <w:tcPr>
            <w:tcW w:w="2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Borders>
              <w:top w:val="single" w:sz="8" w:color="0000FF"/>
            </w:tcBorders>
          </w:tcPr>
          <w:p>
            <w:pPr>
              <w:spacing w:after="0"/>
              <w:rPr>
                <w:sz w:val="12"/>
                <w:szCs w:val="12"/>
                <w:color w:val="auto"/>
              </w:rPr>
            </w:pPr>
          </w:p>
        </w:tc>
        <w:tc>
          <w:tcPr>
            <w:tcW w:w="80" w:type="dxa"/>
            <w:vAlign w:val="bottom"/>
            <w:tcBorders>
              <w:top w:val="single" w:sz="8" w:color="0000FF"/>
            </w:tcBorders>
          </w:tcPr>
          <w:p>
            <w:pPr>
              <w:spacing w:after="0"/>
              <w:rPr>
                <w:sz w:val="12"/>
                <w:szCs w:val="12"/>
                <w:color w:val="auto"/>
              </w:rPr>
            </w:pPr>
          </w:p>
        </w:tc>
        <w:tc>
          <w:tcPr>
            <w:tcW w:w="80" w:type="dxa"/>
            <w:vAlign w:val="bottom"/>
            <w:tcBorders>
              <w:top w:val="single" w:sz="8" w:color="0000FF"/>
            </w:tcBorders>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920" w:type="dxa"/>
            <w:vAlign w:val="bottom"/>
          </w:tcPr>
          <w:p>
            <w:pPr>
              <w:ind w:left="20"/>
              <w:spacing w:after="0" w:line="143" w:lineRule="exact"/>
              <w:rPr>
                <w:sz w:val="20"/>
                <w:szCs w:val="20"/>
                <w:color w:val="auto"/>
              </w:rPr>
            </w:pPr>
            <w:r>
              <w:rPr>
                <w:rFonts w:ascii="Arial" w:cs="Arial" w:eastAsia="Arial" w:hAnsi="Arial"/>
                <w:sz w:val="14"/>
                <w:szCs w:val="14"/>
                <w:color w:val="auto"/>
              </w:rPr>
              <w:t>Transportation and Infrastructure General Partnership, as IntermediateCo, WWTAI Finance Ltd., as Borrower, the Subsidiary Guarantors from time to time</w:t>
            </w:r>
          </w:p>
        </w:tc>
      </w:tr>
      <w:tr>
        <w:trPr>
          <w:trHeight w:val="162"/>
        </w:trPr>
        <w:tc>
          <w:tcPr>
            <w:tcW w:w="2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920" w:type="dxa"/>
            <w:vAlign w:val="bottom"/>
          </w:tcPr>
          <w:p>
            <w:pPr>
              <w:ind w:left="20"/>
              <w:spacing w:after="0"/>
              <w:rPr>
                <w:sz w:val="20"/>
                <w:szCs w:val="20"/>
                <w:color w:val="auto"/>
              </w:rPr>
            </w:pPr>
            <w:r>
              <w:rPr>
                <w:rFonts w:ascii="Arial" w:cs="Arial" w:eastAsia="Arial" w:hAnsi="Arial"/>
                <w:sz w:val="14"/>
                <w:szCs w:val="14"/>
                <w:color w:val="auto"/>
              </w:rPr>
              <w:t>party thereto, the lenders from time to time party thereto and Morgan Stanley Senior Funding, Inc., as Administrative Agent (incorporated by reference to</w:t>
            </w:r>
          </w:p>
        </w:tc>
      </w:tr>
      <w:tr>
        <w:trPr>
          <w:trHeight w:val="198"/>
        </w:trPr>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920" w:type="dxa"/>
            <w:vAlign w:val="bottom"/>
          </w:tcPr>
          <w:p>
            <w:pPr>
              <w:ind w:left="20"/>
              <w:spacing w:after="0"/>
              <w:rPr>
                <w:sz w:val="20"/>
                <w:szCs w:val="20"/>
                <w:color w:val="auto"/>
              </w:rPr>
            </w:pPr>
            <w:r>
              <w:rPr>
                <w:rFonts w:ascii="Arial" w:cs="Arial" w:eastAsia="Arial" w:hAnsi="Arial"/>
                <w:sz w:val="14"/>
                <w:szCs w:val="14"/>
                <w:color w:val="auto"/>
              </w:rPr>
              <w:t>Exhibit 10.1 of the Company's Current Report on Form 8-K, filed on January 27, 2017).</w:t>
            </w:r>
          </w:p>
        </w:tc>
      </w:tr>
      <w:tr>
        <w:trPr>
          <w:trHeight w:val="180"/>
        </w:trPr>
        <w:tc>
          <w:tcPr>
            <w:tcW w:w="240" w:type="dxa"/>
            <w:vAlign w:val="bottom"/>
            <w:shd w:val="clear" w:color="auto" w:fill="CCEEFF"/>
          </w:tcPr>
          <w:p>
            <w:pPr>
              <w:spacing w:after="0"/>
              <w:rPr>
                <w:sz w:val="15"/>
                <w:szCs w:val="15"/>
                <w:color w:val="auto"/>
              </w:rPr>
            </w:pPr>
          </w:p>
        </w:tc>
        <w:tc>
          <w:tcPr>
            <w:tcW w:w="1140" w:type="dxa"/>
            <w:vAlign w:val="bottom"/>
            <w:gridSpan w:val="5"/>
            <w:shd w:val="clear" w:color="auto" w:fill="CCEEFF"/>
          </w:tcPr>
          <w:p>
            <w:pPr>
              <w:ind w:left="20"/>
              <w:spacing w:after="0"/>
              <w:rPr>
                <w:rFonts w:ascii="Arial" w:cs="Arial" w:eastAsia="Arial" w:hAnsi="Arial"/>
                <w:sz w:val="14"/>
                <w:szCs w:val="14"/>
                <w:color w:val="0000FF"/>
              </w:rPr>
            </w:pPr>
            <w:hyperlink r:id="rId43">
              <w:r>
                <w:rPr>
                  <w:rFonts w:ascii="Arial" w:cs="Arial" w:eastAsia="Arial" w:hAnsi="Arial"/>
                  <w:sz w:val="14"/>
                  <w:szCs w:val="14"/>
                  <w:color w:val="0000FF"/>
                </w:rPr>
                <w:t>10.</w:t>
              </w:r>
              <w:r>
                <w:rPr>
                  <w:rFonts w:ascii="Arial" w:cs="Arial" w:eastAsia="Arial" w:hAnsi="Arial"/>
                  <w:sz w:val="14"/>
                  <w:szCs w:val="14"/>
                  <w:u w:val="single" w:color="auto"/>
                  <w:color w:val="0000FF"/>
                </w:rPr>
                <w:t>14</w:t>
              </w:r>
            </w:hyperlink>
          </w:p>
        </w:tc>
        <w:tc>
          <w:tcPr>
            <w:tcW w:w="120" w:type="dxa"/>
            <w:vAlign w:val="bottom"/>
            <w:shd w:val="clear" w:color="auto" w:fill="CCEEFF"/>
          </w:tcPr>
          <w:p>
            <w:pPr>
              <w:spacing w:after="0"/>
              <w:rPr>
                <w:sz w:val="15"/>
                <w:szCs w:val="15"/>
                <w:color w:val="auto"/>
              </w:rPr>
            </w:pPr>
          </w:p>
        </w:tc>
        <w:tc>
          <w:tcPr>
            <w:tcW w:w="9920" w:type="dxa"/>
            <w:vAlign w:val="bottom"/>
            <w:shd w:val="clear" w:color="auto" w:fill="CCEEFF"/>
          </w:tcPr>
          <w:p>
            <w:pPr>
              <w:ind w:left="20"/>
              <w:spacing w:after="0"/>
              <w:rPr>
                <w:sz w:val="20"/>
                <w:szCs w:val="20"/>
                <w:color w:val="auto"/>
              </w:rPr>
            </w:pPr>
            <w:r>
              <w:rPr>
                <w:rFonts w:ascii="Arial" w:cs="Arial" w:eastAsia="Arial" w:hAnsi="Arial"/>
                <w:sz w:val="14"/>
                <w:szCs w:val="14"/>
                <w:color w:val="auto"/>
              </w:rPr>
              <w:t>Credit Agreement, dated June 16, 2017, among Fortress Transportation and Infrastructure Investors LLC, as Borrower, the lenders and issuing banks from</w:t>
            </w:r>
          </w:p>
        </w:tc>
      </w:tr>
      <w:tr>
        <w:trPr>
          <w:trHeight w:val="142"/>
        </w:trPr>
        <w:tc>
          <w:tcPr>
            <w:tcW w:w="24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200" w:type="dxa"/>
            <w:vAlign w:val="bottom"/>
            <w:tcBorders>
              <w:top w:val="single" w:sz="8" w:color="0000FF"/>
            </w:tcBorders>
            <w:shd w:val="clear" w:color="auto" w:fill="CCEEFF"/>
          </w:tcPr>
          <w:p>
            <w:pPr>
              <w:spacing w:after="0"/>
              <w:rPr>
                <w:sz w:val="12"/>
                <w:szCs w:val="12"/>
                <w:color w:val="auto"/>
              </w:rPr>
            </w:pPr>
          </w:p>
        </w:tc>
        <w:tc>
          <w:tcPr>
            <w:tcW w:w="80" w:type="dxa"/>
            <w:vAlign w:val="bottom"/>
            <w:tcBorders>
              <w:top w:val="single" w:sz="8" w:color="0000FF"/>
            </w:tcBorders>
            <w:shd w:val="clear" w:color="auto" w:fill="CCEEFF"/>
          </w:tcPr>
          <w:p>
            <w:pPr>
              <w:spacing w:after="0"/>
              <w:rPr>
                <w:sz w:val="12"/>
                <w:szCs w:val="12"/>
                <w:color w:val="auto"/>
              </w:rPr>
            </w:pPr>
          </w:p>
        </w:tc>
        <w:tc>
          <w:tcPr>
            <w:tcW w:w="80" w:type="dxa"/>
            <w:vAlign w:val="bottom"/>
            <w:tcBorders>
              <w:top w:val="single" w:sz="8" w:color="0000FF"/>
            </w:tcBorders>
            <w:shd w:val="clear" w:color="auto" w:fill="CCEEFF"/>
          </w:tcPr>
          <w:p>
            <w:pPr>
              <w:spacing w:after="0"/>
              <w:rPr>
                <w:sz w:val="12"/>
                <w:szCs w:val="12"/>
                <w:color w:val="auto"/>
              </w:rPr>
            </w:pPr>
          </w:p>
        </w:tc>
        <w:tc>
          <w:tcPr>
            <w:tcW w:w="76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9920" w:type="dxa"/>
            <w:vAlign w:val="bottom"/>
            <w:tcBorders>
              <w:top w:val="single" w:sz="8" w:color="CCEEFF"/>
            </w:tcBorders>
            <w:shd w:val="clear" w:color="auto" w:fill="CCEEFF"/>
          </w:tcPr>
          <w:p>
            <w:pPr>
              <w:ind w:left="20"/>
              <w:spacing w:after="0" w:line="143" w:lineRule="exact"/>
              <w:rPr>
                <w:sz w:val="20"/>
                <w:szCs w:val="20"/>
                <w:color w:val="auto"/>
              </w:rPr>
            </w:pPr>
            <w:r>
              <w:rPr>
                <w:rFonts w:ascii="Arial" w:cs="Arial" w:eastAsia="Arial" w:hAnsi="Arial"/>
                <w:sz w:val="14"/>
                <w:szCs w:val="14"/>
                <w:color w:val="auto"/>
              </w:rPr>
              <w:t>time to time party thereto and JPMorgan Chase Bank, N.A., as Administrative Agent (incorporated by reference to Exhibit 10.1 of the Company’s Current</w:t>
            </w:r>
          </w:p>
        </w:tc>
      </w:tr>
      <w:tr>
        <w:trPr>
          <w:trHeight w:val="202"/>
        </w:trPr>
        <w:tc>
          <w:tcPr>
            <w:tcW w:w="2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920" w:type="dxa"/>
            <w:vAlign w:val="bottom"/>
            <w:shd w:val="clear" w:color="auto" w:fill="CCEEFF"/>
          </w:tcPr>
          <w:p>
            <w:pPr>
              <w:ind w:left="20"/>
              <w:spacing w:after="0"/>
              <w:rPr>
                <w:sz w:val="20"/>
                <w:szCs w:val="20"/>
                <w:color w:val="auto"/>
              </w:rPr>
            </w:pPr>
            <w:r>
              <w:rPr>
                <w:rFonts w:ascii="Arial" w:cs="Arial" w:eastAsia="Arial" w:hAnsi="Arial"/>
                <w:sz w:val="14"/>
                <w:szCs w:val="14"/>
                <w:color w:val="auto"/>
              </w:rPr>
              <w:t>Report on Form 8-K, filed on June 22, 2017).</w:t>
            </w:r>
          </w:p>
        </w:tc>
      </w:tr>
      <w:tr>
        <w:trPr>
          <w:trHeight w:val="176"/>
        </w:trPr>
        <w:tc>
          <w:tcPr>
            <w:tcW w:w="240" w:type="dxa"/>
            <w:vAlign w:val="bottom"/>
          </w:tcPr>
          <w:p>
            <w:pPr>
              <w:spacing w:after="0"/>
              <w:rPr>
                <w:sz w:val="15"/>
                <w:szCs w:val="15"/>
                <w:color w:val="auto"/>
              </w:rPr>
            </w:pPr>
          </w:p>
        </w:tc>
        <w:tc>
          <w:tcPr>
            <w:tcW w:w="380" w:type="dxa"/>
            <w:vAlign w:val="bottom"/>
            <w:gridSpan w:val="4"/>
          </w:tcPr>
          <w:p>
            <w:pPr>
              <w:ind w:left="20"/>
              <w:spacing w:after="0"/>
              <w:rPr>
                <w:rFonts w:ascii="Arial" w:cs="Arial" w:eastAsia="Arial" w:hAnsi="Arial"/>
                <w:sz w:val="14"/>
                <w:szCs w:val="14"/>
                <w:color w:val="0000FF"/>
              </w:rPr>
            </w:pPr>
            <w:hyperlink w:anchor="page100">
              <w:r>
                <w:rPr>
                  <w:rFonts w:ascii="Arial" w:cs="Arial" w:eastAsia="Arial" w:hAnsi="Arial"/>
                  <w:sz w:val="14"/>
                  <w:szCs w:val="14"/>
                  <w:color w:val="0000FF"/>
                </w:rPr>
                <w:t>31.</w:t>
              </w:r>
              <w:r>
                <w:rPr>
                  <w:rFonts w:ascii="Arial" w:cs="Arial" w:eastAsia="Arial" w:hAnsi="Arial"/>
                  <w:sz w:val="14"/>
                  <w:szCs w:val="14"/>
                  <w:u w:val="single" w:color="auto"/>
                  <w:color w:val="0000FF"/>
                </w:rPr>
                <w:t>1</w:t>
              </w:r>
            </w:hyperlink>
          </w:p>
        </w:tc>
        <w:tc>
          <w:tcPr>
            <w:tcW w:w="7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920" w:type="dxa"/>
            <w:vAlign w:val="bottom"/>
          </w:tcPr>
          <w:p>
            <w:pPr>
              <w:ind w:left="20"/>
              <w:spacing w:after="0"/>
              <w:rPr>
                <w:sz w:val="20"/>
                <w:szCs w:val="20"/>
                <w:color w:val="auto"/>
              </w:rPr>
            </w:pPr>
            <w:r>
              <w:rPr>
                <w:rFonts w:ascii="Arial" w:cs="Arial" w:eastAsia="Arial" w:hAnsi="Arial"/>
                <w:sz w:val="14"/>
                <w:szCs w:val="14"/>
                <w:color w:val="auto"/>
              </w:rPr>
              <w:t>Certification of Chief Executive Officer pursuant to Rule 13a-14(a)/15d-14(a), as adopted pursuant to Section 302 of the Sarbanes-Oxley Act of 2002.</w:t>
            </w:r>
          </w:p>
        </w:tc>
      </w:tr>
      <w:tr>
        <w:trPr>
          <w:trHeight w:val="75"/>
        </w:trPr>
        <w:tc>
          <w:tcPr>
            <w:tcW w:w="240" w:type="dxa"/>
            <w:vAlign w:val="bottom"/>
          </w:tcPr>
          <w:p>
            <w:pPr>
              <w:spacing w:after="0"/>
              <w:rPr>
                <w:sz w:val="6"/>
                <w:szCs w:val="6"/>
                <w:color w:val="auto"/>
              </w:rPr>
            </w:pPr>
          </w:p>
        </w:tc>
        <w:tc>
          <w:tcPr>
            <w:tcW w:w="20" w:type="dxa"/>
            <w:vAlign w:val="bottom"/>
          </w:tcPr>
          <w:p>
            <w:pPr>
              <w:spacing w:after="0"/>
              <w:rPr>
                <w:sz w:val="6"/>
                <w:szCs w:val="6"/>
                <w:color w:val="auto"/>
              </w:rPr>
            </w:pPr>
          </w:p>
        </w:tc>
        <w:tc>
          <w:tcPr>
            <w:tcW w:w="200" w:type="dxa"/>
            <w:vAlign w:val="bottom"/>
            <w:tcBorders>
              <w:top w:val="single" w:sz="8" w:color="0000FF"/>
            </w:tcBorders>
          </w:tcPr>
          <w:p>
            <w:pPr>
              <w:spacing w:after="0"/>
              <w:rPr>
                <w:sz w:val="6"/>
                <w:szCs w:val="6"/>
                <w:color w:val="auto"/>
              </w:rPr>
            </w:pPr>
          </w:p>
        </w:tc>
        <w:tc>
          <w:tcPr>
            <w:tcW w:w="80" w:type="dxa"/>
            <w:vAlign w:val="bottom"/>
            <w:tcBorders>
              <w:top w:val="single" w:sz="8" w:color="0000FF"/>
            </w:tcBorders>
          </w:tcPr>
          <w:p>
            <w:pPr>
              <w:spacing w:after="0"/>
              <w:rPr>
                <w:sz w:val="6"/>
                <w:szCs w:val="6"/>
                <w:color w:val="auto"/>
              </w:rPr>
            </w:pPr>
          </w:p>
        </w:tc>
        <w:tc>
          <w:tcPr>
            <w:tcW w:w="80" w:type="dxa"/>
            <w:vAlign w:val="bottom"/>
          </w:tcPr>
          <w:p>
            <w:pPr>
              <w:spacing w:after="0"/>
              <w:rPr>
                <w:sz w:val="6"/>
                <w:szCs w:val="6"/>
                <w:color w:val="auto"/>
              </w:rPr>
            </w:pPr>
          </w:p>
        </w:tc>
        <w:tc>
          <w:tcPr>
            <w:tcW w:w="760" w:type="dxa"/>
            <w:vAlign w:val="bottom"/>
          </w:tcPr>
          <w:p>
            <w:pPr>
              <w:spacing w:after="0"/>
              <w:rPr>
                <w:sz w:val="6"/>
                <w:szCs w:val="6"/>
                <w:color w:val="auto"/>
              </w:rPr>
            </w:pPr>
          </w:p>
        </w:tc>
        <w:tc>
          <w:tcPr>
            <w:tcW w:w="120" w:type="dxa"/>
            <w:vAlign w:val="bottom"/>
          </w:tcPr>
          <w:p>
            <w:pPr>
              <w:spacing w:after="0"/>
              <w:rPr>
                <w:sz w:val="6"/>
                <w:szCs w:val="6"/>
                <w:color w:val="auto"/>
              </w:rPr>
            </w:pPr>
          </w:p>
        </w:tc>
        <w:tc>
          <w:tcPr>
            <w:tcW w:w="9920" w:type="dxa"/>
            <w:vAlign w:val="bottom"/>
          </w:tcPr>
          <w:p>
            <w:pPr>
              <w:spacing w:after="0"/>
              <w:rPr>
                <w:sz w:val="6"/>
                <w:szCs w:val="6"/>
                <w:color w:val="auto"/>
              </w:rPr>
            </w:pPr>
          </w:p>
        </w:tc>
      </w:tr>
      <w:tr>
        <w:trPr>
          <w:trHeight w:val="176"/>
        </w:trPr>
        <w:tc>
          <w:tcPr>
            <w:tcW w:w="240" w:type="dxa"/>
            <w:vAlign w:val="bottom"/>
            <w:shd w:val="clear" w:color="auto" w:fill="CCEEFF"/>
          </w:tcPr>
          <w:p>
            <w:pPr>
              <w:spacing w:after="0"/>
              <w:rPr>
                <w:sz w:val="15"/>
                <w:szCs w:val="15"/>
                <w:color w:val="auto"/>
              </w:rPr>
            </w:pPr>
          </w:p>
        </w:tc>
        <w:tc>
          <w:tcPr>
            <w:tcW w:w="380" w:type="dxa"/>
            <w:vAlign w:val="bottom"/>
            <w:gridSpan w:val="4"/>
            <w:shd w:val="clear" w:color="auto" w:fill="CCEEFF"/>
          </w:tcPr>
          <w:p>
            <w:pPr>
              <w:ind w:left="20"/>
              <w:spacing w:after="0"/>
              <w:rPr>
                <w:rFonts w:ascii="Arial" w:cs="Arial" w:eastAsia="Arial" w:hAnsi="Arial"/>
                <w:sz w:val="14"/>
                <w:szCs w:val="14"/>
                <w:color w:val="0000FF"/>
              </w:rPr>
            </w:pPr>
            <w:hyperlink w:anchor="page101">
              <w:r>
                <w:rPr>
                  <w:rFonts w:ascii="Arial" w:cs="Arial" w:eastAsia="Arial" w:hAnsi="Arial"/>
                  <w:sz w:val="14"/>
                  <w:szCs w:val="14"/>
                  <w:color w:val="0000FF"/>
                </w:rPr>
                <w:t>31.</w:t>
              </w:r>
              <w:r>
                <w:rPr>
                  <w:rFonts w:ascii="Arial" w:cs="Arial" w:eastAsia="Arial" w:hAnsi="Arial"/>
                  <w:sz w:val="14"/>
                  <w:szCs w:val="14"/>
                  <w:u w:val="single" w:color="auto"/>
                  <w:color w:val="0000FF"/>
                </w:rPr>
                <w:t>2</w:t>
              </w:r>
            </w:hyperlink>
          </w:p>
        </w:tc>
        <w:tc>
          <w:tcPr>
            <w:tcW w:w="7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920" w:type="dxa"/>
            <w:vAlign w:val="bottom"/>
            <w:shd w:val="clear" w:color="auto" w:fill="CCEEFF"/>
          </w:tcPr>
          <w:p>
            <w:pPr>
              <w:ind w:left="20"/>
              <w:spacing w:after="0"/>
              <w:rPr>
                <w:sz w:val="20"/>
                <w:szCs w:val="20"/>
                <w:color w:val="auto"/>
              </w:rPr>
            </w:pPr>
            <w:r>
              <w:rPr>
                <w:rFonts w:ascii="Arial" w:cs="Arial" w:eastAsia="Arial" w:hAnsi="Arial"/>
                <w:sz w:val="14"/>
                <w:szCs w:val="14"/>
                <w:color w:val="auto"/>
              </w:rPr>
              <w:t>Certification of Chief Financial Officer pursuant to Rule 13a-14(a)/15d-14(a), as adopted pursuant to Section 302 of the Sarbanes-Oxley Act of 2002</w:t>
            </w:r>
          </w:p>
        </w:tc>
      </w:tr>
      <w:tr>
        <w:trPr>
          <w:trHeight w:val="75"/>
        </w:trPr>
        <w:tc>
          <w:tcPr>
            <w:tcW w:w="24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200" w:type="dxa"/>
            <w:vAlign w:val="bottom"/>
            <w:tcBorders>
              <w:top w:val="single" w:sz="8" w:color="0000FF"/>
            </w:tcBorders>
            <w:shd w:val="clear" w:color="auto" w:fill="CCEEFF"/>
          </w:tcPr>
          <w:p>
            <w:pPr>
              <w:spacing w:after="0"/>
              <w:rPr>
                <w:sz w:val="6"/>
                <w:szCs w:val="6"/>
                <w:color w:val="auto"/>
              </w:rPr>
            </w:pPr>
          </w:p>
        </w:tc>
        <w:tc>
          <w:tcPr>
            <w:tcW w:w="80" w:type="dxa"/>
            <w:vAlign w:val="bottom"/>
            <w:tcBorders>
              <w:top w:val="single" w:sz="8" w:color="0000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760" w:type="dxa"/>
            <w:vAlign w:val="bottom"/>
            <w:tcBorders>
              <w:top w:val="single" w:sz="8" w:color="CCEEFF"/>
            </w:tcBorders>
            <w:shd w:val="clear" w:color="auto" w:fill="CCEEFF"/>
          </w:tcPr>
          <w:p>
            <w:pPr>
              <w:spacing w:after="0"/>
              <w:rPr>
                <w:sz w:val="6"/>
                <w:szCs w:val="6"/>
                <w:color w:val="auto"/>
              </w:rPr>
            </w:pPr>
          </w:p>
        </w:tc>
        <w:tc>
          <w:tcPr>
            <w:tcW w:w="120" w:type="dxa"/>
            <w:vAlign w:val="bottom"/>
            <w:tcBorders>
              <w:top w:val="single" w:sz="8" w:color="CCEEFF"/>
            </w:tcBorders>
            <w:shd w:val="clear" w:color="auto" w:fill="CCEEFF"/>
          </w:tcPr>
          <w:p>
            <w:pPr>
              <w:spacing w:after="0"/>
              <w:rPr>
                <w:sz w:val="6"/>
                <w:szCs w:val="6"/>
                <w:color w:val="auto"/>
              </w:rPr>
            </w:pPr>
          </w:p>
        </w:tc>
        <w:tc>
          <w:tcPr>
            <w:tcW w:w="9920" w:type="dxa"/>
            <w:vAlign w:val="bottom"/>
            <w:tcBorders>
              <w:top w:val="single" w:sz="8" w:color="CCEEFF"/>
            </w:tcBorders>
            <w:shd w:val="clear" w:color="auto" w:fill="CCEEFF"/>
          </w:tcPr>
          <w:p>
            <w:pPr>
              <w:spacing w:after="0"/>
              <w:rPr>
                <w:sz w:val="6"/>
                <w:szCs w:val="6"/>
                <w:color w:val="auto"/>
              </w:rPr>
            </w:pPr>
          </w:p>
        </w:tc>
      </w:tr>
      <w:tr>
        <w:trPr>
          <w:trHeight w:val="176"/>
        </w:trPr>
        <w:tc>
          <w:tcPr>
            <w:tcW w:w="240" w:type="dxa"/>
            <w:vAlign w:val="bottom"/>
          </w:tcPr>
          <w:p>
            <w:pPr>
              <w:spacing w:after="0"/>
              <w:rPr>
                <w:sz w:val="15"/>
                <w:szCs w:val="15"/>
                <w:color w:val="auto"/>
              </w:rPr>
            </w:pPr>
          </w:p>
        </w:tc>
        <w:tc>
          <w:tcPr>
            <w:tcW w:w="380" w:type="dxa"/>
            <w:vAlign w:val="bottom"/>
            <w:gridSpan w:val="4"/>
          </w:tcPr>
          <w:p>
            <w:pPr>
              <w:ind w:left="20"/>
              <w:spacing w:after="0"/>
              <w:rPr>
                <w:rFonts w:ascii="Arial" w:cs="Arial" w:eastAsia="Arial" w:hAnsi="Arial"/>
                <w:sz w:val="14"/>
                <w:szCs w:val="14"/>
                <w:color w:val="0000FF"/>
              </w:rPr>
            </w:pPr>
            <w:hyperlink w:anchor="page102">
              <w:r>
                <w:rPr>
                  <w:rFonts w:ascii="Arial" w:cs="Arial" w:eastAsia="Arial" w:hAnsi="Arial"/>
                  <w:sz w:val="14"/>
                  <w:szCs w:val="14"/>
                  <w:color w:val="0000FF"/>
                </w:rPr>
                <w:t>32.</w:t>
              </w:r>
              <w:r>
                <w:rPr>
                  <w:rFonts w:ascii="Arial" w:cs="Arial" w:eastAsia="Arial" w:hAnsi="Arial"/>
                  <w:sz w:val="14"/>
                  <w:szCs w:val="14"/>
                  <w:u w:val="single" w:color="auto"/>
                  <w:color w:val="0000FF"/>
                </w:rPr>
                <w:t>1</w:t>
              </w:r>
            </w:hyperlink>
          </w:p>
        </w:tc>
        <w:tc>
          <w:tcPr>
            <w:tcW w:w="7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920" w:type="dxa"/>
            <w:vAlign w:val="bottom"/>
          </w:tcPr>
          <w:p>
            <w:pPr>
              <w:ind w:left="20"/>
              <w:spacing w:after="0"/>
              <w:rPr>
                <w:sz w:val="20"/>
                <w:szCs w:val="20"/>
                <w:color w:val="auto"/>
              </w:rPr>
            </w:pPr>
            <w:r>
              <w:rPr>
                <w:rFonts w:ascii="Arial" w:cs="Arial" w:eastAsia="Arial" w:hAnsi="Arial"/>
                <w:sz w:val="14"/>
                <w:szCs w:val="14"/>
                <w:color w:val="auto"/>
              </w:rPr>
              <w:t>Certification of Chief Executive Officer pursuant to 18 U.S.C. Section 1350, as adopted pursuant to Section 906 of the Sarbanes-Oxley Act of 2002.</w:t>
            </w:r>
          </w:p>
        </w:tc>
      </w:tr>
      <w:tr>
        <w:trPr>
          <w:trHeight w:val="75"/>
        </w:trPr>
        <w:tc>
          <w:tcPr>
            <w:tcW w:w="240" w:type="dxa"/>
            <w:vAlign w:val="bottom"/>
          </w:tcPr>
          <w:p>
            <w:pPr>
              <w:spacing w:after="0"/>
              <w:rPr>
                <w:sz w:val="6"/>
                <w:szCs w:val="6"/>
                <w:color w:val="auto"/>
              </w:rPr>
            </w:pPr>
          </w:p>
        </w:tc>
        <w:tc>
          <w:tcPr>
            <w:tcW w:w="20" w:type="dxa"/>
            <w:vAlign w:val="bottom"/>
          </w:tcPr>
          <w:p>
            <w:pPr>
              <w:spacing w:after="0"/>
              <w:rPr>
                <w:sz w:val="6"/>
                <w:szCs w:val="6"/>
                <w:color w:val="auto"/>
              </w:rPr>
            </w:pPr>
          </w:p>
        </w:tc>
        <w:tc>
          <w:tcPr>
            <w:tcW w:w="200" w:type="dxa"/>
            <w:vAlign w:val="bottom"/>
            <w:tcBorders>
              <w:top w:val="single" w:sz="8" w:color="0000FF"/>
            </w:tcBorders>
          </w:tcPr>
          <w:p>
            <w:pPr>
              <w:spacing w:after="0"/>
              <w:rPr>
                <w:sz w:val="6"/>
                <w:szCs w:val="6"/>
                <w:color w:val="auto"/>
              </w:rPr>
            </w:pPr>
          </w:p>
        </w:tc>
        <w:tc>
          <w:tcPr>
            <w:tcW w:w="80" w:type="dxa"/>
            <w:vAlign w:val="bottom"/>
            <w:tcBorders>
              <w:top w:val="single" w:sz="8" w:color="0000FF"/>
            </w:tcBorders>
          </w:tcPr>
          <w:p>
            <w:pPr>
              <w:spacing w:after="0"/>
              <w:rPr>
                <w:sz w:val="6"/>
                <w:szCs w:val="6"/>
                <w:color w:val="auto"/>
              </w:rPr>
            </w:pPr>
          </w:p>
        </w:tc>
        <w:tc>
          <w:tcPr>
            <w:tcW w:w="80" w:type="dxa"/>
            <w:vAlign w:val="bottom"/>
          </w:tcPr>
          <w:p>
            <w:pPr>
              <w:spacing w:after="0"/>
              <w:rPr>
                <w:sz w:val="6"/>
                <w:szCs w:val="6"/>
                <w:color w:val="auto"/>
              </w:rPr>
            </w:pPr>
          </w:p>
        </w:tc>
        <w:tc>
          <w:tcPr>
            <w:tcW w:w="760" w:type="dxa"/>
            <w:vAlign w:val="bottom"/>
          </w:tcPr>
          <w:p>
            <w:pPr>
              <w:spacing w:after="0"/>
              <w:rPr>
                <w:sz w:val="6"/>
                <w:szCs w:val="6"/>
                <w:color w:val="auto"/>
              </w:rPr>
            </w:pPr>
          </w:p>
        </w:tc>
        <w:tc>
          <w:tcPr>
            <w:tcW w:w="120" w:type="dxa"/>
            <w:vAlign w:val="bottom"/>
          </w:tcPr>
          <w:p>
            <w:pPr>
              <w:spacing w:after="0"/>
              <w:rPr>
                <w:sz w:val="6"/>
                <w:szCs w:val="6"/>
                <w:color w:val="auto"/>
              </w:rPr>
            </w:pPr>
          </w:p>
        </w:tc>
        <w:tc>
          <w:tcPr>
            <w:tcW w:w="9920" w:type="dxa"/>
            <w:vAlign w:val="bottom"/>
          </w:tcPr>
          <w:p>
            <w:pPr>
              <w:spacing w:after="0"/>
              <w:rPr>
                <w:sz w:val="6"/>
                <w:szCs w:val="6"/>
                <w:color w:val="auto"/>
              </w:rPr>
            </w:pPr>
          </w:p>
        </w:tc>
      </w:tr>
      <w:tr>
        <w:trPr>
          <w:trHeight w:val="176"/>
        </w:trPr>
        <w:tc>
          <w:tcPr>
            <w:tcW w:w="240" w:type="dxa"/>
            <w:vAlign w:val="bottom"/>
            <w:shd w:val="clear" w:color="auto" w:fill="CCEEFF"/>
          </w:tcPr>
          <w:p>
            <w:pPr>
              <w:spacing w:after="0"/>
              <w:rPr>
                <w:sz w:val="15"/>
                <w:szCs w:val="15"/>
                <w:color w:val="auto"/>
              </w:rPr>
            </w:pPr>
          </w:p>
        </w:tc>
        <w:tc>
          <w:tcPr>
            <w:tcW w:w="380" w:type="dxa"/>
            <w:vAlign w:val="bottom"/>
            <w:gridSpan w:val="4"/>
            <w:shd w:val="clear" w:color="auto" w:fill="CCEEFF"/>
          </w:tcPr>
          <w:p>
            <w:pPr>
              <w:ind w:left="20"/>
              <w:spacing w:after="0"/>
              <w:rPr>
                <w:rFonts w:ascii="Arial" w:cs="Arial" w:eastAsia="Arial" w:hAnsi="Arial"/>
                <w:sz w:val="14"/>
                <w:szCs w:val="14"/>
                <w:color w:val="0000FF"/>
              </w:rPr>
            </w:pPr>
            <w:hyperlink w:anchor="page103">
              <w:r>
                <w:rPr>
                  <w:rFonts w:ascii="Arial" w:cs="Arial" w:eastAsia="Arial" w:hAnsi="Arial"/>
                  <w:sz w:val="14"/>
                  <w:szCs w:val="14"/>
                  <w:color w:val="0000FF"/>
                </w:rPr>
                <w:t>32.</w:t>
              </w:r>
              <w:r>
                <w:rPr>
                  <w:rFonts w:ascii="Arial" w:cs="Arial" w:eastAsia="Arial" w:hAnsi="Arial"/>
                  <w:sz w:val="14"/>
                  <w:szCs w:val="14"/>
                  <w:u w:val="single" w:color="auto"/>
                  <w:color w:val="0000FF"/>
                </w:rPr>
                <w:t>2</w:t>
              </w:r>
            </w:hyperlink>
          </w:p>
        </w:tc>
        <w:tc>
          <w:tcPr>
            <w:tcW w:w="7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920" w:type="dxa"/>
            <w:vAlign w:val="bottom"/>
            <w:shd w:val="clear" w:color="auto" w:fill="CCEEFF"/>
          </w:tcPr>
          <w:p>
            <w:pPr>
              <w:ind w:left="20"/>
              <w:spacing w:after="0"/>
              <w:rPr>
                <w:sz w:val="20"/>
                <w:szCs w:val="20"/>
                <w:color w:val="auto"/>
              </w:rPr>
            </w:pPr>
            <w:r>
              <w:rPr>
                <w:rFonts w:ascii="Arial" w:cs="Arial" w:eastAsia="Arial" w:hAnsi="Arial"/>
                <w:sz w:val="14"/>
                <w:szCs w:val="14"/>
                <w:color w:val="auto"/>
              </w:rPr>
              <w:t>Certification of Chief Financial Officer pursuant to 18 U.S.C. Section 1350, as adopted pursuant to Section 906 of the Sarbanes-Oxley Act of 2002.</w:t>
            </w:r>
          </w:p>
        </w:tc>
      </w:tr>
      <w:tr>
        <w:trPr>
          <w:trHeight w:val="75"/>
        </w:trPr>
        <w:tc>
          <w:tcPr>
            <w:tcW w:w="24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200" w:type="dxa"/>
            <w:vAlign w:val="bottom"/>
            <w:tcBorders>
              <w:top w:val="single" w:sz="8" w:color="0000FF"/>
            </w:tcBorders>
            <w:shd w:val="clear" w:color="auto" w:fill="CCEEFF"/>
          </w:tcPr>
          <w:p>
            <w:pPr>
              <w:spacing w:after="0"/>
              <w:rPr>
                <w:sz w:val="6"/>
                <w:szCs w:val="6"/>
                <w:color w:val="auto"/>
              </w:rPr>
            </w:pPr>
          </w:p>
        </w:tc>
        <w:tc>
          <w:tcPr>
            <w:tcW w:w="80" w:type="dxa"/>
            <w:vAlign w:val="bottom"/>
            <w:tcBorders>
              <w:top w:val="single" w:sz="8" w:color="0000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760" w:type="dxa"/>
            <w:vAlign w:val="bottom"/>
            <w:tcBorders>
              <w:top w:val="single" w:sz="8" w:color="CCEEFF"/>
            </w:tcBorders>
            <w:shd w:val="clear" w:color="auto" w:fill="CCEEFF"/>
          </w:tcPr>
          <w:p>
            <w:pPr>
              <w:spacing w:after="0"/>
              <w:rPr>
                <w:sz w:val="6"/>
                <w:szCs w:val="6"/>
                <w:color w:val="auto"/>
              </w:rPr>
            </w:pPr>
          </w:p>
        </w:tc>
        <w:tc>
          <w:tcPr>
            <w:tcW w:w="120" w:type="dxa"/>
            <w:vAlign w:val="bottom"/>
            <w:tcBorders>
              <w:top w:val="single" w:sz="8" w:color="CCEEFF"/>
            </w:tcBorders>
            <w:shd w:val="clear" w:color="auto" w:fill="CCEEFF"/>
          </w:tcPr>
          <w:p>
            <w:pPr>
              <w:spacing w:after="0"/>
              <w:rPr>
                <w:sz w:val="6"/>
                <w:szCs w:val="6"/>
                <w:color w:val="auto"/>
              </w:rPr>
            </w:pPr>
          </w:p>
        </w:tc>
        <w:tc>
          <w:tcPr>
            <w:tcW w:w="9920" w:type="dxa"/>
            <w:vAlign w:val="bottom"/>
            <w:tcBorders>
              <w:top w:val="single" w:sz="8" w:color="CCEEFF"/>
            </w:tcBorders>
            <w:shd w:val="clear" w:color="auto" w:fill="CCEEFF"/>
          </w:tcPr>
          <w:p>
            <w:pPr>
              <w:spacing w:after="0"/>
              <w:rPr>
                <w:sz w:val="6"/>
                <w:szCs w:val="6"/>
                <w:color w:val="auto"/>
              </w:rPr>
            </w:pPr>
          </w:p>
        </w:tc>
      </w:tr>
      <w:tr>
        <w:trPr>
          <w:trHeight w:val="208"/>
        </w:trPr>
        <w:tc>
          <w:tcPr>
            <w:tcW w:w="240" w:type="dxa"/>
            <w:vAlign w:val="bottom"/>
          </w:tcPr>
          <w:p>
            <w:pPr>
              <w:spacing w:after="0"/>
              <w:rPr>
                <w:sz w:val="18"/>
                <w:szCs w:val="18"/>
                <w:color w:val="auto"/>
              </w:rPr>
            </w:pPr>
          </w:p>
        </w:tc>
        <w:tc>
          <w:tcPr>
            <w:tcW w:w="1260" w:type="dxa"/>
            <w:vAlign w:val="bottom"/>
            <w:gridSpan w:val="6"/>
          </w:tcPr>
          <w:p>
            <w:pPr>
              <w:ind w:left="20"/>
              <w:spacing w:after="0"/>
              <w:rPr>
                <w:sz w:val="20"/>
                <w:szCs w:val="20"/>
                <w:color w:val="auto"/>
              </w:rPr>
            </w:pPr>
            <w:r>
              <w:rPr>
                <w:rFonts w:ascii="Arial" w:cs="Arial" w:eastAsia="Arial" w:hAnsi="Arial"/>
                <w:sz w:val="14"/>
                <w:szCs w:val="14"/>
                <w:color w:val="auto"/>
              </w:rPr>
              <w:t>101.INS</w:t>
            </w:r>
          </w:p>
        </w:tc>
        <w:tc>
          <w:tcPr>
            <w:tcW w:w="9920" w:type="dxa"/>
            <w:vAlign w:val="bottom"/>
          </w:tcPr>
          <w:p>
            <w:pPr>
              <w:ind w:left="20"/>
              <w:spacing w:after="0"/>
              <w:rPr>
                <w:sz w:val="20"/>
                <w:szCs w:val="20"/>
                <w:color w:val="auto"/>
              </w:rPr>
            </w:pPr>
            <w:r>
              <w:rPr>
                <w:rFonts w:ascii="Arial" w:cs="Arial" w:eastAsia="Arial" w:hAnsi="Arial"/>
                <w:sz w:val="14"/>
                <w:szCs w:val="14"/>
                <w:color w:val="auto"/>
              </w:rPr>
              <w:t>XBRL Instance Document.</w:t>
            </w:r>
          </w:p>
        </w:tc>
      </w:tr>
      <w:tr>
        <w:trPr>
          <w:trHeight w:val="62"/>
        </w:trPr>
        <w:tc>
          <w:tcPr>
            <w:tcW w:w="240" w:type="dxa"/>
            <w:vAlign w:val="bottom"/>
          </w:tcPr>
          <w:p>
            <w:pPr>
              <w:spacing w:after="0"/>
              <w:rPr>
                <w:sz w:val="5"/>
                <w:szCs w:val="5"/>
                <w:color w:val="auto"/>
              </w:rPr>
            </w:pPr>
          </w:p>
        </w:tc>
        <w:tc>
          <w:tcPr>
            <w:tcW w:w="2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760" w:type="dxa"/>
            <w:vAlign w:val="bottom"/>
          </w:tcPr>
          <w:p>
            <w:pPr>
              <w:spacing w:after="0"/>
              <w:rPr>
                <w:sz w:val="5"/>
                <w:szCs w:val="5"/>
                <w:color w:val="auto"/>
              </w:rPr>
            </w:pPr>
          </w:p>
        </w:tc>
        <w:tc>
          <w:tcPr>
            <w:tcW w:w="120" w:type="dxa"/>
            <w:vAlign w:val="bottom"/>
          </w:tcPr>
          <w:p>
            <w:pPr>
              <w:spacing w:after="0"/>
              <w:rPr>
                <w:sz w:val="5"/>
                <w:szCs w:val="5"/>
                <w:color w:val="auto"/>
              </w:rPr>
            </w:pPr>
          </w:p>
        </w:tc>
        <w:tc>
          <w:tcPr>
            <w:tcW w:w="9920" w:type="dxa"/>
            <w:vAlign w:val="bottom"/>
          </w:tcPr>
          <w:p>
            <w:pPr>
              <w:spacing w:after="0"/>
              <w:rPr>
                <w:sz w:val="5"/>
                <w:szCs w:val="5"/>
                <w:color w:val="auto"/>
              </w:rPr>
            </w:pPr>
          </w:p>
        </w:tc>
      </w:tr>
      <w:tr>
        <w:trPr>
          <w:trHeight w:val="208"/>
        </w:trPr>
        <w:tc>
          <w:tcPr>
            <w:tcW w:w="240" w:type="dxa"/>
            <w:vAlign w:val="bottom"/>
            <w:shd w:val="clear" w:color="auto" w:fill="CCEEFF"/>
          </w:tcPr>
          <w:p>
            <w:pPr>
              <w:spacing w:after="0"/>
              <w:rPr>
                <w:sz w:val="18"/>
                <w:szCs w:val="18"/>
                <w:color w:val="auto"/>
              </w:rPr>
            </w:pPr>
          </w:p>
        </w:tc>
        <w:tc>
          <w:tcPr>
            <w:tcW w:w="1260" w:type="dxa"/>
            <w:vAlign w:val="bottom"/>
            <w:gridSpan w:val="6"/>
            <w:shd w:val="clear" w:color="auto" w:fill="CCEEFF"/>
          </w:tcPr>
          <w:p>
            <w:pPr>
              <w:ind w:left="20"/>
              <w:spacing w:after="0"/>
              <w:rPr>
                <w:sz w:val="20"/>
                <w:szCs w:val="20"/>
                <w:color w:val="auto"/>
              </w:rPr>
            </w:pPr>
            <w:r>
              <w:rPr>
                <w:rFonts w:ascii="Arial" w:cs="Arial" w:eastAsia="Arial" w:hAnsi="Arial"/>
                <w:sz w:val="14"/>
                <w:szCs w:val="14"/>
                <w:color w:val="auto"/>
              </w:rPr>
              <w:t>101.SCH</w:t>
            </w:r>
          </w:p>
        </w:tc>
        <w:tc>
          <w:tcPr>
            <w:tcW w:w="9920" w:type="dxa"/>
            <w:vAlign w:val="bottom"/>
            <w:shd w:val="clear" w:color="auto" w:fill="CCEEFF"/>
          </w:tcPr>
          <w:p>
            <w:pPr>
              <w:ind w:left="20"/>
              <w:spacing w:after="0"/>
              <w:rPr>
                <w:sz w:val="20"/>
                <w:szCs w:val="20"/>
                <w:color w:val="auto"/>
              </w:rPr>
            </w:pPr>
            <w:r>
              <w:rPr>
                <w:rFonts w:ascii="Arial" w:cs="Arial" w:eastAsia="Arial" w:hAnsi="Arial"/>
                <w:sz w:val="14"/>
                <w:szCs w:val="14"/>
                <w:color w:val="auto"/>
              </w:rPr>
              <w:t>XBRL Taxonomy Extension Schema Document.</w:t>
            </w:r>
          </w:p>
        </w:tc>
      </w:tr>
      <w:tr>
        <w:trPr>
          <w:trHeight w:val="62"/>
        </w:trPr>
        <w:tc>
          <w:tcPr>
            <w:tcW w:w="240" w:type="dxa"/>
            <w:vAlign w:val="bottom"/>
            <w:shd w:val="clear" w:color="auto" w:fill="CCEEFF"/>
          </w:tcPr>
          <w:p>
            <w:pPr>
              <w:spacing w:after="0"/>
              <w:rPr>
                <w:sz w:val="5"/>
                <w:szCs w:val="5"/>
                <w:color w:val="auto"/>
              </w:rPr>
            </w:pPr>
          </w:p>
        </w:tc>
        <w:tc>
          <w:tcPr>
            <w:tcW w:w="20" w:type="dxa"/>
            <w:vAlign w:val="bottom"/>
            <w:shd w:val="clear" w:color="auto" w:fill="CCEEFF"/>
          </w:tcPr>
          <w:p>
            <w:pPr>
              <w:spacing w:after="0"/>
              <w:rPr>
                <w:sz w:val="5"/>
                <w:szCs w:val="5"/>
                <w:color w:val="auto"/>
              </w:rPr>
            </w:pPr>
          </w:p>
        </w:tc>
        <w:tc>
          <w:tcPr>
            <w:tcW w:w="200" w:type="dxa"/>
            <w:vAlign w:val="bottom"/>
            <w:shd w:val="clear" w:color="auto" w:fill="CCEEFF"/>
          </w:tcPr>
          <w:p>
            <w:pPr>
              <w:spacing w:after="0"/>
              <w:rPr>
                <w:sz w:val="5"/>
                <w:szCs w:val="5"/>
                <w:color w:val="auto"/>
              </w:rPr>
            </w:pPr>
          </w:p>
        </w:tc>
        <w:tc>
          <w:tcPr>
            <w:tcW w:w="80" w:type="dxa"/>
            <w:vAlign w:val="bottom"/>
            <w:shd w:val="clear" w:color="auto" w:fill="CCEEFF"/>
          </w:tcPr>
          <w:p>
            <w:pPr>
              <w:spacing w:after="0"/>
              <w:rPr>
                <w:sz w:val="5"/>
                <w:szCs w:val="5"/>
                <w:color w:val="auto"/>
              </w:rPr>
            </w:pPr>
          </w:p>
        </w:tc>
        <w:tc>
          <w:tcPr>
            <w:tcW w:w="80" w:type="dxa"/>
            <w:vAlign w:val="bottom"/>
            <w:shd w:val="clear" w:color="auto" w:fill="CCEEFF"/>
          </w:tcPr>
          <w:p>
            <w:pPr>
              <w:spacing w:after="0"/>
              <w:rPr>
                <w:sz w:val="5"/>
                <w:szCs w:val="5"/>
                <w:color w:val="auto"/>
              </w:rPr>
            </w:pPr>
          </w:p>
        </w:tc>
        <w:tc>
          <w:tcPr>
            <w:tcW w:w="76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9920" w:type="dxa"/>
            <w:vAlign w:val="bottom"/>
            <w:shd w:val="clear" w:color="auto" w:fill="CCEEFF"/>
          </w:tcPr>
          <w:p>
            <w:pPr>
              <w:spacing w:after="0"/>
              <w:rPr>
                <w:sz w:val="5"/>
                <w:szCs w:val="5"/>
                <w:color w:val="auto"/>
              </w:rPr>
            </w:pPr>
          </w:p>
        </w:tc>
      </w:tr>
      <w:tr>
        <w:trPr>
          <w:trHeight w:val="444"/>
        </w:trPr>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920" w:type="dxa"/>
            <w:vAlign w:val="bottom"/>
          </w:tcPr>
          <w:p>
            <w:pPr>
              <w:ind w:left="4120"/>
              <w:spacing w:after="0"/>
              <w:rPr>
                <w:sz w:val="20"/>
                <w:szCs w:val="20"/>
                <w:color w:val="auto"/>
              </w:rPr>
            </w:pPr>
            <w:r>
              <w:rPr>
                <w:rFonts w:ascii="Arial" w:cs="Arial" w:eastAsia="Arial" w:hAnsi="Arial"/>
                <w:sz w:val="16"/>
                <w:szCs w:val="16"/>
                <w:color w:val="auto"/>
              </w:rPr>
              <w:t>98</w:t>
            </w:r>
          </w:p>
        </w:tc>
      </w:tr>
    </w:tbl>
    <w:p>
      <w:pPr>
        <w:sectPr>
          <w:pgSz w:w="11900" w:h="16838" w:orient="portrait"/>
          <w:cols w:equalWidth="0" w:num="1">
            <w:col w:w="11420"/>
          </w:cols>
          <w:pgMar w:left="240" w:top="362" w:right="239" w:bottom="1440" w:gutter="0" w:footer="0" w:header="0"/>
        </w:sectPr>
      </w:pPr>
    </w:p>
    <w:bookmarkStart w:id="98" w:name="page99"/>
    <w:bookmarkEnd w:id="98"/>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1180" w:type="dxa"/>
            <w:vAlign w:val="bottom"/>
          </w:tcPr>
          <w:p>
            <w:pPr>
              <w:ind w:left="260"/>
              <w:spacing w:after="0"/>
              <w:rPr>
                <w:sz w:val="20"/>
                <w:szCs w:val="20"/>
                <w:color w:val="auto"/>
              </w:rPr>
            </w:pPr>
            <w:r>
              <w:rPr>
                <w:rFonts w:ascii="Arial" w:cs="Arial" w:eastAsia="Arial" w:hAnsi="Arial"/>
                <w:sz w:val="14"/>
                <w:szCs w:val="14"/>
                <w:color w:val="auto"/>
              </w:rPr>
              <w:t>101.CAL</w:t>
            </w:r>
          </w:p>
        </w:tc>
        <w:tc>
          <w:tcPr>
            <w:tcW w:w="10240" w:type="dxa"/>
            <w:vAlign w:val="bottom"/>
          </w:tcPr>
          <w:p>
            <w:pPr>
              <w:ind w:left="340"/>
              <w:spacing w:after="0"/>
              <w:rPr>
                <w:sz w:val="20"/>
                <w:szCs w:val="20"/>
                <w:color w:val="auto"/>
              </w:rPr>
            </w:pPr>
            <w:r>
              <w:rPr>
                <w:rFonts w:ascii="Arial" w:cs="Arial" w:eastAsia="Arial" w:hAnsi="Arial"/>
                <w:sz w:val="14"/>
                <w:szCs w:val="14"/>
                <w:color w:val="auto"/>
              </w:rPr>
              <w:t>XBRL Taxonomy Extension Calculation Linkbase Document.</w:t>
            </w:r>
          </w:p>
        </w:tc>
      </w:tr>
      <w:tr>
        <w:trPr>
          <w:trHeight w:val="62"/>
        </w:trPr>
        <w:tc>
          <w:tcPr>
            <w:tcW w:w="1180" w:type="dxa"/>
            <w:vAlign w:val="bottom"/>
          </w:tcPr>
          <w:p>
            <w:pPr>
              <w:spacing w:after="0"/>
              <w:rPr>
                <w:sz w:val="5"/>
                <w:szCs w:val="5"/>
                <w:color w:val="auto"/>
              </w:rPr>
            </w:pPr>
          </w:p>
        </w:tc>
        <w:tc>
          <w:tcPr>
            <w:tcW w:w="10240" w:type="dxa"/>
            <w:vAlign w:val="bottom"/>
          </w:tcPr>
          <w:p>
            <w:pPr>
              <w:spacing w:after="0"/>
              <w:rPr>
                <w:sz w:val="5"/>
                <w:szCs w:val="5"/>
                <w:color w:val="auto"/>
              </w:rPr>
            </w:pPr>
          </w:p>
        </w:tc>
      </w:tr>
      <w:tr>
        <w:trPr>
          <w:trHeight w:val="208"/>
        </w:trPr>
        <w:tc>
          <w:tcPr>
            <w:tcW w:w="1180" w:type="dxa"/>
            <w:vAlign w:val="bottom"/>
            <w:shd w:val="clear" w:color="auto" w:fill="CCEEFF"/>
          </w:tcPr>
          <w:p>
            <w:pPr>
              <w:ind w:left="260"/>
              <w:spacing w:after="0"/>
              <w:rPr>
                <w:sz w:val="20"/>
                <w:szCs w:val="20"/>
                <w:color w:val="auto"/>
              </w:rPr>
            </w:pPr>
            <w:r>
              <w:rPr>
                <w:rFonts w:ascii="Arial" w:cs="Arial" w:eastAsia="Arial" w:hAnsi="Arial"/>
                <w:sz w:val="14"/>
                <w:szCs w:val="14"/>
                <w:color w:val="auto"/>
              </w:rPr>
              <w:t>101.DEF</w:t>
            </w:r>
          </w:p>
        </w:tc>
        <w:tc>
          <w:tcPr>
            <w:tcW w:w="10240" w:type="dxa"/>
            <w:vAlign w:val="bottom"/>
            <w:shd w:val="clear" w:color="auto" w:fill="CCEEFF"/>
          </w:tcPr>
          <w:p>
            <w:pPr>
              <w:ind w:left="340"/>
              <w:spacing w:after="0"/>
              <w:rPr>
                <w:sz w:val="20"/>
                <w:szCs w:val="20"/>
                <w:color w:val="auto"/>
              </w:rPr>
            </w:pPr>
            <w:r>
              <w:rPr>
                <w:rFonts w:ascii="Arial" w:cs="Arial" w:eastAsia="Arial" w:hAnsi="Arial"/>
                <w:sz w:val="14"/>
                <w:szCs w:val="14"/>
                <w:color w:val="auto"/>
              </w:rPr>
              <w:t>XBRL Taxonomy Extension Definition Linkbase Document.</w:t>
            </w:r>
          </w:p>
        </w:tc>
      </w:tr>
      <w:tr>
        <w:trPr>
          <w:trHeight w:val="62"/>
        </w:trPr>
        <w:tc>
          <w:tcPr>
            <w:tcW w:w="1180" w:type="dxa"/>
            <w:vAlign w:val="bottom"/>
            <w:shd w:val="clear" w:color="auto" w:fill="CCEEFF"/>
          </w:tcPr>
          <w:p>
            <w:pPr>
              <w:spacing w:after="0"/>
              <w:rPr>
                <w:sz w:val="5"/>
                <w:szCs w:val="5"/>
                <w:color w:val="auto"/>
              </w:rPr>
            </w:pPr>
          </w:p>
        </w:tc>
        <w:tc>
          <w:tcPr>
            <w:tcW w:w="10240" w:type="dxa"/>
            <w:vAlign w:val="bottom"/>
            <w:shd w:val="clear" w:color="auto" w:fill="CCEEFF"/>
          </w:tcPr>
          <w:p>
            <w:pPr>
              <w:spacing w:after="0"/>
              <w:rPr>
                <w:sz w:val="5"/>
                <w:szCs w:val="5"/>
                <w:color w:val="auto"/>
              </w:rPr>
            </w:pPr>
          </w:p>
        </w:tc>
      </w:tr>
      <w:tr>
        <w:trPr>
          <w:trHeight w:val="208"/>
        </w:trPr>
        <w:tc>
          <w:tcPr>
            <w:tcW w:w="1180" w:type="dxa"/>
            <w:vAlign w:val="bottom"/>
          </w:tcPr>
          <w:p>
            <w:pPr>
              <w:ind w:left="260"/>
              <w:spacing w:after="0"/>
              <w:rPr>
                <w:sz w:val="20"/>
                <w:szCs w:val="20"/>
                <w:color w:val="auto"/>
              </w:rPr>
            </w:pPr>
            <w:r>
              <w:rPr>
                <w:rFonts w:ascii="Arial" w:cs="Arial" w:eastAsia="Arial" w:hAnsi="Arial"/>
                <w:sz w:val="14"/>
                <w:szCs w:val="14"/>
                <w:color w:val="auto"/>
              </w:rPr>
              <w:t>101.LAB</w:t>
            </w:r>
          </w:p>
        </w:tc>
        <w:tc>
          <w:tcPr>
            <w:tcW w:w="10240" w:type="dxa"/>
            <w:vAlign w:val="bottom"/>
          </w:tcPr>
          <w:p>
            <w:pPr>
              <w:ind w:left="340"/>
              <w:spacing w:after="0"/>
              <w:rPr>
                <w:sz w:val="20"/>
                <w:szCs w:val="20"/>
                <w:color w:val="auto"/>
              </w:rPr>
            </w:pPr>
            <w:r>
              <w:rPr>
                <w:rFonts w:ascii="Arial" w:cs="Arial" w:eastAsia="Arial" w:hAnsi="Arial"/>
                <w:sz w:val="14"/>
                <w:szCs w:val="14"/>
                <w:color w:val="auto"/>
              </w:rPr>
              <w:t>XBRL Taxonomy Extension Label Linkbase Document.</w:t>
            </w:r>
          </w:p>
        </w:tc>
      </w:tr>
      <w:tr>
        <w:trPr>
          <w:trHeight w:val="62"/>
        </w:trPr>
        <w:tc>
          <w:tcPr>
            <w:tcW w:w="1180" w:type="dxa"/>
            <w:vAlign w:val="bottom"/>
          </w:tcPr>
          <w:p>
            <w:pPr>
              <w:spacing w:after="0"/>
              <w:rPr>
                <w:sz w:val="5"/>
                <w:szCs w:val="5"/>
                <w:color w:val="auto"/>
              </w:rPr>
            </w:pPr>
          </w:p>
        </w:tc>
        <w:tc>
          <w:tcPr>
            <w:tcW w:w="10240" w:type="dxa"/>
            <w:vAlign w:val="bottom"/>
          </w:tcPr>
          <w:p>
            <w:pPr>
              <w:spacing w:after="0"/>
              <w:rPr>
                <w:sz w:val="5"/>
                <w:szCs w:val="5"/>
                <w:color w:val="auto"/>
              </w:rPr>
            </w:pPr>
          </w:p>
        </w:tc>
      </w:tr>
      <w:tr>
        <w:trPr>
          <w:trHeight w:val="208"/>
        </w:trPr>
        <w:tc>
          <w:tcPr>
            <w:tcW w:w="1180" w:type="dxa"/>
            <w:vAlign w:val="bottom"/>
            <w:shd w:val="clear" w:color="auto" w:fill="CCEEFF"/>
          </w:tcPr>
          <w:p>
            <w:pPr>
              <w:ind w:left="260"/>
              <w:spacing w:after="0"/>
              <w:rPr>
                <w:sz w:val="20"/>
                <w:szCs w:val="20"/>
                <w:color w:val="auto"/>
              </w:rPr>
            </w:pPr>
            <w:r>
              <w:rPr>
                <w:rFonts w:ascii="Arial" w:cs="Arial" w:eastAsia="Arial" w:hAnsi="Arial"/>
                <w:sz w:val="14"/>
                <w:szCs w:val="14"/>
                <w:color w:val="auto"/>
              </w:rPr>
              <w:t>101.PRE</w:t>
            </w:r>
          </w:p>
        </w:tc>
        <w:tc>
          <w:tcPr>
            <w:tcW w:w="10240" w:type="dxa"/>
            <w:vAlign w:val="bottom"/>
            <w:shd w:val="clear" w:color="auto" w:fill="CCEEFF"/>
          </w:tcPr>
          <w:p>
            <w:pPr>
              <w:ind w:left="340"/>
              <w:spacing w:after="0"/>
              <w:rPr>
                <w:sz w:val="20"/>
                <w:szCs w:val="20"/>
                <w:color w:val="auto"/>
              </w:rPr>
            </w:pPr>
            <w:r>
              <w:rPr>
                <w:rFonts w:ascii="Arial" w:cs="Arial" w:eastAsia="Arial" w:hAnsi="Arial"/>
                <w:sz w:val="14"/>
                <w:szCs w:val="14"/>
                <w:color w:val="auto"/>
              </w:rPr>
              <w:t>XBRL Taxonomy Extension Presentation Linkbase Document.</w:t>
            </w:r>
          </w:p>
        </w:tc>
      </w:tr>
      <w:tr>
        <w:trPr>
          <w:trHeight w:val="62"/>
        </w:trPr>
        <w:tc>
          <w:tcPr>
            <w:tcW w:w="1180" w:type="dxa"/>
            <w:vAlign w:val="bottom"/>
            <w:shd w:val="clear" w:color="auto" w:fill="CCEEFF"/>
          </w:tcPr>
          <w:p>
            <w:pPr>
              <w:spacing w:after="0"/>
              <w:rPr>
                <w:sz w:val="5"/>
                <w:szCs w:val="5"/>
                <w:color w:val="auto"/>
              </w:rPr>
            </w:pPr>
          </w:p>
        </w:tc>
        <w:tc>
          <w:tcPr>
            <w:tcW w:w="10240" w:type="dxa"/>
            <w:vAlign w:val="bottom"/>
            <w:shd w:val="clear" w:color="auto" w:fill="CCEEFF"/>
          </w:tcPr>
          <w:p>
            <w:pPr>
              <w:spacing w:after="0"/>
              <w:rPr>
                <w:sz w:val="5"/>
                <w:szCs w:val="5"/>
                <w:color w:val="auto"/>
              </w:rPr>
            </w:pPr>
          </w:p>
        </w:tc>
      </w:tr>
    </w:tbl>
    <w:p>
      <w:pPr>
        <w:spacing w:after="0" w:line="16" w:lineRule="exact"/>
        <w:rPr>
          <w:sz w:val="20"/>
          <w:szCs w:val="20"/>
          <w:color w:val="auto"/>
        </w:rPr>
      </w:pPr>
    </w:p>
    <w:p>
      <w:pPr>
        <w:ind w:left="260" w:hanging="225"/>
        <w:spacing w:after="0"/>
        <w:tabs>
          <w:tab w:leader="none" w:pos="260" w:val="left"/>
        </w:tabs>
        <w:numPr>
          <w:ilvl w:val="0"/>
          <w:numId w:val="38"/>
        </w:numPr>
        <w:rPr>
          <w:rFonts w:ascii="Arial" w:cs="Arial" w:eastAsia="Arial" w:hAnsi="Arial"/>
          <w:sz w:val="14"/>
          <w:szCs w:val="14"/>
          <w:i w:val="1"/>
          <w:iCs w:val="1"/>
          <w:color w:val="auto"/>
        </w:rPr>
      </w:pPr>
      <w:r>
        <w:rPr>
          <w:rFonts w:ascii="Arial" w:cs="Arial" w:eastAsia="Arial" w:hAnsi="Arial"/>
          <w:sz w:val="14"/>
          <w:szCs w:val="14"/>
          <w:i w:val="1"/>
          <w:iCs w:val="1"/>
          <w:color w:val="auto"/>
        </w:rPr>
        <w:t>Management contracts and compensatory plans or arrangements.</w:t>
      </w: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99</w:t>
      </w:r>
    </w:p>
    <w:p>
      <w:pPr>
        <w:sectPr>
          <w:pgSz w:w="11900" w:h="16838" w:orient="portrait"/>
          <w:cols w:equalWidth="0" w:num="1">
            <w:col w:w="11420"/>
          </w:cols>
          <w:pgMar w:left="240" w:top="531" w:right="239" w:bottom="1440" w:gutter="0" w:footer="0" w:header="0"/>
        </w:sectPr>
      </w:pPr>
    </w:p>
    <w:bookmarkStart w:id="99" w:name="page100"/>
    <w:bookmarkEnd w:id="99"/>
    <w:p>
      <w:pPr>
        <w:jc w:val="center"/>
        <w:spacing w:after="0"/>
        <w:rPr>
          <w:sz w:val="20"/>
          <w:szCs w:val="20"/>
          <w:color w:val="auto"/>
        </w:rPr>
      </w:pPr>
      <w:r>
        <w:rPr>
          <w:rFonts w:ascii="Arial" w:cs="Arial" w:eastAsia="Arial" w:hAnsi="Arial"/>
          <w:sz w:val="16"/>
          <w:szCs w:val="16"/>
          <w:b w:val="1"/>
          <w:bCs w:val="1"/>
          <w:color w:val="auto"/>
        </w:rPr>
        <w:t>EXHIBIT 31.1</w:t>
      </w: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SECTION 302 CERTIFICATION OF CHIEF EXECUTIVE OFFICER</w:t>
      </w:r>
    </w:p>
    <w:p>
      <w:pPr>
        <w:spacing w:after="0" w:line="237" w:lineRule="exact"/>
        <w:rPr>
          <w:sz w:val="20"/>
          <w:szCs w:val="20"/>
          <w:color w:val="auto"/>
        </w:rPr>
      </w:pPr>
    </w:p>
    <w:p>
      <w:pPr>
        <w:spacing w:after="0"/>
        <w:rPr>
          <w:sz w:val="20"/>
          <w:szCs w:val="20"/>
          <w:color w:val="auto"/>
        </w:rPr>
      </w:pPr>
      <w:r>
        <w:rPr>
          <w:rFonts w:ascii="Arial" w:cs="Arial" w:eastAsia="Arial" w:hAnsi="Arial"/>
          <w:sz w:val="16"/>
          <w:szCs w:val="16"/>
          <w:color w:val="auto"/>
        </w:rPr>
        <w:t>I, Joseph P. Adams. Jr., certify that:</w:t>
      </w:r>
    </w:p>
    <w:p>
      <w:pPr>
        <w:spacing w:after="0" w:line="194" w:lineRule="exact"/>
        <w:rPr>
          <w:sz w:val="20"/>
          <w:szCs w:val="20"/>
          <w:color w:val="auto"/>
        </w:rPr>
      </w:pPr>
    </w:p>
    <w:p>
      <w:pPr>
        <w:ind w:left="320" w:hanging="312"/>
        <w:spacing w:after="0"/>
        <w:tabs>
          <w:tab w:leader="none" w:pos="320" w:val="left"/>
        </w:tabs>
        <w:numPr>
          <w:ilvl w:val="0"/>
          <w:numId w:val="39"/>
        </w:numPr>
        <w:rPr>
          <w:rFonts w:ascii="Arial" w:cs="Arial" w:eastAsia="Arial" w:hAnsi="Arial"/>
          <w:sz w:val="16"/>
          <w:szCs w:val="16"/>
          <w:color w:val="auto"/>
        </w:rPr>
      </w:pPr>
      <w:r>
        <w:rPr>
          <w:rFonts w:ascii="Arial" w:cs="Arial" w:eastAsia="Arial" w:hAnsi="Arial"/>
          <w:sz w:val="16"/>
          <w:szCs w:val="16"/>
          <w:color w:val="auto"/>
        </w:rPr>
        <w:t>I have reviewed this quarterly report on Form 10-Q of Fortress Transportation and Infrastructure Investors LLC (the “registrant”);</w:t>
      </w:r>
    </w:p>
    <w:p>
      <w:pPr>
        <w:spacing w:after="0" w:line="167" w:lineRule="exact"/>
        <w:rPr>
          <w:rFonts w:ascii="Arial" w:cs="Arial" w:eastAsia="Arial" w:hAnsi="Arial"/>
          <w:sz w:val="16"/>
          <w:szCs w:val="16"/>
          <w:color w:val="auto"/>
        </w:rPr>
      </w:pPr>
    </w:p>
    <w:p>
      <w:pPr>
        <w:ind w:right="20" w:firstLine="8"/>
        <w:spacing w:after="0" w:line="291" w:lineRule="auto"/>
        <w:tabs>
          <w:tab w:leader="none" w:pos="396" w:val="left"/>
        </w:tabs>
        <w:numPr>
          <w:ilvl w:val="0"/>
          <w:numId w:val="39"/>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94" w:lineRule="exact"/>
        <w:rPr>
          <w:rFonts w:ascii="Arial" w:cs="Arial" w:eastAsia="Arial" w:hAnsi="Arial"/>
          <w:sz w:val="16"/>
          <w:szCs w:val="16"/>
          <w:color w:val="auto"/>
        </w:rPr>
      </w:pPr>
    </w:p>
    <w:p>
      <w:pPr>
        <w:ind w:right="20" w:firstLine="8"/>
        <w:spacing w:after="0" w:line="291" w:lineRule="auto"/>
        <w:tabs>
          <w:tab w:leader="none" w:pos="330" w:val="left"/>
        </w:tabs>
        <w:numPr>
          <w:ilvl w:val="0"/>
          <w:numId w:val="39"/>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94" w:lineRule="exact"/>
        <w:rPr>
          <w:rFonts w:ascii="Arial" w:cs="Arial" w:eastAsia="Arial" w:hAnsi="Arial"/>
          <w:sz w:val="16"/>
          <w:szCs w:val="16"/>
          <w:color w:val="auto"/>
        </w:rPr>
      </w:pPr>
    </w:p>
    <w:p>
      <w:pPr>
        <w:jc w:val="both"/>
        <w:ind w:firstLine="8"/>
        <w:spacing w:after="0" w:line="269" w:lineRule="auto"/>
        <w:tabs>
          <w:tab w:leader="none" w:pos="442" w:val="left"/>
        </w:tabs>
        <w:numPr>
          <w:ilvl w:val="0"/>
          <w:numId w:val="39"/>
        </w:numPr>
        <w:rPr>
          <w:rFonts w:ascii="Arial" w:cs="Arial" w:eastAsia="Arial" w:hAnsi="Arial"/>
          <w:sz w:val="16"/>
          <w:szCs w:val="16"/>
          <w:color w:val="auto"/>
        </w:rPr>
      </w:pPr>
      <w:r>
        <w:rPr>
          <w:rFonts w:ascii="Arial" w:cs="Arial" w:eastAsia="Arial" w:hAnsi="Arial"/>
          <w:sz w:val="16"/>
          <w:szCs w:val="16"/>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10" w:lineRule="exact"/>
        <w:rPr>
          <w:rFonts w:ascii="Arial" w:cs="Arial" w:eastAsia="Arial" w:hAnsi="Arial"/>
          <w:sz w:val="16"/>
          <w:szCs w:val="16"/>
          <w:color w:val="auto"/>
        </w:rPr>
      </w:pPr>
    </w:p>
    <w:p>
      <w:pPr>
        <w:jc w:val="both"/>
        <w:ind w:firstLine="656"/>
        <w:spacing w:after="0" w:line="269" w:lineRule="auto"/>
        <w:tabs>
          <w:tab w:leader="none" w:pos="1038" w:val="left"/>
        </w:tabs>
        <w:numPr>
          <w:ilvl w:val="1"/>
          <w:numId w:val="39"/>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10" w:lineRule="exact"/>
        <w:rPr>
          <w:rFonts w:ascii="Arial" w:cs="Arial" w:eastAsia="Arial" w:hAnsi="Arial"/>
          <w:sz w:val="16"/>
          <w:szCs w:val="16"/>
          <w:color w:val="auto"/>
        </w:rPr>
      </w:pPr>
    </w:p>
    <w:p>
      <w:pPr>
        <w:jc w:val="both"/>
        <w:ind w:firstLine="656"/>
        <w:spacing w:after="0" w:line="269" w:lineRule="auto"/>
        <w:tabs>
          <w:tab w:leader="none" w:pos="1204" w:val="left"/>
        </w:tabs>
        <w:numPr>
          <w:ilvl w:val="1"/>
          <w:numId w:val="39"/>
        </w:numPr>
        <w:rPr>
          <w:rFonts w:ascii="Arial" w:cs="Arial" w:eastAsia="Arial" w:hAnsi="Arial"/>
          <w:sz w:val="16"/>
          <w:szCs w:val="16"/>
          <w:color w:val="auto"/>
        </w:rPr>
      </w:pPr>
      <w:r>
        <w:rPr>
          <w:rFonts w:ascii="Arial" w:cs="Arial" w:eastAsia="Arial" w:hAnsi="Arial"/>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10" w:lineRule="exact"/>
        <w:rPr>
          <w:rFonts w:ascii="Arial" w:cs="Arial" w:eastAsia="Arial" w:hAnsi="Arial"/>
          <w:sz w:val="16"/>
          <w:szCs w:val="16"/>
          <w:color w:val="auto"/>
        </w:rPr>
      </w:pPr>
    </w:p>
    <w:p>
      <w:pPr>
        <w:ind w:firstLine="656"/>
        <w:spacing w:after="0" w:line="291" w:lineRule="auto"/>
        <w:tabs>
          <w:tab w:leader="none" w:pos="1138" w:val="left"/>
        </w:tabs>
        <w:numPr>
          <w:ilvl w:val="1"/>
          <w:numId w:val="39"/>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94" w:lineRule="exact"/>
        <w:rPr>
          <w:rFonts w:ascii="Arial" w:cs="Arial" w:eastAsia="Arial" w:hAnsi="Arial"/>
          <w:sz w:val="16"/>
          <w:szCs w:val="16"/>
          <w:color w:val="auto"/>
        </w:rPr>
      </w:pPr>
    </w:p>
    <w:p>
      <w:pPr>
        <w:jc w:val="both"/>
        <w:ind w:firstLine="656"/>
        <w:spacing w:after="0" w:line="269" w:lineRule="auto"/>
        <w:tabs>
          <w:tab w:leader="none" w:pos="1078" w:val="left"/>
        </w:tabs>
        <w:numPr>
          <w:ilvl w:val="1"/>
          <w:numId w:val="39"/>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10" w:lineRule="exact"/>
        <w:rPr>
          <w:rFonts w:ascii="Arial" w:cs="Arial" w:eastAsia="Arial" w:hAnsi="Arial"/>
          <w:sz w:val="16"/>
          <w:szCs w:val="16"/>
          <w:color w:val="auto"/>
        </w:rPr>
      </w:pPr>
    </w:p>
    <w:p>
      <w:pPr>
        <w:ind w:firstLine="8"/>
        <w:spacing w:after="0" w:line="291" w:lineRule="auto"/>
        <w:tabs>
          <w:tab w:leader="none" w:pos="389" w:val="left"/>
        </w:tabs>
        <w:numPr>
          <w:ilvl w:val="0"/>
          <w:numId w:val="39"/>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94" w:lineRule="exact"/>
        <w:rPr>
          <w:rFonts w:ascii="Arial" w:cs="Arial" w:eastAsia="Arial" w:hAnsi="Arial"/>
          <w:sz w:val="16"/>
          <w:szCs w:val="16"/>
          <w:color w:val="auto"/>
        </w:rPr>
      </w:pPr>
    </w:p>
    <w:p>
      <w:pPr>
        <w:ind w:firstLine="656"/>
        <w:spacing w:after="0" w:line="291" w:lineRule="auto"/>
        <w:tabs>
          <w:tab w:leader="none" w:pos="1062" w:val="left"/>
        </w:tabs>
        <w:numPr>
          <w:ilvl w:val="1"/>
          <w:numId w:val="39"/>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94" w:lineRule="exact"/>
        <w:rPr>
          <w:rFonts w:ascii="Arial" w:cs="Arial" w:eastAsia="Arial" w:hAnsi="Arial"/>
          <w:sz w:val="16"/>
          <w:szCs w:val="16"/>
          <w:color w:val="auto"/>
        </w:rPr>
      </w:pPr>
    </w:p>
    <w:p>
      <w:pPr>
        <w:ind w:right="20" w:firstLine="656"/>
        <w:spacing w:after="0" w:line="291" w:lineRule="auto"/>
        <w:tabs>
          <w:tab w:leader="none" w:pos="1048" w:val="left"/>
        </w:tabs>
        <w:numPr>
          <w:ilvl w:val="1"/>
          <w:numId w:val="39"/>
        </w:numPr>
        <w:rPr>
          <w:rFonts w:ascii="Arial" w:cs="Arial" w:eastAsia="Arial" w:hAnsi="Arial"/>
          <w:sz w:val="16"/>
          <w:szCs w:val="16"/>
          <w:color w:val="auto"/>
        </w:rPr>
      </w:pPr>
      <w:r>
        <w:rPr>
          <w:rFonts w:ascii="Arial" w:cs="Arial" w:eastAsia="Arial" w:hAnsi="Arial"/>
          <w:sz w:val="16"/>
          <w:szCs w:val="16"/>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1840" w:type="dxa"/>
            <w:vAlign w:val="bottom"/>
            <w:tcBorders>
              <w:bottom w:val="single" w:sz="8" w:color="auto"/>
            </w:tcBorders>
          </w:tcPr>
          <w:p>
            <w:pPr>
              <w:ind w:left="40"/>
              <w:spacing w:after="0"/>
              <w:rPr>
                <w:sz w:val="20"/>
                <w:szCs w:val="20"/>
                <w:color w:val="auto"/>
              </w:rPr>
            </w:pPr>
            <w:r>
              <w:rPr>
                <w:rFonts w:ascii="Arial" w:cs="Arial" w:eastAsia="Arial" w:hAnsi="Arial"/>
                <w:sz w:val="16"/>
                <w:szCs w:val="16"/>
                <w:color w:val="auto"/>
              </w:rPr>
              <w:t>November 3, 2017</w:t>
            </w:r>
          </w:p>
        </w:tc>
        <w:tc>
          <w:tcPr>
            <w:tcW w:w="5820" w:type="dxa"/>
            <w:vAlign w:val="bottom"/>
          </w:tcPr>
          <w:p>
            <w:pPr>
              <w:spacing w:after="0"/>
              <w:rPr>
                <w:sz w:val="20"/>
                <w:szCs w:val="20"/>
                <w:color w:val="auto"/>
              </w:rPr>
            </w:pPr>
          </w:p>
        </w:tc>
        <w:tc>
          <w:tcPr>
            <w:tcW w:w="3760" w:type="dxa"/>
            <w:vAlign w:val="bottom"/>
            <w:tcBorders>
              <w:bottom w:val="single" w:sz="8" w:color="auto"/>
            </w:tcBorders>
          </w:tcPr>
          <w:p>
            <w:pPr>
              <w:ind w:left="40"/>
              <w:spacing w:after="0"/>
              <w:rPr>
                <w:sz w:val="20"/>
                <w:szCs w:val="20"/>
                <w:color w:val="auto"/>
              </w:rPr>
            </w:pPr>
            <w:r>
              <w:rPr>
                <w:rFonts w:ascii="Arial" w:cs="Arial" w:eastAsia="Arial" w:hAnsi="Arial"/>
                <w:sz w:val="16"/>
                <w:szCs w:val="16"/>
                <w:color w:val="auto"/>
              </w:rPr>
              <w:t>/s/ Joseph P. Adams, Jr.</w:t>
            </w:r>
          </w:p>
        </w:tc>
      </w:tr>
      <w:tr>
        <w:trPr>
          <w:trHeight w:val="241"/>
        </w:trPr>
        <w:tc>
          <w:tcPr>
            <w:tcW w:w="7660" w:type="dxa"/>
            <w:vAlign w:val="bottom"/>
            <w:gridSpan w:val="2"/>
          </w:tcPr>
          <w:p>
            <w:pPr>
              <w:ind w:left="40"/>
              <w:spacing w:after="0"/>
              <w:rPr>
                <w:sz w:val="20"/>
                <w:szCs w:val="20"/>
                <w:color w:val="auto"/>
              </w:rPr>
            </w:pPr>
            <w:r>
              <w:rPr>
                <w:rFonts w:ascii="Arial" w:cs="Arial" w:eastAsia="Arial" w:hAnsi="Arial"/>
                <w:sz w:val="16"/>
                <w:szCs w:val="16"/>
                <w:color w:val="auto"/>
              </w:rPr>
              <w:t>(Date)</w:t>
            </w:r>
          </w:p>
        </w:tc>
        <w:tc>
          <w:tcPr>
            <w:tcW w:w="3760" w:type="dxa"/>
            <w:vAlign w:val="bottom"/>
          </w:tcPr>
          <w:p>
            <w:pPr>
              <w:ind w:left="40"/>
              <w:spacing w:after="0"/>
              <w:rPr>
                <w:sz w:val="20"/>
                <w:szCs w:val="20"/>
                <w:color w:val="auto"/>
              </w:rPr>
            </w:pPr>
            <w:r>
              <w:rPr>
                <w:rFonts w:ascii="Arial" w:cs="Arial" w:eastAsia="Arial" w:hAnsi="Arial"/>
                <w:sz w:val="16"/>
                <w:szCs w:val="16"/>
                <w:color w:val="auto"/>
              </w:rPr>
              <w:t>Joseph P. Adams, Jr.</w:t>
            </w:r>
          </w:p>
        </w:tc>
      </w:tr>
      <w:tr>
        <w:trPr>
          <w:trHeight w:val="270"/>
        </w:trPr>
        <w:tc>
          <w:tcPr>
            <w:tcW w:w="1840" w:type="dxa"/>
            <w:vAlign w:val="bottom"/>
          </w:tcPr>
          <w:p>
            <w:pPr>
              <w:spacing w:after="0"/>
              <w:rPr>
                <w:sz w:val="23"/>
                <w:szCs w:val="23"/>
                <w:color w:val="auto"/>
              </w:rPr>
            </w:pPr>
          </w:p>
        </w:tc>
        <w:tc>
          <w:tcPr>
            <w:tcW w:w="5820" w:type="dxa"/>
            <w:vAlign w:val="bottom"/>
          </w:tcPr>
          <w:p>
            <w:pPr>
              <w:spacing w:after="0"/>
              <w:rPr>
                <w:sz w:val="23"/>
                <w:szCs w:val="23"/>
                <w:color w:val="auto"/>
              </w:rPr>
            </w:pPr>
          </w:p>
        </w:tc>
        <w:tc>
          <w:tcPr>
            <w:tcW w:w="3760" w:type="dxa"/>
            <w:vAlign w:val="bottom"/>
          </w:tcPr>
          <w:p>
            <w:pPr>
              <w:ind w:left="40"/>
              <w:spacing w:after="0"/>
              <w:rPr>
                <w:sz w:val="20"/>
                <w:szCs w:val="20"/>
                <w:color w:val="auto"/>
              </w:rPr>
            </w:pPr>
            <w:r>
              <w:rPr>
                <w:rFonts w:ascii="Arial" w:cs="Arial" w:eastAsia="Arial" w:hAnsi="Arial"/>
                <w:sz w:val="16"/>
                <w:szCs w:val="16"/>
                <w:color w:val="auto"/>
              </w:rPr>
              <w:t>Chief Executive Officer</w:t>
            </w:r>
          </w:p>
        </w:tc>
      </w:tr>
    </w:tbl>
    <w:p>
      <w:pPr>
        <w:sectPr>
          <w:pgSz w:w="11900" w:h="16838" w:orient="portrait"/>
          <w:cols w:equalWidth="0" w:num="1">
            <w:col w:w="11420"/>
          </w:cols>
          <w:pgMar w:left="240" w:top="579" w:right="239" w:bottom="1440" w:gutter="0" w:footer="0" w:header="0"/>
        </w:sectPr>
      </w:pPr>
    </w:p>
    <w:bookmarkStart w:id="100" w:name="page101"/>
    <w:bookmarkEnd w:id="100"/>
    <w:p>
      <w:pPr>
        <w:jc w:val="center"/>
        <w:spacing w:after="0"/>
        <w:rPr>
          <w:sz w:val="20"/>
          <w:szCs w:val="20"/>
          <w:color w:val="auto"/>
        </w:rPr>
      </w:pPr>
      <w:r>
        <w:rPr>
          <w:rFonts w:ascii="Arial" w:cs="Arial" w:eastAsia="Arial" w:hAnsi="Arial"/>
          <w:sz w:val="16"/>
          <w:szCs w:val="16"/>
          <w:b w:val="1"/>
          <w:bCs w:val="1"/>
          <w:color w:val="auto"/>
        </w:rPr>
        <w:t>EXHIBIT 31.2</w:t>
      </w: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SECTION 302 CERTIFICATION OF CHIEF FINANCIAL OFFICER</w:t>
      </w:r>
    </w:p>
    <w:p>
      <w:pPr>
        <w:spacing w:after="0" w:line="237" w:lineRule="exact"/>
        <w:rPr>
          <w:sz w:val="20"/>
          <w:szCs w:val="20"/>
          <w:color w:val="auto"/>
        </w:rPr>
      </w:pPr>
    </w:p>
    <w:p>
      <w:pPr>
        <w:spacing w:after="0"/>
        <w:rPr>
          <w:sz w:val="20"/>
          <w:szCs w:val="20"/>
          <w:color w:val="auto"/>
        </w:rPr>
      </w:pPr>
      <w:r>
        <w:rPr>
          <w:rFonts w:ascii="Arial" w:cs="Arial" w:eastAsia="Arial" w:hAnsi="Arial"/>
          <w:sz w:val="16"/>
          <w:szCs w:val="16"/>
          <w:color w:val="auto"/>
        </w:rPr>
        <w:t>I, Scott Christopher, certify that:</w:t>
      </w:r>
    </w:p>
    <w:p>
      <w:pPr>
        <w:spacing w:after="0" w:line="194" w:lineRule="exact"/>
        <w:rPr>
          <w:sz w:val="20"/>
          <w:szCs w:val="20"/>
          <w:color w:val="auto"/>
        </w:rPr>
      </w:pPr>
    </w:p>
    <w:p>
      <w:pPr>
        <w:ind w:left="320" w:hanging="312"/>
        <w:spacing w:after="0"/>
        <w:tabs>
          <w:tab w:leader="none" w:pos="320" w:val="left"/>
        </w:tabs>
        <w:numPr>
          <w:ilvl w:val="0"/>
          <w:numId w:val="40"/>
        </w:numPr>
        <w:rPr>
          <w:rFonts w:ascii="Arial" w:cs="Arial" w:eastAsia="Arial" w:hAnsi="Arial"/>
          <w:sz w:val="16"/>
          <w:szCs w:val="16"/>
          <w:color w:val="auto"/>
        </w:rPr>
      </w:pPr>
      <w:r>
        <w:rPr>
          <w:rFonts w:ascii="Arial" w:cs="Arial" w:eastAsia="Arial" w:hAnsi="Arial"/>
          <w:sz w:val="16"/>
          <w:szCs w:val="16"/>
          <w:color w:val="auto"/>
        </w:rPr>
        <w:t>I have reviewed this quarterly report on Form 10-Q of Fortress Transportation and Infrastructure Investors LLC (the “registrant”);</w:t>
      </w:r>
    </w:p>
    <w:p>
      <w:pPr>
        <w:spacing w:after="0" w:line="167" w:lineRule="exact"/>
        <w:rPr>
          <w:rFonts w:ascii="Arial" w:cs="Arial" w:eastAsia="Arial" w:hAnsi="Arial"/>
          <w:sz w:val="16"/>
          <w:szCs w:val="16"/>
          <w:color w:val="auto"/>
        </w:rPr>
      </w:pPr>
    </w:p>
    <w:p>
      <w:pPr>
        <w:ind w:firstLine="8"/>
        <w:spacing w:after="0" w:line="291" w:lineRule="auto"/>
        <w:tabs>
          <w:tab w:leader="none" w:pos="452" w:val="left"/>
        </w:tabs>
        <w:numPr>
          <w:ilvl w:val="0"/>
          <w:numId w:val="40"/>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94" w:lineRule="exact"/>
        <w:rPr>
          <w:rFonts w:ascii="Arial" w:cs="Arial" w:eastAsia="Arial" w:hAnsi="Arial"/>
          <w:sz w:val="16"/>
          <w:szCs w:val="16"/>
          <w:color w:val="auto"/>
        </w:rPr>
      </w:pPr>
    </w:p>
    <w:p>
      <w:pPr>
        <w:ind w:right="20" w:firstLine="8"/>
        <w:spacing w:after="0" w:line="291" w:lineRule="auto"/>
        <w:tabs>
          <w:tab w:leader="none" w:pos="330" w:val="left"/>
        </w:tabs>
        <w:numPr>
          <w:ilvl w:val="0"/>
          <w:numId w:val="40"/>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94" w:lineRule="exact"/>
        <w:rPr>
          <w:rFonts w:ascii="Arial" w:cs="Arial" w:eastAsia="Arial" w:hAnsi="Arial"/>
          <w:sz w:val="16"/>
          <w:szCs w:val="16"/>
          <w:color w:val="auto"/>
        </w:rPr>
      </w:pPr>
    </w:p>
    <w:p>
      <w:pPr>
        <w:jc w:val="both"/>
        <w:ind w:firstLine="8"/>
        <w:spacing w:after="0" w:line="269" w:lineRule="auto"/>
        <w:tabs>
          <w:tab w:leader="none" w:pos="442" w:val="left"/>
        </w:tabs>
        <w:numPr>
          <w:ilvl w:val="0"/>
          <w:numId w:val="40"/>
        </w:numPr>
        <w:rPr>
          <w:rFonts w:ascii="Arial" w:cs="Arial" w:eastAsia="Arial" w:hAnsi="Arial"/>
          <w:sz w:val="16"/>
          <w:szCs w:val="16"/>
          <w:color w:val="auto"/>
        </w:rPr>
      </w:pPr>
      <w:r>
        <w:rPr>
          <w:rFonts w:ascii="Arial" w:cs="Arial" w:eastAsia="Arial" w:hAnsi="Arial"/>
          <w:sz w:val="16"/>
          <w:szCs w:val="16"/>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10" w:lineRule="exact"/>
        <w:rPr>
          <w:rFonts w:ascii="Arial" w:cs="Arial" w:eastAsia="Arial" w:hAnsi="Arial"/>
          <w:sz w:val="16"/>
          <w:szCs w:val="16"/>
          <w:color w:val="auto"/>
        </w:rPr>
      </w:pPr>
    </w:p>
    <w:p>
      <w:pPr>
        <w:jc w:val="both"/>
        <w:ind w:firstLine="656"/>
        <w:spacing w:after="0" w:line="269" w:lineRule="auto"/>
        <w:tabs>
          <w:tab w:leader="none" w:pos="1038" w:val="left"/>
        </w:tabs>
        <w:numPr>
          <w:ilvl w:val="1"/>
          <w:numId w:val="40"/>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10" w:lineRule="exact"/>
        <w:rPr>
          <w:rFonts w:ascii="Arial" w:cs="Arial" w:eastAsia="Arial" w:hAnsi="Arial"/>
          <w:sz w:val="16"/>
          <w:szCs w:val="16"/>
          <w:color w:val="auto"/>
        </w:rPr>
      </w:pPr>
    </w:p>
    <w:p>
      <w:pPr>
        <w:jc w:val="both"/>
        <w:ind w:firstLine="656"/>
        <w:spacing w:after="0" w:line="269" w:lineRule="auto"/>
        <w:tabs>
          <w:tab w:leader="none" w:pos="1204" w:val="left"/>
        </w:tabs>
        <w:numPr>
          <w:ilvl w:val="1"/>
          <w:numId w:val="40"/>
        </w:numPr>
        <w:rPr>
          <w:rFonts w:ascii="Arial" w:cs="Arial" w:eastAsia="Arial" w:hAnsi="Arial"/>
          <w:sz w:val="16"/>
          <w:szCs w:val="16"/>
          <w:color w:val="auto"/>
        </w:rPr>
      </w:pPr>
      <w:r>
        <w:rPr>
          <w:rFonts w:ascii="Arial" w:cs="Arial" w:eastAsia="Arial" w:hAnsi="Arial"/>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10" w:lineRule="exact"/>
        <w:rPr>
          <w:rFonts w:ascii="Arial" w:cs="Arial" w:eastAsia="Arial" w:hAnsi="Arial"/>
          <w:sz w:val="16"/>
          <w:szCs w:val="16"/>
          <w:color w:val="auto"/>
        </w:rPr>
      </w:pPr>
    </w:p>
    <w:p>
      <w:pPr>
        <w:ind w:firstLine="656"/>
        <w:spacing w:after="0" w:line="291" w:lineRule="auto"/>
        <w:tabs>
          <w:tab w:leader="none" w:pos="1138" w:val="left"/>
        </w:tabs>
        <w:numPr>
          <w:ilvl w:val="1"/>
          <w:numId w:val="40"/>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94" w:lineRule="exact"/>
        <w:rPr>
          <w:rFonts w:ascii="Arial" w:cs="Arial" w:eastAsia="Arial" w:hAnsi="Arial"/>
          <w:sz w:val="16"/>
          <w:szCs w:val="16"/>
          <w:color w:val="auto"/>
        </w:rPr>
      </w:pPr>
    </w:p>
    <w:p>
      <w:pPr>
        <w:jc w:val="both"/>
        <w:ind w:firstLine="656"/>
        <w:spacing w:after="0" w:line="269" w:lineRule="auto"/>
        <w:tabs>
          <w:tab w:leader="none" w:pos="1078" w:val="left"/>
        </w:tabs>
        <w:numPr>
          <w:ilvl w:val="1"/>
          <w:numId w:val="40"/>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10" w:lineRule="exact"/>
        <w:rPr>
          <w:rFonts w:ascii="Arial" w:cs="Arial" w:eastAsia="Arial" w:hAnsi="Arial"/>
          <w:sz w:val="16"/>
          <w:szCs w:val="16"/>
          <w:color w:val="auto"/>
        </w:rPr>
      </w:pPr>
    </w:p>
    <w:p>
      <w:pPr>
        <w:ind w:firstLine="8"/>
        <w:spacing w:after="0" w:line="291" w:lineRule="auto"/>
        <w:tabs>
          <w:tab w:leader="none" w:pos="389" w:val="left"/>
        </w:tabs>
        <w:numPr>
          <w:ilvl w:val="0"/>
          <w:numId w:val="40"/>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94" w:lineRule="exact"/>
        <w:rPr>
          <w:rFonts w:ascii="Arial" w:cs="Arial" w:eastAsia="Arial" w:hAnsi="Arial"/>
          <w:sz w:val="16"/>
          <w:szCs w:val="16"/>
          <w:color w:val="auto"/>
        </w:rPr>
      </w:pPr>
    </w:p>
    <w:p>
      <w:pPr>
        <w:ind w:firstLine="656"/>
        <w:spacing w:after="0" w:line="291" w:lineRule="auto"/>
        <w:tabs>
          <w:tab w:leader="none" w:pos="1062" w:val="left"/>
        </w:tabs>
        <w:numPr>
          <w:ilvl w:val="1"/>
          <w:numId w:val="40"/>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94" w:lineRule="exact"/>
        <w:rPr>
          <w:rFonts w:ascii="Arial" w:cs="Arial" w:eastAsia="Arial" w:hAnsi="Arial"/>
          <w:sz w:val="16"/>
          <w:szCs w:val="16"/>
          <w:color w:val="auto"/>
        </w:rPr>
      </w:pPr>
    </w:p>
    <w:p>
      <w:pPr>
        <w:ind w:right="20" w:firstLine="656"/>
        <w:spacing w:after="0" w:line="291" w:lineRule="auto"/>
        <w:tabs>
          <w:tab w:leader="none" w:pos="1048" w:val="left"/>
        </w:tabs>
        <w:numPr>
          <w:ilvl w:val="1"/>
          <w:numId w:val="40"/>
        </w:numPr>
        <w:rPr>
          <w:rFonts w:ascii="Arial" w:cs="Arial" w:eastAsia="Arial" w:hAnsi="Arial"/>
          <w:sz w:val="16"/>
          <w:szCs w:val="16"/>
          <w:color w:val="auto"/>
        </w:rPr>
      </w:pPr>
      <w:r>
        <w:rPr>
          <w:rFonts w:ascii="Arial" w:cs="Arial" w:eastAsia="Arial" w:hAnsi="Arial"/>
          <w:sz w:val="16"/>
          <w:szCs w:val="16"/>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1960" w:type="dxa"/>
            <w:vAlign w:val="bottom"/>
            <w:tcBorders>
              <w:bottom w:val="single" w:sz="8" w:color="auto"/>
            </w:tcBorders>
          </w:tcPr>
          <w:p>
            <w:pPr>
              <w:ind w:left="40"/>
              <w:spacing w:after="0"/>
              <w:rPr>
                <w:sz w:val="20"/>
                <w:szCs w:val="20"/>
                <w:color w:val="auto"/>
              </w:rPr>
            </w:pPr>
            <w:r>
              <w:rPr>
                <w:rFonts w:ascii="Arial" w:cs="Arial" w:eastAsia="Arial" w:hAnsi="Arial"/>
                <w:sz w:val="16"/>
                <w:szCs w:val="16"/>
                <w:color w:val="auto"/>
              </w:rPr>
              <w:t>November 3, 2017</w:t>
            </w:r>
          </w:p>
        </w:tc>
        <w:tc>
          <w:tcPr>
            <w:tcW w:w="5700" w:type="dxa"/>
            <w:vAlign w:val="bottom"/>
          </w:tcPr>
          <w:p>
            <w:pPr>
              <w:spacing w:after="0"/>
              <w:rPr>
                <w:sz w:val="20"/>
                <w:szCs w:val="20"/>
                <w:color w:val="auto"/>
              </w:rPr>
            </w:pPr>
          </w:p>
        </w:tc>
        <w:tc>
          <w:tcPr>
            <w:tcW w:w="3760" w:type="dxa"/>
            <w:vAlign w:val="bottom"/>
            <w:tcBorders>
              <w:bottom w:val="single" w:sz="8" w:color="auto"/>
            </w:tcBorders>
          </w:tcPr>
          <w:p>
            <w:pPr>
              <w:ind w:left="40"/>
              <w:spacing w:after="0"/>
              <w:rPr>
                <w:sz w:val="20"/>
                <w:szCs w:val="20"/>
                <w:color w:val="auto"/>
              </w:rPr>
            </w:pPr>
            <w:r>
              <w:rPr>
                <w:rFonts w:ascii="Arial" w:cs="Arial" w:eastAsia="Arial" w:hAnsi="Arial"/>
                <w:sz w:val="16"/>
                <w:szCs w:val="16"/>
                <w:color w:val="auto"/>
              </w:rPr>
              <w:t>/s/ Scott Christopher</w:t>
            </w:r>
          </w:p>
        </w:tc>
      </w:tr>
      <w:tr>
        <w:trPr>
          <w:trHeight w:val="241"/>
        </w:trPr>
        <w:tc>
          <w:tcPr>
            <w:tcW w:w="7660" w:type="dxa"/>
            <w:vAlign w:val="bottom"/>
            <w:gridSpan w:val="2"/>
          </w:tcPr>
          <w:p>
            <w:pPr>
              <w:ind w:left="40"/>
              <w:spacing w:after="0"/>
              <w:rPr>
                <w:sz w:val="20"/>
                <w:szCs w:val="20"/>
                <w:color w:val="auto"/>
              </w:rPr>
            </w:pPr>
            <w:r>
              <w:rPr>
                <w:rFonts w:ascii="Arial" w:cs="Arial" w:eastAsia="Arial" w:hAnsi="Arial"/>
                <w:sz w:val="16"/>
                <w:szCs w:val="16"/>
                <w:color w:val="auto"/>
              </w:rPr>
              <w:t>(Date)</w:t>
            </w:r>
          </w:p>
        </w:tc>
        <w:tc>
          <w:tcPr>
            <w:tcW w:w="3760" w:type="dxa"/>
            <w:vAlign w:val="bottom"/>
          </w:tcPr>
          <w:p>
            <w:pPr>
              <w:ind w:left="40"/>
              <w:spacing w:after="0"/>
              <w:rPr>
                <w:sz w:val="20"/>
                <w:szCs w:val="20"/>
                <w:color w:val="auto"/>
              </w:rPr>
            </w:pPr>
            <w:r>
              <w:rPr>
                <w:rFonts w:ascii="Arial" w:cs="Arial" w:eastAsia="Arial" w:hAnsi="Arial"/>
                <w:sz w:val="16"/>
                <w:szCs w:val="16"/>
                <w:color w:val="auto"/>
              </w:rPr>
              <w:t>Scott Christopher</w:t>
            </w:r>
          </w:p>
        </w:tc>
      </w:tr>
      <w:tr>
        <w:trPr>
          <w:trHeight w:val="270"/>
        </w:trPr>
        <w:tc>
          <w:tcPr>
            <w:tcW w:w="1960" w:type="dxa"/>
            <w:vAlign w:val="bottom"/>
          </w:tcPr>
          <w:p>
            <w:pPr>
              <w:spacing w:after="0"/>
              <w:rPr>
                <w:sz w:val="23"/>
                <w:szCs w:val="23"/>
                <w:color w:val="auto"/>
              </w:rPr>
            </w:pPr>
          </w:p>
        </w:tc>
        <w:tc>
          <w:tcPr>
            <w:tcW w:w="5700" w:type="dxa"/>
            <w:vAlign w:val="bottom"/>
          </w:tcPr>
          <w:p>
            <w:pPr>
              <w:spacing w:after="0"/>
              <w:rPr>
                <w:sz w:val="23"/>
                <w:szCs w:val="23"/>
                <w:color w:val="auto"/>
              </w:rPr>
            </w:pPr>
          </w:p>
        </w:tc>
        <w:tc>
          <w:tcPr>
            <w:tcW w:w="3760" w:type="dxa"/>
            <w:vAlign w:val="bottom"/>
          </w:tcPr>
          <w:p>
            <w:pPr>
              <w:ind w:left="40"/>
              <w:spacing w:after="0"/>
              <w:rPr>
                <w:sz w:val="20"/>
                <w:szCs w:val="20"/>
                <w:color w:val="auto"/>
              </w:rPr>
            </w:pPr>
            <w:r>
              <w:rPr>
                <w:rFonts w:ascii="Arial" w:cs="Arial" w:eastAsia="Arial" w:hAnsi="Arial"/>
                <w:sz w:val="16"/>
                <w:szCs w:val="16"/>
                <w:color w:val="auto"/>
              </w:rPr>
              <w:t>Chief Financial Officer</w:t>
            </w:r>
          </w:p>
        </w:tc>
      </w:tr>
    </w:tbl>
    <w:p>
      <w:pPr>
        <w:sectPr>
          <w:pgSz w:w="11900" w:h="16838" w:orient="portrait"/>
          <w:cols w:equalWidth="0" w:num="1">
            <w:col w:w="11420"/>
          </w:cols>
          <w:pgMar w:left="240" w:top="579" w:right="239" w:bottom="1440" w:gutter="0" w:footer="0" w:header="0"/>
        </w:sectPr>
      </w:pPr>
    </w:p>
    <w:bookmarkStart w:id="101" w:name="page102"/>
    <w:bookmarkEnd w:id="101"/>
    <w:p>
      <w:pPr>
        <w:jc w:val="center"/>
        <w:ind w:right="-19"/>
        <w:spacing w:after="0"/>
        <w:rPr>
          <w:sz w:val="20"/>
          <w:szCs w:val="20"/>
          <w:color w:val="auto"/>
        </w:rPr>
      </w:pPr>
      <w:r>
        <w:rPr>
          <w:rFonts w:ascii="Arial" w:cs="Arial" w:eastAsia="Arial" w:hAnsi="Arial"/>
          <w:sz w:val="16"/>
          <w:szCs w:val="16"/>
          <w:b w:val="1"/>
          <w:bCs w:val="1"/>
          <w:color w:val="auto"/>
        </w:rPr>
        <w:t>EXHIBIT 32.1</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CERTIFICATION OF CHIEF EXECUTIVE OFFICER PURSUANT TO</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18 U.S.C. SECTION 1350,</w:t>
      </w:r>
    </w:p>
    <w:p>
      <w:pPr>
        <w:spacing w:after="0" w:line="5"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AS ADOPTED PURSUANT TO</w:t>
      </w:r>
    </w:p>
    <w:p>
      <w:pPr>
        <w:spacing w:after="0" w:line="5"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SECTION 906 OF THE SARBANES-OXLEY ACT OF 2002</w:t>
      </w:r>
    </w:p>
    <w:p>
      <w:pPr>
        <w:spacing w:after="0" w:line="336" w:lineRule="exact"/>
        <w:rPr>
          <w:sz w:val="20"/>
          <w:szCs w:val="20"/>
          <w:color w:val="auto"/>
        </w:rPr>
      </w:pPr>
    </w:p>
    <w:p>
      <w:pPr>
        <w:jc w:val="both"/>
        <w:spacing w:after="0" w:line="261" w:lineRule="auto"/>
        <w:rPr>
          <w:sz w:val="20"/>
          <w:szCs w:val="20"/>
          <w:color w:val="auto"/>
        </w:rPr>
      </w:pPr>
      <w:r>
        <w:rPr>
          <w:rFonts w:ascii="Arial" w:cs="Arial" w:eastAsia="Arial" w:hAnsi="Arial"/>
          <w:sz w:val="16"/>
          <w:szCs w:val="16"/>
          <w:color w:val="auto"/>
        </w:rPr>
        <w:t>In connection with the Quarterly Report on Form 10-Q of Fortress Transportation and Infrastructure Investors LLC (the “Company”) for the quarterly period ended September 30, 2017 as filed with the Securities and Exchange Commission on the date hereof (the “Report”), Joseph P. Adams, Jr., as Chief Executive Officer of the Company, hereby certifies, pursuant to 18 U.S.C. Section 1350, as adopted pursuant to Section 906 of the Sarbanes-Oxley Act of 2002, that, to the best of his knowledge:</w:t>
      </w:r>
    </w:p>
    <w:p>
      <w:pPr>
        <w:spacing w:after="0" w:line="118" w:lineRule="exact"/>
        <w:rPr>
          <w:sz w:val="20"/>
          <w:szCs w:val="20"/>
          <w:color w:val="auto"/>
        </w:rPr>
      </w:pPr>
    </w:p>
    <w:p>
      <w:pPr>
        <w:ind w:left="380" w:hanging="372"/>
        <w:spacing w:after="0"/>
        <w:tabs>
          <w:tab w:leader="none" w:pos="380" w:val="left"/>
        </w:tabs>
        <w:numPr>
          <w:ilvl w:val="0"/>
          <w:numId w:val="41"/>
        </w:numPr>
        <w:rPr>
          <w:rFonts w:ascii="Arial" w:cs="Arial" w:eastAsia="Arial" w:hAnsi="Arial"/>
          <w:sz w:val="16"/>
          <w:szCs w:val="16"/>
          <w:color w:val="auto"/>
        </w:rPr>
      </w:pPr>
      <w:r>
        <w:rPr>
          <w:rFonts w:ascii="Arial" w:cs="Arial" w:eastAsia="Arial" w:hAnsi="Arial"/>
          <w:sz w:val="16"/>
          <w:szCs w:val="16"/>
          <w:color w:val="auto"/>
        </w:rPr>
        <w:t>The Report fully complies with the requirements of Section 13(a) or 15(d) of the Securities Exchange Act of 1934; and</w:t>
      </w:r>
    </w:p>
    <w:p>
      <w:pPr>
        <w:spacing w:after="0" w:line="329" w:lineRule="exact"/>
        <w:rPr>
          <w:rFonts w:ascii="Arial" w:cs="Arial" w:eastAsia="Arial" w:hAnsi="Arial"/>
          <w:sz w:val="16"/>
          <w:szCs w:val="16"/>
          <w:color w:val="auto"/>
        </w:rPr>
      </w:pPr>
    </w:p>
    <w:p>
      <w:pPr>
        <w:ind w:left="380" w:hanging="372"/>
        <w:spacing w:after="0"/>
        <w:tabs>
          <w:tab w:leader="none" w:pos="380" w:val="left"/>
        </w:tabs>
        <w:numPr>
          <w:ilvl w:val="0"/>
          <w:numId w:val="41"/>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329" w:lineRule="exact"/>
        <w:rPr>
          <w:sz w:val="20"/>
          <w:szCs w:val="20"/>
          <w:color w:val="auto"/>
        </w:rPr>
      </w:pPr>
    </w:p>
    <w:p>
      <w:pPr>
        <w:ind w:left="40"/>
        <w:spacing w:after="0"/>
        <w:rPr>
          <w:sz w:val="20"/>
          <w:szCs w:val="20"/>
          <w:color w:val="auto"/>
        </w:rPr>
      </w:pPr>
      <w:r>
        <w:rPr>
          <w:rFonts w:ascii="Arial" w:cs="Arial" w:eastAsia="Arial" w:hAnsi="Arial"/>
          <w:sz w:val="16"/>
          <w:szCs w:val="16"/>
          <w:color w:val="auto"/>
        </w:rPr>
        <w:t>/s/ Joseph P. Adams,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3627755"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44">
                      <a:extLst>
                        <a:ext uri="{28A0092B-C50C-407E-A947-70E740481C1C}"/>
                      </a:extLst>
                    </a:blip>
                    <a:srcRect/>
                    <a:stretch>
                      <a:fillRect/>
                    </a:stretch>
                  </pic:blipFill>
                  <pic:spPr bwMode="auto">
                    <a:xfrm>
                      <a:off x="0" y="0"/>
                      <a:ext cx="3627755" cy="8890"/>
                    </a:xfrm>
                    <a:prstGeom prst="rect">
                      <a:avLst/>
                    </a:prstGeom>
                    <a:noFill/>
                  </pic:spPr>
                </pic:pic>
              </a:graphicData>
            </a:graphic>
          </wp:anchor>
        </w:drawing>
      </w:r>
    </w:p>
    <w:p>
      <w:pPr>
        <w:spacing w:after="0" w:line="53" w:lineRule="exact"/>
        <w:rPr>
          <w:sz w:val="20"/>
          <w:szCs w:val="20"/>
          <w:color w:val="auto"/>
        </w:rPr>
      </w:pPr>
    </w:p>
    <w:p>
      <w:pPr>
        <w:ind w:left="40"/>
        <w:spacing w:after="0"/>
        <w:rPr>
          <w:sz w:val="20"/>
          <w:szCs w:val="20"/>
          <w:color w:val="auto"/>
        </w:rPr>
      </w:pPr>
      <w:r>
        <w:rPr>
          <w:rFonts w:ascii="Arial" w:cs="Arial" w:eastAsia="Arial" w:hAnsi="Arial"/>
          <w:sz w:val="16"/>
          <w:szCs w:val="16"/>
          <w:color w:val="auto"/>
        </w:rPr>
        <w:t>Joseph P. Adams, Jr.</w:t>
      </w:r>
    </w:p>
    <w:p>
      <w:pPr>
        <w:spacing w:after="0" w:line="59" w:lineRule="exact"/>
        <w:rPr>
          <w:sz w:val="20"/>
          <w:szCs w:val="20"/>
          <w:color w:val="auto"/>
        </w:rPr>
      </w:pPr>
    </w:p>
    <w:p>
      <w:pPr>
        <w:ind w:left="40"/>
        <w:spacing w:after="0"/>
        <w:rPr>
          <w:sz w:val="20"/>
          <w:szCs w:val="20"/>
          <w:color w:val="auto"/>
        </w:rPr>
      </w:pPr>
      <w:r>
        <w:rPr>
          <w:rFonts w:ascii="Arial" w:cs="Arial" w:eastAsia="Arial" w:hAnsi="Arial"/>
          <w:sz w:val="16"/>
          <w:szCs w:val="16"/>
          <w:color w:val="auto"/>
        </w:rPr>
        <w:t>Chief Executive Officer</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6"/>
          <w:szCs w:val="16"/>
          <w:color w:val="auto"/>
        </w:rPr>
        <w:t>November 3, 2017</w:t>
      </w:r>
    </w:p>
    <w:p>
      <w:pPr>
        <w:spacing w:after="0" w:line="194"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This certification accompanies the Report pursuant to Section 906 of the Sarbanes-Oxley Act of 2002 and shall not, except to the extent required by the Sarbanes-Oxley Act of 2002, be deemed filed by the Company for purposes of Section 18 of the Securities Exchange Act of 1934, as amended.</w:t>
      </w:r>
    </w:p>
    <w:p>
      <w:pPr>
        <w:spacing w:after="0" w:line="94"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A signed original of this written statement required by Section 906 of the Sarbanes-Oxley Act of 2002 has been provided to the Company and will be retained by the Company and furnished to the Securities and Exchange Commission or its staff upon request.</w:t>
      </w:r>
    </w:p>
    <w:p>
      <w:pPr>
        <w:sectPr>
          <w:pgSz w:w="11900" w:h="16838" w:orient="portrait"/>
          <w:cols w:equalWidth="0" w:num="1">
            <w:col w:w="11420"/>
          </w:cols>
          <w:pgMar w:left="240" w:top="579" w:right="239" w:bottom="1440" w:gutter="0" w:footer="0" w:header="0"/>
        </w:sectPr>
      </w:pPr>
    </w:p>
    <w:bookmarkStart w:id="102" w:name="page103"/>
    <w:bookmarkEnd w:id="102"/>
    <w:p>
      <w:pPr>
        <w:jc w:val="center"/>
        <w:ind w:right="-19"/>
        <w:spacing w:after="0"/>
        <w:rPr>
          <w:sz w:val="20"/>
          <w:szCs w:val="20"/>
          <w:color w:val="auto"/>
        </w:rPr>
      </w:pPr>
      <w:r>
        <w:rPr>
          <w:rFonts w:ascii="Arial" w:cs="Arial" w:eastAsia="Arial" w:hAnsi="Arial"/>
          <w:sz w:val="16"/>
          <w:szCs w:val="16"/>
          <w:b w:val="1"/>
          <w:bCs w:val="1"/>
          <w:color w:val="auto"/>
        </w:rPr>
        <w:t>EXHIBIT 32.2</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CERTIFICATION OF CHIEF FINANCIAL OFFICER PURSUANT TO</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18 U.S.C. SECTION 1350,</w:t>
      </w:r>
    </w:p>
    <w:p>
      <w:pPr>
        <w:spacing w:after="0" w:line="5"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AS ADOPTED PURSUANT TO</w:t>
      </w:r>
    </w:p>
    <w:p>
      <w:pPr>
        <w:spacing w:after="0" w:line="5"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SECTION 906 OF THE SARBANES-OXLEY ACT OF 2002</w:t>
      </w:r>
    </w:p>
    <w:p>
      <w:pPr>
        <w:spacing w:after="0" w:line="336" w:lineRule="exact"/>
        <w:rPr>
          <w:sz w:val="20"/>
          <w:szCs w:val="20"/>
          <w:color w:val="auto"/>
        </w:rPr>
      </w:pPr>
    </w:p>
    <w:p>
      <w:pPr>
        <w:jc w:val="both"/>
        <w:spacing w:after="0" w:line="261" w:lineRule="auto"/>
        <w:rPr>
          <w:sz w:val="20"/>
          <w:szCs w:val="20"/>
          <w:color w:val="auto"/>
        </w:rPr>
      </w:pPr>
      <w:r>
        <w:rPr>
          <w:rFonts w:ascii="Arial" w:cs="Arial" w:eastAsia="Arial" w:hAnsi="Arial"/>
          <w:sz w:val="16"/>
          <w:szCs w:val="16"/>
          <w:color w:val="auto"/>
        </w:rPr>
        <w:t>In connection with the Quarterly Report on Form 10-Q of Fortress Transportation and Infrastructure Investors LLC (the “Company”) for the quarterly period ended September 30, 2017 as filed with the Securities and Exchange Commission on the date hereof (the “Report”), Scott Christopher, as Chief Financial Officer of the Company, hereby certifies, pursuant to 18 U.S.C. Section 1350, as adopted pursuant to Section 906 of the Sarbanes-Oxley Act of 2002, that, to the best of his knowledge:</w:t>
      </w:r>
    </w:p>
    <w:p>
      <w:pPr>
        <w:spacing w:after="0" w:line="118" w:lineRule="exact"/>
        <w:rPr>
          <w:sz w:val="20"/>
          <w:szCs w:val="20"/>
          <w:color w:val="auto"/>
        </w:rPr>
      </w:pPr>
    </w:p>
    <w:p>
      <w:pPr>
        <w:ind w:left="380" w:hanging="372"/>
        <w:spacing w:after="0"/>
        <w:tabs>
          <w:tab w:leader="none" w:pos="380" w:val="left"/>
        </w:tabs>
        <w:numPr>
          <w:ilvl w:val="0"/>
          <w:numId w:val="42"/>
        </w:numPr>
        <w:rPr>
          <w:rFonts w:ascii="Arial" w:cs="Arial" w:eastAsia="Arial" w:hAnsi="Arial"/>
          <w:sz w:val="16"/>
          <w:szCs w:val="16"/>
          <w:color w:val="auto"/>
        </w:rPr>
      </w:pPr>
      <w:r>
        <w:rPr>
          <w:rFonts w:ascii="Arial" w:cs="Arial" w:eastAsia="Arial" w:hAnsi="Arial"/>
          <w:sz w:val="16"/>
          <w:szCs w:val="16"/>
          <w:color w:val="auto"/>
        </w:rPr>
        <w:t>The Report fully complies with the requirements of Section 13(a) or 15(d) of the Securities Exchange Act of 1934; and</w:t>
      </w:r>
    </w:p>
    <w:p>
      <w:pPr>
        <w:spacing w:after="0" w:line="329" w:lineRule="exact"/>
        <w:rPr>
          <w:rFonts w:ascii="Arial" w:cs="Arial" w:eastAsia="Arial" w:hAnsi="Arial"/>
          <w:sz w:val="16"/>
          <w:szCs w:val="16"/>
          <w:color w:val="auto"/>
        </w:rPr>
      </w:pPr>
    </w:p>
    <w:p>
      <w:pPr>
        <w:ind w:left="380" w:hanging="372"/>
        <w:spacing w:after="0"/>
        <w:tabs>
          <w:tab w:leader="none" w:pos="380" w:val="left"/>
        </w:tabs>
        <w:numPr>
          <w:ilvl w:val="0"/>
          <w:numId w:val="42"/>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329" w:lineRule="exact"/>
        <w:rPr>
          <w:sz w:val="20"/>
          <w:szCs w:val="20"/>
          <w:color w:val="auto"/>
        </w:rPr>
      </w:pPr>
    </w:p>
    <w:p>
      <w:pPr>
        <w:ind w:left="40"/>
        <w:spacing w:after="0"/>
        <w:rPr>
          <w:sz w:val="20"/>
          <w:szCs w:val="20"/>
          <w:color w:val="auto"/>
        </w:rPr>
      </w:pPr>
      <w:r>
        <w:rPr>
          <w:rFonts w:ascii="Arial" w:cs="Arial" w:eastAsia="Arial" w:hAnsi="Arial"/>
          <w:sz w:val="16"/>
          <w:szCs w:val="16"/>
          <w:color w:val="auto"/>
        </w:rPr>
        <w:t>/s/ Scott Christopher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3627755"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45">
                      <a:extLst>
                        <a:ext uri="{28A0092B-C50C-407E-A947-70E740481C1C}"/>
                      </a:extLst>
                    </a:blip>
                    <a:srcRect/>
                    <a:stretch>
                      <a:fillRect/>
                    </a:stretch>
                  </pic:blipFill>
                  <pic:spPr bwMode="auto">
                    <a:xfrm>
                      <a:off x="0" y="0"/>
                      <a:ext cx="3627755" cy="8890"/>
                    </a:xfrm>
                    <a:prstGeom prst="rect">
                      <a:avLst/>
                    </a:prstGeom>
                    <a:noFill/>
                  </pic:spPr>
                </pic:pic>
              </a:graphicData>
            </a:graphic>
          </wp:anchor>
        </w:drawing>
      </w:r>
    </w:p>
    <w:p>
      <w:pPr>
        <w:spacing w:after="0" w:line="53" w:lineRule="exact"/>
        <w:rPr>
          <w:sz w:val="20"/>
          <w:szCs w:val="20"/>
          <w:color w:val="auto"/>
        </w:rPr>
      </w:pPr>
    </w:p>
    <w:p>
      <w:pPr>
        <w:ind w:left="40"/>
        <w:spacing w:after="0"/>
        <w:rPr>
          <w:sz w:val="20"/>
          <w:szCs w:val="20"/>
          <w:color w:val="auto"/>
        </w:rPr>
      </w:pPr>
      <w:r>
        <w:rPr>
          <w:rFonts w:ascii="Arial" w:cs="Arial" w:eastAsia="Arial" w:hAnsi="Arial"/>
          <w:sz w:val="16"/>
          <w:szCs w:val="16"/>
          <w:color w:val="auto"/>
        </w:rPr>
        <w:t>Scott Christopher</w:t>
      </w:r>
    </w:p>
    <w:p>
      <w:pPr>
        <w:spacing w:after="0" w:line="248" w:lineRule="exact"/>
        <w:rPr>
          <w:sz w:val="20"/>
          <w:szCs w:val="20"/>
          <w:color w:val="auto"/>
        </w:rPr>
      </w:pPr>
    </w:p>
    <w:p>
      <w:pPr>
        <w:ind w:left="40"/>
        <w:spacing w:after="0"/>
        <w:rPr>
          <w:sz w:val="20"/>
          <w:szCs w:val="20"/>
          <w:color w:val="auto"/>
        </w:rPr>
      </w:pPr>
      <w:r>
        <w:rPr>
          <w:rFonts w:ascii="Arial" w:cs="Arial" w:eastAsia="Arial" w:hAnsi="Arial"/>
          <w:sz w:val="16"/>
          <w:szCs w:val="16"/>
          <w:color w:val="auto"/>
        </w:rPr>
        <w:t>Chief Financial Officer</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6"/>
          <w:szCs w:val="16"/>
          <w:color w:val="auto"/>
        </w:rPr>
        <w:t>November 3, 2017</w:t>
      </w:r>
    </w:p>
    <w:p>
      <w:pPr>
        <w:spacing w:after="0" w:line="194"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This certification accompanies the Report pursuant to Section 906 of the Sarbanes-Oxley Act of 2002 and shall not, except to the extent required by the Sarbanes-Oxley Act of 2002, be deemed filed by the Company for purposes of Section 18 of the Securities Exchange Act of 1934, as amended.</w:t>
      </w:r>
    </w:p>
    <w:p>
      <w:pPr>
        <w:spacing w:after="0" w:line="94"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A signed original of this written statement required by Section 906 of the Sarbanes-Oxley Act of 2002 has been provided to the Company and will be retained by the Company and furnished to the Securities and Exchange Commission or its staff upon request.</w:t>
      </w:r>
    </w:p>
    <w:sectPr>
      <w:pgSz w:w="11900" w:h="16838" w:orient="portrait"/>
      <w:cols w:equalWidth="0" w:num="1">
        <w:col w:w="11420"/>
      </w:cols>
      <w:pgMar w:left="240" w:top="578"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33AB105"/>
    <w:multiLevelType w:val="hybridMultilevel"/>
    <w:lvl w:ilvl="0">
      <w:lvlJc w:val="left"/>
      <w:lvlText w:val="☑"/>
      <w:numFmt w:val="bullet"/>
      <w:start w:val="1"/>
    </w:lvl>
  </w:abstractNum>
  <w:abstractNum w:abstractNumId="1">
    <w:nsid w:val="721DA317"/>
    <w:multiLevelType w:val="hybridMultilevel"/>
    <w:lvl w:ilvl="0">
      <w:lvlJc w:val="left"/>
      <w:lvlText w:val="☐"/>
      <w:numFmt w:val="bullet"/>
      <w:start w:val="1"/>
    </w:lvl>
  </w:abstractNum>
  <w:abstractNum w:abstractNumId="2">
    <w:nsid w:val="2443A858"/>
    <w:multiLevelType w:val="hybridMultilevel"/>
    <w:lvl w:ilvl="0">
      <w:lvlJc w:val="left"/>
      <w:lvlText w:val="•"/>
      <w:numFmt w:val="bullet"/>
      <w:start w:val="1"/>
    </w:lvl>
  </w:abstractNum>
  <w:abstractNum w:abstractNumId="3">
    <w:nsid w:val="2D1D5AE9"/>
    <w:multiLevelType w:val="hybridMultilevel"/>
    <w:lvl w:ilvl="0">
      <w:lvlJc w:val="left"/>
      <w:lvlText w:val="•"/>
      <w:numFmt w:val="bullet"/>
      <w:start w:val="1"/>
    </w:lvl>
  </w:abstractNum>
  <w:abstractNum w:abstractNumId="4">
    <w:nsid w:val="6763845E"/>
    <w:multiLevelType w:val="hybridMultilevel"/>
    <w:lvl w:ilvl="0">
      <w:lvlJc w:val="left"/>
      <w:lvlText w:val="%1."/>
      <w:numFmt w:val="decimal"/>
      <w:start w:val="1"/>
    </w:lvl>
  </w:abstractNum>
  <w:abstractNum w:abstractNumId="5">
    <w:nsid w:val="75A2A8D4"/>
    <w:multiLevelType w:val="hybridMultilevel"/>
    <w:lvl w:ilvl="0">
      <w:lvlJc w:val="left"/>
      <w:lvlText w:val="•"/>
      <w:numFmt w:val="bullet"/>
      <w:start w:val="1"/>
    </w:lvl>
  </w:abstractNum>
  <w:abstractNum w:abstractNumId="6">
    <w:nsid w:val="8EDBDAB"/>
    <w:multiLevelType w:val="hybridMultilevel"/>
    <w:lvl w:ilvl="0">
      <w:lvlJc w:val="left"/>
      <w:lvlText w:val="•"/>
      <w:numFmt w:val="bullet"/>
      <w:start w:val="1"/>
    </w:lvl>
  </w:abstractNum>
  <w:abstractNum w:abstractNumId="7">
    <w:nsid w:val="79838CB2"/>
    <w:multiLevelType w:val="hybridMultilevel"/>
    <w:lvl w:ilvl="0">
      <w:lvlJc w:val="left"/>
      <w:lvlText w:val="(%1)"/>
      <w:numFmt w:val="decimal"/>
      <w:start w:val="1"/>
    </w:lvl>
  </w:abstractNum>
  <w:abstractNum w:abstractNumId="8">
    <w:nsid w:val="4353D0CD"/>
    <w:multiLevelType w:val="hybridMultilevel"/>
    <w:lvl w:ilvl="0">
      <w:lvlJc w:val="left"/>
      <w:lvlText w:val="(%1)"/>
      <w:numFmt w:val="decimal"/>
      <w:start w:val="3"/>
    </w:lvl>
  </w:abstractNum>
  <w:abstractNum w:abstractNumId="9">
    <w:nsid w:val="B03E0C6"/>
    <w:multiLevelType w:val="hybridMultilevel"/>
    <w:lvl w:ilvl="0">
      <w:lvlJc w:val="left"/>
      <w:lvlText w:val="(%1)"/>
      <w:numFmt w:val="lowerLetter"/>
      <w:start w:val="2"/>
    </w:lvl>
  </w:abstractNum>
  <w:abstractNum w:abstractNumId="10">
    <w:nsid w:val="189A769B"/>
    <w:multiLevelType w:val="hybridMultilevel"/>
    <w:lvl w:ilvl="0">
      <w:lvlJc w:val="left"/>
      <w:lvlText w:val="(%1)"/>
      <w:numFmt w:val="decimal"/>
      <w:start w:val="1"/>
    </w:lvl>
  </w:abstractNum>
  <w:abstractNum w:abstractNumId="11">
    <w:nsid w:val="54E49EB4"/>
    <w:multiLevelType w:val="hybridMultilevel"/>
    <w:lvl w:ilvl="0">
      <w:lvlJc w:val="left"/>
      <w:lvlText w:val="(%1)"/>
      <w:numFmt w:val="decimal"/>
      <w:start w:val="3"/>
    </w:lvl>
  </w:abstractNum>
  <w:abstractNum w:abstractNumId="12">
    <w:nsid w:val="71F32454"/>
    <w:multiLevelType w:val="hybridMultilevel"/>
    <w:lvl w:ilvl="0">
      <w:lvlJc w:val="left"/>
      <w:lvlText w:val="(%1)"/>
      <w:numFmt w:val="decimal"/>
      <w:start w:val="5"/>
    </w:lvl>
  </w:abstractNum>
  <w:abstractNum w:abstractNumId="13">
    <w:nsid w:val="2CA88611"/>
    <w:multiLevelType w:val="hybridMultilevel"/>
    <w:lvl w:ilvl="0">
      <w:lvlJc w:val="left"/>
      <w:lvlText w:val="(%1)"/>
      <w:numFmt w:val="decimal"/>
      <w:start w:val="1"/>
    </w:lvl>
  </w:abstractNum>
  <w:abstractNum w:abstractNumId="14">
    <w:nsid w:val="836C40E"/>
    <w:multiLevelType w:val="hybridMultilevel"/>
    <w:lvl w:ilvl="0">
      <w:lvlJc w:val="left"/>
      <w:lvlText w:val="(%1)"/>
      <w:numFmt w:val="decimal"/>
      <w:start w:val="2"/>
    </w:lvl>
  </w:abstractNum>
  <w:abstractNum w:abstractNumId="15">
    <w:nsid w:val="2901D82"/>
    <w:multiLevelType w:val="hybridMultilevel"/>
    <w:lvl w:ilvl="0">
      <w:lvlJc w:val="left"/>
      <w:lvlText w:val="*"/>
      <w:numFmt w:val="bullet"/>
      <w:start w:val="1"/>
    </w:lvl>
  </w:abstractNum>
  <w:abstractNum w:abstractNumId="16">
    <w:nsid w:val="3A95F874"/>
    <w:multiLevelType w:val="hybridMultilevel"/>
    <w:lvl w:ilvl="0">
      <w:lvlJc w:val="left"/>
      <w:lvlText w:val="(%1)"/>
      <w:numFmt w:val="decimal"/>
      <w:start w:val="1"/>
    </w:lvl>
  </w:abstractNum>
  <w:abstractNum w:abstractNumId="17">
    <w:nsid w:val="8138641"/>
    <w:multiLevelType w:val="hybridMultilevel"/>
    <w:lvl w:ilvl="0">
      <w:lvlJc w:val="left"/>
      <w:lvlText w:val="(%1)"/>
      <w:numFmt w:val="decimal"/>
      <w:start w:val="2"/>
    </w:lvl>
  </w:abstractNum>
  <w:abstractNum w:abstractNumId="18">
    <w:nsid w:val="1E7FF521"/>
    <w:multiLevelType w:val="hybridMultilevel"/>
    <w:lvl w:ilvl="0">
      <w:lvlJc w:val="left"/>
      <w:lvlText w:val="(%1)"/>
      <w:numFmt w:val="decimal"/>
      <w:start w:val="1"/>
    </w:lvl>
  </w:abstractNum>
  <w:abstractNum w:abstractNumId="19">
    <w:nsid w:val="7C3DBD3D"/>
    <w:multiLevelType w:val="hybridMultilevel"/>
    <w:lvl w:ilvl="0">
      <w:lvlJc w:val="left"/>
      <w:lvlText w:val="(%1)"/>
      <w:numFmt w:val="decimal"/>
      <w:start w:val="2"/>
    </w:lvl>
  </w:abstractNum>
  <w:abstractNum w:abstractNumId="20">
    <w:nsid w:val="737B8DDC"/>
    <w:multiLevelType w:val="hybridMultilevel"/>
    <w:lvl w:ilvl="0">
      <w:lvlJc w:val="left"/>
      <w:lvlText w:val="(%1)"/>
      <w:numFmt w:val="decimal"/>
      <w:start w:val="1"/>
    </w:lvl>
  </w:abstractNum>
  <w:abstractNum w:abstractNumId="21">
    <w:nsid w:val="6CEAF087"/>
    <w:multiLevelType w:val="hybridMultilevel"/>
    <w:lvl w:ilvl="0">
      <w:lvlJc w:val="left"/>
      <w:lvlText w:val="(%1)"/>
      <w:numFmt w:val="decimal"/>
      <w:start w:val="3"/>
    </w:lvl>
  </w:abstractNum>
  <w:abstractNum w:abstractNumId="22">
    <w:nsid w:val="22221A70"/>
    <w:multiLevelType w:val="hybridMultilevel"/>
    <w:lvl w:ilvl="0">
      <w:lvlJc w:val="left"/>
      <w:lvlText w:val="(%1)"/>
      <w:numFmt w:val="decimal"/>
      <w:start w:val="1"/>
    </w:lvl>
  </w:abstractNum>
  <w:abstractNum w:abstractNumId="23">
    <w:nsid w:val="4516DDE9"/>
    <w:multiLevelType w:val="hybridMultilevel"/>
    <w:lvl w:ilvl="0">
      <w:lvlJc w:val="left"/>
      <w:lvlText w:val="(%1)"/>
      <w:numFmt w:val="decimal"/>
      <w:start w:val="2"/>
    </w:lvl>
  </w:abstractNum>
  <w:abstractNum w:abstractNumId="24">
    <w:nsid w:val="3006C83E"/>
    <w:multiLevelType w:val="hybridMultilevel"/>
    <w:lvl w:ilvl="0">
      <w:lvlJc w:val="left"/>
      <w:lvlText w:val="(%1)"/>
      <w:numFmt w:val="decimal"/>
      <w:start w:val="1"/>
    </w:lvl>
  </w:abstractNum>
  <w:abstractNum w:abstractNumId="25">
    <w:nsid w:val="614FD4A1"/>
    <w:multiLevelType w:val="hybridMultilevel"/>
    <w:lvl w:ilvl="0">
      <w:lvlJc w:val="left"/>
      <w:lvlText w:val="(%1)"/>
      <w:numFmt w:val="lowerRoman"/>
      <w:start w:val="3"/>
    </w:lvl>
    <w:lvl w:ilvl="1">
      <w:lvlJc w:val="left"/>
      <w:lvlText w:val="•"/>
      <w:numFmt w:val="bullet"/>
      <w:start w:val="1"/>
    </w:lvl>
  </w:abstractNum>
  <w:abstractNum w:abstractNumId="26">
    <w:nsid w:val="419AC241"/>
    <w:multiLevelType w:val="hybridMultilevel"/>
    <w:lvl w:ilvl="0">
      <w:lvlJc w:val="left"/>
      <w:lvlText w:val="•"/>
      <w:numFmt w:val="bullet"/>
      <w:start w:val="1"/>
    </w:lvl>
  </w:abstractNum>
  <w:abstractNum w:abstractNumId="27">
    <w:nsid w:val="5577F8E1"/>
    <w:multiLevelType w:val="hybridMultilevel"/>
    <w:lvl w:ilvl="0">
      <w:lvlJc w:val="left"/>
      <w:lvlText w:val="(%1)"/>
      <w:numFmt w:val="decimal"/>
      <w:start w:val="1"/>
    </w:lvl>
  </w:abstractNum>
  <w:abstractNum w:abstractNumId="28">
    <w:nsid w:val="440BADFC"/>
    <w:multiLevelType w:val="hybridMultilevel"/>
    <w:lvl w:ilvl="0">
      <w:lvlJc w:val="left"/>
      <w:lvlText w:val="•"/>
      <w:numFmt w:val="bullet"/>
      <w:start w:val="1"/>
    </w:lvl>
  </w:abstractNum>
  <w:abstractNum w:abstractNumId="29">
    <w:nsid w:val="5072367"/>
    <w:multiLevelType w:val="hybridMultilevel"/>
    <w:lvl w:ilvl="0">
      <w:lvlJc w:val="left"/>
      <w:lvlText w:val="(%1)"/>
      <w:numFmt w:val="decimal"/>
      <w:start w:val="1"/>
    </w:lvl>
  </w:abstractNum>
  <w:abstractNum w:abstractNumId="30">
    <w:nsid w:val="3804823E"/>
    <w:multiLevelType w:val="hybridMultilevel"/>
    <w:lvl w:ilvl="0">
      <w:lvlJc w:val="left"/>
      <w:lvlText w:val="•"/>
      <w:numFmt w:val="bullet"/>
      <w:start w:val="1"/>
    </w:lvl>
  </w:abstractNum>
  <w:abstractNum w:abstractNumId="31">
    <w:nsid w:val="77465F01"/>
    <w:multiLevelType w:val="hybridMultilevel"/>
    <w:lvl w:ilvl="0">
      <w:lvlJc w:val="left"/>
      <w:lvlText w:val="•"/>
      <w:numFmt w:val="bullet"/>
      <w:start w:val="1"/>
    </w:lvl>
  </w:abstractNum>
  <w:abstractNum w:abstractNumId="32">
    <w:nsid w:val="7724C67E"/>
    <w:multiLevelType w:val="hybridMultilevel"/>
    <w:lvl w:ilvl="0">
      <w:lvlJc w:val="left"/>
      <w:lvlText w:val="•"/>
      <w:numFmt w:val="bullet"/>
      <w:start w:val="1"/>
    </w:lvl>
  </w:abstractNum>
  <w:abstractNum w:abstractNumId="33">
    <w:nsid w:val="5C482A97"/>
    <w:multiLevelType w:val="hybridMultilevel"/>
    <w:lvl w:ilvl="0">
      <w:lvlJc w:val="left"/>
      <w:lvlText w:val="•"/>
      <w:numFmt w:val="bullet"/>
      <w:start w:val="1"/>
    </w:lvl>
  </w:abstractNum>
  <w:abstractNum w:abstractNumId="34">
    <w:nsid w:val="2463B9EA"/>
    <w:multiLevelType w:val="hybridMultilevel"/>
    <w:lvl w:ilvl="0">
      <w:lvlJc w:val="left"/>
      <w:lvlText w:val="•"/>
      <w:numFmt w:val="bullet"/>
      <w:start w:val="1"/>
    </w:lvl>
  </w:abstractNum>
  <w:abstractNum w:abstractNumId="35">
    <w:nsid w:val="5E884ADC"/>
    <w:multiLevelType w:val="hybridMultilevel"/>
    <w:lvl w:ilvl="0">
      <w:lvlJc w:val="left"/>
      <w:lvlText w:val="•"/>
      <w:numFmt w:val="bullet"/>
      <w:start w:val="1"/>
    </w:lvl>
  </w:abstractNum>
  <w:abstractNum w:abstractNumId="36">
    <w:nsid w:val="51EAD36B"/>
    <w:multiLevelType w:val="hybridMultilevel"/>
    <w:lvl w:ilvl="0">
      <w:lvlJc w:val="left"/>
      <w:lvlText w:val="•"/>
      <w:numFmt w:val="bullet"/>
      <w:start w:val="1"/>
    </w:lvl>
  </w:abstractNum>
  <w:abstractNum w:abstractNumId="37">
    <w:nsid w:val="2D517796"/>
    <w:multiLevelType w:val="hybridMultilevel"/>
    <w:lvl w:ilvl="0">
      <w:lvlJc w:val="left"/>
      <w:lvlText w:val="†"/>
      <w:numFmt w:val="bullet"/>
      <w:start w:val="1"/>
    </w:lvl>
  </w:abstractNum>
  <w:abstractNum w:abstractNumId="38">
    <w:nsid w:val="580BD78F"/>
    <w:multiLevelType w:val="hybridMultilevel"/>
    <w:lvl w:ilvl="0">
      <w:lvlJc w:val="left"/>
      <w:lvlText w:val="%1."/>
      <w:numFmt w:val="decimal"/>
      <w:start w:val="1"/>
    </w:lvl>
    <w:lvl w:ilvl="1">
      <w:lvlJc w:val="left"/>
      <w:lvlText w:val="(%2)"/>
      <w:numFmt w:val="lowerLetter"/>
      <w:start w:val="1"/>
    </w:lvl>
  </w:abstractNum>
  <w:abstractNum w:abstractNumId="39">
    <w:nsid w:val="153EA438"/>
    <w:multiLevelType w:val="hybridMultilevel"/>
    <w:lvl w:ilvl="0">
      <w:lvlJc w:val="left"/>
      <w:lvlText w:val="%1."/>
      <w:numFmt w:val="decimal"/>
      <w:start w:val="1"/>
    </w:lvl>
    <w:lvl w:ilvl="1">
      <w:lvlJc w:val="left"/>
      <w:lvlText w:val="(%2)"/>
      <w:numFmt w:val="lowerLetter"/>
      <w:start w:val="1"/>
    </w:lvl>
  </w:abstractNum>
  <w:abstractNum w:abstractNumId="40">
    <w:nsid w:val="3855585C"/>
    <w:multiLevelType w:val="hybridMultilevel"/>
    <w:lvl w:ilvl="0">
      <w:lvlJc w:val="left"/>
      <w:lvlText w:val="(%1)"/>
      <w:numFmt w:val="decimal"/>
      <w:start w:val="1"/>
    </w:lvl>
  </w:abstractNum>
  <w:abstractNum w:abstractNumId="41">
    <w:nsid w:val="70A64E2A"/>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44" Type="http://schemas.openxmlformats.org/officeDocument/2006/relationships/image" Target="media/image17.png"/><Relationship Id="rId45" Type="http://schemas.openxmlformats.org/officeDocument/2006/relationships/image" Target="media/image18.png"/><Relationship Id="rId24" Type="http://schemas.openxmlformats.org/officeDocument/2006/relationships/hyperlink" Target="http://www.sec.gov/Archives/edgar/data/1590364/000119312515163776/d616610dex31.htm" TargetMode="External"/><Relationship Id="rId25" Type="http://schemas.openxmlformats.org/officeDocument/2006/relationships/hyperlink" Target="http://www.sec.gov/Archives/edgar/data/1590364/000119312515197222/d931434dex31.htm" TargetMode="External"/><Relationship Id="rId26" Type="http://schemas.openxmlformats.org/officeDocument/2006/relationships/hyperlink" Target="http://www.sec.gov/Archives/edgar/data/1590364/000159036416000014/ftai12312015exhibit33.htm" TargetMode="External"/><Relationship Id="rId27" Type="http://schemas.openxmlformats.org/officeDocument/2006/relationships/hyperlink" Target="http://www.sec.gov/Archives/edgar/data/1590364/000095015717000381/ex4-1.htm" TargetMode="External"/><Relationship Id="rId28" Type="http://schemas.openxmlformats.org/officeDocument/2006/relationships/hyperlink" Target="http://www.sec.gov/Archives/edgar/data/1590364/000095015717000381/0000950157-17-000381-index.htm" TargetMode="External"/><Relationship Id="rId29" Type="http://schemas.openxmlformats.org/officeDocument/2006/relationships/hyperlink" Target="http://www.sec.gov/Archives/edgar/data/1590364/000095015717001232/ex4-1.htm" TargetMode="External"/><Relationship Id="rId30" Type="http://schemas.openxmlformats.org/officeDocument/2006/relationships/hyperlink" Target="http://www.sec.gov/Archives/edgar/data/1590364/000119312515197222/d931434dex101.htm" TargetMode="External"/><Relationship Id="rId31" Type="http://schemas.openxmlformats.org/officeDocument/2006/relationships/hyperlink" Target="http://www.sec.gov/Archives/edgar/data/1590364/000119312515197222/d931434dex102.htm" TargetMode="External"/><Relationship Id="rId32" Type="http://schemas.openxmlformats.org/officeDocument/2006/relationships/hyperlink" Target="http://www.sec.gov/Archives/edgar/data/1590364/000119312515163776/d616610dex103.htm" TargetMode="External"/><Relationship Id="rId33" Type="http://schemas.openxmlformats.org/officeDocument/2006/relationships/hyperlink" Target="http://www.sec.gov/Archives/edgar/data/1590364/000119312515197222/d931434dex103.htm" TargetMode="External"/><Relationship Id="rId34" Type="http://schemas.openxmlformats.org/officeDocument/2006/relationships/hyperlink" Target="http://www.sec.gov/Archives/edgar/data/1590364/000119312515163776/d616610dex105.htm" TargetMode="External"/><Relationship Id="rId35" Type="http://schemas.openxmlformats.org/officeDocument/2006/relationships/hyperlink" Target="http://www.sec.gov/Archives/edgar/data/1590364/000119312515163776/d616610dex106.htm" TargetMode="External"/><Relationship Id="rId36" Type="http://schemas.openxmlformats.org/officeDocument/2006/relationships/hyperlink" Target="http://www.sec.gov/Archives/edgar/data/1590364/000159036416000014/ftai12312015exhibit107.htm" TargetMode="External"/><Relationship Id="rId37" Type="http://schemas.openxmlformats.org/officeDocument/2006/relationships/hyperlink" Target="http://www.sec.gov/Archives/edgar/data/1590364/000159036416000014/ftai12312015exhibit108.htm" TargetMode="External"/><Relationship Id="rId38" Type="http://schemas.openxmlformats.org/officeDocument/2006/relationships/hyperlink" Target="http://www.sec.gov/Archives/edgar/data/1590364/000159036416000014/ftai12312015exhibit109.htm" TargetMode="External"/><Relationship Id="rId39" Type="http://schemas.openxmlformats.org/officeDocument/2006/relationships/hyperlink" Target="http://www.sec.gov/Archives/edgar/data/1590364/000159036416000014/ftai12312015exhibit1010.htm" TargetMode="External"/><Relationship Id="rId40" Type="http://schemas.openxmlformats.org/officeDocument/2006/relationships/hyperlink" Target="http://www.sec.gov/Archives/edgar/data/1590364/000159036416000014/0001590364-16-000014-index.htm" TargetMode="External"/><Relationship Id="rId41" Type="http://schemas.openxmlformats.org/officeDocument/2006/relationships/hyperlink" Target="http://www.sec.gov/Archives/edgar/data/1590364/000159036416000014/ftai12312015exhibit1012.htm" TargetMode="External"/><Relationship Id="rId42" Type="http://schemas.openxmlformats.org/officeDocument/2006/relationships/hyperlink" Target="http://www.sec.gov/Archives/edgar/data/1590364/000156761917000090/s001516x1_ex10-1.htm" TargetMode="External"/><Relationship Id="rId43" Type="http://schemas.openxmlformats.org/officeDocument/2006/relationships/hyperlink" Target="http://www.sec.gov/Archives/edgar/data/1590364/000156761917001299/s001761x1_ex10-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2019-12-29T04:10:21Z</dcterms:created>
  <dcterms:modified xsi:type="dcterms:W3CDTF">2019-12-29T04:10:21Z</dcterms:modified>
</cp:coreProperties>
</file>