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ectPr>
          <w:pgSz w:w="11900" w:h="16838" w:orient="portrait"/>
          <w:cols w:equalWidth="0" w:num="1">
            <w:col w:w="11420"/>
          </w:cols>
          <w:pgMar w:left="240" w:top="229" w:right="239" w:bottom="1440" w:gutter="0" w:footer="0" w:header="0"/>
        </w:sectPr>
      </w:pPr>
    </w:p>
    <w:p>
      <w:pPr>
        <w:spacing w:after="0" w:line="155"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QUARTERLY REPORT PURSUANT TO SECTION 13 OR 15(d) OF THE SECURITIES EXCHANGE ACT OF 1934</w:t>
      </w:r>
    </w:p>
    <w:p>
      <w:pPr>
        <w:spacing w:after="0" w:line="200" w:lineRule="exact"/>
        <w:rPr>
          <w:sz w:val="24"/>
          <w:szCs w:val="24"/>
          <w:color w:val="auto"/>
        </w:rPr>
      </w:pPr>
    </w:p>
    <w:p>
      <w:pPr>
        <w:sectPr>
          <w:pgSz w:w="11900" w:h="16838" w:orient="portrait"/>
          <w:cols w:equalWidth="0" w:num="2">
            <w:col w:w="1220" w:space="720"/>
            <w:col w:w="9480"/>
          </w:cols>
          <w:pgMar w:left="240" w:top="229" w:right="2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September 30, 2019</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ectPr>
          <w:pgSz w:w="11900" w:h="16838" w:orient="portrait"/>
          <w:cols w:equalWidth="0" w:num="1">
            <w:col w:w="11420"/>
          </w:cols>
          <w:pgMar w:left="240" w:top="229" w:right="239" w:bottom="1440" w:gutter="0" w:footer="0" w:header="0"/>
          <w:type w:val="continuous"/>
        </w:sectPr>
      </w:pPr>
    </w:p>
    <w:p>
      <w:pPr>
        <w:spacing w:after="0" w:line="118"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1200" w:space="720"/>
            <w:col w:w="9500"/>
          </w:cols>
          <w:pgMar w:left="240" w:top="229"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____ to 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134620</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FORTRESS TRANSPORTATION AND INFRASTRUCTURE INVESTORS LLC</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800" w:type="dxa"/>
            <w:vAlign w:val="bottom"/>
          </w:tcPr>
          <w:p>
            <w:pPr>
              <w:spacing w:after="0"/>
              <w:rPr>
                <w:sz w:val="18"/>
                <w:szCs w:val="18"/>
                <w:color w:val="auto"/>
              </w:rPr>
            </w:pPr>
          </w:p>
        </w:tc>
        <w:tc>
          <w:tcPr>
            <w:tcW w:w="3820" w:type="dxa"/>
            <w:vAlign w:val="bottom"/>
            <w:gridSpan w:val="3"/>
          </w:tcPr>
          <w:p>
            <w:pPr>
              <w:ind w:left="60"/>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575"/>
        </w:trPr>
        <w:tc>
          <w:tcPr>
            <w:tcW w:w="3800" w:type="dxa"/>
            <w:vAlign w:val="bottom"/>
          </w:tcPr>
          <w:p>
            <w:pPr>
              <w:jc w:val="center"/>
              <w:ind w:left="2439"/>
              <w:spacing w:after="0"/>
              <w:rPr>
                <w:sz w:val="20"/>
                <w:szCs w:val="20"/>
                <w:color w:val="auto"/>
              </w:rPr>
            </w:pPr>
            <w:r>
              <w:rPr>
                <w:rFonts w:ascii="Arial" w:cs="Arial" w:eastAsia="Arial" w:hAnsi="Arial"/>
                <w:sz w:val="16"/>
                <w:szCs w:val="16"/>
                <w:b w:val="1"/>
                <w:bCs w:val="1"/>
                <w:color w:val="auto"/>
              </w:rPr>
              <w:t>Delaware</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0" w:type="dxa"/>
            <w:vAlign w:val="bottom"/>
            <w:gridSpan w:val="3"/>
          </w:tcPr>
          <w:p>
            <w:pPr>
              <w:jc w:val="right"/>
              <w:ind w:right="1999"/>
              <w:spacing w:after="0"/>
              <w:rPr>
                <w:sz w:val="20"/>
                <w:szCs w:val="20"/>
                <w:color w:val="auto"/>
              </w:rPr>
            </w:pPr>
            <w:r>
              <w:rPr>
                <w:rFonts w:ascii="Arial" w:cs="Arial" w:eastAsia="Arial" w:hAnsi="Arial"/>
                <w:sz w:val="16"/>
                <w:szCs w:val="16"/>
                <w:b w:val="1"/>
                <w:bCs w:val="1"/>
                <w:color w:val="auto"/>
              </w:rPr>
              <w:t>32-0434238</w:t>
            </w:r>
          </w:p>
        </w:tc>
      </w:tr>
      <w:tr>
        <w:trPr>
          <w:trHeight w:val="47"/>
        </w:trPr>
        <w:tc>
          <w:tcPr>
            <w:tcW w:w="63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gridSpan w:val="3"/>
          </w:tcPr>
          <w:p>
            <w:pPr>
              <w:spacing w:after="0"/>
              <w:rPr>
                <w:sz w:val="4"/>
                <w:szCs w:val="4"/>
                <w:color w:val="auto"/>
              </w:rPr>
            </w:pPr>
          </w:p>
        </w:tc>
      </w:tr>
      <w:tr>
        <w:trPr>
          <w:trHeight w:val="217"/>
        </w:trPr>
        <w:tc>
          <w:tcPr>
            <w:tcW w:w="6400" w:type="dxa"/>
            <w:vAlign w:val="bottom"/>
            <w:gridSpan w:val="3"/>
          </w:tcPr>
          <w:p>
            <w:pPr>
              <w:jc w:val="center"/>
              <w:ind w:right="100"/>
              <w:spacing w:after="0"/>
              <w:rPr>
                <w:sz w:val="20"/>
                <w:szCs w:val="20"/>
                <w:color w:val="auto"/>
              </w:rPr>
            </w:pPr>
            <w:r>
              <w:rPr>
                <w:rFonts w:ascii="Arial" w:cs="Arial" w:eastAsia="Arial" w:hAnsi="Arial"/>
                <w:sz w:val="16"/>
                <w:szCs w:val="16"/>
                <w:color w:val="auto"/>
              </w:rPr>
              <w:t>(State or other jurisdiction of incorporation or organization)</w:t>
            </w:r>
          </w:p>
        </w:tc>
        <w:tc>
          <w:tcPr>
            <w:tcW w:w="1220" w:type="dxa"/>
            <w:vAlign w:val="bottom"/>
          </w:tcPr>
          <w:p>
            <w:pPr>
              <w:spacing w:after="0"/>
              <w:rPr>
                <w:sz w:val="18"/>
                <w:szCs w:val="18"/>
                <w:color w:val="auto"/>
              </w:rPr>
            </w:pPr>
          </w:p>
        </w:tc>
        <w:tc>
          <w:tcPr>
            <w:tcW w:w="3800" w:type="dxa"/>
            <w:vAlign w:val="bottom"/>
            <w:gridSpan w:val="3"/>
          </w:tcPr>
          <w:p>
            <w:pPr>
              <w:jc w:val="center"/>
              <w:ind w:right="1139"/>
              <w:spacing w:after="0"/>
              <w:rPr>
                <w:sz w:val="20"/>
                <w:szCs w:val="20"/>
                <w:color w:val="auto"/>
              </w:rPr>
            </w:pPr>
            <w:r>
              <w:rPr>
                <w:rFonts w:ascii="Arial" w:cs="Arial" w:eastAsia="Arial" w:hAnsi="Arial"/>
                <w:sz w:val="16"/>
                <w:szCs w:val="16"/>
                <w:color w:val="auto"/>
              </w:rPr>
              <w:t>(I.R.S. Employer Identification No.)</w:t>
            </w:r>
          </w:p>
        </w:tc>
      </w:tr>
      <w:tr>
        <w:trPr>
          <w:trHeight w:val="567"/>
        </w:trPr>
        <w:tc>
          <w:tcPr>
            <w:tcW w:w="3800" w:type="dxa"/>
            <w:vAlign w:val="bottom"/>
          </w:tcPr>
          <w:p>
            <w:pPr>
              <w:ind w:left="620"/>
              <w:spacing w:after="0"/>
              <w:rPr>
                <w:sz w:val="20"/>
                <w:szCs w:val="20"/>
                <w:color w:val="auto"/>
              </w:rPr>
            </w:pPr>
            <w:r>
              <w:rPr>
                <w:rFonts w:ascii="Arial" w:cs="Arial" w:eastAsia="Arial" w:hAnsi="Arial"/>
                <w:sz w:val="16"/>
                <w:szCs w:val="16"/>
                <w:b w:val="1"/>
                <w:bCs w:val="1"/>
                <w:color w:val="auto"/>
              </w:rPr>
              <w:t>1345 Avenue of the Americas, 45th Floor</w:t>
            </w:r>
          </w:p>
        </w:tc>
        <w:tc>
          <w:tcPr>
            <w:tcW w:w="2600" w:type="dxa"/>
            <w:vAlign w:val="bottom"/>
            <w:gridSpan w:val="2"/>
          </w:tcPr>
          <w:p>
            <w:pPr>
              <w:ind w:left="1220"/>
              <w:spacing w:after="0"/>
              <w:rPr>
                <w:sz w:val="20"/>
                <w:szCs w:val="20"/>
                <w:color w:val="auto"/>
              </w:rPr>
            </w:pPr>
            <w:r>
              <w:rPr>
                <w:rFonts w:ascii="Arial" w:cs="Arial" w:eastAsia="Arial" w:hAnsi="Arial"/>
                <w:sz w:val="16"/>
                <w:szCs w:val="16"/>
                <w:b w:val="1"/>
                <w:bCs w:val="1"/>
                <w:color w:val="auto"/>
              </w:rPr>
              <w:t>New York</w:t>
            </w:r>
          </w:p>
        </w:tc>
        <w:tc>
          <w:tcPr>
            <w:tcW w:w="1220" w:type="dxa"/>
            <w:vAlign w:val="bottom"/>
          </w:tcPr>
          <w:p>
            <w:pPr>
              <w:ind w:left="800"/>
              <w:spacing w:after="0"/>
              <w:rPr>
                <w:sz w:val="20"/>
                <w:szCs w:val="20"/>
                <w:color w:val="auto"/>
              </w:rPr>
            </w:pPr>
            <w:r>
              <w:rPr>
                <w:rFonts w:ascii="Arial" w:cs="Arial" w:eastAsia="Arial" w:hAnsi="Arial"/>
                <w:sz w:val="16"/>
                <w:szCs w:val="16"/>
                <w:b w:val="1"/>
                <w:bCs w:val="1"/>
                <w:color w:val="auto"/>
              </w:rPr>
              <w:t>NY</w:t>
            </w:r>
          </w:p>
        </w:tc>
        <w:tc>
          <w:tcPr>
            <w:tcW w:w="380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10105</w:t>
            </w:r>
          </w:p>
        </w:tc>
      </w:tr>
      <w:tr>
        <w:trPr>
          <w:trHeight w:val="224"/>
        </w:trPr>
        <w:tc>
          <w:tcPr>
            <w:tcW w:w="6400" w:type="dxa"/>
            <w:vAlign w:val="bottom"/>
            <w:tcBorders>
              <w:top w:val="single" w:sz="8" w:color="auto"/>
            </w:tcBorders>
            <w:gridSpan w:val="3"/>
          </w:tcPr>
          <w:p>
            <w:pPr>
              <w:ind w:left="2740"/>
              <w:spacing w:after="0"/>
              <w:rPr>
                <w:sz w:val="20"/>
                <w:szCs w:val="20"/>
                <w:color w:val="auto"/>
              </w:rPr>
            </w:pPr>
            <w:r>
              <w:rPr>
                <w:rFonts w:ascii="Arial" w:cs="Arial" w:eastAsia="Arial" w:hAnsi="Arial"/>
                <w:sz w:val="16"/>
                <w:szCs w:val="16"/>
                <w:color w:val="auto"/>
              </w:rPr>
              <w:t>(Address of principal executive offices)</w:t>
            </w:r>
          </w:p>
        </w:tc>
        <w:tc>
          <w:tcPr>
            <w:tcW w:w="1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Trading Symbol:</w:t>
            </w:r>
          </w:p>
        </w:tc>
        <w:tc>
          <w:tcPr>
            <w:tcW w:w="100" w:type="dxa"/>
            <w:vAlign w:val="bottom"/>
          </w:tcPr>
          <w:p>
            <w:pPr>
              <w:spacing w:after="0"/>
              <w:rPr>
                <w:sz w:val="18"/>
                <w:szCs w:val="18"/>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37"/>
        </w:trPr>
        <w:tc>
          <w:tcPr>
            <w:tcW w:w="584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shares, $0.01 par value per share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FTAI</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38"/>
        </w:trPr>
        <w:tc>
          <w:tcPr>
            <w:tcW w:w="5840" w:type="dxa"/>
            <w:vAlign w:val="bottom"/>
            <w:gridSpan w:val="2"/>
          </w:tcPr>
          <w:p>
            <w:pPr>
              <w:jc w:val="center"/>
              <w:ind w:right="120"/>
              <w:spacing w:after="0"/>
              <w:rPr>
                <w:sz w:val="20"/>
                <w:szCs w:val="20"/>
                <w:color w:val="auto"/>
              </w:rPr>
            </w:pPr>
            <w:r>
              <w:rPr>
                <w:rFonts w:ascii="Arial" w:cs="Arial" w:eastAsia="Arial" w:hAnsi="Arial"/>
                <w:sz w:val="16"/>
                <w:szCs w:val="16"/>
                <w:color w:val="auto"/>
              </w:rPr>
              <w:t>8.25% Fixed-to-Floating Rate Series A Cumulative Perpetual Redeemable</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195"/>
        </w:trPr>
        <w:tc>
          <w:tcPr>
            <w:tcW w:w="5840" w:type="dxa"/>
            <w:vAlign w:val="bottom"/>
            <w:gridSpan w:val="2"/>
          </w:tcPr>
          <w:p>
            <w:pPr>
              <w:jc w:val="center"/>
              <w:ind w:right="120"/>
              <w:spacing w:after="0"/>
              <w:rPr>
                <w:sz w:val="20"/>
                <w:szCs w:val="20"/>
                <w:color w:val="auto"/>
              </w:rPr>
            </w:pPr>
            <w:r>
              <w:rPr>
                <w:rFonts w:ascii="Arial" w:cs="Arial" w:eastAsia="Arial" w:hAnsi="Arial"/>
                <w:sz w:val="16"/>
                <w:szCs w:val="16"/>
                <w:color w:val="auto"/>
              </w:rPr>
              <w:t>Preferred Shares</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A</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83"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7" w:lineRule="exact"/>
        <w:rPr>
          <w:sz w:val="24"/>
          <w:szCs w:val="24"/>
          <w:color w:val="auto"/>
        </w:rPr>
      </w:pPr>
    </w:p>
    <w:tbl>
      <w:tblPr>
        <w:tblLayout w:type="fixed"/>
        <w:tblInd w:w="3040" w:type="dxa"/>
        <w:tblCellMar>
          <w:top w:w="0" w:type="dxa"/>
          <w:left w:w="0" w:type="dxa"/>
          <w:bottom w:w="0" w:type="dxa"/>
          <w:right w:w="0" w:type="dxa"/>
        </w:tblCellMar>
      </w:tblPr>
      <w:tr>
        <w:trPr>
          <w:trHeight w:val="249"/>
        </w:trPr>
        <w:tc>
          <w:tcPr>
            <w:tcW w:w="2020" w:type="dxa"/>
            <w:vAlign w:val="bottom"/>
          </w:tcPr>
          <w:p>
            <w:pPr>
              <w:jc w:val="center"/>
              <w:ind w:right="339"/>
              <w:spacing w:after="0"/>
              <w:rPr>
                <w:sz w:val="20"/>
                <w:szCs w:val="20"/>
                <w:color w:val="auto"/>
              </w:rPr>
            </w:pPr>
            <w:r>
              <w:rPr>
                <w:rFonts w:ascii="Arial" w:cs="Arial" w:eastAsia="Arial" w:hAnsi="Arial"/>
                <w:sz w:val="16"/>
                <w:szCs w:val="16"/>
                <w:color w:val="auto"/>
              </w:rPr>
              <w:t>Large 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0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020" w:type="dxa"/>
            <w:vAlign w:val="bottom"/>
          </w:tcPr>
          <w:p>
            <w:pPr>
              <w:jc w:val="center"/>
              <w:ind w:right="319"/>
              <w:spacing w:after="0"/>
              <w:rPr>
                <w:sz w:val="20"/>
                <w:szCs w:val="20"/>
                <w:color w:val="auto"/>
              </w:rPr>
            </w:pPr>
            <w:r>
              <w:rPr>
                <w:rFonts w:ascii="Arial" w:cs="Arial" w:eastAsia="Arial" w:hAnsi="Arial"/>
                <w:sz w:val="16"/>
                <w:szCs w:val="16"/>
                <w:color w:val="auto"/>
              </w:rPr>
              <w:t>Non-accelerated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0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7"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6" w:lineRule="exact"/>
        <w:rPr>
          <w:sz w:val="24"/>
          <w:szCs w:val="24"/>
          <w:color w:val="auto"/>
        </w:rPr>
      </w:pPr>
    </w:p>
    <w:p>
      <w:pPr>
        <w:ind w:right="2360"/>
        <w:spacing w:after="0" w:line="31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84,903,138 common shares representing limited liability company interests outstanding at October 29, 2019.</w:t>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00497F"/>
        </w:rPr>
        <w:t>FORWARD-LOOKING STATEMENTS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44" w:lineRule="exact"/>
        <w:rPr>
          <w:sz w:val="20"/>
          <w:szCs w:val="20"/>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w:t>
      </w:r>
    </w:p>
    <w:p>
      <w:pPr>
        <w:spacing w:after="0" w:line="59" w:lineRule="exact"/>
        <w:rPr>
          <w:rFonts w:ascii="Arial" w:cs="Arial" w:eastAsia="Arial" w:hAnsi="Arial"/>
          <w:sz w:val="16"/>
          <w:szCs w:val="16"/>
          <w:color w:val="auto"/>
        </w:rPr>
      </w:pPr>
    </w:p>
    <w:p>
      <w:pPr>
        <w:ind w:left="820" w:hanging="326"/>
        <w:spacing w:after="0" w:line="260"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33"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energy, intermodal transport and rail sectors;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right="20" w:hanging="326"/>
        <w:spacing w:after="0" w:line="260"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right="20" w:hanging="326"/>
        <w:spacing w:after="0" w:line="260"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33"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volatility in the market price of our common shares;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472" w:right="239" w:bottom="1440" w:gutter="0" w:footer="0" w:header="0"/>
        </w:sectPr>
      </w:pPr>
    </w:p>
    <w:bookmarkStart w:id="2" w:name="page3"/>
    <w:bookmarkEnd w:id="2"/>
    <w:p>
      <w:pPr>
        <w:jc w:val="both"/>
        <w:spacing w:after="0" w:line="252"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493"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8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9400" w:type="dxa"/>
            <w:vAlign w:val="bottom"/>
          </w:tcPr>
          <w:p>
            <w:pPr>
              <w:ind w:left="3960"/>
              <w:spacing w:after="0"/>
              <w:rPr>
                <w:sz w:val="20"/>
                <w:szCs w:val="20"/>
                <w:color w:val="auto"/>
              </w:rPr>
            </w:pPr>
            <w:r>
              <w:rPr>
                <w:rFonts w:ascii="Arial" w:cs="Arial" w:eastAsia="Arial" w:hAnsi="Arial"/>
                <w:sz w:val="14"/>
                <w:szCs w:val="14"/>
                <w:b w:val="1"/>
                <w:bCs w:val="1"/>
                <w:color w:val="006EBF"/>
              </w:rPr>
              <w:t>PART I - FINANCIAL INFORMATION</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400" w:type="dxa"/>
            <w:vAlign w:val="bottom"/>
          </w:tcPr>
          <w:p>
            <w:pPr>
              <w:ind w:left="240"/>
              <w:spacing w:after="0"/>
              <w:rPr>
                <w:rFonts w:ascii="Arial" w:cs="Arial" w:eastAsia="Arial" w:hAnsi="Arial"/>
                <w:sz w:val="14"/>
                <w:szCs w:val="14"/>
                <w:color w:val="0000EE"/>
              </w:rPr>
            </w:pPr>
            <w:hyperlink w:anchor="page5">
              <w:r>
                <w:rPr>
                  <w:rFonts w:ascii="Arial" w:cs="Arial" w:eastAsia="Arial" w:hAnsi="Arial"/>
                  <w:sz w:val="14"/>
                  <w:szCs w:val="14"/>
                  <w:color w:val="0000EE"/>
                </w:rPr>
                <w:t>Unaudited Consolidated Financial Statements of Fortress Transportation and Infrastructure Investors LLC:</w:t>
              </w:r>
            </w:hyperlink>
          </w:p>
        </w:tc>
        <w:tc>
          <w:tcPr>
            <w:tcW w:w="1100" w:type="dxa"/>
            <w:vAlign w:val="bottom"/>
          </w:tcPr>
          <w:p>
            <w:pPr>
              <w:jc w:val="center"/>
              <w:ind w:left="868"/>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360"/>
              <w:spacing w:after="0"/>
              <w:rPr>
                <w:rFonts w:ascii="Arial" w:cs="Arial" w:eastAsia="Arial" w:hAnsi="Arial"/>
                <w:sz w:val="14"/>
                <w:szCs w:val="14"/>
                <w:color w:val="0000EE"/>
              </w:rPr>
            </w:pPr>
            <w:hyperlink w:anchor="page5">
              <w:r>
                <w:rPr>
                  <w:rFonts w:ascii="Arial" w:cs="Arial" w:eastAsia="Arial" w:hAnsi="Arial"/>
                  <w:sz w:val="14"/>
                  <w:szCs w:val="14"/>
                  <w:color w:val="0000EE"/>
                </w:rPr>
                <w:t>Consolidated Balance Sheets as of September 30, 2019 and December 31, 2018</w:t>
              </w:r>
            </w:hyperlink>
          </w:p>
        </w:tc>
        <w:tc>
          <w:tcPr>
            <w:tcW w:w="1100" w:type="dxa"/>
            <w:vAlign w:val="bottom"/>
          </w:tcPr>
          <w:p>
            <w:pPr>
              <w:jc w:val="center"/>
              <w:ind w:left="868"/>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360"/>
              <w:spacing w:after="0"/>
              <w:rPr>
                <w:rFonts w:ascii="Arial" w:cs="Arial" w:eastAsia="Arial" w:hAnsi="Arial"/>
                <w:sz w:val="14"/>
                <w:szCs w:val="14"/>
                <w:color w:val="0000EE"/>
              </w:rPr>
            </w:pPr>
            <w:hyperlink w:anchor="page6">
              <w:r>
                <w:rPr>
                  <w:rFonts w:ascii="Arial" w:cs="Arial" w:eastAsia="Arial" w:hAnsi="Arial"/>
                  <w:sz w:val="14"/>
                  <w:szCs w:val="14"/>
                  <w:color w:val="0000EE"/>
                </w:rPr>
                <w:t>Consolidated Statements of Operations for the three and nine months ended September 30, 2019 and 2018</w:t>
              </w:r>
            </w:hyperlink>
          </w:p>
        </w:tc>
        <w:tc>
          <w:tcPr>
            <w:tcW w:w="1100" w:type="dxa"/>
            <w:vAlign w:val="bottom"/>
          </w:tcPr>
          <w:p>
            <w:pPr>
              <w:jc w:val="center"/>
              <w:ind w:left="868"/>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360"/>
              <w:spacing w:after="0"/>
              <w:rPr>
                <w:rFonts w:ascii="Arial" w:cs="Arial" w:eastAsia="Arial" w:hAnsi="Arial"/>
                <w:sz w:val="14"/>
                <w:szCs w:val="14"/>
                <w:color w:val="0000EE"/>
              </w:rPr>
            </w:pPr>
            <w:hyperlink w:anchor="page7">
              <w:r>
                <w:rPr>
                  <w:rFonts w:ascii="Arial" w:cs="Arial" w:eastAsia="Arial" w:hAnsi="Arial"/>
                  <w:sz w:val="14"/>
                  <w:szCs w:val="14"/>
                  <w:color w:val="0000EE"/>
                </w:rPr>
                <w:t>Consolidated Statements of Comprehensive Income (Loss) for the three and nine months ended September 30, 2019 and 2018</w:t>
              </w:r>
            </w:hyperlink>
          </w:p>
        </w:tc>
        <w:tc>
          <w:tcPr>
            <w:tcW w:w="1100" w:type="dxa"/>
            <w:vAlign w:val="bottom"/>
          </w:tcPr>
          <w:p>
            <w:pPr>
              <w:jc w:val="center"/>
              <w:ind w:left="868"/>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360"/>
              <w:spacing w:after="0"/>
              <w:rPr>
                <w:rFonts w:ascii="Arial" w:cs="Arial" w:eastAsia="Arial" w:hAnsi="Arial"/>
                <w:sz w:val="14"/>
                <w:szCs w:val="14"/>
                <w:color w:val="0000EE"/>
              </w:rPr>
            </w:pPr>
            <w:hyperlink w:anchor="page8">
              <w:r>
                <w:rPr>
                  <w:rFonts w:ascii="Arial" w:cs="Arial" w:eastAsia="Arial" w:hAnsi="Arial"/>
                  <w:sz w:val="14"/>
                  <w:szCs w:val="14"/>
                  <w:color w:val="0000EE"/>
                </w:rPr>
                <w:t>Consolidated Statement of Changes in Equity for the three and nine months ended September 30, 2019 and 2018</w:t>
              </w:r>
            </w:hyperlink>
          </w:p>
        </w:tc>
        <w:tc>
          <w:tcPr>
            <w:tcW w:w="1100" w:type="dxa"/>
            <w:vAlign w:val="bottom"/>
          </w:tcPr>
          <w:p>
            <w:pPr>
              <w:jc w:val="center"/>
              <w:ind w:left="868"/>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360"/>
              <w:spacing w:after="0"/>
              <w:rPr>
                <w:rFonts w:ascii="Arial" w:cs="Arial" w:eastAsia="Arial" w:hAnsi="Arial"/>
                <w:sz w:val="14"/>
                <w:szCs w:val="14"/>
                <w:color w:val="0000EE"/>
              </w:rPr>
            </w:pPr>
            <w:hyperlink w:anchor="page9">
              <w:r>
                <w:rPr>
                  <w:rFonts w:ascii="Arial" w:cs="Arial" w:eastAsia="Arial" w:hAnsi="Arial"/>
                  <w:sz w:val="14"/>
                  <w:szCs w:val="14"/>
                  <w:color w:val="0000EE"/>
                </w:rPr>
                <w:t>Consolidated Statements of Cash Flows for the nine months ended September 30, 2019 and 2018</w:t>
              </w:r>
            </w:hyperlink>
          </w:p>
        </w:tc>
        <w:tc>
          <w:tcPr>
            <w:tcW w:w="1100" w:type="dxa"/>
            <w:vAlign w:val="bottom"/>
          </w:tcPr>
          <w:p>
            <w:pPr>
              <w:jc w:val="center"/>
              <w:ind w:left="868"/>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360"/>
              <w:spacing w:after="0"/>
              <w:rPr>
                <w:rFonts w:ascii="Arial" w:cs="Arial" w:eastAsia="Arial" w:hAnsi="Arial"/>
                <w:sz w:val="14"/>
                <w:szCs w:val="14"/>
                <w:color w:val="0000EE"/>
              </w:rPr>
            </w:pPr>
            <w:hyperlink w:anchor="page11">
              <w:r>
                <w:rPr>
                  <w:rFonts w:ascii="Arial" w:cs="Arial" w:eastAsia="Arial" w:hAnsi="Arial"/>
                  <w:sz w:val="14"/>
                  <w:szCs w:val="14"/>
                  <w:color w:val="0000EE"/>
                </w:rPr>
                <w:t>Notes to Consolidated Financial Statements</w:t>
              </w:r>
            </w:hyperlink>
          </w:p>
        </w:tc>
        <w:tc>
          <w:tcPr>
            <w:tcW w:w="1100" w:type="dxa"/>
            <w:vAlign w:val="bottom"/>
          </w:tcPr>
          <w:p>
            <w:pPr>
              <w:jc w:val="center"/>
              <w:ind w:left="868"/>
              <w:spacing w:after="0"/>
              <w:rPr>
                <w:rFonts w:ascii="Arial" w:cs="Arial" w:eastAsia="Arial" w:hAnsi="Arial"/>
                <w:sz w:val="14"/>
                <w:szCs w:val="14"/>
                <w:color w:val="0000EE"/>
              </w:rPr>
            </w:pPr>
            <w:hyperlink w:anchor="page11">
              <w:r>
                <w:rPr>
                  <w:rFonts w:ascii="Arial" w:cs="Arial" w:eastAsia="Arial" w:hAnsi="Arial"/>
                  <w:sz w:val="14"/>
                  <w:szCs w:val="14"/>
                  <w:color w:val="0000EE"/>
                </w:rPr>
                <w:t>11</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11">
              <w:r>
                <w:rPr>
                  <w:rFonts w:ascii="Arial" w:cs="Arial" w:eastAsia="Arial" w:hAnsi="Arial"/>
                  <w:sz w:val="14"/>
                  <w:szCs w:val="14"/>
                  <w:color w:val="0000EE"/>
                </w:rPr>
                <w:t>Note 1: Organization</w:t>
              </w:r>
            </w:hyperlink>
          </w:p>
        </w:tc>
        <w:tc>
          <w:tcPr>
            <w:tcW w:w="1100" w:type="dxa"/>
            <w:vAlign w:val="bottom"/>
          </w:tcPr>
          <w:p>
            <w:pPr>
              <w:jc w:val="center"/>
              <w:ind w:left="868"/>
              <w:spacing w:after="0"/>
              <w:rPr>
                <w:rFonts w:ascii="Arial" w:cs="Arial" w:eastAsia="Arial" w:hAnsi="Arial"/>
                <w:sz w:val="14"/>
                <w:szCs w:val="14"/>
                <w:color w:val="0000EE"/>
              </w:rPr>
            </w:pPr>
            <w:hyperlink w:anchor="page11">
              <w:r>
                <w:rPr>
                  <w:rFonts w:ascii="Arial" w:cs="Arial" w:eastAsia="Arial" w:hAnsi="Arial"/>
                  <w:sz w:val="14"/>
                  <w:szCs w:val="14"/>
                  <w:color w:val="0000EE"/>
                </w:rPr>
                <w:t>11</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11">
              <w:r>
                <w:rPr>
                  <w:rFonts w:ascii="Arial" w:cs="Arial" w:eastAsia="Arial" w:hAnsi="Arial"/>
                  <w:sz w:val="14"/>
                  <w:szCs w:val="14"/>
                  <w:color w:val="0000EE"/>
                </w:rPr>
                <w:t>Note 2: Summary of Significant Accounting Policies</w:t>
              </w:r>
            </w:hyperlink>
          </w:p>
        </w:tc>
        <w:tc>
          <w:tcPr>
            <w:tcW w:w="1100" w:type="dxa"/>
            <w:vAlign w:val="bottom"/>
          </w:tcPr>
          <w:p>
            <w:pPr>
              <w:jc w:val="center"/>
              <w:ind w:left="868"/>
              <w:spacing w:after="0"/>
              <w:rPr>
                <w:rFonts w:ascii="Arial" w:cs="Arial" w:eastAsia="Arial" w:hAnsi="Arial"/>
                <w:sz w:val="14"/>
                <w:szCs w:val="14"/>
                <w:color w:val="0000EE"/>
              </w:rPr>
            </w:pPr>
            <w:hyperlink w:anchor="page11">
              <w:r>
                <w:rPr>
                  <w:rFonts w:ascii="Arial" w:cs="Arial" w:eastAsia="Arial" w:hAnsi="Arial"/>
                  <w:sz w:val="14"/>
                  <w:szCs w:val="14"/>
                  <w:color w:val="0000EE"/>
                </w:rPr>
                <w:t>11</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15">
              <w:r>
                <w:rPr>
                  <w:rFonts w:ascii="Arial" w:cs="Arial" w:eastAsia="Arial" w:hAnsi="Arial"/>
                  <w:sz w:val="14"/>
                  <w:szCs w:val="14"/>
                  <w:color w:val="0000EE"/>
                </w:rPr>
                <w:t>Note 3: Leasing Equipment, net</w:t>
              </w:r>
            </w:hyperlink>
          </w:p>
        </w:tc>
        <w:tc>
          <w:tcPr>
            <w:tcW w:w="1100" w:type="dxa"/>
            <w:vAlign w:val="bottom"/>
          </w:tcPr>
          <w:p>
            <w:pPr>
              <w:jc w:val="center"/>
              <w:ind w:left="868"/>
              <w:spacing w:after="0"/>
              <w:rPr>
                <w:rFonts w:ascii="Arial" w:cs="Arial" w:eastAsia="Arial" w:hAnsi="Arial"/>
                <w:sz w:val="14"/>
                <w:szCs w:val="14"/>
                <w:color w:val="0000EE"/>
              </w:rPr>
            </w:pPr>
            <w:hyperlink w:anchor="page15">
              <w:r>
                <w:rPr>
                  <w:rFonts w:ascii="Arial" w:cs="Arial" w:eastAsia="Arial" w:hAnsi="Arial"/>
                  <w:sz w:val="14"/>
                  <w:szCs w:val="14"/>
                  <w:color w:val="0000EE"/>
                </w:rPr>
                <w:t>15</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16">
              <w:r>
                <w:rPr>
                  <w:rFonts w:ascii="Arial" w:cs="Arial" w:eastAsia="Arial" w:hAnsi="Arial"/>
                  <w:sz w:val="14"/>
                  <w:szCs w:val="14"/>
                  <w:color w:val="0000EE"/>
                </w:rPr>
                <w:t>Note 4: Finance Leases, net</w:t>
              </w:r>
            </w:hyperlink>
          </w:p>
        </w:tc>
        <w:tc>
          <w:tcPr>
            <w:tcW w:w="1100" w:type="dxa"/>
            <w:vAlign w:val="bottom"/>
          </w:tcPr>
          <w:p>
            <w:pPr>
              <w:jc w:val="center"/>
              <w:ind w:left="868"/>
              <w:spacing w:after="0"/>
              <w:rPr>
                <w:rFonts w:ascii="Arial" w:cs="Arial" w:eastAsia="Arial" w:hAnsi="Arial"/>
                <w:sz w:val="14"/>
                <w:szCs w:val="14"/>
                <w:color w:val="0000EE"/>
              </w:rPr>
            </w:pPr>
            <w:hyperlink w:anchor="page16">
              <w:r>
                <w:rPr>
                  <w:rFonts w:ascii="Arial" w:cs="Arial" w:eastAsia="Arial" w:hAnsi="Arial"/>
                  <w:sz w:val="14"/>
                  <w:szCs w:val="14"/>
                  <w:color w:val="0000EE"/>
                </w:rPr>
                <w:t>16</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16">
              <w:r>
                <w:rPr>
                  <w:rFonts w:ascii="Arial" w:cs="Arial" w:eastAsia="Arial" w:hAnsi="Arial"/>
                  <w:sz w:val="14"/>
                  <w:szCs w:val="14"/>
                  <w:color w:val="0000EE"/>
                </w:rPr>
                <w:t>Note 5: Property, Plant and Equipment, net</w:t>
              </w:r>
            </w:hyperlink>
          </w:p>
        </w:tc>
        <w:tc>
          <w:tcPr>
            <w:tcW w:w="1100" w:type="dxa"/>
            <w:vAlign w:val="bottom"/>
          </w:tcPr>
          <w:p>
            <w:pPr>
              <w:jc w:val="center"/>
              <w:ind w:left="868"/>
              <w:spacing w:after="0"/>
              <w:rPr>
                <w:rFonts w:ascii="Arial" w:cs="Arial" w:eastAsia="Arial" w:hAnsi="Arial"/>
                <w:sz w:val="14"/>
                <w:szCs w:val="14"/>
                <w:color w:val="0000EE"/>
              </w:rPr>
            </w:pPr>
            <w:hyperlink w:anchor="page16">
              <w:r>
                <w:rPr>
                  <w:rFonts w:ascii="Arial" w:cs="Arial" w:eastAsia="Arial" w:hAnsi="Arial"/>
                  <w:sz w:val="14"/>
                  <w:szCs w:val="14"/>
                  <w:color w:val="0000EE"/>
                </w:rPr>
                <w:t>16</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17">
              <w:r>
                <w:rPr>
                  <w:rFonts w:ascii="Arial" w:cs="Arial" w:eastAsia="Arial" w:hAnsi="Arial"/>
                  <w:sz w:val="14"/>
                  <w:szCs w:val="14"/>
                  <w:color w:val="0000EE"/>
                </w:rPr>
                <w:t>Note 6: Investments</w:t>
              </w:r>
            </w:hyperlink>
          </w:p>
        </w:tc>
        <w:tc>
          <w:tcPr>
            <w:tcW w:w="1100" w:type="dxa"/>
            <w:vAlign w:val="bottom"/>
          </w:tcPr>
          <w:p>
            <w:pPr>
              <w:jc w:val="center"/>
              <w:ind w:left="868"/>
              <w:spacing w:after="0"/>
              <w:rPr>
                <w:rFonts w:ascii="Arial" w:cs="Arial" w:eastAsia="Arial" w:hAnsi="Arial"/>
                <w:sz w:val="14"/>
                <w:szCs w:val="14"/>
                <w:color w:val="0000EE"/>
              </w:rPr>
            </w:pPr>
            <w:hyperlink w:anchor="page17">
              <w:r>
                <w:rPr>
                  <w:rFonts w:ascii="Arial" w:cs="Arial" w:eastAsia="Arial" w:hAnsi="Arial"/>
                  <w:sz w:val="14"/>
                  <w:szCs w:val="14"/>
                  <w:color w:val="0000EE"/>
                </w:rPr>
                <w:t>17</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18">
              <w:r>
                <w:rPr>
                  <w:rFonts w:ascii="Arial" w:cs="Arial" w:eastAsia="Arial" w:hAnsi="Arial"/>
                  <w:sz w:val="14"/>
                  <w:szCs w:val="14"/>
                  <w:color w:val="0000EE"/>
                </w:rPr>
                <w:t>Note 7: Intangible Assets and Liabilities, net</w:t>
              </w:r>
            </w:hyperlink>
          </w:p>
        </w:tc>
        <w:tc>
          <w:tcPr>
            <w:tcW w:w="1100" w:type="dxa"/>
            <w:vAlign w:val="bottom"/>
          </w:tcPr>
          <w:p>
            <w:pPr>
              <w:jc w:val="center"/>
              <w:ind w:left="868"/>
              <w:spacing w:after="0"/>
              <w:rPr>
                <w:rFonts w:ascii="Arial" w:cs="Arial" w:eastAsia="Arial" w:hAnsi="Arial"/>
                <w:sz w:val="14"/>
                <w:szCs w:val="14"/>
                <w:color w:val="0000EE"/>
              </w:rPr>
            </w:pPr>
            <w:hyperlink w:anchor="page18">
              <w:r>
                <w:rPr>
                  <w:rFonts w:ascii="Arial" w:cs="Arial" w:eastAsia="Arial" w:hAnsi="Arial"/>
                  <w:sz w:val="14"/>
                  <w:szCs w:val="14"/>
                  <w:color w:val="0000EE"/>
                </w:rPr>
                <w:t>18</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20">
              <w:r>
                <w:rPr>
                  <w:rFonts w:ascii="Arial" w:cs="Arial" w:eastAsia="Arial" w:hAnsi="Arial"/>
                  <w:sz w:val="14"/>
                  <w:szCs w:val="14"/>
                  <w:color w:val="0000EE"/>
                </w:rPr>
                <w:t>Note 8: Debt, net</w:t>
              </w:r>
            </w:hyperlink>
          </w:p>
        </w:tc>
        <w:tc>
          <w:tcPr>
            <w:tcW w:w="1100" w:type="dxa"/>
            <w:vAlign w:val="bottom"/>
          </w:tcPr>
          <w:p>
            <w:pPr>
              <w:jc w:val="center"/>
              <w:ind w:left="868"/>
              <w:spacing w:after="0"/>
              <w:rPr>
                <w:rFonts w:ascii="Arial" w:cs="Arial" w:eastAsia="Arial" w:hAnsi="Arial"/>
                <w:sz w:val="14"/>
                <w:szCs w:val="14"/>
                <w:color w:val="0000EE"/>
              </w:rPr>
            </w:pPr>
            <w:hyperlink w:anchor="page20">
              <w:r>
                <w:rPr>
                  <w:rFonts w:ascii="Arial" w:cs="Arial" w:eastAsia="Arial" w:hAnsi="Arial"/>
                  <w:sz w:val="14"/>
                  <w:szCs w:val="14"/>
                  <w:color w:val="0000EE"/>
                </w:rPr>
                <w:t>20</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21">
              <w:r>
                <w:rPr>
                  <w:rFonts w:ascii="Arial" w:cs="Arial" w:eastAsia="Arial" w:hAnsi="Arial"/>
                  <w:sz w:val="14"/>
                  <w:szCs w:val="14"/>
                  <w:color w:val="0000EE"/>
                </w:rPr>
                <w:t>Note 9: Fair Value Measurements</w:t>
              </w:r>
            </w:hyperlink>
          </w:p>
        </w:tc>
        <w:tc>
          <w:tcPr>
            <w:tcW w:w="1100" w:type="dxa"/>
            <w:vAlign w:val="bottom"/>
          </w:tcPr>
          <w:p>
            <w:pPr>
              <w:jc w:val="center"/>
              <w:ind w:left="868"/>
              <w:spacing w:after="0"/>
              <w:rPr>
                <w:rFonts w:ascii="Arial" w:cs="Arial" w:eastAsia="Arial" w:hAnsi="Arial"/>
                <w:sz w:val="14"/>
                <w:szCs w:val="14"/>
                <w:color w:val="0000EE"/>
              </w:rPr>
            </w:pPr>
            <w:hyperlink w:anchor="page21">
              <w:r>
                <w:rPr>
                  <w:rFonts w:ascii="Arial" w:cs="Arial" w:eastAsia="Arial" w:hAnsi="Arial"/>
                  <w:sz w:val="14"/>
                  <w:szCs w:val="14"/>
                  <w:color w:val="0000EE"/>
                </w:rPr>
                <w:t>21</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23">
              <w:r>
                <w:rPr>
                  <w:rFonts w:ascii="Arial" w:cs="Arial" w:eastAsia="Arial" w:hAnsi="Arial"/>
                  <w:sz w:val="14"/>
                  <w:szCs w:val="14"/>
                  <w:color w:val="0000EE"/>
                </w:rPr>
                <w:t>Note 10: Derivative Financial Instruments</w:t>
              </w:r>
            </w:hyperlink>
          </w:p>
        </w:tc>
        <w:tc>
          <w:tcPr>
            <w:tcW w:w="1100" w:type="dxa"/>
            <w:vAlign w:val="bottom"/>
          </w:tcPr>
          <w:p>
            <w:pPr>
              <w:jc w:val="center"/>
              <w:ind w:left="868"/>
              <w:spacing w:after="0"/>
              <w:rPr>
                <w:rFonts w:ascii="Arial" w:cs="Arial" w:eastAsia="Arial" w:hAnsi="Arial"/>
                <w:sz w:val="14"/>
                <w:szCs w:val="14"/>
                <w:color w:val="0000EE"/>
              </w:rPr>
            </w:pPr>
            <w:hyperlink w:anchor="page23">
              <w:r>
                <w:rPr>
                  <w:rFonts w:ascii="Arial" w:cs="Arial" w:eastAsia="Arial" w:hAnsi="Arial"/>
                  <w:sz w:val="14"/>
                  <w:szCs w:val="14"/>
                  <w:color w:val="0000EE"/>
                </w:rPr>
                <w:t>23</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25">
              <w:r>
                <w:rPr>
                  <w:rFonts w:ascii="Arial" w:cs="Arial" w:eastAsia="Arial" w:hAnsi="Arial"/>
                  <w:sz w:val="14"/>
                  <w:szCs w:val="14"/>
                  <w:color w:val="0000EE"/>
                </w:rPr>
                <w:t>Note 11: Revenues</w:t>
              </w:r>
            </w:hyperlink>
          </w:p>
        </w:tc>
        <w:tc>
          <w:tcPr>
            <w:tcW w:w="1100" w:type="dxa"/>
            <w:vAlign w:val="bottom"/>
          </w:tcPr>
          <w:p>
            <w:pPr>
              <w:jc w:val="center"/>
              <w:ind w:left="868"/>
              <w:spacing w:after="0"/>
              <w:rPr>
                <w:rFonts w:ascii="Arial" w:cs="Arial" w:eastAsia="Arial" w:hAnsi="Arial"/>
                <w:sz w:val="14"/>
                <w:szCs w:val="14"/>
                <w:color w:val="0000EE"/>
              </w:rPr>
            </w:pPr>
            <w:hyperlink w:anchor="page25">
              <w:r>
                <w:rPr>
                  <w:rFonts w:ascii="Arial" w:cs="Arial" w:eastAsia="Arial" w:hAnsi="Arial"/>
                  <w:sz w:val="14"/>
                  <w:szCs w:val="14"/>
                  <w:color w:val="0000EE"/>
                </w:rPr>
                <w:t>25</w:t>
              </w:r>
            </w:hyperlink>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400" w:type="dxa"/>
            <w:vAlign w:val="bottom"/>
            <w:vMerge w:val="restart"/>
          </w:tcPr>
          <w:p>
            <w:pPr>
              <w:ind w:left="480"/>
              <w:spacing w:after="0"/>
              <w:rPr>
                <w:rFonts w:ascii="Arial" w:cs="Arial" w:eastAsia="Arial" w:hAnsi="Arial"/>
                <w:sz w:val="14"/>
                <w:szCs w:val="14"/>
                <w:color w:val="0000EE"/>
              </w:rPr>
            </w:pPr>
            <w:hyperlink w:anchor="page27">
              <w:r>
                <w:rPr>
                  <w:rFonts w:ascii="Arial" w:cs="Arial" w:eastAsia="Arial" w:hAnsi="Arial"/>
                  <w:sz w:val="14"/>
                  <w:szCs w:val="14"/>
                  <w:color w:val="0000EE"/>
                </w:rPr>
                <w:t>Note 12: Leases</w:t>
              </w:r>
            </w:hyperlink>
          </w:p>
        </w:tc>
        <w:tc>
          <w:tcPr>
            <w:tcW w:w="1100" w:type="dxa"/>
            <w:vAlign w:val="bottom"/>
          </w:tcPr>
          <w:p>
            <w:pPr>
              <w:jc w:val="center"/>
              <w:ind w:left="868"/>
              <w:spacing w:after="0"/>
              <w:rPr>
                <w:rFonts w:ascii="Arial" w:cs="Arial" w:eastAsia="Arial" w:hAnsi="Arial"/>
                <w:sz w:val="14"/>
                <w:szCs w:val="14"/>
                <w:color w:val="0000EE"/>
              </w:rPr>
            </w:pPr>
            <w:hyperlink w:anchor="page27">
              <w:r>
                <w:rPr>
                  <w:rFonts w:ascii="Arial" w:cs="Arial" w:eastAsia="Arial" w:hAnsi="Arial"/>
                  <w:sz w:val="14"/>
                  <w:szCs w:val="14"/>
                  <w:color w:val="0000EE"/>
                </w:rPr>
                <w:t>27</w:t>
              </w:r>
            </w:hyperlink>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94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28">
              <w:r>
                <w:rPr>
                  <w:rFonts w:ascii="Arial" w:cs="Arial" w:eastAsia="Arial" w:hAnsi="Arial"/>
                  <w:sz w:val="14"/>
                  <w:szCs w:val="14"/>
                  <w:color w:val="0000EE"/>
                </w:rPr>
                <w:t>Note 13: Equity-Based Compensation</w:t>
              </w:r>
            </w:hyperlink>
          </w:p>
        </w:tc>
        <w:tc>
          <w:tcPr>
            <w:tcW w:w="1100" w:type="dxa"/>
            <w:vAlign w:val="bottom"/>
          </w:tcPr>
          <w:p>
            <w:pPr>
              <w:jc w:val="center"/>
              <w:ind w:left="868"/>
              <w:spacing w:after="0"/>
              <w:rPr>
                <w:rFonts w:ascii="Arial" w:cs="Arial" w:eastAsia="Arial" w:hAnsi="Arial"/>
                <w:sz w:val="14"/>
                <w:szCs w:val="14"/>
                <w:color w:val="0000EE"/>
              </w:rPr>
            </w:pPr>
            <w:hyperlink w:anchor="page28">
              <w:r>
                <w:rPr>
                  <w:rFonts w:ascii="Arial" w:cs="Arial" w:eastAsia="Arial" w:hAnsi="Arial"/>
                  <w:sz w:val="14"/>
                  <w:szCs w:val="14"/>
                  <w:color w:val="0000EE"/>
                </w:rPr>
                <w:t>28</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29">
              <w:r>
                <w:rPr>
                  <w:rFonts w:ascii="Arial" w:cs="Arial" w:eastAsia="Arial" w:hAnsi="Arial"/>
                  <w:sz w:val="14"/>
                  <w:szCs w:val="14"/>
                  <w:color w:val="0000EE"/>
                </w:rPr>
                <w:t>Note 14: Income Taxes</w:t>
              </w:r>
            </w:hyperlink>
          </w:p>
        </w:tc>
        <w:tc>
          <w:tcPr>
            <w:tcW w:w="1100" w:type="dxa"/>
            <w:vAlign w:val="bottom"/>
          </w:tcPr>
          <w:p>
            <w:pPr>
              <w:jc w:val="center"/>
              <w:ind w:left="868"/>
              <w:spacing w:after="0"/>
              <w:rPr>
                <w:rFonts w:ascii="Arial" w:cs="Arial" w:eastAsia="Arial" w:hAnsi="Arial"/>
                <w:sz w:val="14"/>
                <w:szCs w:val="14"/>
                <w:color w:val="0000EE"/>
              </w:rPr>
            </w:pPr>
            <w:hyperlink w:anchor="page29">
              <w:r>
                <w:rPr>
                  <w:rFonts w:ascii="Arial" w:cs="Arial" w:eastAsia="Arial" w:hAnsi="Arial"/>
                  <w:sz w:val="14"/>
                  <w:szCs w:val="14"/>
                  <w:color w:val="0000EE"/>
                </w:rPr>
                <w:t>29</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29">
              <w:r>
                <w:rPr>
                  <w:rFonts w:ascii="Arial" w:cs="Arial" w:eastAsia="Arial" w:hAnsi="Arial"/>
                  <w:sz w:val="14"/>
                  <w:szCs w:val="14"/>
                  <w:color w:val="0000EE"/>
                </w:rPr>
                <w:t>Note 15: Management Agreement and Affiliate Transactions</w:t>
              </w:r>
            </w:hyperlink>
          </w:p>
        </w:tc>
        <w:tc>
          <w:tcPr>
            <w:tcW w:w="1100" w:type="dxa"/>
            <w:vAlign w:val="bottom"/>
          </w:tcPr>
          <w:p>
            <w:pPr>
              <w:jc w:val="center"/>
              <w:ind w:left="868"/>
              <w:spacing w:after="0"/>
              <w:rPr>
                <w:rFonts w:ascii="Arial" w:cs="Arial" w:eastAsia="Arial" w:hAnsi="Arial"/>
                <w:sz w:val="14"/>
                <w:szCs w:val="14"/>
                <w:color w:val="0000EE"/>
              </w:rPr>
            </w:pPr>
            <w:hyperlink w:anchor="page29">
              <w:r>
                <w:rPr>
                  <w:rFonts w:ascii="Arial" w:cs="Arial" w:eastAsia="Arial" w:hAnsi="Arial"/>
                  <w:sz w:val="14"/>
                  <w:szCs w:val="14"/>
                  <w:color w:val="0000EE"/>
                </w:rPr>
                <w:t>29</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31">
              <w:r>
                <w:rPr>
                  <w:rFonts w:ascii="Arial" w:cs="Arial" w:eastAsia="Arial" w:hAnsi="Arial"/>
                  <w:sz w:val="14"/>
                  <w:szCs w:val="14"/>
                  <w:color w:val="0000EE"/>
                </w:rPr>
                <w:t>Note 16: Segment Information</w:t>
              </w:r>
            </w:hyperlink>
          </w:p>
        </w:tc>
        <w:tc>
          <w:tcPr>
            <w:tcW w:w="1100" w:type="dxa"/>
            <w:vAlign w:val="bottom"/>
          </w:tcPr>
          <w:p>
            <w:pPr>
              <w:jc w:val="center"/>
              <w:ind w:left="868"/>
              <w:spacing w:after="0"/>
              <w:rPr>
                <w:rFonts w:ascii="Arial" w:cs="Arial" w:eastAsia="Arial" w:hAnsi="Arial"/>
                <w:sz w:val="14"/>
                <w:szCs w:val="14"/>
                <w:color w:val="0000EE"/>
              </w:rPr>
            </w:pPr>
            <w:hyperlink w:anchor="page31">
              <w:r>
                <w:rPr>
                  <w:rFonts w:ascii="Arial" w:cs="Arial" w:eastAsia="Arial" w:hAnsi="Arial"/>
                  <w:sz w:val="14"/>
                  <w:szCs w:val="14"/>
                  <w:color w:val="0000EE"/>
                </w:rPr>
                <w:t>31</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42">
              <w:r>
                <w:rPr>
                  <w:rFonts w:ascii="Arial" w:cs="Arial" w:eastAsia="Arial" w:hAnsi="Arial"/>
                  <w:sz w:val="14"/>
                  <w:szCs w:val="14"/>
                  <w:color w:val="0000EE"/>
                </w:rPr>
                <w:t>Note 17: Earnings per Share and Equity</w:t>
              </w:r>
            </w:hyperlink>
          </w:p>
        </w:tc>
        <w:tc>
          <w:tcPr>
            <w:tcW w:w="1100" w:type="dxa"/>
            <w:vAlign w:val="bottom"/>
          </w:tcPr>
          <w:p>
            <w:pPr>
              <w:jc w:val="center"/>
              <w:ind w:left="868"/>
              <w:spacing w:after="0"/>
              <w:rPr>
                <w:rFonts w:ascii="Arial" w:cs="Arial" w:eastAsia="Arial" w:hAnsi="Arial"/>
                <w:sz w:val="14"/>
                <w:szCs w:val="14"/>
                <w:color w:val="0000EE"/>
              </w:rPr>
            </w:pPr>
            <w:hyperlink w:anchor="page42">
              <w:r>
                <w:rPr>
                  <w:rFonts w:ascii="Arial" w:cs="Arial" w:eastAsia="Arial" w:hAnsi="Arial"/>
                  <w:sz w:val="14"/>
                  <w:szCs w:val="14"/>
                  <w:color w:val="0000EE"/>
                </w:rPr>
                <w:t>42</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43">
              <w:r>
                <w:rPr>
                  <w:rFonts w:ascii="Arial" w:cs="Arial" w:eastAsia="Arial" w:hAnsi="Arial"/>
                  <w:sz w:val="14"/>
                  <w:szCs w:val="14"/>
                  <w:color w:val="0000EE"/>
                </w:rPr>
                <w:t>Note 18: Commitments and Contingencies</w:t>
              </w:r>
            </w:hyperlink>
          </w:p>
        </w:tc>
        <w:tc>
          <w:tcPr>
            <w:tcW w:w="1100" w:type="dxa"/>
            <w:vAlign w:val="bottom"/>
          </w:tcPr>
          <w:p>
            <w:pPr>
              <w:jc w:val="center"/>
              <w:ind w:left="868"/>
              <w:spacing w:after="0"/>
              <w:rPr>
                <w:rFonts w:ascii="Arial" w:cs="Arial" w:eastAsia="Arial" w:hAnsi="Arial"/>
                <w:sz w:val="14"/>
                <w:szCs w:val="14"/>
                <w:color w:val="0000EE"/>
              </w:rPr>
            </w:pPr>
            <w:hyperlink w:anchor="page43">
              <w:r>
                <w:rPr>
                  <w:rFonts w:ascii="Arial" w:cs="Arial" w:eastAsia="Arial" w:hAnsi="Arial"/>
                  <w:sz w:val="14"/>
                  <w:szCs w:val="14"/>
                  <w:color w:val="0000EE"/>
                </w:rPr>
                <w:t>43</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4"/>
                <w:szCs w:val="14"/>
                <w:color w:val="0000EE"/>
              </w:rPr>
            </w:pPr>
            <w:hyperlink w:anchor="page43">
              <w:r>
                <w:rPr>
                  <w:rFonts w:ascii="Arial" w:cs="Arial" w:eastAsia="Arial" w:hAnsi="Arial"/>
                  <w:sz w:val="14"/>
                  <w:szCs w:val="14"/>
                  <w:color w:val="0000EE"/>
                </w:rPr>
                <w:t>Note 19: Subsequent Events</w:t>
              </w:r>
            </w:hyperlink>
          </w:p>
        </w:tc>
        <w:tc>
          <w:tcPr>
            <w:tcW w:w="1100" w:type="dxa"/>
            <w:vAlign w:val="bottom"/>
          </w:tcPr>
          <w:p>
            <w:pPr>
              <w:jc w:val="center"/>
              <w:ind w:left="868"/>
              <w:spacing w:after="0"/>
              <w:rPr>
                <w:rFonts w:ascii="Arial" w:cs="Arial" w:eastAsia="Arial" w:hAnsi="Arial"/>
                <w:sz w:val="14"/>
                <w:szCs w:val="14"/>
                <w:color w:val="0000EE"/>
              </w:rPr>
            </w:pPr>
            <w:hyperlink w:anchor="page43">
              <w:r>
                <w:rPr>
                  <w:rFonts w:ascii="Arial" w:cs="Arial" w:eastAsia="Arial" w:hAnsi="Arial"/>
                  <w:sz w:val="14"/>
                  <w:szCs w:val="14"/>
                  <w:color w:val="0000EE"/>
                </w:rPr>
                <w:t>43</w:t>
              </w:r>
            </w:hyperlink>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9400" w:type="dxa"/>
            <w:vAlign w:val="bottom"/>
          </w:tcPr>
          <w:p>
            <w:pPr>
              <w:ind w:left="240"/>
              <w:spacing w:after="0"/>
              <w:rPr>
                <w:rFonts w:ascii="Arial" w:cs="Arial" w:eastAsia="Arial" w:hAnsi="Arial"/>
                <w:sz w:val="14"/>
                <w:szCs w:val="14"/>
                <w:color w:val="0000EE"/>
              </w:rPr>
            </w:pPr>
            <w:hyperlink w:anchor="page44">
              <w:r>
                <w:rPr>
                  <w:rFonts w:ascii="Arial" w:cs="Arial" w:eastAsia="Arial" w:hAnsi="Arial"/>
                  <w:sz w:val="14"/>
                  <w:szCs w:val="14"/>
                  <w:color w:val="0000EE"/>
                </w:rPr>
                <w:t>Management’s Discussion and Analysis of Financial Condition and Results of Operations</w:t>
              </w:r>
            </w:hyperlink>
          </w:p>
        </w:tc>
        <w:tc>
          <w:tcPr>
            <w:tcW w:w="1100" w:type="dxa"/>
            <w:vAlign w:val="bottom"/>
          </w:tcPr>
          <w:p>
            <w:pPr>
              <w:jc w:val="center"/>
              <w:ind w:left="868"/>
              <w:spacing w:after="0"/>
              <w:rPr>
                <w:rFonts w:ascii="Arial" w:cs="Arial" w:eastAsia="Arial" w:hAnsi="Arial"/>
                <w:sz w:val="14"/>
                <w:szCs w:val="14"/>
                <w:color w:val="0000EE"/>
              </w:rPr>
            </w:pPr>
            <w:hyperlink w:anchor="page44">
              <w:r>
                <w:rPr>
                  <w:rFonts w:ascii="Arial" w:cs="Arial" w:eastAsia="Arial" w:hAnsi="Arial"/>
                  <w:sz w:val="14"/>
                  <w:szCs w:val="14"/>
                  <w:color w:val="0000EE"/>
                </w:rPr>
                <w:t>44</w:t>
              </w:r>
            </w:hyperlink>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9400" w:type="dxa"/>
            <w:vAlign w:val="bottom"/>
          </w:tcPr>
          <w:p>
            <w:pPr>
              <w:ind w:left="240"/>
              <w:spacing w:after="0"/>
              <w:rPr>
                <w:rFonts w:ascii="Arial" w:cs="Arial" w:eastAsia="Arial" w:hAnsi="Arial"/>
                <w:sz w:val="14"/>
                <w:szCs w:val="14"/>
                <w:color w:val="0000EE"/>
              </w:rPr>
            </w:pPr>
            <w:hyperlink w:anchor="page61">
              <w:r>
                <w:rPr>
                  <w:rFonts w:ascii="Arial" w:cs="Arial" w:eastAsia="Arial" w:hAnsi="Arial"/>
                  <w:sz w:val="14"/>
                  <w:szCs w:val="14"/>
                  <w:color w:val="0000EE"/>
                </w:rPr>
                <w:t>Quantitative and Qualitative Disclosures About Market Risk</w:t>
              </w:r>
            </w:hyperlink>
          </w:p>
        </w:tc>
        <w:tc>
          <w:tcPr>
            <w:tcW w:w="1100" w:type="dxa"/>
            <w:vAlign w:val="bottom"/>
          </w:tcPr>
          <w:p>
            <w:pPr>
              <w:jc w:val="center"/>
              <w:ind w:left="868"/>
              <w:spacing w:after="0"/>
              <w:rPr>
                <w:rFonts w:ascii="Arial" w:cs="Arial" w:eastAsia="Arial" w:hAnsi="Arial"/>
                <w:sz w:val="14"/>
                <w:szCs w:val="14"/>
                <w:color w:val="0000EE"/>
              </w:rPr>
            </w:pPr>
            <w:hyperlink w:anchor="page61">
              <w:r>
                <w:rPr>
                  <w:rFonts w:ascii="Arial" w:cs="Arial" w:eastAsia="Arial" w:hAnsi="Arial"/>
                  <w:sz w:val="14"/>
                  <w:szCs w:val="14"/>
                  <w:color w:val="0000EE"/>
                </w:rPr>
                <w:t>61</w:t>
              </w:r>
            </w:hyperlink>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9400" w:type="dxa"/>
            <w:vAlign w:val="bottom"/>
          </w:tcPr>
          <w:p>
            <w:pPr>
              <w:ind w:left="240"/>
              <w:spacing w:after="0"/>
              <w:rPr>
                <w:rFonts w:ascii="Arial" w:cs="Arial" w:eastAsia="Arial" w:hAnsi="Arial"/>
                <w:sz w:val="14"/>
                <w:szCs w:val="14"/>
                <w:color w:val="0000EE"/>
              </w:rPr>
            </w:pPr>
            <w:hyperlink w:anchor="page62">
              <w:r>
                <w:rPr>
                  <w:rFonts w:ascii="Arial" w:cs="Arial" w:eastAsia="Arial" w:hAnsi="Arial"/>
                  <w:sz w:val="14"/>
                  <w:szCs w:val="14"/>
                  <w:color w:val="0000EE"/>
                </w:rPr>
                <w:t>Controls and Procedures</w:t>
              </w:r>
            </w:hyperlink>
          </w:p>
        </w:tc>
        <w:tc>
          <w:tcPr>
            <w:tcW w:w="1100" w:type="dxa"/>
            <w:vAlign w:val="bottom"/>
          </w:tcPr>
          <w:p>
            <w:pPr>
              <w:jc w:val="center"/>
              <w:ind w:left="868"/>
              <w:spacing w:after="0"/>
              <w:rPr>
                <w:rFonts w:ascii="Arial" w:cs="Arial" w:eastAsia="Arial" w:hAnsi="Arial"/>
                <w:sz w:val="14"/>
                <w:szCs w:val="14"/>
                <w:color w:val="0000EE"/>
              </w:rPr>
            </w:pPr>
            <w:hyperlink w:anchor="page62">
              <w:r>
                <w:rPr>
                  <w:rFonts w:ascii="Arial" w:cs="Arial" w:eastAsia="Arial" w:hAnsi="Arial"/>
                  <w:sz w:val="14"/>
                  <w:szCs w:val="14"/>
                  <w:color w:val="0000EE"/>
                </w:rPr>
                <w:t>62</w:t>
              </w:r>
            </w:hyperlink>
          </w:p>
        </w:tc>
        <w:tc>
          <w:tcPr>
            <w:tcW w:w="0" w:type="dxa"/>
            <w:vAlign w:val="bottom"/>
          </w:tcPr>
          <w:p>
            <w:pPr>
              <w:spacing w:after="0"/>
              <w:rPr>
                <w:sz w:val="1"/>
                <w:szCs w:val="1"/>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 w:type="dxa"/>
            <w:vAlign w:val="bottom"/>
          </w:tcPr>
          <w:p>
            <w:pPr>
              <w:spacing w:after="0"/>
              <w:rPr>
                <w:sz w:val="16"/>
                <w:szCs w:val="16"/>
                <w:color w:val="auto"/>
              </w:rPr>
            </w:pPr>
          </w:p>
        </w:tc>
        <w:tc>
          <w:tcPr>
            <w:tcW w:w="8240" w:type="dxa"/>
            <w:vAlign w:val="bottom"/>
          </w:tcPr>
          <w:p>
            <w:pPr>
              <w:ind w:left="4020"/>
              <w:spacing w:after="0"/>
              <w:rPr>
                <w:sz w:val="20"/>
                <w:szCs w:val="20"/>
                <w:color w:val="auto"/>
              </w:rPr>
            </w:pPr>
            <w:r>
              <w:rPr>
                <w:rFonts w:ascii="Arial" w:cs="Arial" w:eastAsia="Arial" w:hAnsi="Arial"/>
                <w:sz w:val="14"/>
                <w:szCs w:val="14"/>
                <w:b w:val="1"/>
                <w:bCs w:val="1"/>
                <w:color w:val="006EBF"/>
              </w:rPr>
              <w:t>PART II - OTHER INFORMATION</w:t>
            </w:r>
          </w:p>
        </w:tc>
        <w:tc>
          <w:tcPr>
            <w:tcW w:w="220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8240" w:type="dxa"/>
            <w:vAlign w:val="bottom"/>
          </w:tcPr>
          <w:p>
            <w:pPr>
              <w:ind w:left="180"/>
              <w:spacing w:after="0"/>
              <w:rPr>
                <w:rFonts w:ascii="Arial" w:cs="Arial" w:eastAsia="Arial" w:hAnsi="Arial"/>
                <w:sz w:val="14"/>
                <w:szCs w:val="14"/>
                <w:color w:val="0000EE"/>
              </w:rPr>
            </w:pPr>
            <w:hyperlink w:anchor="page63">
              <w:r>
                <w:rPr>
                  <w:rFonts w:ascii="Arial" w:cs="Arial" w:eastAsia="Arial" w:hAnsi="Arial"/>
                  <w:sz w:val="14"/>
                  <w:szCs w:val="14"/>
                  <w:color w:val="0000EE"/>
                </w:rPr>
                <w:t>Legal Proceedings</w:t>
              </w:r>
            </w:hyperlink>
          </w:p>
        </w:tc>
        <w:tc>
          <w:tcPr>
            <w:tcW w:w="2200" w:type="dxa"/>
            <w:vAlign w:val="bottom"/>
          </w:tcPr>
          <w:p>
            <w:pPr>
              <w:jc w:val="right"/>
              <w:spacing w:after="0"/>
              <w:rPr>
                <w:rFonts w:ascii="Arial" w:cs="Arial" w:eastAsia="Arial" w:hAnsi="Arial"/>
                <w:sz w:val="14"/>
                <w:szCs w:val="14"/>
                <w:color w:val="0000EE"/>
              </w:rPr>
            </w:pPr>
            <w:hyperlink w:anchor="page63">
              <w:r>
                <w:rPr>
                  <w:rFonts w:ascii="Arial" w:cs="Arial" w:eastAsia="Arial" w:hAnsi="Arial"/>
                  <w:sz w:val="14"/>
                  <w:szCs w:val="14"/>
                  <w:color w:val="0000EE"/>
                </w:rPr>
                <w:t>63</w:t>
              </w:r>
            </w:hyperlink>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240" w:type="dxa"/>
            <w:vAlign w:val="bottom"/>
          </w:tcPr>
          <w:p>
            <w:pPr>
              <w:ind w:left="180"/>
              <w:spacing w:after="0"/>
              <w:rPr>
                <w:rFonts w:ascii="Arial" w:cs="Arial" w:eastAsia="Arial" w:hAnsi="Arial"/>
                <w:sz w:val="14"/>
                <w:szCs w:val="14"/>
                <w:color w:val="0000EE"/>
              </w:rPr>
            </w:pPr>
            <w:hyperlink w:anchor="page63">
              <w:r>
                <w:rPr>
                  <w:rFonts w:ascii="Arial" w:cs="Arial" w:eastAsia="Arial" w:hAnsi="Arial"/>
                  <w:sz w:val="14"/>
                  <w:szCs w:val="14"/>
                  <w:color w:val="0000EE"/>
                </w:rPr>
                <w:t>Risk Factors</w:t>
              </w:r>
            </w:hyperlink>
          </w:p>
        </w:tc>
        <w:tc>
          <w:tcPr>
            <w:tcW w:w="2200" w:type="dxa"/>
            <w:vAlign w:val="bottom"/>
          </w:tcPr>
          <w:p>
            <w:pPr>
              <w:jc w:val="right"/>
              <w:spacing w:after="0"/>
              <w:rPr>
                <w:rFonts w:ascii="Arial" w:cs="Arial" w:eastAsia="Arial" w:hAnsi="Arial"/>
                <w:sz w:val="14"/>
                <w:szCs w:val="14"/>
                <w:color w:val="0000EE"/>
              </w:rPr>
            </w:pPr>
            <w:hyperlink w:anchor="page63">
              <w:r>
                <w:rPr>
                  <w:rFonts w:ascii="Arial" w:cs="Arial" w:eastAsia="Arial" w:hAnsi="Arial"/>
                  <w:sz w:val="14"/>
                  <w:szCs w:val="14"/>
                  <w:color w:val="0000EE"/>
                </w:rPr>
                <w:t>63</w:t>
              </w:r>
            </w:hyperlink>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8240" w:type="dxa"/>
            <w:vAlign w:val="bottom"/>
          </w:tcPr>
          <w:p>
            <w:pPr>
              <w:ind w:left="180"/>
              <w:spacing w:after="0"/>
              <w:rPr>
                <w:rFonts w:ascii="Arial" w:cs="Arial" w:eastAsia="Arial" w:hAnsi="Arial"/>
                <w:sz w:val="14"/>
                <w:szCs w:val="14"/>
                <w:color w:val="0000EE"/>
              </w:rPr>
            </w:pPr>
            <w:hyperlink w:anchor="page84">
              <w:r>
                <w:rPr>
                  <w:rFonts w:ascii="Arial" w:cs="Arial" w:eastAsia="Arial" w:hAnsi="Arial"/>
                  <w:sz w:val="14"/>
                  <w:szCs w:val="14"/>
                  <w:color w:val="0000EE"/>
                </w:rPr>
                <w:t>Unregistered Sales of Equity Securities and Use of Proceeds</w:t>
              </w:r>
            </w:hyperlink>
          </w:p>
        </w:tc>
        <w:tc>
          <w:tcPr>
            <w:tcW w:w="2200" w:type="dxa"/>
            <w:vAlign w:val="bottom"/>
          </w:tcPr>
          <w:p>
            <w:pPr>
              <w:jc w:val="right"/>
              <w:spacing w:after="0"/>
              <w:rPr>
                <w:rFonts w:ascii="Arial" w:cs="Arial" w:eastAsia="Arial" w:hAnsi="Arial"/>
                <w:sz w:val="14"/>
                <w:szCs w:val="14"/>
                <w:color w:val="0000EE"/>
              </w:rPr>
            </w:pPr>
            <w:hyperlink w:anchor="page84">
              <w:r>
                <w:rPr>
                  <w:rFonts w:ascii="Arial" w:cs="Arial" w:eastAsia="Arial" w:hAnsi="Arial"/>
                  <w:sz w:val="14"/>
                  <w:szCs w:val="14"/>
                  <w:color w:val="0000EE"/>
                </w:rPr>
                <w:t>84</w:t>
              </w:r>
            </w:hyperlink>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240" w:type="dxa"/>
            <w:vAlign w:val="bottom"/>
          </w:tcPr>
          <w:p>
            <w:pPr>
              <w:ind w:left="180"/>
              <w:spacing w:after="0"/>
              <w:rPr>
                <w:rFonts w:ascii="Arial" w:cs="Arial" w:eastAsia="Arial" w:hAnsi="Arial"/>
                <w:sz w:val="14"/>
                <w:szCs w:val="14"/>
                <w:color w:val="0000EE"/>
              </w:rPr>
            </w:pPr>
            <w:hyperlink w:anchor="page84">
              <w:r>
                <w:rPr>
                  <w:rFonts w:ascii="Arial" w:cs="Arial" w:eastAsia="Arial" w:hAnsi="Arial"/>
                  <w:sz w:val="14"/>
                  <w:szCs w:val="14"/>
                  <w:color w:val="0000EE"/>
                </w:rPr>
                <w:t>Defaults Upon Senior Securities</w:t>
              </w:r>
            </w:hyperlink>
          </w:p>
        </w:tc>
        <w:tc>
          <w:tcPr>
            <w:tcW w:w="2200" w:type="dxa"/>
            <w:vAlign w:val="bottom"/>
          </w:tcPr>
          <w:p>
            <w:pPr>
              <w:jc w:val="right"/>
              <w:spacing w:after="0"/>
              <w:rPr>
                <w:rFonts w:ascii="Arial" w:cs="Arial" w:eastAsia="Arial" w:hAnsi="Arial"/>
                <w:sz w:val="14"/>
                <w:szCs w:val="14"/>
                <w:color w:val="0000EE"/>
              </w:rPr>
            </w:pPr>
            <w:hyperlink w:anchor="page84">
              <w:r>
                <w:rPr>
                  <w:rFonts w:ascii="Arial" w:cs="Arial" w:eastAsia="Arial" w:hAnsi="Arial"/>
                  <w:sz w:val="14"/>
                  <w:szCs w:val="14"/>
                  <w:color w:val="0000EE"/>
                </w:rPr>
                <w:t>84</w:t>
              </w:r>
            </w:hyperlink>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240" w:type="dxa"/>
            <w:vAlign w:val="bottom"/>
          </w:tcPr>
          <w:p>
            <w:pPr>
              <w:ind w:left="180"/>
              <w:spacing w:after="0"/>
              <w:rPr>
                <w:rFonts w:ascii="Arial" w:cs="Arial" w:eastAsia="Arial" w:hAnsi="Arial"/>
                <w:sz w:val="14"/>
                <w:szCs w:val="14"/>
                <w:color w:val="0000EE"/>
              </w:rPr>
            </w:pPr>
            <w:hyperlink w:anchor="page84">
              <w:r>
                <w:rPr>
                  <w:rFonts w:ascii="Arial" w:cs="Arial" w:eastAsia="Arial" w:hAnsi="Arial"/>
                  <w:sz w:val="14"/>
                  <w:szCs w:val="14"/>
                  <w:color w:val="0000EE"/>
                </w:rPr>
                <w:t>Mine Safety Disclosures</w:t>
              </w:r>
            </w:hyperlink>
          </w:p>
        </w:tc>
        <w:tc>
          <w:tcPr>
            <w:tcW w:w="2200" w:type="dxa"/>
            <w:vAlign w:val="bottom"/>
          </w:tcPr>
          <w:p>
            <w:pPr>
              <w:jc w:val="right"/>
              <w:spacing w:after="0"/>
              <w:rPr>
                <w:rFonts w:ascii="Arial" w:cs="Arial" w:eastAsia="Arial" w:hAnsi="Arial"/>
                <w:sz w:val="14"/>
                <w:szCs w:val="14"/>
                <w:color w:val="0000EE"/>
              </w:rPr>
            </w:pPr>
            <w:hyperlink w:anchor="page84">
              <w:r>
                <w:rPr>
                  <w:rFonts w:ascii="Arial" w:cs="Arial" w:eastAsia="Arial" w:hAnsi="Arial"/>
                  <w:sz w:val="14"/>
                  <w:szCs w:val="14"/>
                  <w:color w:val="0000EE"/>
                </w:rPr>
                <w:t>84</w:t>
              </w:r>
            </w:hyperlink>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8240" w:type="dxa"/>
            <w:vAlign w:val="bottom"/>
          </w:tcPr>
          <w:p>
            <w:pPr>
              <w:ind w:left="180"/>
              <w:spacing w:after="0"/>
              <w:rPr>
                <w:rFonts w:ascii="Arial" w:cs="Arial" w:eastAsia="Arial" w:hAnsi="Arial"/>
                <w:sz w:val="14"/>
                <w:szCs w:val="14"/>
                <w:color w:val="0000EE"/>
              </w:rPr>
            </w:pPr>
            <w:hyperlink w:anchor="page84">
              <w:r>
                <w:rPr>
                  <w:rFonts w:ascii="Arial" w:cs="Arial" w:eastAsia="Arial" w:hAnsi="Arial"/>
                  <w:sz w:val="14"/>
                  <w:szCs w:val="14"/>
                  <w:color w:val="0000EE"/>
                </w:rPr>
                <w:t>Other Information</w:t>
              </w:r>
            </w:hyperlink>
          </w:p>
        </w:tc>
        <w:tc>
          <w:tcPr>
            <w:tcW w:w="2200" w:type="dxa"/>
            <w:vAlign w:val="bottom"/>
          </w:tcPr>
          <w:p>
            <w:pPr>
              <w:jc w:val="right"/>
              <w:spacing w:after="0"/>
              <w:rPr>
                <w:rFonts w:ascii="Arial" w:cs="Arial" w:eastAsia="Arial" w:hAnsi="Arial"/>
                <w:sz w:val="14"/>
                <w:szCs w:val="14"/>
                <w:color w:val="0000EE"/>
              </w:rPr>
            </w:pPr>
            <w:hyperlink w:anchor="page84">
              <w:r>
                <w:rPr>
                  <w:rFonts w:ascii="Arial" w:cs="Arial" w:eastAsia="Arial" w:hAnsi="Arial"/>
                  <w:sz w:val="14"/>
                  <w:szCs w:val="14"/>
                  <w:color w:val="0000EE"/>
                </w:rPr>
                <w:t>84</w:t>
              </w:r>
            </w:hyperlink>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8240" w:type="dxa"/>
            <w:vAlign w:val="bottom"/>
          </w:tcPr>
          <w:p>
            <w:pPr>
              <w:ind w:left="180"/>
              <w:spacing w:after="0"/>
              <w:rPr>
                <w:rFonts w:ascii="Arial" w:cs="Arial" w:eastAsia="Arial" w:hAnsi="Arial"/>
                <w:sz w:val="14"/>
                <w:szCs w:val="14"/>
                <w:color w:val="0000EE"/>
              </w:rPr>
            </w:pPr>
            <w:hyperlink w:anchor="page84">
              <w:r>
                <w:rPr>
                  <w:rFonts w:ascii="Arial" w:cs="Arial" w:eastAsia="Arial" w:hAnsi="Arial"/>
                  <w:sz w:val="14"/>
                  <w:szCs w:val="14"/>
                  <w:color w:val="0000EE"/>
                </w:rPr>
                <w:t>Exhibits</w:t>
              </w:r>
            </w:hyperlink>
          </w:p>
        </w:tc>
        <w:tc>
          <w:tcPr>
            <w:tcW w:w="2200" w:type="dxa"/>
            <w:vAlign w:val="bottom"/>
          </w:tcPr>
          <w:p>
            <w:pPr>
              <w:jc w:val="right"/>
              <w:spacing w:after="0"/>
              <w:rPr>
                <w:rFonts w:ascii="Arial" w:cs="Arial" w:eastAsia="Arial" w:hAnsi="Arial"/>
                <w:sz w:val="14"/>
                <w:szCs w:val="14"/>
                <w:color w:val="0000EE"/>
              </w:rPr>
            </w:pPr>
            <w:hyperlink w:anchor="page84">
              <w:r>
                <w:rPr>
                  <w:rFonts w:ascii="Arial" w:cs="Arial" w:eastAsia="Arial" w:hAnsi="Arial"/>
                  <w:sz w:val="14"/>
                  <w:szCs w:val="14"/>
                  <w:color w:val="0000EE"/>
                </w:rPr>
                <w:t>84</w:t>
              </w:r>
            </w:hyperlink>
          </w:p>
        </w:tc>
      </w:tr>
    </w:tbl>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280" w:top="445"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48" w:lineRule="exact"/>
        <w:rPr>
          <w:sz w:val="20"/>
          <w:szCs w:val="20"/>
          <w:color w:val="auto"/>
        </w:rPr>
      </w:pPr>
    </w:p>
    <w:p>
      <w:pPr>
        <w:ind w:right="3820"/>
        <w:spacing w:after="0" w:line="252" w:lineRule="auto"/>
        <w:rPr>
          <w:sz w:val="20"/>
          <w:szCs w:val="20"/>
          <w:color w:val="auto"/>
        </w:rPr>
      </w:pPr>
      <w:r>
        <w:rPr>
          <w:rFonts w:ascii="Arial" w:cs="Arial" w:eastAsia="Arial" w:hAnsi="Arial"/>
          <w:sz w:val="22"/>
          <w:szCs w:val="22"/>
          <w:b w:val="1"/>
          <w:bCs w:val="1"/>
          <w:color w:val="00497F"/>
        </w:rPr>
        <w:t>FORTRESS TRANSPORTATION AND INFRASTRUCTURE INVESTORS LLC CONSOLIDATED BALANCE SHEETS</w:t>
      </w: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640" w:type="dxa"/>
            <w:vAlign w:val="bottom"/>
          </w:tcPr>
          <w:p>
            <w:pPr>
              <w:spacing w:after="0"/>
              <w:rPr>
                <w:sz w:val="24"/>
                <w:szCs w:val="2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22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24"/>
                <w:szCs w:val="24"/>
                <w:color w:val="auto"/>
              </w:rPr>
            </w:pPr>
          </w:p>
        </w:tc>
        <w:tc>
          <w:tcPr>
            <w:tcW w:w="170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6"/>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68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99,343</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99,601</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21,236</w:t>
            </w: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Accounts receivable, net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61,970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53,789</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Leasing equipment, net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1,498,679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1,432,210</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Operating lease right-of-use assets, net</w:t>
            </w:r>
          </w:p>
        </w:tc>
        <w:tc>
          <w:tcPr>
            <w:tcW w:w="680" w:type="dxa"/>
            <w:vAlign w:val="bottom"/>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42,590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leases, net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18,623</w:t>
            </w: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6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945,052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708,853</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40,560</w:t>
            </w: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68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30,182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38,513</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116,584</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229,643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108,809</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3,135,013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Accounts payable and accrued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135,155</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112,188</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net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1,582,262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1,237,347</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Maintenance deposits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197,989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158,163</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Security deposits</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42,761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38,539</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Operating lease liabilities</w:t>
            </w:r>
          </w:p>
        </w:tc>
        <w:tc>
          <w:tcPr>
            <w:tcW w:w="680" w:type="dxa"/>
            <w:vAlign w:val="bottom"/>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43,036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28,158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38,759</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liabilities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2,029,361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1,584,996</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680" w:type="dxa"/>
            <w:vAlign w:val="bottom"/>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($0.01 par value per share; 2,000,000,000 shares authorized; 84,903,138 and</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84,050,889 shares issued and outstanding as of September 30, 2019 and December 31, 2018,</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respectively)</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94"/>
        </w:trPr>
        <w:tc>
          <w:tcPr>
            <w:tcW w:w="6640" w:type="dxa"/>
            <w:vAlign w:val="bottom"/>
          </w:tcPr>
          <w:p>
            <w:pPr>
              <w:ind w:left="40"/>
              <w:spacing w:after="0"/>
              <w:rPr>
                <w:sz w:val="20"/>
                <w:szCs w:val="20"/>
                <w:color w:val="auto"/>
              </w:rPr>
            </w:pPr>
            <w:r>
              <w:rPr>
                <w:rFonts w:ascii="Arial" w:cs="Arial" w:eastAsia="Arial" w:hAnsi="Arial"/>
                <w:sz w:val="14"/>
                <w:szCs w:val="14"/>
                <w:color w:val="auto"/>
              </w:rPr>
              <w:t>Preferred shares ($0.01 par value per share; 3,450,000 shares authorized; 3,450,000 and 0 shares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640" w:type="dxa"/>
            <w:vAlign w:val="bottom"/>
          </w:tcPr>
          <w:p>
            <w:pPr>
              <w:ind w:left="40"/>
              <w:spacing w:after="0"/>
              <w:rPr>
                <w:sz w:val="20"/>
                <w:szCs w:val="20"/>
                <w:color w:val="auto"/>
              </w:rPr>
            </w:pPr>
            <w:r>
              <w:rPr>
                <w:rFonts w:ascii="Arial" w:cs="Arial" w:eastAsia="Arial" w:hAnsi="Arial"/>
                <w:sz w:val="14"/>
                <w:szCs w:val="14"/>
                <w:color w:val="auto"/>
              </w:rPr>
              <w:t>issued and outstanding as of September 30, 2019 and December 31, 2018, respectively)</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 in capital</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1,027,451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1,029,376</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Retained earnings (accumulated deficit)</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6,806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(32,817)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income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25,474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Shareholders' 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1,060,615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997,399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 in equity of consolidated subsidiaries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45,037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56,383</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equity</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1,105,652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1,053,782</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equity</w:t>
            </w: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3,135,013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76" w:right="239" w:bottom="1440" w:gutter="0" w:footer="0" w:header="0"/>
        </w:sectPr>
      </w:pPr>
    </w:p>
    <w:bookmarkStart w:id="5" w:name="page6"/>
    <w:bookmarkEnd w:id="5"/>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OPERATIONS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Notes</w:t>
            </w:r>
          </w:p>
        </w:tc>
        <w:tc>
          <w:tcPr>
            <w:tcW w:w="1300" w:type="dxa"/>
            <w:vAlign w:val="bottom"/>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87,259</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70,890</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238,911</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186,004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74,962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30,265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206,942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55,974</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162,221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101,155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445,853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241,978</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89,368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244,049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96,839</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6,284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4,012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15,313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12,171</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9,400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4,734</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70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7,378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3,846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16,926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12,080</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3, 5, 7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43,744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125,877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96,853</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25,488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15,142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72,263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39,870</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177,880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100,549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483,828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262,547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7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(974)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(1,527)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37,061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61,416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5,253</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452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3,465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income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37,339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63,806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7,090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21,680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25,831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(13,479)</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20,676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26,673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(15,059)</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interests</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(4,995)</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(12,950)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consolidated subsidiaries</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(3,855)</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(19,904)</w:t>
            </w:r>
          </w:p>
        </w:tc>
        <w:tc>
          <w:tcPr>
            <w:tcW w:w="0" w:type="dxa"/>
            <w:vAlign w:val="bottom"/>
          </w:tcPr>
          <w:p>
            <w:pPr>
              <w:spacing w:after="0"/>
              <w:rPr>
                <w:sz w:val="1"/>
                <w:szCs w:val="1"/>
                <w:color w:val="auto"/>
              </w:rPr>
            </w:pPr>
          </w:p>
        </w:tc>
      </w:tr>
      <w:tr>
        <w:trPr>
          <w:trHeight w:val="256"/>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25,671</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4,578</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39,623</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4,845</w:t>
            </w:r>
          </w:p>
        </w:tc>
        <w:tc>
          <w:tcPr>
            <w:tcW w:w="0" w:type="dxa"/>
            <w:vAlign w:val="bottom"/>
          </w:tcPr>
          <w:p>
            <w:pPr>
              <w:spacing w:after="0"/>
              <w:rPr>
                <w:sz w:val="1"/>
                <w:szCs w:val="1"/>
                <w:color w:val="auto"/>
              </w:rPr>
            </w:pPr>
          </w:p>
        </w:tc>
      </w:tr>
      <w:tr>
        <w:trPr>
          <w:trHeight w:val="197"/>
        </w:trPr>
        <w:tc>
          <w:tcPr>
            <w:tcW w:w="3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Earnings per common share</w:t>
            </w:r>
          </w:p>
        </w:tc>
        <w:tc>
          <w:tcPr>
            <w:tcW w:w="700" w:type="dxa"/>
            <w:vAlign w:val="bottom"/>
          </w:tcPr>
          <w:p>
            <w:pPr>
              <w:jc w:val="center"/>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0.30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0.46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Diluted</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0.30</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0.46</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303"/>
        </w:trPr>
        <w:tc>
          <w:tcPr>
            <w:tcW w:w="35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Weighted Average Common Shares Outstanding:</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85,996,067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84,708,071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85,990,131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83,178,546</w:t>
            </w: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Diluted</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86,005,604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84,709,656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86,013,539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83,179,181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21" w:right="239" w:bottom="1440" w:gutter="0" w:footer="0" w:header="0"/>
        </w:sectPr>
      </w:pPr>
    </w:p>
    <w:bookmarkStart w:id="6" w:name="page7"/>
    <w:bookmarkEnd w:id="6"/>
    <w:p>
      <w:pPr>
        <w:ind w:right="2940"/>
        <w:spacing w:after="0" w:line="264"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STATEMENTS OF COMPREHENSIVE INCOME (LOSS) </w:t>
      </w:r>
      <w:r>
        <w:rPr>
          <w:rFonts w:ascii="Arial" w:cs="Arial" w:eastAsia="Arial" w:hAnsi="Arial"/>
          <w:sz w:val="21"/>
          <w:szCs w:val="21"/>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20,676</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26,673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(15,059)</w:t>
            </w: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comprehensive income (loss), net of deferred tax:</w:t>
            </w: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Change in fair value of cash flow hedge, net </w:t>
            </w:r>
            <w:r>
              <w:rPr>
                <w:rFonts w:ascii="Arial" w:cs="Arial" w:eastAsia="Arial" w:hAnsi="Arial"/>
                <w:sz w:val="17"/>
                <w:szCs w:val="17"/>
                <w:color w:val="auto"/>
                <w:vertAlign w:val="superscript"/>
              </w:rPr>
              <w:t>(1)</w:t>
            </w:r>
          </w:p>
        </w:tc>
        <w:tc>
          <w:tcPr>
            <w:tcW w:w="1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(8,584)</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25,474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11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12,092</w:t>
            </w:r>
          </w:p>
        </w:tc>
        <w:tc>
          <w:tcPr>
            <w:tcW w:w="12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52,147</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(15,059)</w:t>
            </w: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Comprehensive loss attributable to non-controlling interest</w:t>
            </w:r>
          </w:p>
        </w:tc>
        <w:tc>
          <w:tcPr>
            <w:tcW w:w="1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(4,995)</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(3,855)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(12,950)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(19,904)</w:t>
            </w: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attributable to shareholders</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17,087</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4,578</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65,097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4,845</w:t>
            </w:r>
          </w:p>
        </w:tc>
      </w:tr>
      <w:tr>
        <w:trPr>
          <w:trHeight w:val="20"/>
        </w:trPr>
        <w:tc>
          <w:tcPr>
            <w:tcW w:w="4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Net of deferred tax (benefit) expense of $(2,282) and $3,904 for the three and nine months ended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21" w:right="239" w:bottom="1440" w:gutter="0" w:footer="0" w:header="0"/>
        </w:sectPr>
      </w:pPr>
    </w:p>
    <w:bookmarkStart w:id="7" w:name="page8"/>
    <w:bookmarkEnd w:id="7"/>
    <w:p>
      <w:pPr>
        <w:ind w:right="3820"/>
        <w:spacing w:after="0" w:line="264"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 OF CHANGES IN EQUITY </w:t>
      </w:r>
      <w:r>
        <w:rPr>
          <w:rFonts w:ascii="Arial" w:cs="Arial" w:eastAsia="Arial" w:hAnsi="Arial"/>
          <w:sz w:val="21"/>
          <w:szCs w:val="21"/>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8"/>
          </w:tcPr>
          <w:p>
            <w:pPr>
              <w:ind w:left="560"/>
              <w:spacing w:after="0"/>
              <w:rPr>
                <w:sz w:val="20"/>
                <w:szCs w:val="20"/>
                <w:color w:val="auto"/>
              </w:rPr>
            </w:pPr>
            <w:r>
              <w:rPr>
                <w:rFonts w:ascii="Arial" w:cs="Arial" w:eastAsia="Arial" w:hAnsi="Arial"/>
                <w:sz w:val="13"/>
                <w:szCs w:val="13"/>
                <w:b w:val="1"/>
                <w:bCs w:val="1"/>
                <w:color w:val="auto"/>
              </w:rPr>
              <w:t>Three and Nine Months Ended September 30, 2019</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0"/>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Retained Earnings</w:t>
            </w: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4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Interest in Equity of</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Preferred</w:t>
            </w:r>
          </w:p>
        </w:tc>
        <w:tc>
          <w:tcPr>
            <w:tcW w:w="11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Additional Paid</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78"/>
        </w:trPr>
        <w:tc>
          <w:tcPr>
            <w:tcW w:w="2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In Capital</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8"/>
              </w:rPr>
              <w:t>Subsidiaries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4"/>
              </w:rPr>
              <w:t>Total Equity</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Equity -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1,029,376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(32,817)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56,383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1,053,782</w:t>
            </w: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Net income (loss) for the period</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b w:val="1"/>
                <w:bCs w:val="1"/>
                <w:color w:val="auto"/>
              </w:rPr>
              <w:t>13,952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(7,955)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5,997</w:t>
            </w:r>
          </w:p>
        </w:tc>
      </w:tr>
      <w:tr>
        <w:trPr>
          <w:trHeight w:val="272"/>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34,058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34,058</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Total comprehensive income (loss)</w:t>
            </w:r>
          </w:p>
        </w:tc>
        <w:tc>
          <w:tcPr>
            <w:tcW w:w="1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13,952</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34,058</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(7,955)</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40,055</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shares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234</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242</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Conversion of participating securities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(7)</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 - common shares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(56,767)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(56,767)</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Equity-based compensation</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928</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Equity - June 30, 2019</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972,836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(18,865)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34,058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49,356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1,038,233</w:t>
            </w: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Net income (loss) for the period</w:t>
            </w:r>
          </w:p>
        </w:tc>
        <w:tc>
          <w:tcPr>
            <w:tcW w:w="1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25,671</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(4,995)</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20,676</w:t>
            </w:r>
          </w:p>
        </w:tc>
      </w:tr>
      <w:tr>
        <w:trPr>
          <w:trHeight w:val="272"/>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(8,584)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(8,584)</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Total comprehensive income (loss)</w:t>
            </w:r>
          </w:p>
        </w:tc>
        <w:tc>
          <w:tcPr>
            <w:tcW w:w="1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25,671</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(8,584)</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(4,995)</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12,092</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shares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150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151</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Conversion of participating securities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 - common shares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(28,387)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(28,387)</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Issuance of preferred shares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b w:val="1"/>
                <w:bCs w:val="1"/>
                <w:color w:val="auto"/>
              </w:rPr>
              <w:t>82,853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82,888</w:t>
            </w:r>
          </w:p>
        </w:tc>
      </w:tr>
      <w:tr>
        <w:trPr>
          <w:trHeight w:val="272"/>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Equity-based compensation</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676</w:t>
            </w:r>
          </w:p>
        </w:tc>
      </w:tr>
      <w:tr>
        <w:trPr>
          <w:trHeight w:val="242"/>
        </w:trPr>
        <w:tc>
          <w:tcPr>
            <w:tcW w:w="2740" w:type="dxa"/>
            <w:vAlign w:val="bottom"/>
          </w:tcPr>
          <w:p>
            <w:pPr>
              <w:ind w:left="40"/>
              <w:spacing w:after="0"/>
              <w:rPr>
                <w:sz w:val="20"/>
                <w:szCs w:val="20"/>
                <w:color w:val="auto"/>
              </w:rPr>
            </w:pPr>
            <w:r>
              <w:rPr>
                <w:rFonts w:ascii="Arial" w:cs="Arial" w:eastAsia="Arial" w:hAnsi="Arial"/>
                <w:sz w:val="13"/>
                <w:szCs w:val="13"/>
                <w:b w:val="1"/>
                <w:bCs w:val="1"/>
                <w:color w:val="auto"/>
              </w:rPr>
              <w:t>Equity - September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849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1,027,451</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6,806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25,474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45,037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1,105,652</w:t>
            </w: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97"/>
        </w:trPr>
        <w:tc>
          <w:tcPr>
            <w:tcW w:w="2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8"/>
          </w:tcPr>
          <w:p>
            <w:pPr>
              <w:ind w:left="560"/>
              <w:spacing w:after="0"/>
              <w:rPr>
                <w:sz w:val="20"/>
                <w:szCs w:val="20"/>
                <w:color w:val="auto"/>
              </w:rPr>
            </w:pPr>
            <w:r>
              <w:rPr>
                <w:rFonts w:ascii="Arial" w:cs="Arial" w:eastAsia="Arial" w:hAnsi="Arial"/>
                <w:sz w:val="13"/>
                <w:szCs w:val="13"/>
                <w:b w:val="1"/>
                <w:bCs w:val="1"/>
                <w:color w:val="auto"/>
              </w:rPr>
              <w:t>Three and Nine Months Ended September 30, 2018</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40"/>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4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Interest in Equity of</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Preferred</w:t>
            </w:r>
          </w:p>
        </w:tc>
        <w:tc>
          <w:tcPr>
            <w:tcW w:w="11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Additional Paid</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78"/>
        </w:trPr>
        <w:tc>
          <w:tcPr>
            <w:tcW w:w="2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In Capital</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8"/>
              </w:rPr>
              <w:t>Subsidiaries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4"/>
              </w:rPr>
              <w:t>Total Equity</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Equity -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985,009</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(38,699)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88,007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1,035,075</w:t>
            </w: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Net income (loss) for the period</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(16,049)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(15,782)</w:t>
            </w:r>
          </w:p>
        </w:tc>
      </w:tr>
      <w:tr>
        <w:trPr>
          <w:trHeight w:val="272"/>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Total comprehensive income (loss)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(16,049)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(15,782)</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non-controlling interest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7,225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(3,705)</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Issuance of common shares</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127,893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127,963</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(54,662)</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(54,662)</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Equity-based compensation</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437</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Equity - June 30, 2018</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1,065,474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(38,432)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61,456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1,089,326</w:t>
            </w:r>
          </w:p>
        </w:tc>
      </w:tr>
      <w:tr>
        <w:trPr>
          <w:trHeight w:val="262"/>
        </w:trPr>
        <w:tc>
          <w:tcPr>
            <w:tcW w:w="2740" w:type="dxa"/>
            <w:vAlign w:val="bottom"/>
          </w:tcPr>
          <w:p>
            <w:pPr>
              <w:ind w:left="180"/>
              <w:spacing w:after="0"/>
              <w:rPr>
                <w:sz w:val="20"/>
                <w:szCs w:val="20"/>
                <w:color w:val="auto"/>
              </w:rPr>
            </w:pPr>
            <w:r>
              <w:rPr>
                <w:rFonts w:ascii="Arial" w:cs="Arial" w:eastAsia="Arial" w:hAnsi="Arial"/>
                <w:sz w:val="13"/>
                <w:szCs w:val="13"/>
                <w:color w:val="auto"/>
              </w:rPr>
              <w:t>Net income (loss) for the period</w:t>
            </w:r>
          </w:p>
        </w:tc>
        <w:tc>
          <w:tcPr>
            <w:tcW w:w="1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4,578</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(3,855)</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723</w:t>
            </w:r>
          </w:p>
        </w:tc>
      </w:tr>
      <w:tr>
        <w:trPr>
          <w:trHeight w:val="272"/>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Total comprehensive income (loss)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4,578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723</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(27,961)</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(27,961)</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Equity-based compensation</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232</w:t>
            </w:r>
          </w:p>
        </w:tc>
      </w:tr>
      <w:tr>
        <w:trPr>
          <w:trHeight w:val="242"/>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Equity - September 30, 2018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1,037,513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(33,854)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57,833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1,062,320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352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26,673</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(15,059)</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1,527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598</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(61,416)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(5,253)</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Security deposits and maintenance claims included in earnings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(3,863)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(4,325)</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Equity-based compensation</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125,877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96,853</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current and deferred income taxes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Change in fair value of non-hedge derivative</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4,130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567</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lease intangibles and incentives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24,008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17,629</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Amortization of deferred financing costs</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5,995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4,164</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Bad debt expense</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3,139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1,586</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Other</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748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51</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790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(16,002)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(19,024)</w:t>
            </w:r>
          </w:p>
        </w:tc>
      </w:tr>
      <w:tr>
        <w:trPr>
          <w:trHeight w:val="276"/>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(15,128)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(10,891)</w:t>
            </w:r>
          </w:p>
        </w:tc>
      </w:tr>
      <w:tr>
        <w:trPr>
          <w:trHeight w:val="264"/>
        </w:trPr>
        <w:tc>
          <w:tcPr>
            <w:tcW w:w="7900" w:type="dxa"/>
            <w:vAlign w:val="bottom"/>
          </w:tcPr>
          <w:p>
            <w:pPr>
              <w:ind w:left="200"/>
              <w:spacing w:after="0"/>
              <w:rPr>
                <w:sz w:val="20"/>
                <w:szCs w:val="20"/>
                <w:color w:val="auto"/>
              </w:rPr>
            </w:pPr>
            <w:r>
              <w:rPr>
                <w:rFonts w:ascii="Arial" w:cs="Arial" w:eastAsia="Arial" w:hAnsi="Arial"/>
                <w:sz w:val="14"/>
                <w:szCs w:val="14"/>
                <w:color w:val="auto"/>
              </w:rPr>
              <w:t>Accounts payable and accrued liabilities</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2,101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15,198</w:t>
            </w:r>
          </w:p>
        </w:tc>
      </w:tr>
      <w:tr>
        <w:trPr>
          <w:trHeight w:val="276"/>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Management fees payable to affiliate</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w:t>
            </w:r>
          </w:p>
        </w:tc>
      </w:tr>
      <w:tr>
        <w:trPr>
          <w:trHeight w:val="264"/>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w:t>
            </w: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(13,735)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3,756</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10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92,713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86,415</w:t>
            </w:r>
          </w:p>
        </w:tc>
      </w:tr>
      <w:tr>
        <w:trPr>
          <w:trHeight w:val="283"/>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Investment in notes receivable</w:t>
            </w:r>
          </w:p>
        </w:tc>
        <w:tc>
          <w:tcPr>
            <w:tcW w:w="10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(912)</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Principal collections on finance leases</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13,094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658</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leasing equipment</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(287,508)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(330,492)</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Acquisition of property, plant and equipment</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(243,707)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(178,555)</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lease intangibles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(5,039)</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Purchase deposits for acquisitions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(45,852)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(17,350)</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leasing equipment</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166,290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30,409</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Proceeds from sale of property, plant and equipment</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78</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Return of capital distributions from unconsolidated entities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Return of purchase deposit for aircraft and aircraft engines</w:t>
            </w:r>
          </w:p>
        </w:tc>
        <w:tc>
          <w:tcPr>
            <w:tcW w:w="10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240</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Return of deposit on sale of engine</w:t>
            </w:r>
          </w:p>
        </w:tc>
        <w:tc>
          <w:tcPr>
            <w:tcW w:w="10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r>
      <w:tr>
        <w:trPr>
          <w:trHeight w:val="250"/>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(409,853)</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(501,606)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352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Proceeds from debt</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568,704</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615,239</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debt</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(218,934)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(181,856)</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Payment of deferred financing costs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(31,585)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(2,686)</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Receipt of security deposits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5,802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7,084</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Return of security deposits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(368)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(1,520)</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Receipt of maintenance deposits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49,356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41,808</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Release of maintenance deposits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(23,822)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(11,518)</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10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128,451</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Common shares issuance costs</w:t>
            </w:r>
          </w:p>
        </w:tc>
        <w:tc>
          <w:tcPr>
            <w:tcW w:w="10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(789)</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82,888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Purchase of non-controlling interest</w:t>
            </w:r>
          </w:p>
        </w:tc>
        <w:tc>
          <w:tcPr>
            <w:tcW w:w="10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(3,705)</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 common shares</w:t>
            </w:r>
          </w:p>
        </w:tc>
        <w:tc>
          <w:tcPr>
            <w:tcW w:w="10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(85,154)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(82,623)</w:t>
            </w:r>
          </w:p>
        </w:tc>
      </w:tr>
      <w:tr>
        <w:trPr>
          <w:trHeight w:val="283"/>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346,887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507,885</w:t>
            </w:r>
          </w:p>
        </w:tc>
      </w:tr>
      <w:tr>
        <w:trPr>
          <w:trHeight w:val="264"/>
        </w:trPr>
        <w:tc>
          <w:tcPr>
            <w:tcW w:w="79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Net increase in cash and cash equivalents and restricted cash</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29,747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92,694</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10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120,837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92,806</w:t>
            </w:r>
          </w:p>
        </w:tc>
      </w:tr>
      <w:tr>
        <w:trPr>
          <w:trHeight w:val="283"/>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150,584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185,500</w:t>
            </w:r>
          </w:p>
        </w:tc>
      </w:tr>
      <w:tr>
        <w:trPr>
          <w:trHeight w:val="264"/>
        </w:trPr>
        <w:tc>
          <w:tcPr>
            <w:tcW w:w="79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borrowings of debt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Acquisition of leasing equipment</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3,386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(16,873)</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property, plant and equipment</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(22,736)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(9,736)</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Settled and assumed security deposits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(1,007)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1,100</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Billed, assumed and settled maintenance deposits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12,471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(6,758)</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Deferred financing costs</w:t>
            </w:r>
          </w:p>
        </w:tc>
        <w:tc>
          <w:tcPr>
            <w:tcW w:w="10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(4,500)</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non-controlling interest</w:t>
            </w:r>
          </w:p>
        </w:tc>
        <w:tc>
          <w:tcPr>
            <w:tcW w:w="10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7,225</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Change in fair value of cash flow hedge</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25,474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00497F"/>
        </w:rPr>
      </w:pPr>
      <w:r>
        <w:rPr>
          <w:rFonts w:ascii="Arial" w:cs="Arial" w:eastAsia="Arial" w:hAnsi="Arial"/>
          <w:sz w:val="22"/>
          <w:szCs w:val="22"/>
          <w:b w:val="1"/>
          <w:bCs w:val="1"/>
          <w:color w:val="00497F"/>
        </w:rPr>
        <w:t>ORGANIZATION</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Fortress Transportation and Infrastructure Investors LLC (the “Company,” “we,” “our” or “us”) is a Delaware limited liability company which, through its subsidiary, Fortress Worldwide Transportation and Infrastructure General Partnership (the “Partnership”), owns and leases aviation equipment and also owns and operates a short line railroad in North America, Central Maine and Québec Railway (“CMQR”), a multi-modal crude oil and refined products terminal in Beaumont, Texas (“Jefferson Terminal”), a deep-water port located along the Delaware River with an underground storage cavern and multiple industrial development opportunities (“Repauno”), and a multi-modal terminal located along the Ohio River with multiple industrial development opportunities, including a power plant under construction (“Long Ridge”). Additionally, we own and lease offshore energy equipment and shipping containers. We have four reportable segments, (i) Aviation Leasing, (ii) Jefferson Terminal, (iii) Railroad, and (iv) Ports and Terminals, which operate in two primary businesses, Equipment Leasing and Infrastructure (Note 16).</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2. SUMMARY OF SIGNIFICANT ACCOUNTING POLICIES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 xml:space="preserve">Risks and Uncertainties </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and freight rail revenue are denominated in U.S. dollars.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JGP Energy Partners LLC</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the quarter ended September 30, 2016, we initiated activities in our 50% owned joint venture, JGP Energy Partners LLC (“JGP”). The other 50% member to the joint venture is a third party ethanol producer. The purpose of the venture is to build storage capacity with capabilities to receive and/or distribute ethanol via water, rail or truck. Each member contributed up to $27 million (for a total of $54 million) for the development and construction of the ethanol terminal facilities. JGP is governed by a designated operating committee selected by the members in proportion to their equity interests. JGP is solely reliant on its members to finance its activities and therefore is a VIE. We concluded that we are not the primary beneficiary of JGP as the members share equally in the risks and rewards and decision making authority of the entity; therefore, we do not consolidate JGP and account for this investment in accordance with the equity method. Refer to Note 6 for details.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Delaware River Partners LLC</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July 1, 2016, we, through Delaware River Partners LLC (“DRP”), a consolidated subsidiary,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an approximately 98% economic interest, which includes the additional 8% economic interest we purchased from non-controlling interest holders in DRP for $4.5 million in April 2019, and a 100% voting interest in DRP. DRP is solely reliant on us to finance its activities and therefore is a VIE. We concluded that we were the primary beneficiary; and accordingly, DRP has been presented on a consolidated basis in the accompanying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Ohio River Partners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June 16, 2017, we, through Ohio River Partners Shareholder LLC (“ORP”), a consolidated subsidiary, purchased the assets of Long Ridge which consisted primarily of land, buildings, railroad track, docks, water rights, site improvements and other rights. We purchased 100% of the interests in these assets. ORP is solely reliant on us to finance its activities and therefore is a VIE. We concluded that we were the primary beneficiary; accordingly, ORP has been presented on a consolidated basis in the accompanying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 equivalents.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consists of prepaid interest and principal pursuant to the requirements of certain of our debt agreements (see Note 8),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funds set aside for the power plant construction at Long Ridge (see Note 5) and other qualifying construction projects at Jefferson Terminal.</w:t>
      </w:r>
    </w:p>
    <w:p>
      <w:pPr>
        <w:spacing w:after="0" w:line="4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Commodities inventory is carried at the lower of cost or net realizable value on our balance sheet. Commodities are removed from inventory based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on the average cost at the time of sale. As of September 30, 2019 and December 31, 2018, we had commodities inventory of $16.6 million and $10.4 million, respectively, which is included in Other assets in the Consolidated Balance Sheets.</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 term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underlying loans. Unamortized deferred financing costs of $21.2 million and $14.5 million as of September 30, 2019 and December 31, 2018, respectively, are recorded as a component of debt in the Consolidated Balance Sheets.</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$19.1 million and $1.5 million as of September 30, 2019 and December 31, 2018, respectively, which are included in Other assets in the Consolidated Balance Sheets.</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Amortization expense was $2.0 million and $1.7 million for the three months ended September 30, 2019 and 2018, respectively, and $6.0 million and $4.2 million for the nine months ended September 30, 2019 and 2018, respectively, and is included in interest expense in the Consolidated Statements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lease term, a bargain purchase option, or provides for minimum lease payments with a present value that equals or exceeds substantially all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Rail Revenues</w:t>
      </w:r>
      <w:r>
        <w:rPr>
          <w:rFonts w:ascii="Arial" w:cs="Arial" w:eastAsia="Arial" w:hAnsi="Arial"/>
          <w:sz w:val="16"/>
          <w:szCs w:val="16"/>
          <w:color w:val="000000"/>
        </w:rPr>
        <w:t>—Rail revenues generally consist of the following performance obligations: freight movement, demurrage, unloading and switching. Freight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movement revenues are recognized proportionally based on distance as freight is transported from origin to destination. Accordingly, freight movement revenue is recognized over time with progress measured based on distance transpired, i.e., as the services are rendered and the customer simultaneously receives and consumes the benefit over time. Demurrage, unloading and switching are recognized in other miscellaneous rail revenues, for which demurrage progress is measured over time, and unloading and switching revenues are measured at a point in time as the service is rendered.</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over time, i.e., as the services are rendered and the customer simultaneously receives and consumes the benefit over time.</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w:t>
      </w:r>
      <w:r>
        <w:rPr>
          <w:rFonts w:ascii="Arial" w:cs="Arial" w:eastAsia="Arial" w:hAnsi="Arial"/>
          <w:sz w:val="16"/>
          <w:szCs w:val="16"/>
          <w:color w:val="000000"/>
          <w:strike w:val="1"/>
        </w:rPr>
        <w: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relevant lease agreement.</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Crude Marketing Revenues</w:t>
      </w:r>
      <w:r>
        <w:rPr>
          <w:rFonts w:ascii="Arial" w:cs="Arial" w:eastAsia="Arial" w:hAnsi="Arial"/>
          <w:sz w:val="16"/>
          <w:szCs w:val="16"/>
          <w:color w:val="000000"/>
        </w:rPr>
        <w:t>—Crude marketing revenues consists of marketing revenue related to Canadian crude oil. The revenues are recognized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time, i.e., as the services are rendered and the customer simultaneously receives and consumes the benefit over time.</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Other revenue consists of two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performance obligations: handling and storage of raw materials. The revenues are recognized over time, i.e., as the services are rendered and the customer simultaneously receives and consumes the benefit over time.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 arrangements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During the three months ended September 30, 2019 and 2018 and the nine months ended September 30, 2019, one customer in the Jefferson Terminal segment accounted for approximately 17%, 15% and 19% of total revenue, respectively. There were no customers with a revenue concentration over 10% of total revenue during the nine months ended September 30, 2018.</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September 30, 2019, accounts receivable from one customer in the Jefferson Terminal segment represented 12% of total accounts receivable, net. As of December 31, 2018, accounts receivable from two customers in the Jefferson Terminal segment each represented 17% and 15% of total accounts receivable, net.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00497F"/>
        </w:rPr>
        <w:t>Provision for Doubtful Accounts</w:t>
      </w:r>
      <w:r>
        <w:rPr>
          <w:rFonts w:ascii="Arial" w:cs="Arial" w:eastAsia="Arial" w:hAnsi="Arial"/>
          <w:sz w:val="16"/>
          <w:szCs w:val="16"/>
          <w:color w:val="00497F"/>
        </w:rPr>
        <w:t>—</w:t>
      </w:r>
      <w:r>
        <w:rPr>
          <w:rFonts w:ascii="Arial" w:cs="Arial" w:eastAsia="Arial" w:hAnsi="Arial"/>
          <w:sz w:val="16"/>
          <w:szCs w:val="16"/>
          <w:color w:val="000000"/>
        </w:rPr>
        <w:t>We determine the provision for doubtful accounts based on our assessment of the collectability of our receivables on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customer-by-customer basis. The provision for doubtful accounts at September 30, 2019 and December 31, 2018 was $1.2 million and $1.1 million, respectively. Bad debt expense was $0.1 million and $0.1 million for the three months ended September 30, 2019 and 2018, respectively, and $3.1 million and $1.6 million for the nine months ended September 30, 2019 and 2018, respectively, and is included in operating expenses in the Consolidated Statements of Operations.</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 transactions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events and circumstances, excluding those resulting from investments by and distributions to owners. Our comprehensive income (loss) represents net income (loss), as presented in the Consolidated Statements of Operations, adjusted for fair value changes related to derivatives accounted for as cash flow hedges.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Electricity Derivatives—</w:t>
      </w:r>
      <w:r>
        <w:rPr>
          <w:rFonts w:ascii="Arial" w:cs="Arial" w:eastAsia="Arial" w:hAnsi="Arial"/>
          <w:sz w:val="16"/>
          <w:szCs w:val="16"/>
          <w:color w:val="000000"/>
        </w:rPr>
        <w:t>We enter into derivative contracts as part of a risk management program to mitigate price risk associated with certain electricity price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exposures. We primarily use swap derivative contracts, which are agreements to buy or sell a quantity of electricity at a predetermined future date and at a predetermined price.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Certain of these derivative instruments are designated and qualify as cash flow hedges. The derivative's gain or loss is reported as a component of Other comprehensive income (loss) and recorded in Accumulated other comprehensive income in our Consolidated Balance Sheets. The gain or loss is subsequently reclassified into the income statement line item that is impacted by the forecasted transaction when the forecasted transaction affects net earnings.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The change in fair value of these contracts is recognized in Other income (expense) in the Consolidated Statements of Operations. The cash flow impact of derivative contracts that are not designated as hedging instruments is recognized in Change in fair value of non-hedge derivatives in our Consolidated Statements of Cash Flows.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Commodity Derivatives—</w:t>
      </w:r>
      <w:r>
        <w:rPr>
          <w:rFonts w:ascii="Arial" w:cs="Arial" w:eastAsia="Arial" w:hAnsi="Arial"/>
          <w:sz w:val="16"/>
          <w:szCs w:val="16"/>
          <w:color w:val="000000"/>
        </w:rPr>
        <w:t>We also enter into short-term and long-term crude forward contracts. Gains and losses related to our crude sales and purchase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derivatives are recorded on a gross basis and are included in Crude marketing revenues and Operating expenses, respectively, in our Consolidated Statements of Operations. See Note 10 for additional details. The cash flow impact of these derivatives is recognized in Change in fair value of non-hedge derivatives in our Consolidated Statements of Cash Flows.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of our outstanding derivatives are not used for speculative purposes. We record all derivative assets and liabilities on a gross basis at fair value and are included in Other assets and Other liabilities, respectively, in our Consolidated Balance Sheets.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commodities inventory of $16.6 million and $10.4 million, purchase deposits for acquisitions of $31.3</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and $10.2 million, lease incentives of $52.4 million and $51.0 million, deferred revolver fees, net of amortization of $19.1 million and $1.5 million, prepaid expenses of $14.3 million and $8.2 million, derivative assets of $31.9 million and $7.5 million and notes receivable of $18.8 million and $0.0 million as of September 30, 2019 and December 31, 2018, respectively.</w:t>
      </w:r>
    </w:p>
    <w:p>
      <w:pPr>
        <w:spacing w:after="0" w:line="7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and nine months ended September 30, 2019 and 2018,</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Board of Directors declared a cash dividend of $0.33 and $0.99 per common share, respectively,</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February 2016, the FASB issued Accounting Standards Update (“ASU”) 2016-02,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subsequently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issued ASU 2018-01, ASU 2018-10, ASU 2018-11, ASU 2018-20 and ASU 2019-01, collectively, “ASU 2016-02”). ASU 2016-02 amends the existing accounting standards for lease accounting, including requiring lessees to recognize most leases on their balance sheets and making targeted changes to lessor accounting.</w:t>
      </w:r>
    </w:p>
    <w:p>
      <w:pPr>
        <w:spacing w:after="0" w:line="2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January 1, 2019, we adopted ASU 2016-02 using the modified retrospective approach. We utilized the effective date transition method and accordingly are not required to adjust our comparative period financial information for effects of ASU 2016-02. We have elected to adopt the ‘package of practical expedients’ which permits us not to reassess under the new standard our prior conclusions about lease identification (including land easements), lease classification and initial direct costs.</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adoption of ASU 2016-02 resulted in the recognition of ROU assets and lease liabilities of approximately $46 million in our Consolidated Balance Sheets as of January 1, 2019.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Targeted Improvements to Accounting for Hedging Activities</w:t>
      </w:r>
      <w:r>
        <w:rPr>
          <w:rFonts w:ascii="Arial" w:cs="Arial" w:eastAsia="Arial" w:hAnsi="Arial"/>
          <w:sz w:val="16"/>
          <w:szCs w:val="16"/>
          <w:color w:val="auto"/>
        </w:rPr>
        <w:t>, which improves the financial reporting of hedging relationships to better represent the economic results of an entity’s risk management activities in its financial statements and make certain improvements to simplify the application of the hedge accounting guidance. The amendments will make more financial and nonfinancial hedging strategies eligible for hedge accounting, amend the presentation and disclosure requirements and change how entities assess effectiveness. Entities are required to apply the amendments as a cumulative-effect adjustment to retained earnings as of the beginning of the first reporting period after adoption. On January 1, 2019, we adopted this standard and it did not have an impact on our consolidated financial statements as we did not have any hedging relationships prior to adoption.</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to simplify the accounting for share-based payments to nonemployees by aligning it with the accounting for share-based payments to employees, with certain exceptions. The new guidance expands the scope of Accounting Standards Codification (“ASC”) 718 to include share-based payments granted to nonemployees in exchange for goods or services used or consumed in an entity’s own operations and supersedes the guidance in ASC 505-50. On January 1, 2019, we adopted this standard and it did not have an impact on our consolidated financial statements.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January 2017, the FASB issued ASU 2017-04,</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Intangibles—Goodwill and Other (Topic 350): Simplifying the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 xml:space="preserve">Test for Goodwill Impairment (“ASU 2017-04”). </w:t>
      </w:r>
      <w:r>
        <w:rPr>
          <w:rFonts w:ascii="Arial" w:cs="Arial" w:eastAsia="Arial" w:hAnsi="Arial"/>
          <w:sz w:val="16"/>
          <w:szCs w:val="16"/>
          <w:color w:val="000000"/>
        </w:rPr>
        <w:t>ASU 2017-04 addresses concerns over the cost and complexity of the two-step goodwill impairment test by</w:t>
      </w:r>
      <w:r>
        <w:rPr>
          <w:rFonts w:ascii="Arial" w:cs="Arial" w:eastAsia="Arial" w:hAnsi="Arial"/>
          <w:sz w:val="16"/>
          <w:szCs w:val="16"/>
          <w:i w:val="1"/>
          <w:iCs w:val="1"/>
          <w:color w:val="000000"/>
        </w:rPr>
        <w:t xml:space="preserve"> </w:t>
      </w:r>
      <w:r>
        <w:rPr>
          <w:rFonts w:ascii="Arial" w:cs="Arial" w:eastAsia="Arial" w:hAnsi="Arial"/>
          <w:sz w:val="16"/>
          <w:szCs w:val="16"/>
          <w:color w:val="000000"/>
        </w:rPr>
        <w:t>removing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We are currently evaluating the impact of adopting this new guidance on our consolidated financial statements.</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This ASU eliminates, adds and modifies certain disclosure requirements for fair value measurements as part of its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project. The guidance is effective for all entities in fiscal years beginning after December 15, 2019, and interim periods within those fiscal years, and early adoption is permitted. We are currently evaluating the impact of adopting this new guidance on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3. LEASING EQUIPMENT, NET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2019</w:t>
            </w:r>
          </w:p>
        </w:tc>
        <w:tc>
          <w:tcPr>
            <w:tcW w:w="240" w:type="dxa"/>
            <w:vAlign w:val="bottom"/>
          </w:tcPr>
          <w:p>
            <w:pPr>
              <w:spacing w:after="0"/>
              <w:rPr>
                <w:sz w:val="17"/>
                <w:szCs w:val="17"/>
                <w:color w:val="auto"/>
              </w:rPr>
            </w:pPr>
          </w:p>
        </w:tc>
        <w:tc>
          <w:tcPr>
            <w:tcW w:w="180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Leasing equipment</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1,787,431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1,672,156</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(288,752)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(239,946)</w:t>
            </w: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Leasing equipment, net</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1,498,679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1,432,210</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nine months ended September 30, 2019, we acquired 14 aircraft and 24 commercial engines, sold five aircraft and 37 commercial engines, and recognized a net gain on sale of approximately $61.4 million.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1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expense for leasing equipment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36,034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28,249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103,080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78,719</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4. FINANCE LEASES, NET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net are summarized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2019</w:t>
            </w:r>
          </w:p>
        </w:tc>
        <w:tc>
          <w:tcPr>
            <w:tcW w:w="240" w:type="dxa"/>
            <w:vAlign w:val="bottom"/>
          </w:tcPr>
          <w:p>
            <w:pPr>
              <w:spacing w:after="0"/>
              <w:rPr>
                <w:sz w:val="16"/>
                <w:szCs w:val="16"/>
                <w:color w:val="auto"/>
              </w:rPr>
            </w:pPr>
          </w:p>
        </w:tc>
        <w:tc>
          <w:tcPr>
            <w:tcW w:w="180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 2018</w:t>
            </w:r>
          </w:p>
        </w:tc>
      </w:tr>
      <w:tr>
        <w:trPr>
          <w:trHeight w:val="39"/>
        </w:trPr>
        <w:tc>
          <w:tcPr>
            <w:tcW w:w="7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5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13,138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28,476</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Unearned revenue</w:t>
            </w:r>
          </w:p>
        </w:tc>
        <w:tc>
          <w:tcPr>
            <w:tcW w:w="2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(9,853)</w:t>
            </w: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Finance leases, net</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18,623</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the nine months ended September 30, 2019, we completed the sales-type leases for three of our airframes. Additionally, we received insurance proceeds for one of our vessels which was on nonaccrual status due to a casualty event. The insurance proceeds were in excess of the book value of the finance lease, which was written down to zero, and we recognized a gain of approximately $1.0 million which is included in Other income in the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5. PROPERTY, PLANT AND EQUIPMENT, NET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7"/>
                <w:szCs w:val="17"/>
                <w:color w:val="auto"/>
              </w:rPr>
            </w:pPr>
          </w:p>
        </w:tc>
        <w:tc>
          <w:tcPr>
            <w:tcW w:w="16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Land, site improvements and rights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74,660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75,028</w:t>
            </w:r>
          </w:p>
        </w:tc>
      </w:tr>
      <w:tr>
        <w:trPr>
          <w:trHeight w:val="270"/>
        </w:trPr>
        <w:tc>
          <w:tcPr>
            <w:tcW w:w="7660" w:type="dxa"/>
            <w:vAlign w:val="bottom"/>
          </w:tcPr>
          <w:p>
            <w:pPr>
              <w:ind w:left="40"/>
              <w:spacing w:after="0"/>
              <w:rPr>
                <w:sz w:val="20"/>
                <w:szCs w:val="20"/>
                <w:color w:val="auto"/>
              </w:rPr>
            </w:pPr>
            <w:r>
              <w:rPr>
                <w:rFonts w:ascii="Arial" w:cs="Arial" w:eastAsia="Arial" w:hAnsi="Arial"/>
                <w:sz w:val="14"/>
                <w:szCs w:val="14"/>
                <w:color w:val="auto"/>
              </w:rPr>
              <w:t xml:space="preserve">Construction in progress </w:t>
            </w:r>
            <w:r>
              <w:rPr>
                <w:rFonts w:ascii="Arial" w:cs="Arial" w:eastAsia="Arial" w:hAnsi="Arial"/>
                <w:sz w:val="17"/>
                <w:szCs w:val="17"/>
                <w:color w:val="auto"/>
                <w:vertAlign w:val="superscript"/>
              </w:rPr>
              <w:t>(1)</w:t>
            </w:r>
          </w:p>
        </w:tc>
        <w:tc>
          <w:tcPr>
            <w:tcW w:w="180" w:type="dxa"/>
            <w:vAlign w:val="bottom"/>
          </w:tcPr>
          <w:p>
            <w:pPr>
              <w:spacing w:after="0"/>
              <w:rPr>
                <w:sz w:val="23"/>
                <w:szCs w:val="23"/>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412,829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253,239</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Buildings and improvements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15,626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14,514</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Terminal machinery and equipment</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426,165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349,227</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Proved oil and gas properties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37,451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20,099</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Track and track related assets</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42,833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42,349</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Railroad equipment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5,383</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Railcars and locomotives</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4,682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4,513</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Computer hardware and software</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3,806</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805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572</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Vehicles</w:t>
            </w: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2,173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1,636</w:t>
            </w:r>
          </w:p>
        </w:tc>
      </w:tr>
      <w:tr>
        <w:trPr>
          <w:trHeight w:val="250"/>
        </w:trPr>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1,026,691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770,366</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depreciation</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(83,158)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(63,032)</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Spare parts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1,519</w:t>
            </w:r>
          </w:p>
        </w:tc>
      </w:tr>
      <w:tr>
        <w:trPr>
          <w:trHeight w:val="24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945,052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708,853</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4"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Includes unproved oil and gas properties of $58,359 and $59,930 as of September 30, 2019 and December 31, 2018, respectively.</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nine months ended September 30, 2019, we added property, plant and equipment of $256.3 million, which primarily consists of terminal machinery and equipment placed in service or under development at Jefferson Terminal and Repauno, and assets under development at Jefferson Terminal and Long Ridge, including a power plant under construction.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expense for property, plant and equipment</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6,822</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5,273</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20,117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15,435</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Construction of Power Plant at Long Ridge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Construction Agreements</w:t>
      </w:r>
    </w:p>
    <w:p>
      <w:pPr>
        <w:spacing w:after="0" w:line="12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 February 15, 2019, our subsidiary, Long Ridge Energy Generation LLC (“LREG”), entered into an engineering, procurement and construction agreement (the “EPC Agreement”) with Kiewit Power Constructors Co. to construct a 485 megawatt natural gas fired, combined cycle power plant at Long Ridge Energy Terminal.</w:t>
      </w:r>
    </w:p>
    <w:p>
      <w:pPr>
        <w:sectPr>
          <w:pgSz w:w="11900" w:h="16838" w:orient="portrait"/>
          <w:cols w:equalWidth="0" w:num="1">
            <w:col w:w="11420"/>
          </w:cols>
          <w:pgMar w:left="240" w:top="121"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on February 15, 2019, LREG entered into an agreement for the purchase of power generation equipment and related services (the “PIE Agreement”) with General Electric Company (“GE”) to acquire equipment and related services to be utilized at the power plant, including one combustion turbine, one condensing steam turbine, one hydrogen-cooled generator, one heat-recovery steam generator and related items.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aggregate value of the EPC Agreement and the PIE Agreement is approximately $430 million.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Credit Agreements</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February 15, 2019, LREG and two other subsidiaries (collectively, "Co-Borrowers") entered into certain credit agreements establishing (i) a $445 million construction loan and term loan, (ii) a $154 million letter of credit facility and (iii) a $143 million construction loan and term loan, all of which will be used for the purposes of funding the development, construction and completion of the power plant. The interest costs incurred under these credit agreements for qualifying expenditures under construction are capitalized and included in the cost of the asset. Interest capitalization ceases once the asset is substantially complete or no longer undergoing activities to prepare it for its intended use.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See Note 8 for additional information related to the credit agreements.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Fixed Price Power Agreements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construction of the power plant, LREG entered into fixed price power agreements for 457 megawatts of electric power. The agreements become effective on February 1, 2022, with 207 megawatts having a term of ten years and 250 megawatts having a term of seven years. Under the terms of the agreements, which are accounted for as derivatives, LREG receives a weighted average fixed price of $27.30 per megawatt hour and pays a variable price equal to the ELECTRICITY-PJM-AEP/DAYTON HUB-DAY AHEAD price. See Note 10 for additional information related to the fixed price power agreements.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6.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Carrying Value</w:t>
            </w:r>
          </w:p>
        </w:tc>
      </w:tr>
      <w:tr>
        <w:trPr>
          <w:trHeight w:val="264"/>
        </w:trPr>
        <w:tc>
          <w:tcPr>
            <w:tcW w:w="3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Advanced Engine Repair JV</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25,153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12,981</w:t>
            </w:r>
          </w:p>
        </w:tc>
      </w:tr>
      <w:tr>
        <w:trPr>
          <w:trHeight w:val="264"/>
        </w:trPr>
        <w:tc>
          <w:tcPr>
            <w:tcW w:w="3100" w:type="dxa"/>
            <w:vAlign w:val="bottom"/>
          </w:tcPr>
          <w:p>
            <w:pPr>
              <w:ind w:left="40"/>
              <w:spacing w:after="0"/>
              <w:rPr>
                <w:sz w:val="20"/>
                <w:szCs w:val="20"/>
                <w:color w:val="auto"/>
              </w:rPr>
            </w:pPr>
            <w:r>
              <w:rPr>
                <w:rFonts w:ascii="Arial" w:cs="Arial" w:eastAsia="Arial" w:hAnsi="Arial"/>
                <w:sz w:val="14"/>
                <w:szCs w:val="14"/>
                <w:color w:val="auto"/>
              </w:rPr>
              <w:t>JGP Energy Partners LLC</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8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25,171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25,461</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Intermodal Finance I, Ltd.</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785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2,118</w:t>
            </w:r>
          </w:p>
        </w:tc>
      </w:tr>
      <w:tr>
        <w:trPr>
          <w:trHeight w:val="243"/>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Investments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51,109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40,560</w:t>
            </w:r>
          </w:p>
        </w:tc>
      </w:tr>
      <w:tr>
        <w:trPr>
          <w:trHeight w:val="20"/>
        </w:trPr>
        <w:tc>
          <w:tcPr>
            <w:tcW w:w="3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three and nine months ended September 30, 2019 and 2018.</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income (losses):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Advanced Engine Repair JV</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(885)</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JGP Energy Partners LLC</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(290)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Intermodal Finance I, Ltd.</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73</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(974)</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w:t>
            </w:r>
          </w:p>
        </w:tc>
      </w:tr>
      <w:tr>
        <w:trPr>
          <w:trHeight w:val="20"/>
        </w:trPr>
        <w:tc>
          <w:tcPr>
            <w:tcW w:w="4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2016, we invested $15 million for 25% interest in an advanced engine repair joint venture. We focus on developing new costs savings programs for engine repairs. We exercise significant influence over this investment and account for this investment as an equity method investment.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During August 2019, we expanded the scope of our joint venture and invested an additional $13.5 million and maintained a 25% interest.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JGP</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2016, we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We concluded that we are not the primary beneficiary of JGP as the members share equally in the risks and rewards and decision making authority of the entity; therefore, we do not consolidate JGP and instead account for this investment in accordance with the equity method.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Intermodal Finance I, Ltd.</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2012, we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we do not have unilateral rights over this investment; therefore, we do not consolidate Intermodal but account for this investment in accordance with the equity method. We do not have a variable interest in this investment as none of the criteria of ASC 810-10-15-14 were met.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Intermodal owns a portfolio of approximately 4,000 shipping containers subject to multiple operating leases.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7. INTANGIBLE ASSETS AND LIABILITIES, NET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September 30, 2019</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22"/>
                <w:szCs w:val="22"/>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49,533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49,533</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(36,821)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(36,821)</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12,712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12,712</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35,513</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35,738</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(18,043)</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(18,268)</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17,470</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17,470</w:t>
            </w:r>
          </w:p>
        </w:tc>
      </w:tr>
      <w:tr>
        <w:trPr>
          <w:trHeight w:val="28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12,712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17,470</w:t>
            </w:r>
          </w:p>
        </w:tc>
        <w:tc>
          <w:tcPr>
            <w:tcW w:w="120" w:type="dxa"/>
            <w:vAlign w:val="bottom"/>
          </w:tcPr>
          <w:p>
            <w:pPr>
              <w:spacing w:after="0"/>
              <w:rPr>
                <w:sz w:val="24"/>
                <w:szCs w:val="24"/>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30,182</w:t>
            </w:r>
          </w:p>
        </w:tc>
      </w:tr>
      <w:tr>
        <w:trPr>
          <w:trHeight w:val="278"/>
        </w:trPr>
        <w:tc>
          <w:tcPr>
            <w:tcW w:w="51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4,235</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(2,627)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(2,627)</w:t>
            </w: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December 31, 2018</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22"/>
                <w:szCs w:val="22"/>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48,143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48,143</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(29,780)</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(29,780)</w:t>
            </w: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18,363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18,363</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35,513</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35,738</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(15,378)</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20,135</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20,150</w:t>
            </w: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18,363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20,135</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38,513</w:t>
            </w:r>
          </w:p>
        </w:tc>
      </w:tr>
      <w:tr>
        <w:trPr>
          <w:trHeight w:val="278"/>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3,736</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(2,114)</w:t>
            </w: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20" w:type="dxa"/>
            <w:vAlign w:val="bottom"/>
          </w:tcPr>
          <w:p>
            <w:pPr>
              <w:spacing w:after="0"/>
              <w:rPr>
                <w:sz w:val="17"/>
                <w:szCs w:val="17"/>
                <w:color w:val="auto"/>
              </w:rPr>
            </w:pPr>
          </w:p>
        </w:tc>
        <w:tc>
          <w:tcPr>
            <w:tcW w:w="2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Classification in Consolidated</w:t>
            </w:r>
          </w:p>
        </w:tc>
        <w:tc>
          <w:tcPr>
            <w:tcW w:w="300" w:type="dxa"/>
            <w:vAlign w:val="bottom"/>
          </w:tcPr>
          <w:p>
            <w:pPr>
              <w:spacing w:after="0"/>
              <w:rPr>
                <w:sz w:val="17"/>
                <w:szCs w:val="17"/>
                <w:color w:val="auto"/>
              </w:rPr>
            </w:pPr>
          </w:p>
        </w:tc>
        <w:tc>
          <w:tcPr>
            <w:tcW w:w="31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29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67"/>
        </w:trPr>
        <w:tc>
          <w:tcPr>
            <w:tcW w:w="1720" w:type="dxa"/>
            <w:vAlign w:val="bottom"/>
          </w:tcPr>
          <w:p>
            <w:pPr>
              <w:spacing w:after="0"/>
              <w:rPr>
                <w:sz w:val="5"/>
                <w:szCs w:val="5"/>
                <w:color w:val="auto"/>
              </w:rPr>
            </w:pPr>
          </w:p>
        </w:tc>
        <w:tc>
          <w:tcPr>
            <w:tcW w:w="298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3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tcPr>
          <w:p>
            <w:pPr>
              <w:spacing w:after="0"/>
              <w:rPr>
                <w:sz w:val="17"/>
                <w:szCs w:val="17"/>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intangibles</w:t>
            </w:r>
          </w:p>
        </w:tc>
        <w:tc>
          <w:tcPr>
            <w:tcW w:w="2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leasing revenues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1,072</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6,143</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Customer relationships</w:t>
            </w:r>
          </w:p>
        </w:tc>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888</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2,680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2,699</w:t>
            </w:r>
          </w:p>
        </w:tc>
        <w:tc>
          <w:tcPr>
            <w:tcW w:w="0" w:type="dxa"/>
            <w:vAlign w:val="bottom"/>
          </w:tcPr>
          <w:p>
            <w:pPr>
              <w:spacing w:after="0"/>
              <w:rPr>
                <w:sz w:val="1"/>
                <w:szCs w:val="1"/>
                <w:color w:val="auto"/>
              </w:rPr>
            </w:pPr>
          </w:p>
        </w:tc>
      </w:tr>
      <w:tr>
        <w:trPr>
          <w:trHeight w:val="243"/>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1,960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estimated net annual amortization of intangibles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Remainder of 2019</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3,242</w:t>
            </w:r>
          </w:p>
        </w:tc>
      </w:tr>
      <w:tr>
        <w:trPr>
          <w:trHeight w:val="210"/>
        </w:trPr>
        <w:tc>
          <w:tcPr>
            <w:tcW w:w="9600" w:type="dxa"/>
            <w:vAlign w:val="bottom"/>
          </w:tcPr>
          <w:p>
            <w:pPr>
              <w:ind w:left="40"/>
              <w:spacing w:after="0"/>
              <w:rPr>
                <w:sz w:val="20"/>
                <w:szCs w:val="20"/>
                <w:color w:val="auto"/>
              </w:rPr>
            </w:pPr>
            <w:r>
              <w:rPr>
                <w:rFonts w:ascii="Arial" w:cs="Arial" w:eastAsia="Arial" w:hAnsi="Arial"/>
                <w:sz w:val="14"/>
                <w:szCs w:val="14"/>
                <w:color w:val="auto"/>
              </w:rPr>
              <w:t>2020</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7,725</w:t>
            </w:r>
          </w:p>
        </w:tc>
      </w:tr>
      <w:tr>
        <w:trPr>
          <w:trHeight w:val="222"/>
        </w:trPr>
        <w:tc>
          <w:tcPr>
            <w:tcW w:w="9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6,745</w:t>
            </w:r>
          </w:p>
        </w:tc>
      </w:tr>
      <w:tr>
        <w:trPr>
          <w:trHeight w:val="210"/>
        </w:trPr>
        <w:tc>
          <w:tcPr>
            <w:tcW w:w="9600" w:type="dxa"/>
            <w:vAlign w:val="bottom"/>
          </w:tcPr>
          <w:p>
            <w:pPr>
              <w:ind w:left="40"/>
              <w:spacing w:after="0"/>
              <w:rPr>
                <w:sz w:val="20"/>
                <w:szCs w:val="20"/>
                <w:color w:val="auto"/>
              </w:rPr>
            </w:pPr>
            <w:r>
              <w:rPr>
                <w:rFonts w:ascii="Arial" w:cs="Arial" w:eastAsia="Arial" w:hAnsi="Arial"/>
                <w:sz w:val="14"/>
                <w:szCs w:val="14"/>
                <w:color w:val="auto"/>
              </w:rPr>
              <w:t>2022</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4,764</w:t>
            </w:r>
          </w:p>
        </w:tc>
      </w:tr>
      <w:tr>
        <w:trPr>
          <w:trHeight w:val="222"/>
        </w:trPr>
        <w:tc>
          <w:tcPr>
            <w:tcW w:w="9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3,720</w:t>
            </w:r>
          </w:p>
        </w:tc>
      </w:tr>
      <w:tr>
        <w:trPr>
          <w:trHeight w:val="210"/>
        </w:trPr>
        <w:tc>
          <w:tcPr>
            <w:tcW w:w="9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2,378</w:t>
            </w:r>
          </w:p>
        </w:tc>
      </w:tr>
      <w:tr>
        <w:trPr>
          <w:trHeight w:val="21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28,574</w:t>
            </w:r>
          </w:p>
        </w:tc>
      </w:tr>
      <w:tr>
        <w:trPr>
          <w:trHeight w:val="20"/>
        </w:trPr>
        <w:tc>
          <w:tcPr>
            <w:tcW w:w="9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6" w:lineRule="exact"/>
        <w:rPr>
          <w:sz w:val="20"/>
          <w:szCs w:val="20"/>
          <w:color w:val="auto"/>
        </w:rPr>
      </w:pPr>
    </w:p>
    <w:p>
      <w:pPr>
        <w:ind w:left="480" w:hanging="472"/>
        <w:spacing w:after="0"/>
        <w:tabs>
          <w:tab w:leader="none" w:pos="480" w:val="left"/>
        </w:tabs>
        <w:numPr>
          <w:ilvl w:val="0"/>
          <w:numId w:val="5"/>
        </w:numPr>
        <w:rPr>
          <w:rFonts w:ascii="Arial" w:cs="Arial" w:eastAsia="Arial" w:hAnsi="Arial"/>
          <w:sz w:val="22"/>
          <w:szCs w:val="22"/>
          <w:b w:val="1"/>
          <w:bCs w:val="1"/>
          <w:color w:val="00497F"/>
        </w:rPr>
      </w:pPr>
      <w:r>
        <w:rPr>
          <w:rFonts w:ascii="Arial" w:cs="Arial" w:eastAsia="Arial" w:hAnsi="Arial"/>
          <w:sz w:val="22"/>
          <w:szCs w:val="22"/>
          <w:b w:val="1"/>
          <w:bCs w:val="1"/>
          <w:color w:val="00497F"/>
        </w:rPr>
        <w:t>DEBT, NET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September 30, 2019</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28"/>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Borrowings</w:t>
            </w:r>
          </w:p>
        </w:tc>
        <w:tc>
          <w:tcPr>
            <w:tcW w:w="120" w:type="dxa"/>
            <w:vAlign w:val="bottom"/>
          </w:tcPr>
          <w:p>
            <w:pPr>
              <w:spacing w:after="0"/>
              <w:rPr>
                <w:sz w:val="17"/>
                <w:szCs w:val="17"/>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Stated Interest Rate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270"/>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Loans payable</w:t>
            </w:r>
          </w:p>
        </w:tc>
        <w:tc>
          <w:tcPr>
            <w:tcW w:w="2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4"/>
                <w:szCs w:val="14"/>
                <w:color w:val="auto"/>
              </w:rPr>
              <w:t xml:space="preserve">FTAI Pride Credit Agreement </w:t>
            </w:r>
            <w:r>
              <w:rPr>
                <w:rFonts w:ascii="Arial" w:cs="Arial" w:eastAsia="Arial" w:hAnsi="Arial"/>
                <w:sz w:val="17"/>
                <w:szCs w:val="17"/>
                <w:color w:val="auto"/>
                <w:vertAlign w:val="superscript"/>
              </w:rPr>
              <w:t>(1)</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43,056</w:t>
            </w:r>
          </w:p>
        </w:tc>
        <w:tc>
          <w:tcPr>
            <w:tcW w:w="120" w:type="dxa"/>
            <w:vAlign w:val="bottom"/>
          </w:tcPr>
          <w:p>
            <w:pPr>
              <w:spacing w:after="0"/>
              <w:rPr>
                <w:sz w:val="23"/>
                <w:szCs w:val="23"/>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4"/>
                <w:szCs w:val="14"/>
                <w:color w:val="auto"/>
              </w:rPr>
              <w:t>LIBOR + 4.50%</w:t>
            </w:r>
          </w:p>
        </w:tc>
        <w:tc>
          <w:tcPr>
            <w:tcW w:w="1140" w:type="dxa"/>
            <w:vAlign w:val="bottom"/>
          </w:tcPr>
          <w:p>
            <w:pPr>
              <w:jc w:val="center"/>
              <w:spacing w:after="0"/>
              <w:rPr>
                <w:sz w:val="20"/>
                <w:szCs w:val="20"/>
                <w:color w:val="auto"/>
              </w:rPr>
            </w:pPr>
            <w:r>
              <w:rPr>
                <w:rFonts w:ascii="Arial" w:cs="Arial" w:eastAsia="Arial" w:hAnsi="Arial"/>
                <w:sz w:val="14"/>
                <w:szCs w:val="14"/>
                <w:color w:val="auto"/>
              </w:rPr>
              <w:t>9/16/2020</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47,743</w:t>
            </w: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 Adjusted LIBOR + 2.50% or 4.50%; or</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CMQR Credit</w:t>
            </w:r>
          </w:p>
        </w:tc>
        <w:tc>
          <w:tcPr>
            <w:tcW w:w="2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23,275</w:t>
            </w:r>
          </w:p>
        </w:tc>
        <w:tc>
          <w:tcPr>
            <w:tcW w:w="120" w:type="dxa"/>
            <w:vAlign w:val="bottom"/>
            <w:shd w:val="clear" w:color="auto" w:fill="CCEEFF"/>
          </w:tcPr>
          <w:p>
            <w:pPr>
              <w:spacing w:after="0"/>
              <w:rPr>
                <w:sz w:val="14"/>
                <w:szCs w:val="14"/>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U.S. or Canadian Base Rate + 1.50% or 3.50%; or</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Agreement</w:t>
            </w:r>
          </w:p>
        </w:tc>
        <w:tc>
          <w:tcPr>
            <w:tcW w:w="24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(iii) Canadian Fixed Rate + 2.50% or 4.50%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5/8/2022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22,265</w:t>
            </w:r>
          </w:p>
        </w:tc>
        <w:tc>
          <w:tcPr>
            <w:tcW w:w="0" w:type="dxa"/>
            <w:vAlign w:val="bottom"/>
          </w:tcPr>
          <w:p>
            <w:pPr>
              <w:spacing w:after="0"/>
              <w:rPr>
                <w:sz w:val="1"/>
                <w:szCs w:val="1"/>
                <w:color w:val="auto"/>
              </w:rPr>
            </w:pPr>
          </w:p>
        </w:tc>
      </w:tr>
      <w:tr>
        <w:trPr>
          <w:trHeight w:val="189"/>
        </w:trPr>
        <w:tc>
          <w:tcPr>
            <w:tcW w:w="2080" w:type="dxa"/>
            <w:vAlign w:val="bottom"/>
          </w:tcPr>
          <w:p>
            <w:pPr>
              <w:ind w:left="40"/>
              <w:spacing w:after="0"/>
              <w:rPr>
                <w:sz w:val="20"/>
                <w:szCs w:val="20"/>
                <w:color w:val="auto"/>
              </w:rPr>
            </w:pPr>
            <w:r>
              <w:rPr>
                <w:rFonts w:ascii="Arial" w:cs="Arial" w:eastAsia="Arial" w:hAnsi="Arial"/>
                <w:sz w:val="14"/>
                <w:szCs w:val="14"/>
                <w:color w:val="auto"/>
              </w:rPr>
              <w:t>Revolving Credit</w:t>
            </w:r>
          </w:p>
        </w:tc>
        <w:tc>
          <w:tcPr>
            <w:tcW w:w="24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30,000</w:t>
            </w:r>
          </w:p>
        </w:tc>
        <w:tc>
          <w:tcPr>
            <w:tcW w:w="120" w:type="dxa"/>
            <w:vAlign w:val="bottom"/>
          </w:tcPr>
          <w:p>
            <w:pPr>
              <w:spacing w:after="0"/>
              <w:rPr>
                <w:sz w:val="16"/>
                <w:szCs w:val="16"/>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4"/>
                <w:szCs w:val="14"/>
                <w:color w:val="auto"/>
              </w:rPr>
              <w:t>(i) Base Rate + 2.00%; or</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40"/>
              <w:spacing w:after="0" w:line="189" w:lineRule="exact"/>
              <w:rPr>
                <w:sz w:val="20"/>
                <w:szCs w:val="20"/>
                <w:color w:val="auto"/>
              </w:rPr>
            </w:pPr>
            <w:r>
              <w:rPr>
                <w:rFonts w:ascii="Arial" w:cs="Arial" w:eastAsia="Arial" w:hAnsi="Arial"/>
                <w:sz w:val="14"/>
                <w:szCs w:val="14"/>
                <w:color w:val="auto"/>
              </w:rPr>
              <w:t xml:space="preserve">Facility </w:t>
            </w:r>
            <w:r>
              <w:rPr>
                <w:rFonts w:ascii="Arial" w:cs="Arial" w:eastAsia="Arial" w:hAnsi="Arial"/>
                <w:sz w:val="17"/>
                <w:szCs w:val="17"/>
                <w:color w:val="auto"/>
                <w:vertAlign w:val="superscript"/>
              </w:rPr>
              <w:t>(2)</w:t>
            </w: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4"/>
                <w:szCs w:val="14"/>
                <w:color w:val="auto"/>
              </w:rPr>
              <w:t>(ii) Adjusted Eurodollar Rate + 3.00%</w:t>
            </w:r>
          </w:p>
        </w:tc>
        <w:tc>
          <w:tcPr>
            <w:tcW w:w="1140" w:type="dxa"/>
            <w:vAlign w:val="bottom"/>
          </w:tcPr>
          <w:p>
            <w:pPr>
              <w:jc w:val="center"/>
              <w:spacing w:after="0"/>
              <w:rPr>
                <w:sz w:val="20"/>
                <w:szCs w:val="20"/>
                <w:color w:val="auto"/>
              </w:rPr>
            </w:pPr>
            <w:r>
              <w:rPr>
                <w:rFonts w:ascii="Arial" w:cs="Arial" w:eastAsia="Arial" w:hAnsi="Arial"/>
                <w:sz w:val="14"/>
                <w:szCs w:val="14"/>
                <w:color w:val="auto"/>
              </w:rPr>
              <w:t>1/31/2022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4"/>
        </w:trPr>
        <w:tc>
          <w:tcPr>
            <w:tcW w:w="20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 xml:space="preserve">Jefferson Revolver </w:t>
            </w:r>
            <w:r>
              <w:rPr>
                <w:rFonts w:ascii="Arial" w:cs="Arial" w:eastAsia="Arial" w:hAnsi="Arial"/>
                <w:sz w:val="17"/>
                <w:szCs w:val="17"/>
                <w:color w:val="auto"/>
                <w:vertAlign w:val="superscript"/>
              </w:rPr>
              <w:t>(2)</w:t>
            </w:r>
          </w:p>
        </w:tc>
        <w:tc>
          <w:tcPr>
            <w:tcW w:w="24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50,000</w:t>
            </w:r>
          </w:p>
        </w:tc>
        <w:tc>
          <w:tcPr>
            <w:tcW w:w="1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(i) Base Rate + 1.50%; or</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Base Rate + 2.50% (Eurodollar)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3/7/2021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49,805</w:t>
            </w:r>
          </w:p>
        </w:tc>
        <w:tc>
          <w:tcPr>
            <w:tcW w:w="0" w:type="dxa"/>
            <w:vAlign w:val="bottom"/>
          </w:tcPr>
          <w:p>
            <w:pPr>
              <w:spacing w:after="0"/>
              <w:rPr>
                <w:sz w:val="1"/>
                <w:szCs w:val="1"/>
                <w:color w:val="auto"/>
              </w:rPr>
            </w:pPr>
          </w:p>
        </w:tc>
      </w:tr>
      <w:tr>
        <w:trPr>
          <w:trHeight w:val="194"/>
        </w:trPr>
        <w:tc>
          <w:tcPr>
            <w:tcW w:w="2080" w:type="dxa"/>
            <w:vAlign w:val="bottom"/>
            <w:vMerge w:val="restart"/>
          </w:tcPr>
          <w:p>
            <w:pPr>
              <w:ind w:left="4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7"/>
                <w:szCs w:val="17"/>
                <w:color w:val="auto"/>
                <w:vertAlign w:val="superscript"/>
              </w:rPr>
              <w:t>(3)</w:t>
            </w:r>
          </w:p>
        </w:tc>
        <w:tc>
          <w:tcPr>
            <w:tcW w:w="24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25,000</w:t>
            </w:r>
          </w:p>
        </w:tc>
        <w:tc>
          <w:tcPr>
            <w:tcW w:w="120" w:type="dxa"/>
            <w:vAlign w:val="bottom"/>
          </w:tcPr>
          <w:p>
            <w:pPr>
              <w:spacing w:after="0"/>
              <w:rPr>
                <w:sz w:val="16"/>
                <w:szCs w:val="16"/>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4"/>
                <w:szCs w:val="14"/>
                <w:color w:val="auto"/>
              </w:rPr>
              <w:t>(i) Base Rate + 1.50%; or</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4"/>
                <w:szCs w:val="14"/>
                <w:color w:val="auto"/>
              </w:rPr>
              <w:t>(ii) Base Rate + 2.50% (Eurodollar)</w:t>
            </w:r>
          </w:p>
        </w:tc>
        <w:tc>
          <w:tcPr>
            <w:tcW w:w="1140" w:type="dxa"/>
            <w:vAlign w:val="bottom"/>
          </w:tcPr>
          <w:p>
            <w:pPr>
              <w:jc w:val="center"/>
              <w:spacing w:after="0"/>
              <w:rPr>
                <w:sz w:val="20"/>
                <w:szCs w:val="20"/>
                <w:color w:val="auto"/>
              </w:rPr>
            </w:pPr>
            <w:r>
              <w:rPr>
                <w:rFonts w:ascii="Arial" w:cs="Arial" w:eastAsia="Arial" w:hAnsi="Arial"/>
                <w:sz w:val="14"/>
                <w:szCs w:val="14"/>
                <w:color w:val="auto"/>
              </w:rPr>
              <w:t>11/5/2021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First Lien Credit Agreement: 7.30%</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LREG Credit</w:t>
            </w:r>
          </w:p>
        </w:tc>
        <w:tc>
          <w:tcPr>
            <w:tcW w:w="2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104,438</w:t>
            </w:r>
          </w:p>
        </w:tc>
        <w:tc>
          <w:tcPr>
            <w:tcW w:w="120" w:type="dxa"/>
            <w:vAlign w:val="bottom"/>
            <w:shd w:val="clear" w:color="auto" w:fill="CCEEFF"/>
          </w:tcPr>
          <w:p>
            <w:pPr>
              <w:spacing w:after="0"/>
              <w:rPr>
                <w:sz w:val="13"/>
                <w:szCs w:val="13"/>
                <w:color w:val="auto"/>
              </w:rPr>
            </w:pPr>
          </w:p>
        </w:tc>
        <w:tc>
          <w:tcPr>
            <w:tcW w:w="454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rPr>
              <w:t>LC Facility: Base Rate + 2.50% to 3.50%</w:t>
            </w:r>
          </w:p>
        </w:tc>
        <w:tc>
          <w:tcPr>
            <w:tcW w:w="12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rPr>
              <w:t>2/15/2022 to</w:t>
            </w:r>
          </w:p>
        </w:tc>
        <w:tc>
          <w:tcPr>
            <w:tcW w:w="1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40"/>
              <w:spacing w:after="0" w:line="189" w:lineRule="exact"/>
              <w:rPr>
                <w:sz w:val="20"/>
                <w:szCs w:val="20"/>
                <w:color w:val="auto"/>
              </w:rPr>
            </w:pPr>
            <w:r>
              <w:rPr>
                <w:rFonts w:ascii="Arial" w:cs="Arial" w:eastAsia="Arial" w:hAnsi="Arial"/>
                <w:sz w:val="14"/>
                <w:szCs w:val="14"/>
                <w:color w:val="auto"/>
              </w:rPr>
              <w:t xml:space="preserve">Agreement </w:t>
            </w:r>
            <w:r>
              <w:rPr>
                <w:rFonts w:ascii="Arial" w:cs="Arial" w:eastAsia="Arial" w:hAnsi="Arial"/>
                <w:sz w:val="17"/>
                <w:szCs w:val="17"/>
                <w:color w:val="auto"/>
                <w:vertAlign w:val="superscript"/>
              </w:rPr>
              <w:t>(4)</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Second Lien Credit Agreement: Base Rate + 7.50%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6/30/2028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80" w:type="dxa"/>
            <w:vAlign w:val="bottom"/>
          </w:tcPr>
          <w:p>
            <w:pPr>
              <w:ind w:left="40"/>
              <w:spacing w:after="0"/>
              <w:rPr>
                <w:sz w:val="20"/>
                <w:szCs w:val="20"/>
                <w:color w:val="auto"/>
              </w:rPr>
            </w:pPr>
            <w:r>
              <w:rPr>
                <w:rFonts w:ascii="Arial" w:cs="Arial" w:eastAsia="Arial" w:hAnsi="Arial"/>
                <w:sz w:val="14"/>
                <w:szCs w:val="14"/>
                <w:color w:val="auto"/>
              </w:rPr>
              <w:t>Total loans payable</w:t>
            </w:r>
          </w:p>
        </w:tc>
        <w:tc>
          <w:tcPr>
            <w:tcW w:w="24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275,769</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219,813</w:t>
            </w:r>
          </w:p>
        </w:tc>
        <w:tc>
          <w:tcPr>
            <w:tcW w:w="0" w:type="dxa"/>
            <w:vAlign w:val="bottom"/>
          </w:tcPr>
          <w:p>
            <w:pPr>
              <w:spacing w:after="0"/>
              <w:rPr>
                <w:sz w:val="1"/>
                <w:szCs w:val="1"/>
                <w:color w:val="auto"/>
              </w:rPr>
            </w:pPr>
          </w:p>
        </w:tc>
      </w:tr>
      <w:tr>
        <w:trPr>
          <w:trHeight w:val="276"/>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Bonds payable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7"/>
                <w:szCs w:val="17"/>
                <w:color w:val="auto"/>
                <w:vertAlign w:val="superscript"/>
              </w:rPr>
              <w:t>(5)</w:t>
            </w:r>
          </w:p>
        </w:tc>
        <w:tc>
          <w:tcPr>
            <w:tcW w:w="2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41,080</w:t>
            </w:r>
          </w:p>
        </w:tc>
        <w:tc>
          <w:tcPr>
            <w:tcW w:w="4560" w:type="dxa"/>
            <w:vAlign w:val="bottom"/>
            <w:gridSpan w:val="2"/>
          </w:tcPr>
          <w:p>
            <w:pPr>
              <w:jc w:val="center"/>
              <w:ind w:left="48"/>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7/1/2032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42,797</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7"/>
                <w:szCs w:val="17"/>
                <w:color w:val="auto"/>
                <w:vertAlign w:val="superscript"/>
              </w:rPr>
              <w:t>(6)</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144,200</w:t>
            </w:r>
          </w:p>
        </w:tc>
        <w:tc>
          <w:tcPr>
            <w:tcW w:w="45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2/1/2036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189"/>
        </w:trPr>
        <w:tc>
          <w:tcPr>
            <w:tcW w:w="2080" w:type="dxa"/>
            <w:vAlign w:val="bottom"/>
          </w:tcPr>
          <w:p>
            <w:pPr>
              <w:ind w:left="40"/>
              <w:spacing w:after="0"/>
              <w:rPr>
                <w:sz w:val="20"/>
                <w:szCs w:val="20"/>
                <w:color w:val="auto"/>
              </w:rPr>
            </w:pPr>
            <w:r>
              <w:rPr>
                <w:rFonts w:ascii="Arial" w:cs="Arial" w:eastAsia="Arial" w:hAnsi="Arial"/>
                <w:sz w:val="14"/>
                <w:szCs w:val="14"/>
                <w:color w:val="auto"/>
              </w:rPr>
              <w:t>Senior Notes due</w:t>
            </w:r>
          </w:p>
        </w:tc>
        <w:tc>
          <w:tcPr>
            <w:tcW w:w="24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697,625</w:t>
            </w:r>
          </w:p>
        </w:tc>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40"/>
              <w:spacing w:after="0" w:line="189" w:lineRule="exact"/>
              <w:rPr>
                <w:sz w:val="20"/>
                <w:szCs w:val="20"/>
                <w:color w:val="auto"/>
              </w:rPr>
            </w:pPr>
            <w:r>
              <w:rPr>
                <w:rFonts w:ascii="Arial" w:cs="Arial" w:eastAsia="Arial" w:hAnsi="Arial"/>
                <w:sz w:val="14"/>
                <w:szCs w:val="14"/>
                <w:color w:val="auto"/>
              </w:rPr>
              <w:t xml:space="preserve">2022 </w:t>
            </w:r>
            <w:r>
              <w:rPr>
                <w:rFonts w:ascii="Arial" w:cs="Arial" w:eastAsia="Arial" w:hAnsi="Arial"/>
                <w:sz w:val="17"/>
                <w:szCs w:val="17"/>
                <w:color w:val="auto"/>
                <w:vertAlign w:val="superscript"/>
              </w:rPr>
              <w:t>(7)</w:t>
            </w: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4560" w:type="dxa"/>
            <w:vAlign w:val="bottom"/>
            <w:gridSpan w:val="2"/>
          </w:tcPr>
          <w:p>
            <w:pPr>
              <w:jc w:val="center"/>
              <w:ind w:left="4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3/15/2022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549,405</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 due</w:t>
            </w:r>
          </w:p>
        </w:tc>
        <w:tc>
          <w:tcPr>
            <w:tcW w:w="24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444,780</w:t>
            </w:r>
          </w:p>
        </w:tc>
        <w:tc>
          <w:tcPr>
            <w:tcW w:w="12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40"/>
              <w:spacing w:after="0" w:line="189" w:lineRule="exact"/>
              <w:rPr>
                <w:sz w:val="20"/>
                <w:szCs w:val="20"/>
                <w:color w:val="auto"/>
              </w:rPr>
            </w:pPr>
            <w:r>
              <w:rPr>
                <w:rFonts w:ascii="Arial" w:cs="Arial" w:eastAsia="Arial" w:hAnsi="Arial"/>
                <w:sz w:val="14"/>
                <w:szCs w:val="14"/>
                <w:color w:val="auto"/>
              </w:rPr>
              <w:t xml:space="preserve">2025 </w:t>
            </w:r>
            <w:r>
              <w:rPr>
                <w:rFonts w:ascii="Arial" w:cs="Arial" w:eastAsia="Arial" w:hAnsi="Arial"/>
                <w:sz w:val="17"/>
                <w:szCs w:val="17"/>
                <w:color w:val="auto"/>
                <w:vertAlign w:val="superscript"/>
              </w:rPr>
              <w:t>(8)</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45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10/1/2025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295,642</w:t>
            </w:r>
          </w:p>
        </w:tc>
        <w:tc>
          <w:tcPr>
            <w:tcW w:w="0" w:type="dxa"/>
            <w:vAlign w:val="bottom"/>
          </w:tcPr>
          <w:p>
            <w:pPr>
              <w:spacing w:after="0"/>
              <w:rPr>
                <w:sz w:val="1"/>
                <w:szCs w:val="1"/>
                <w:color w:val="auto"/>
              </w:rPr>
            </w:pPr>
          </w:p>
        </w:tc>
      </w:tr>
      <w:tr>
        <w:trPr>
          <w:trHeight w:val="244"/>
        </w:trPr>
        <w:tc>
          <w:tcPr>
            <w:tcW w:w="2080" w:type="dxa"/>
            <w:vAlign w:val="bottom"/>
          </w:tcPr>
          <w:p>
            <w:pPr>
              <w:ind w:left="40"/>
              <w:spacing w:after="0"/>
              <w:rPr>
                <w:sz w:val="20"/>
                <w:szCs w:val="20"/>
                <w:color w:val="auto"/>
              </w:rPr>
            </w:pPr>
            <w:r>
              <w:rPr>
                <w:rFonts w:ascii="Arial" w:cs="Arial" w:eastAsia="Arial" w:hAnsi="Arial"/>
                <w:sz w:val="14"/>
                <w:szCs w:val="14"/>
                <w:color w:val="auto"/>
              </w:rPr>
              <w:t>Total bonds payable</w:t>
            </w:r>
          </w:p>
        </w:tc>
        <w:tc>
          <w:tcPr>
            <w:tcW w:w="24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1,327,685</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1,032,044</w:t>
            </w:r>
          </w:p>
        </w:tc>
        <w:tc>
          <w:tcPr>
            <w:tcW w:w="0" w:type="dxa"/>
            <w:vAlign w:val="bottom"/>
          </w:tcPr>
          <w:p>
            <w:pPr>
              <w:spacing w:after="0"/>
              <w:rPr>
                <w:sz w:val="1"/>
                <w:szCs w:val="1"/>
                <w:color w:val="auto"/>
              </w:rPr>
            </w:pPr>
          </w:p>
        </w:tc>
      </w:tr>
      <w:tr>
        <w:trPr>
          <w:trHeight w:val="303"/>
        </w:trPr>
        <w:tc>
          <w:tcPr>
            <w:tcW w:w="20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1,603,454</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1,251,857</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Debt issuance costs</w:t>
            </w: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(21,192)</w:t>
            </w:r>
          </w:p>
        </w:tc>
        <w:tc>
          <w:tcPr>
            <w:tcW w:w="12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(14,510)</w:t>
            </w:r>
          </w:p>
        </w:tc>
        <w:tc>
          <w:tcPr>
            <w:tcW w:w="0" w:type="dxa"/>
            <w:vAlign w:val="bottom"/>
          </w:tcPr>
          <w:p>
            <w:pPr>
              <w:spacing w:after="0"/>
              <w:rPr>
                <w:sz w:val="1"/>
                <w:szCs w:val="1"/>
                <w:color w:val="auto"/>
              </w:rPr>
            </w:pPr>
          </w:p>
        </w:tc>
      </w:tr>
      <w:tr>
        <w:trPr>
          <w:trHeight w:val="283"/>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debt,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1,582,262</w:t>
            </w:r>
          </w:p>
        </w:tc>
        <w:tc>
          <w:tcPr>
            <w:tcW w:w="120" w:type="dxa"/>
            <w:vAlign w:val="bottom"/>
            <w:tcBorders>
              <w:bottom w:val="single" w:sz="8" w:color="CCEEFF"/>
            </w:tcBorders>
          </w:tcPr>
          <w:p>
            <w:pPr>
              <w:spacing w:after="0"/>
              <w:rPr>
                <w:sz w:val="24"/>
                <w:szCs w:val="24"/>
                <w:color w:val="auto"/>
              </w:rPr>
            </w:pPr>
          </w:p>
        </w:tc>
        <w:tc>
          <w:tcPr>
            <w:tcW w:w="4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1,237,347</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Total debt due within one</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189,066</w:t>
            </w:r>
          </w:p>
        </w:tc>
        <w:tc>
          <w:tcPr>
            <w:tcW w:w="1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year</w:t>
            </w:r>
          </w:p>
        </w:tc>
        <w:tc>
          <w:tcPr>
            <w:tcW w:w="24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71,678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Secured on a first priority basis by the offshore vessel.</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44"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0.875% on the average daily unused portion, as well as customary letter of credit fees and agency fees.</w:t>
      </w:r>
    </w:p>
    <w:p>
      <w:pPr>
        <w:spacing w:after="0" w:line="44" w:lineRule="exact"/>
        <w:rPr>
          <w:rFonts w:ascii="Arial" w:cs="Arial" w:eastAsia="Arial" w:hAnsi="Arial"/>
          <w:sz w:val="18"/>
          <w:szCs w:val="18"/>
          <w:color w:val="auto"/>
          <w:vertAlign w:val="superscript"/>
        </w:rPr>
      </w:pPr>
    </w:p>
    <w:p>
      <w:pPr>
        <w:ind w:left="180" w:hanging="172"/>
        <w:spacing w:after="0" w:line="218" w:lineRule="auto"/>
        <w:tabs>
          <w:tab w:leader="none" w:pos="17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on the average daily unused portion at a rate of 1.50% for the First Lien Credit Agreement and LC Facility and 1.00% for the Second Lien Credit Agreement, as well as customary letter of credit fees and agency fees.</w:t>
      </w:r>
    </w:p>
    <w:p>
      <w:pPr>
        <w:spacing w:after="0" w:line="9"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unamortized premium of $1,530 and $1,577 at September 30, 2019 and December 31, 2018, respectively.</w:t>
      </w:r>
    </w:p>
    <w:p>
      <w:pPr>
        <w:spacing w:after="0" w:line="43" w:lineRule="exact"/>
        <w:rPr>
          <w:rFonts w:ascii="Arial" w:cs="Arial" w:eastAsia="Arial" w:hAnsi="Arial"/>
          <w:sz w:val="18"/>
          <w:szCs w:val="18"/>
          <w:color w:val="auto"/>
          <w:vertAlign w:val="superscript"/>
        </w:rPr>
      </w:pPr>
    </w:p>
    <w:p>
      <w:pPr>
        <w:ind w:left="180" w:hanging="172"/>
        <w:spacing w:after="0" w:line="218" w:lineRule="auto"/>
        <w:tabs>
          <w:tab w:leader="none" w:pos="17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These bonds have a stated maturity of February 1, 2036 but are subject to mandatory tender for purchase at par, by our subsidiary, on February 13, 2020 if they have not been repurchased from proceeds of a remarketing of the bonds or redeemed prior to such date.</w:t>
      </w:r>
    </w:p>
    <w:p>
      <w:pPr>
        <w:spacing w:after="0" w:line="43" w:lineRule="exact"/>
        <w:rPr>
          <w:rFonts w:ascii="Arial" w:cs="Arial" w:eastAsia="Arial" w:hAnsi="Arial"/>
          <w:sz w:val="18"/>
          <w:szCs w:val="18"/>
          <w:color w:val="auto"/>
          <w:vertAlign w:val="superscript"/>
        </w:rPr>
      </w:pPr>
    </w:p>
    <w:p>
      <w:pPr>
        <w:ind w:left="180" w:hanging="172"/>
        <w:spacing w:after="0" w:line="218" w:lineRule="auto"/>
        <w:tabs>
          <w:tab w:leader="none" w:pos="186"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$5,954 and $5,154 at September 30, 2019 and December 31, 2018, respectively, and an unamortized premium of $3,579 and $4,559 at September 30, 2019 and December 31, 2018, respectively.</w:t>
      </w:r>
    </w:p>
    <w:p>
      <w:pPr>
        <w:spacing w:after="0" w:line="9"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$5,220 and $4,358 at September 30, 2019 and December 31, 2018, respectively.</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Jefferson Revolver</w:t>
      </w:r>
      <w:r>
        <w:rPr>
          <w:rFonts w:ascii="Arial" w:cs="Arial" w:eastAsia="Arial" w:hAnsi="Arial"/>
          <w:sz w:val="16"/>
          <w:szCs w:val="16"/>
          <w:color w:val="00497F"/>
        </w:rPr>
        <w:t>—</w:t>
      </w:r>
      <w:r>
        <w:rPr>
          <w:rFonts w:ascii="Arial" w:cs="Arial" w:eastAsia="Arial" w:hAnsi="Arial"/>
          <w:sz w:val="16"/>
          <w:szCs w:val="16"/>
          <w:color w:val="000000"/>
        </w:rPr>
        <w:t>On December 20, 2018, our subsidiary entered into an amendment to the Jefferson Revolver which temporarily increased the aggregate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revolving commitments by $25 million from $50 million to $75 million. In July 2019, we repaid $23.0 million, and the aggregate revolving commitment reverted back to $50 million on August 1, 2019.</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Senior Notes due 2022</w:t>
      </w:r>
      <w:r>
        <w:rPr>
          <w:rFonts w:ascii="Arial" w:cs="Arial" w:eastAsia="Arial" w:hAnsi="Arial"/>
          <w:sz w:val="16"/>
          <w:szCs w:val="16"/>
          <w:color w:val="00497F"/>
        </w:rPr>
        <w:t>—</w:t>
      </w:r>
      <w:r>
        <w:rPr>
          <w:rFonts w:ascii="Arial" w:cs="Arial" w:eastAsia="Arial" w:hAnsi="Arial"/>
          <w:sz w:val="16"/>
          <w:szCs w:val="16"/>
          <w:color w:val="000000"/>
        </w:rPr>
        <w:t>On February 8, 2019, we issued an additional $150 million of Senior Notes (“2022 Notes”) at an offering price of 98.5% of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amount plus accrued interest from September 15, 2018.</w:t>
      </w:r>
    </w:p>
    <w:p>
      <w:pPr>
        <w:sectPr>
          <w:pgSz w:w="11900" w:h="16838" w:orient="portrait"/>
          <w:cols w:equalWidth="0" w:num="1">
            <w:col w:w="11420"/>
          </w:cols>
          <w:pgMar w:left="240" w:top="120"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0" w:right="239" w:bottom="1440" w:gutter="0" w:footer="0" w:header="0"/>
          <w:type w:val="continuous"/>
        </w:sectPr>
      </w:pPr>
    </w:p>
    <w:bookmarkStart w:id="20" w:name="page21"/>
    <w:bookmarkEnd w:id="20"/>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497F"/>
        </w:rPr>
        <w:t>—</w:t>
      </w:r>
      <w:r>
        <w:rPr>
          <w:rFonts w:ascii="Arial" w:cs="Arial" w:eastAsia="Arial" w:hAnsi="Arial"/>
          <w:sz w:val="16"/>
          <w:szCs w:val="16"/>
          <w:color w:val="000000"/>
        </w:rPr>
        <w:t>On February 8, 2019, we entered into an amendment to the revolving credit facility (the “Revolving Credit Facility”).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amendment, among other things, (i) increased the aggregate revolving commitments by $125 million from $125 million to $250 million, (ii) extended the maturity date of the revolving loans and commitments to January 31, 2022 and (iii) made certain modifications to the financial covenants, including an increase in the maximum ratio of debt to total equity from 1.65</w:t>
      </w:r>
      <w:r>
        <w:rPr>
          <w:rFonts w:ascii="Arial" w:cs="Arial" w:eastAsia="Arial" w:hAnsi="Arial"/>
          <w:sz w:val="18"/>
          <w:szCs w:val="18"/>
          <w:color w:val="000000"/>
        </w:rPr>
        <w:t>:</w:t>
      </w:r>
      <w:r>
        <w:rPr>
          <w:rFonts w:ascii="Arial" w:cs="Arial" w:eastAsia="Arial" w:hAnsi="Arial"/>
          <w:sz w:val="16"/>
          <w:szCs w:val="16"/>
          <w:color w:val="000000"/>
        </w:rPr>
        <w:t>1.00 to 2.00</w:t>
      </w:r>
      <w:r>
        <w:rPr>
          <w:rFonts w:ascii="Arial" w:cs="Arial" w:eastAsia="Arial" w:hAnsi="Arial"/>
          <w:sz w:val="18"/>
          <w:szCs w:val="18"/>
          <w:color w:val="000000"/>
        </w:rPr>
        <w:t>:</w:t>
      </w:r>
      <w:r>
        <w:rPr>
          <w:rFonts w:ascii="Arial" w:cs="Arial" w:eastAsia="Arial" w:hAnsi="Arial"/>
          <w:sz w:val="16"/>
          <w:szCs w:val="16"/>
          <w:color w:val="000000"/>
        </w:rPr>
        <w:t>1.00.</w:t>
      </w:r>
    </w:p>
    <w:p>
      <w:pPr>
        <w:spacing w:after="0" w:line="9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On August 6, 2019, we entered into another amendment to the Revolving Credit Facility which, among other things, makes certain modifications to the financial covenants, including an increase in the maximum ratio of debt to total equity from 2.00</w:t>
      </w:r>
      <w:r>
        <w:rPr>
          <w:rFonts w:ascii="Arial" w:cs="Arial" w:eastAsia="Arial" w:hAnsi="Arial"/>
          <w:sz w:val="18"/>
          <w:szCs w:val="18"/>
          <w:color w:val="auto"/>
        </w:rPr>
        <w:t>:</w:t>
      </w:r>
      <w:r>
        <w:rPr>
          <w:rFonts w:ascii="Arial" w:cs="Arial" w:eastAsia="Arial" w:hAnsi="Arial"/>
          <w:sz w:val="16"/>
          <w:szCs w:val="16"/>
          <w:color w:val="auto"/>
        </w:rPr>
        <w:t>1.00 to 3.00</w:t>
      </w:r>
      <w:r>
        <w:rPr>
          <w:rFonts w:ascii="Arial" w:cs="Arial" w:eastAsia="Arial" w:hAnsi="Arial"/>
          <w:sz w:val="18"/>
          <w:szCs w:val="18"/>
          <w:color w:val="auto"/>
        </w:rPr>
        <w:t>:</w:t>
      </w:r>
      <w:r>
        <w:rPr>
          <w:rFonts w:ascii="Arial" w:cs="Arial" w:eastAsia="Arial" w:hAnsi="Arial"/>
          <w:sz w:val="16"/>
          <w:szCs w:val="16"/>
          <w:color w:val="auto"/>
        </w:rPr>
        <w:t>1.00.</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LREG Credit Agreement</w:t>
      </w:r>
      <w:r>
        <w:rPr>
          <w:rFonts w:ascii="Arial" w:cs="Arial" w:eastAsia="Arial" w:hAnsi="Arial"/>
          <w:sz w:val="16"/>
          <w:szCs w:val="16"/>
          <w:color w:val="00497F"/>
        </w:rPr>
        <w:t>—</w:t>
      </w:r>
      <w:r>
        <w:rPr>
          <w:rFonts w:ascii="Arial" w:cs="Arial" w:eastAsia="Arial" w:hAnsi="Arial"/>
          <w:sz w:val="16"/>
          <w:szCs w:val="16"/>
          <w:color w:val="000000"/>
        </w:rPr>
        <w:t>On February 15, 2019, LREG and two other subsidiaries, Ohio Gasco LLC, (“GasCo” and, together with LREG, the “Co-Borrowers”), and Ohio PP Holdco LLC (“Holdings”), entered into a First Lien Credit Agreement establishing (i) a $445 million construction loan (the “First Lien Construction Loans”) and term loan (the “First Lien Term Loans” and, together with the First Lien Construction Loans, the “First Lien Loan Facility”) credit facility for the purposes of funding the development, construction and completion of the power plant and the associated development, production and drilling of hydrocarbon interests (cumulatively, the “Project”), and (ii) a $154 million letter of credit facility, which is available to the Co-Borrowers solely to support any collateral posting obligations of the Co-Borrowers under certain fixed price power agreements related to the Project (the “LC Facility”). The LC Facility may be increased up to $179 million under certain circumstances as set forth in the First Lien Credit Agreement, with such additional amounts of letters of credit available to LREG solely in support of any collateral posting obligations in connection with a bid in the PJM capacity auction. As of September 30, 2019, $121 million letters of credit have been provided to counterparties in accordance with the provisions of the LC Facility, leaving $33 million of remaining initial letter of credit capacity.</w:t>
      </w:r>
    </w:p>
    <w:p>
      <w:pPr>
        <w:spacing w:after="0" w:line="2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First Lien Construction Loans are available until the date on which, among other things, substantial completion of the Project is achieved (which is required to occur on or prior to June 1, 2022), at which point the First Lien Construction Loans then outstanding shall automatically convert to Term Loans (“Term Conversion”). Following Term Conversion, the First Lien Term Loans will commence amortization on a quarterly basis and will mature on December 31, 2027. The LC Facility will mature upon the earlier of (a) February 15, 2022, (b) the date the loans under the First Lien Loan Facility are accelerated or (c) the date of Term Conversion.</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Also on February 15, 2019, the Co-Borrowers and Holdings entered into a Second Lien Credit Agreement (the “Second Lien Credit Agreement” and, together with the First Lien Credit Agreement, the “Credit Agreements”) establishing a $143 million construction loan (the “Second Lien Construction Loans”) and term loan (the “Second Lien Term Loans” and, together with the Second Lien Construction Loans, the “Second Lien Loan Facility”) credit facility for the purposes of funding the development, construction and completion of the Project.</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Co-Borrowers were required to borrow $71.5 million in Second Lien Construction Loans on February 15, 2019, with the remaining Second Lien Construction Loans required to be borrowed no later than February 15, 2020. Following Term Conversion, the Second Lien Construction Loans then outstanding will automatically convert to Second Lien Term Loans and will commence amortization on a quarterly basis and mature on June 30, 2028.</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Co-Borrowers’ obligations under the First Lien Credit Agreement and the Second Lien Credit Agreement are guaranteed by the Co-Borrowers and Holdings and are secured by first priority security interests and second priority security interests, respectively, in all of the assets of the Co-Borrowers and Holdings. The borrowings under the Credit Agreements are not guaranteed by us and are non-recourse to us.</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CMQR Credit Agreement</w:t>
      </w:r>
      <w:r>
        <w:rPr>
          <w:rFonts w:ascii="Arial" w:cs="Arial" w:eastAsia="Arial" w:hAnsi="Arial"/>
          <w:sz w:val="16"/>
          <w:szCs w:val="16"/>
          <w:color w:val="00497F"/>
        </w:rPr>
        <w:t>—</w:t>
      </w:r>
      <w:r>
        <w:rPr>
          <w:rFonts w:ascii="Arial" w:cs="Arial" w:eastAsia="Arial" w:hAnsi="Arial"/>
          <w:sz w:val="16"/>
          <w:szCs w:val="16"/>
          <w:color w:val="000000"/>
        </w:rPr>
        <w:t>On May 8, 2019, our subsidiary entered into an amendment to the CMQR Credit Agreement which extended the maturity date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May 8, 2022.</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Senior Notes due 2025</w:t>
      </w:r>
      <w:r>
        <w:rPr>
          <w:rFonts w:ascii="Arial" w:cs="Arial" w:eastAsia="Arial" w:hAnsi="Arial"/>
          <w:sz w:val="16"/>
          <w:szCs w:val="16"/>
          <w:color w:val="00497F"/>
        </w:rPr>
        <w:t>—</w:t>
      </w:r>
      <w:r>
        <w:rPr>
          <w:rFonts w:ascii="Arial" w:cs="Arial" w:eastAsia="Arial" w:hAnsi="Arial"/>
          <w:sz w:val="16"/>
          <w:szCs w:val="16"/>
          <w:color w:val="000000"/>
        </w:rPr>
        <w:t>On May 21, 2019, we issued an additional $150 million of Senior Notes (“2025 Notes”) at an offering price of 99.125% of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amount plus accrued interest from April 1, 2019.</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497F"/>
        </w:rPr>
        <w:t>—</w:t>
      </w:r>
      <w:r>
        <w:rPr>
          <w:rFonts w:ascii="Arial" w:cs="Arial" w:eastAsia="Arial" w:hAnsi="Arial"/>
          <w:sz w:val="16"/>
          <w:szCs w:val="16"/>
          <w:color w:val="000000"/>
        </w:rPr>
        <w:t>On September 30, 2019, our subsidiary entered into an amendment to the FTAI Pride Credit Agreement which extended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maturity date to September 16, 2020.</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September 30, 2019.</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9. FAIR VALUE MEASUREMENTS</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tables set forth our financial assets measured at fair value on a recurring basis as of September 30, 2019 and December 31, 2018, by level within the fair value hierarchy. Assets measured at fair value are classified in their entirety based on the lowest level of input that is significant to their fair value measurement.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16"/>
                <w:szCs w:val="16"/>
                <w:color w:val="auto"/>
              </w:rPr>
            </w:pPr>
          </w:p>
        </w:tc>
        <w:tc>
          <w:tcPr>
            <w:tcW w:w="4440" w:type="dxa"/>
            <w:vAlign w:val="bottom"/>
            <w:gridSpan w:val="7"/>
          </w:tcPr>
          <w:p>
            <w:pPr>
              <w:jc w:val="center"/>
              <w:ind w:right="12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76"/>
        </w:trPr>
        <w:tc>
          <w:tcPr>
            <w:tcW w:w="28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4"/>
        </w:trPr>
        <w:tc>
          <w:tcPr>
            <w:tcW w:w="2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2"/>
                <w:szCs w:val="22"/>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2"/>
                <w:szCs w:val="22"/>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70"/>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99,343</w:t>
            </w:r>
          </w:p>
        </w:tc>
        <w:tc>
          <w:tcPr>
            <w:tcW w:w="1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99,343</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51,241</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51,241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Derivative assets</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31,939</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31,939</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182,523</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150,584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31,939</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97"/>
        </w:trPr>
        <w:tc>
          <w:tcPr>
            <w:tcW w:w="28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Derivative liabilities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555"/>
        </w:trPr>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24"/>
                <w:szCs w:val="24"/>
                <w:color w:val="auto"/>
              </w:rPr>
            </w:pPr>
          </w:p>
        </w:tc>
        <w:tc>
          <w:tcPr>
            <w:tcW w:w="4440" w:type="dxa"/>
            <w:vAlign w:val="bottom"/>
            <w:gridSpan w:val="7"/>
          </w:tcPr>
          <w:p>
            <w:pPr>
              <w:jc w:val="center"/>
              <w:ind w:right="12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6"/>
        </w:trPr>
        <w:tc>
          <w:tcPr>
            <w:tcW w:w="28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4"/>
        </w:trPr>
        <w:tc>
          <w:tcPr>
            <w:tcW w:w="2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2"/>
                <w:szCs w:val="22"/>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2"/>
                <w:szCs w:val="22"/>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70"/>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99,601</w:t>
            </w:r>
          </w:p>
        </w:tc>
        <w:tc>
          <w:tcPr>
            <w:tcW w:w="1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99,601</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21,236</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21,236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Derivative assets</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7,470</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7,470</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128,307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120,837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97"/>
        </w:trPr>
        <w:tc>
          <w:tcPr>
            <w:tcW w:w="28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Derivative liabilities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bl>
    <w:p>
      <w:pPr>
        <w:spacing w:after="0" w:line="32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fair value of our electricity derivative liabilities and commodity derivative assets and liabilities classified as Level 3 measurements are estimated by applying the income approach, which is based on discounted projected future cash flows. The valuation of our electricity derivatives is based on management’s best estimate of certain key assumptions, which include extrapolated power forward curves for periods with unobservable market pricing, credit valuation adjustments utilizing estimated cash flows, estimated price volatility and probability of default, and the discount rate. The valuation of our commodity derivatives is based on management’s best estimate of certain key assumptions, which include an estimated differential factor for varying quality of commodity and the discount rate.</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Pr>
          <w:p>
            <w:pPr>
              <w:spacing w:after="0"/>
              <w:rPr>
                <w:sz w:val="17"/>
                <w:szCs w:val="17"/>
                <w:color w:val="auto"/>
              </w:rPr>
            </w:pPr>
          </w:p>
        </w:tc>
        <w:tc>
          <w:tcPr>
            <w:tcW w:w="1880" w:type="dxa"/>
            <w:vAlign w:val="bottom"/>
          </w:tcPr>
          <w:p>
            <w:pPr>
              <w:jc w:val="right"/>
              <w:ind w:right="34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7"/>
                <w:szCs w:val="17"/>
                <w:color w:val="auto"/>
                <w:vertAlign w:val="superscript"/>
              </w:rPr>
              <w:t>(1)</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41,545</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42,633</w:t>
            </w: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7"/>
                <w:szCs w:val="17"/>
                <w:color w:val="auto"/>
                <w:vertAlign w:val="superscript"/>
              </w:rPr>
              <w:t>(1)</w:t>
            </w:r>
          </w:p>
        </w:tc>
        <w:tc>
          <w:tcPr>
            <w:tcW w:w="260" w:type="dxa"/>
            <w:vAlign w:val="bottom"/>
          </w:tcPr>
          <w:p>
            <w:pPr>
              <w:spacing w:after="0"/>
              <w:rPr>
                <w:sz w:val="23"/>
                <w:szCs w:val="23"/>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b w:val="1"/>
                <w:bCs w:val="1"/>
                <w:color w:val="auto"/>
              </w:rPr>
              <w:t>147,261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149,582</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 due 2022</w:t>
            </w:r>
          </w:p>
        </w:tc>
        <w:tc>
          <w:tcPr>
            <w:tcW w:w="26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732,774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551,144</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Senior Notes due 2025</w:t>
            </w:r>
          </w:p>
        </w:tc>
        <w:tc>
          <w:tcPr>
            <w:tcW w:w="260" w:type="dxa"/>
            <w:vAlign w:val="bottom"/>
          </w:tcPr>
          <w:p>
            <w:pPr>
              <w:spacing w:after="0"/>
              <w:rPr>
                <w:sz w:val="22"/>
                <w:szCs w:val="22"/>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b w:val="1"/>
                <w:bCs w:val="1"/>
                <w:color w:val="auto"/>
              </w:rPr>
              <w:t>463,455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283,965</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Fair value is based upon market prices for similar municipal securities.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10. DERIVATIVE FINANCIAL INSTRUMENTS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Electricity Derivatives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subject to electricity price volatility stemming from the anticipated sales of electricity from our Long Ridge power generation plant under construction. From time to time, we enter into electricity swap agreements to manage our exposure to electricity price fluctuations. Certain derivatives are designated as hedging instruments within cash flow hedging relationships and certain other derivatives are not designated as hedging instruments.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Commodity Derivatives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Depending on market conditions, we source crude oil from producers in Canada, arranging logistics to Jefferson Terminal and marketing crude oil to third parties. These crude oil forward purchase and sales contracts are not designated in hedging relationships.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0" w:right="239" w:bottom="1440" w:gutter="0" w:footer="0" w:header="0"/>
        </w:sectPr>
      </w:pPr>
    </w:p>
    <w:bookmarkStart w:id="23" w:name="page24"/>
    <w:bookmarkEnd w:id="23"/>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outstanding derivative contracts: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 of</w:t>
            </w:r>
          </w:p>
        </w:tc>
        <w:tc>
          <w:tcPr>
            <w:tcW w:w="1600" w:type="dxa"/>
            <w:vAlign w:val="bottom"/>
          </w:tcPr>
          <w:p>
            <w:pPr>
              <w:spacing w:after="0"/>
              <w:rPr>
                <w:sz w:val="14"/>
                <w:szCs w:val="14"/>
                <w:color w:val="auto"/>
              </w:rPr>
            </w:pPr>
          </w:p>
        </w:tc>
      </w:tr>
      <w:tr>
        <w:trPr>
          <w:trHeight w:val="202"/>
        </w:trPr>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Notional Amount</w:t>
            </w: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Fair Value of Assets </w:t>
            </w:r>
            <w:r>
              <w:rPr>
                <w:rFonts w:ascii="Arial" w:cs="Arial" w:eastAsia="Arial" w:hAnsi="Arial"/>
                <w:sz w:val="17"/>
                <w:szCs w:val="17"/>
                <w:b w:val="1"/>
                <w:bCs w:val="1"/>
                <w:color w:val="auto"/>
                <w:vertAlign w:val="superscript"/>
              </w:rPr>
              <w:t>(1)</w:t>
            </w:r>
          </w:p>
        </w:tc>
        <w:tc>
          <w:tcPr>
            <w:tcW w:w="24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Liabilities </w:t>
            </w:r>
            <w:r>
              <w:rPr>
                <w:rFonts w:ascii="Arial" w:cs="Arial" w:eastAsia="Arial" w:hAnsi="Arial"/>
                <w:sz w:val="17"/>
                <w:szCs w:val="17"/>
                <w:b w:val="1"/>
                <w:bCs w:val="1"/>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223"/>
        </w:trPr>
        <w:tc>
          <w:tcPr>
            <w:tcW w:w="47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2019</w:t>
            </w: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Derivatives Designated in Cash Flow Hedges:</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Electricity swaps (MWh)</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29,278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29,378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7 to 10 years</w:t>
            </w: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Non-hedge Derivative Instruments:</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Electricity swaps (MWh)</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4,207</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7 to 10 years</w:t>
            </w:r>
          </w:p>
        </w:tc>
      </w:tr>
      <w:tr>
        <w:trPr>
          <w:trHeight w:val="264"/>
        </w:trPr>
        <w:tc>
          <w:tcPr>
            <w:tcW w:w="40" w:type="dxa"/>
            <w:vAlign w:val="bottom"/>
          </w:tcPr>
          <w:p>
            <w:pPr>
              <w:spacing w:after="0"/>
              <w:rPr>
                <w:sz w:val="22"/>
                <w:szCs w:val="22"/>
                <w:color w:val="auto"/>
              </w:rPr>
            </w:pPr>
          </w:p>
        </w:tc>
        <w:tc>
          <w:tcPr>
            <w:tcW w:w="4660" w:type="dxa"/>
            <w:vAlign w:val="bottom"/>
            <w:gridSpan w:val="3"/>
          </w:tcPr>
          <w:p>
            <w:pPr>
              <w:ind w:left="140"/>
              <w:spacing w:after="0"/>
              <w:rPr>
                <w:sz w:val="20"/>
                <w:szCs w:val="20"/>
                <w:color w:val="auto"/>
              </w:rPr>
            </w:pPr>
            <w:r>
              <w:rPr>
                <w:rFonts w:ascii="Arial" w:cs="Arial" w:eastAsia="Arial" w:hAnsi="Arial"/>
                <w:sz w:val="14"/>
                <w:szCs w:val="14"/>
                <w:color w:val="auto"/>
              </w:rPr>
              <w:t>Crude oil forwards (BBL)</w:t>
            </w:r>
          </w:p>
        </w:tc>
        <w:tc>
          <w:tcPr>
            <w:tcW w:w="1600" w:type="dxa"/>
            <w:vAlign w:val="bottom"/>
          </w:tcPr>
          <w:p>
            <w:pPr>
              <w:jc w:val="right"/>
              <w:ind w:right="48"/>
              <w:spacing w:after="0"/>
              <w:rPr>
                <w:sz w:val="20"/>
                <w:szCs w:val="20"/>
                <w:color w:val="auto"/>
              </w:rPr>
            </w:pPr>
            <w:r>
              <w:rPr>
                <w:rFonts w:ascii="Arial" w:cs="Arial" w:eastAsia="Arial" w:hAnsi="Arial"/>
                <w:sz w:val="14"/>
                <w:szCs w:val="14"/>
                <w:b w:val="1"/>
                <w:bCs w:val="1"/>
                <w:color w:val="auto"/>
              </w:rPr>
              <w:t>529</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688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1 to 3 months</w:t>
            </w:r>
          </w:p>
        </w:tc>
      </w:tr>
      <w:tr>
        <w:trPr>
          <w:trHeight w:val="330"/>
        </w:trPr>
        <w:tc>
          <w:tcPr>
            <w:tcW w:w="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30"/>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2018</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7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in Cash Flow Hedges:</w:t>
            </w: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4660" w:type="dxa"/>
            <w:vAlign w:val="bottom"/>
            <w:gridSpan w:val="3"/>
          </w:tcPr>
          <w:p>
            <w:pPr>
              <w:ind w:left="140"/>
              <w:spacing w:after="0"/>
              <w:rPr>
                <w:sz w:val="20"/>
                <w:szCs w:val="20"/>
                <w:color w:val="auto"/>
              </w:rPr>
            </w:pPr>
            <w:r>
              <w:rPr>
                <w:rFonts w:ascii="Arial" w:cs="Arial" w:eastAsia="Arial" w:hAnsi="Arial"/>
                <w:sz w:val="14"/>
                <w:szCs w:val="14"/>
                <w:color w:val="auto"/>
              </w:rPr>
              <w:t>Electricity swaps (MWh)</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276"/>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Non-hedge Derivative Instruments:</w:t>
            </w: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660" w:type="dxa"/>
            <w:vAlign w:val="bottom"/>
            <w:gridSpan w:val="3"/>
          </w:tcPr>
          <w:p>
            <w:pPr>
              <w:ind w:left="140"/>
              <w:spacing w:after="0"/>
              <w:rPr>
                <w:sz w:val="20"/>
                <w:szCs w:val="20"/>
                <w:color w:val="auto"/>
              </w:rPr>
            </w:pPr>
            <w:r>
              <w:rPr>
                <w:rFonts w:ascii="Arial" w:cs="Arial" w:eastAsia="Arial" w:hAnsi="Arial"/>
                <w:sz w:val="14"/>
                <w:szCs w:val="14"/>
                <w:color w:val="auto"/>
              </w:rPr>
              <w:t>Electricity swaps (MWh)</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Crude oil forwards (BBL)</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 to 12 months</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Included in Other assets and Other liabilities, respectively, in our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fair value for all Level 3 derivatives:</w:t>
      </w: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6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rPr>
              <w:t>Three Months Ended September 30, 2019</w:t>
            </w:r>
          </w:p>
        </w:tc>
        <w:tc>
          <w:tcPr>
            <w:tcW w:w="180" w:type="dxa"/>
            <w:vAlign w:val="bottom"/>
          </w:tcPr>
          <w:p>
            <w:pPr>
              <w:spacing w:after="0"/>
              <w:rPr>
                <w:sz w:val="17"/>
                <w:szCs w:val="17"/>
                <w:color w:val="auto"/>
              </w:rPr>
            </w:pPr>
          </w:p>
        </w:tc>
        <w:tc>
          <w:tcPr>
            <w:tcW w:w="3960" w:type="dxa"/>
            <w:vAlign w:val="bottom"/>
            <w:gridSpan w:val="7"/>
          </w:tcPr>
          <w:p>
            <w:pPr>
              <w:jc w:val="right"/>
              <w:ind w:right="628"/>
              <w:spacing w:after="0"/>
              <w:rPr>
                <w:sz w:val="20"/>
                <w:szCs w:val="20"/>
                <w:color w:val="auto"/>
              </w:rPr>
            </w:pPr>
            <w:r>
              <w:rPr>
                <w:rFonts w:ascii="Arial" w:cs="Arial" w:eastAsia="Arial" w:hAnsi="Arial"/>
                <w:sz w:val="14"/>
                <w:szCs w:val="14"/>
                <w:b w:val="1"/>
                <w:bCs w:val="1"/>
                <w:color w:val="auto"/>
              </w:rPr>
              <w:t>Nine Months Ended September 30, 2019</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Crude Oil</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Electricity</w:t>
            </w: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Crude Oil</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Electricity Swaps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Forwards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Swaps</w:t>
            </w: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Forwards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42,761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4,277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6,545</w:t>
            </w:r>
          </w:p>
        </w:tc>
        <w:tc>
          <w:tcPr>
            <w:tcW w:w="0" w:type="dxa"/>
            <w:vAlign w:val="bottom"/>
          </w:tcPr>
          <w:p>
            <w:pPr>
              <w:spacing w:after="0"/>
              <w:rPr>
                <w:sz w:val="1"/>
                <w:szCs w:val="1"/>
                <w:color w:val="auto"/>
              </w:rPr>
            </w:pPr>
          </w:p>
        </w:tc>
      </w:tr>
      <w:tr>
        <w:trPr>
          <w:trHeight w:val="194"/>
        </w:trPr>
        <w:tc>
          <w:tcPr>
            <w:tcW w:w="3060" w:type="dxa"/>
            <w:vAlign w:val="bottom"/>
          </w:tcPr>
          <w:p>
            <w:pPr>
              <w:ind w:left="20"/>
              <w:spacing w:after="0"/>
              <w:rPr>
                <w:sz w:val="20"/>
                <w:szCs w:val="20"/>
                <w:color w:val="auto"/>
              </w:rPr>
            </w:pPr>
            <w:r>
              <w:rPr>
                <w:rFonts w:ascii="Arial" w:cs="Arial" w:eastAsia="Arial" w:hAnsi="Arial"/>
                <w:sz w:val="14"/>
                <w:szCs w:val="14"/>
                <w:color w:val="auto"/>
              </w:rPr>
              <w:t>Net unrealized (losses) gains recognized in</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060" w:type="dxa"/>
            <w:vAlign w:val="bottom"/>
          </w:tcPr>
          <w:p>
            <w:pPr>
              <w:ind w:left="20"/>
              <w:spacing w:after="0"/>
              <w:rPr>
                <w:sz w:val="20"/>
                <w:szCs w:val="20"/>
                <w:color w:val="auto"/>
              </w:rPr>
            </w:pPr>
            <w:r>
              <w:rPr>
                <w:rFonts w:ascii="Arial" w:cs="Arial" w:eastAsia="Arial" w:hAnsi="Arial"/>
                <w:sz w:val="14"/>
                <w:szCs w:val="14"/>
                <w:color w:val="auto"/>
              </w:rPr>
              <w:t>earnings</w:t>
            </w:r>
          </w:p>
        </w:tc>
        <w:tc>
          <w:tcPr>
            <w:tcW w:w="36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(3,736)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1,873</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(6,003)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(4,130)</w:t>
            </w:r>
          </w:p>
        </w:tc>
        <w:tc>
          <w:tcPr>
            <w:tcW w:w="0" w:type="dxa"/>
            <w:vAlign w:val="bottom"/>
          </w:tcPr>
          <w:p>
            <w:pPr>
              <w:spacing w:after="0"/>
              <w:rPr>
                <w:sz w:val="1"/>
                <w:szCs w:val="1"/>
                <w:color w:val="auto"/>
              </w:rPr>
            </w:pPr>
          </w:p>
        </w:tc>
      </w:tr>
      <w:tr>
        <w:trPr>
          <w:trHeight w:val="200"/>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(Losses) gains recognized in other</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7"/>
              <w:spacing w:after="0"/>
              <w:rPr>
                <w:sz w:val="20"/>
                <w:szCs w:val="20"/>
                <w:color w:val="auto"/>
              </w:rPr>
            </w:pPr>
            <w:r>
              <w:rPr>
                <w:rFonts w:ascii="Arial" w:cs="Arial" w:eastAsia="Arial" w:hAnsi="Arial"/>
                <w:sz w:val="9"/>
                <w:szCs w:val="9"/>
                <w:color w:val="auto"/>
                <w:w w:val="90"/>
              </w:rPr>
              <w:t>(1)</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(10,866)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29,378</w:t>
            </w:r>
          </w:p>
        </w:tc>
        <w:tc>
          <w:tcPr>
            <w:tcW w:w="3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29,378</w:t>
            </w:r>
          </w:p>
        </w:tc>
        <w:tc>
          <w:tcPr>
            <w:tcW w:w="0" w:type="dxa"/>
            <w:vAlign w:val="bottom"/>
          </w:tcPr>
          <w:p>
            <w:pPr>
              <w:spacing w:after="0"/>
              <w:rPr>
                <w:sz w:val="1"/>
                <w:szCs w:val="1"/>
                <w:color w:val="auto"/>
              </w:rPr>
            </w:pPr>
          </w:p>
        </w:tc>
      </w:tr>
      <w:tr>
        <w:trPr>
          <w:trHeight w:val="264"/>
        </w:trPr>
        <w:tc>
          <w:tcPr>
            <w:tcW w:w="3060" w:type="dxa"/>
            <w:vAlign w:val="bottom"/>
          </w:tcPr>
          <w:p>
            <w:pPr>
              <w:ind w:left="20"/>
              <w:spacing w:after="0"/>
              <w:rPr>
                <w:sz w:val="20"/>
                <w:szCs w:val="20"/>
                <w:color w:val="auto"/>
              </w:rPr>
            </w:pPr>
            <w:r>
              <w:rPr>
                <w:rFonts w:ascii="Arial" w:cs="Arial" w:eastAsia="Arial" w:hAnsi="Arial"/>
                <w:sz w:val="14"/>
                <w:szCs w:val="14"/>
                <w:color w:val="auto"/>
              </w:rPr>
              <w:t>Purchases</w:t>
            </w:r>
          </w:p>
        </w:tc>
        <w:tc>
          <w:tcPr>
            <w:tcW w:w="36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76"/>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3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31,251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31,792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31,251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31,792</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We entered this contract during the nine months ended September 30, 2019.</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into or out of Level 3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pretax gains and losses on our derivative contracts: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Electricity Swaps: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180"/>
              <w:spacing w:after="0"/>
              <w:rPr>
                <w:sz w:val="20"/>
                <w:szCs w:val="20"/>
                <w:color w:val="auto"/>
              </w:rPr>
            </w:pPr>
            <w:r>
              <w:rPr>
                <w:rFonts w:ascii="Arial" w:cs="Arial" w:eastAsia="Arial" w:hAnsi="Arial"/>
                <w:sz w:val="14"/>
                <w:szCs w:val="14"/>
                <w:color w:val="auto"/>
              </w:rPr>
              <w:t>(Losses) gains recognized in other comprehensive income</w:t>
            </w:r>
          </w:p>
        </w:tc>
        <w:tc>
          <w:tcPr>
            <w:tcW w:w="1060" w:type="dxa"/>
            <w:vAlign w:val="bottom"/>
            <w:vMerge w:val="restart"/>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(10,866)</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29,378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240" w:type="dxa"/>
            <w:vAlign w:val="bottom"/>
          </w:tcPr>
          <w:p>
            <w:pPr>
              <w:ind w:left="180"/>
              <w:spacing w:after="0"/>
              <w:rPr>
                <w:sz w:val="20"/>
                <w:szCs w:val="20"/>
                <w:color w:val="auto"/>
              </w:rPr>
            </w:pPr>
            <w:r>
              <w:rPr>
                <w:rFonts w:ascii="Arial" w:cs="Arial" w:eastAsia="Arial" w:hAnsi="Arial"/>
                <w:sz w:val="14"/>
                <w:szCs w:val="14"/>
                <w:color w:val="auto"/>
              </w:rPr>
              <w:t>before reclassifications</w:t>
            </w:r>
          </w:p>
        </w:tc>
        <w:tc>
          <w:tcPr>
            <w:tcW w:w="10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Gains (losses) reclassified from accumulated other</w:t>
            </w:r>
          </w:p>
        </w:tc>
        <w:tc>
          <w:tcPr>
            <w:tcW w:w="10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comprehensive income</w:t>
            </w:r>
          </w:p>
        </w:tc>
        <w:tc>
          <w:tcPr>
            <w:tcW w:w="10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(Losses) gains recognized in earnings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(644)</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1,873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Crude Oil Forwards: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240" w:type="dxa"/>
            <w:vAlign w:val="bottom"/>
          </w:tcPr>
          <w:p>
            <w:pPr>
              <w:ind w:left="180"/>
              <w:spacing w:after="0"/>
              <w:rPr>
                <w:sz w:val="20"/>
                <w:szCs w:val="20"/>
                <w:color w:val="auto"/>
              </w:rPr>
            </w:pPr>
            <w:r>
              <w:rPr>
                <w:rFonts w:ascii="Arial" w:cs="Arial" w:eastAsia="Arial" w:hAnsi="Arial"/>
                <w:sz w:val="14"/>
                <w:szCs w:val="14"/>
                <w:color w:val="auto"/>
              </w:rPr>
              <w:t>Losses recognized in earnings</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(3,736)</w:t>
            </w:r>
          </w:p>
        </w:tc>
        <w:tc>
          <w:tcPr>
            <w:tcW w:w="120" w:type="dxa"/>
            <w:vAlign w:val="bottom"/>
          </w:tcPr>
          <w:p>
            <w:pPr>
              <w:spacing w:after="0"/>
              <w:rPr>
                <w:sz w:val="22"/>
                <w:szCs w:val="22"/>
                <w:color w:val="auto"/>
              </w:rPr>
            </w:pPr>
          </w:p>
        </w:tc>
        <w:tc>
          <w:tcPr>
            <w:tcW w:w="126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(6,003)</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2019, we do not expect any gains or losses on our electricity swaps to be reclassified into revenue in the next 12 months. As of September 30, 2019, the maximum length of time over which we are hedging forecasted electricity sales is 13 years.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11. REVENUES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840 prior to January 1, 2019 and ASC 842 after January 1, 2019, while revenues attributed to our Infrastructure business unit are within the scope of ASC 606, unless otherwise noted. Under the provisions of ASC 842, we have elected to exclude sales and other similar taxes from lease payments in arrangements where we are a lessor.</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8"/>
          </w:tcPr>
          <w:p>
            <w:pPr>
              <w:ind w:left="760"/>
              <w:spacing w:after="0"/>
              <w:rPr>
                <w:sz w:val="20"/>
                <w:szCs w:val="20"/>
                <w:color w:val="auto"/>
              </w:rPr>
            </w:pPr>
            <w:r>
              <w:rPr>
                <w:rFonts w:ascii="Arial" w:cs="Arial" w:eastAsia="Arial" w:hAnsi="Arial"/>
                <w:sz w:val="14"/>
                <w:szCs w:val="14"/>
                <w:b w:val="1"/>
                <w:bCs w:val="1"/>
                <w:color w:val="auto"/>
              </w:rPr>
              <w:t>Three Months Ended September 30, 2019</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2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2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50,169</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666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50,835</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35,426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35,426</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496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496</w:t>
            </w: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502</w:t>
            </w:r>
          </w:p>
        </w:tc>
      </w:tr>
      <w:tr>
        <w:trPr>
          <w:trHeight w:val="250"/>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0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86,305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954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87,259</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627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876</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Rail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10,251</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Terminal services revenues</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9,505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2,330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11,835</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Crude marketing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50,405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50,405</w:t>
            </w: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1,595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1,595</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60,537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4,174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74,962</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86,305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60,537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10,251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4,174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954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162,221</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88"/>
        </w:trPr>
        <w:tc>
          <w:tcPr>
            <w:tcW w:w="2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ind w:left="760"/>
              <w:spacing w:after="0"/>
              <w:rPr>
                <w:sz w:val="20"/>
                <w:szCs w:val="20"/>
                <w:color w:val="auto"/>
              </w:rPr>
            </w:pPr>
            <w:r>
              <w:rPr>
                <w:rFonts w:ascii="Arial" w:cs="Arial" w:eastAsia="Arial" w:hAnsi="Arial"/>
                <w:sz w:val="14"/>
                <w:szCs w:val="14"/>
                <w:b w:val="1"/>
                <w:bCs w:val="1"/>
                <w:color w:val="auto"/>
              </w:rPr>
              <w:t>Three Months Ended September 30, 2018</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2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2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41,040</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41,622</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27,575</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1,164</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w:t>
            </w:r>
          </w:p>
        </w:tc>
      </w:tr>
      <w:tr>
        <w:trPr>
          <w:trHeight w:val="24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0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69,791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70,890</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273</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Rail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8,907</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Terminal services revenues</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2,522</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Crude marketing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15,227</w:t>
            </w: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3,336</w:t>
            </w: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0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17,836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30,265</w:t>
            </w:r>
          </w:p>
        </w:tc>
      </w:tr>
      <w:tr>
        <w:trPr>
          <w:trHeight w:val="237"/>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69,791</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17,836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8,907</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3,522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1,099</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101,155</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Nine Months Ended September 30, 2019</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2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2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146,203</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5,756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151,959</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82,572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82,572</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2,203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2,203</w:t>
            </w: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2,177</w:t>
            </w:r>
          </w:p>
        </w:tc>
      </w:tr>
      <w:tr>
        <w:trPr>
          <w:trHeight w:val="250"/>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0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231,697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7,214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238,911</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1,756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869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2,625</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Rail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30,735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30,735</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Terminal services revenues</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21,909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5,176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27,085</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Crude marketing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140,388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140,388</w:t>
            </w: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6,109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6,109</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164,053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30,735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206,942</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231,697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164,053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30,735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12,154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7,214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445,853</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88"/>
        </w:trPr>
        <w:tc>
          <w:tcPr>
            <w:tcW w:w="2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Nine Months Ended September 30, 2018</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2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2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109,663</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4,699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114,362</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67,000</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1,047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2,143</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934</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2,499</w:t>
            </w:r>
          </w:p>
        </w:tc>
      </w:tr>
      <w:tr>
        <w:trPr>
          <w:trHeight w:val="24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0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178,644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186,004</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1,072</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Rail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28,742</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Terminal services revenues</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6,325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6,325</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Crude marketing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15,227</w:t>
            </w: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4,608</w:t>
            </w: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0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21,639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28,742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55,974</w:t>
            </w:r>
          </w:p>
        </w:tc>
      </w:tr>
      <w:tr>
        <w:trPr>
          <w:trHeight w:val="237"/>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178,644</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21,639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28,742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5,593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7,360</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241,978</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Presented below are the contracted minimum future annual revenues to be received under existing operating and finance leases across several market sectors as of September 30, 2019:</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60" w:type="dxa"/>
            <w:vAlign w:val="bottom"/>
          </w:tcPr>
          <w:p>
            <w:pPr>
              <w:spacing w:after="0"/>
              <w:rPr>
                <w:sz w:val="17"/>
                <w:szCs w:val="17"/>
                <w:color w:val="auto"/>
              </w:rPr>
            </w:pPr>
          </w:p>
        </w:tc>
        <w:tc>
          <w:tcPr>
            <w:tcW w:w="1660" w:type="dxa"/>
            <w:vAlign w:val="bottom"/>
          </w:tcPr>
          <w:p>
            <w:pPr>
              <w:jc w:val="right"/>
              <w:ind w:right="348"/>
              <w:spacing w:after="0"/>
              <w:rPr>
                <w:sz w:val="20"/>
                <w:szCs w:val="20"/>
                <w:color w:val="auto"/>
              </w:rPr>
            </w:pPr>
            <w:r>
              <w:rPr>
                <w:rFonts w:ascii="Arial" w:cs="Arial" w:eastAsia="Arial" w:hAnsi="Arial"/>
                <w:sz w:val="14"/>
                <w:szCs w:val="14"/>
                <w:b w:val="1"/>
                <w:bCs w:val="1"/>
                <w:color w:val="auto"/>
              </w:rPr>
              <w:t>Finance Leases</w:t>
            </w: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Remainder of 2019</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53,631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446</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141,446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1,611</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102,367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65,415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897</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40,271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447,191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4,518</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65"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065" w:gutter="0" w:footer="0" w:header="0"/>
          <w:type w:val="continuous"/>
        </w:sectPr>
      </w:pPr>
    </w:p>
    <w:bookmarkStart w:id="26" w:name="page27"/>
    <w:bookmarkEnd w:id="26"/>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12. LEASES</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have commitments as lessees under lease arrangements primarily for real estate, equipment and vehicles. Our leases have remaining lease terms ranging from 2 months to 46 years.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lease related costs: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17"/>
                <w:szCs w:val="17"/>
                <w:color w:val="auto"/>
              </w:rPr>
            </w:pPr>
          </w:p>
        </w:tc>
        <w:tc>
          <w:tcPr>
            <w:tcW w:w="1820" w:type="dxa"/>
            <w:vAlign w:val="bottom"/>
          </w:tcPr>
          <w:p>
            <w:pPr>
              <w:jc w:val="right"/>
              <w:ind w:right="268"/>
              <w:spacing w:after="0"/>
              <w:rPr>
                <w:sz w:val="20"/>
                <w:szCs w:val="20"/>
                <w:color w:val="auto"/>
              </w:rPr>
            </w:pPr>
            <w:r>
              <w:rPr>
                <w:rFonts w:ascii="Arial" w:cs="Arial" w:eastAsia="Arial" w:hAnsi="Arial"/>
                <w:sz w:val="14"/>
                <w:szCs w:val="14"/>
                <w:b w:val="1"/>
                <w:bCs w:val="1"/>
                <w:color w:val="auto"/>
              </w:rPr>
              <w:t>September 30, 2019</w:t>
            </w:r>
          </w:p>
        </w:tc>
      </w:tr>
      <w:tr>
        <w:trPr>
          <w:trHeight w:val="270"/>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Finance Leases</w:t>
            </w:r>
          </w:p>
        </w:tc>
        <w:tc>
          <w:tcPr>
            <w:tcW w:w="220" w:type="dxa"/>
            <w:vAlign w:val="bottom"/>
            <w:tcBorders>
              <w:top w:val="single" w:sz="8" w:color="auto"/>
            </w:tcBorders>
            <w:shd w:val="clear" w:color="auto" w:fill="CCEEFF"/>
          </w:tcPr>
          <w:p>
            <w:pPr>
              <w:spacing w:after="0"/>
              <w:rPr>
                <w:sz w:val="23"/>
                <w:szCs w:val="23"/>
                <w:color w:val="auto"/>
              </w:rPr>
            </w:pPr>
          </w:p>
        </w:tc>
        <w:tc>
          <w:tcPr>
            <w:tcW w:w="1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820" w:type="dxa"/>
            <w:vAlign w:val="bottom"/>
            <w:tcBorders>
              <w:top w:val="single" w:sz="8" w:color="auto"/>
            </w:tcBorders>
            <w:shd w:val="clear" w:color="auto" w:fill="CCEEFF"/>
          </w:tcPr>
          <w:p>
            <w:pPr>
              <w:spacing w:after="0"/>
              <w:rPr>
                <w:sz w:val="23"/>
                <w:szCs w:val="23"/>
                <w:color w:val="auto"/>
              </w:rPr>
            </w:pP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Amortization of right-of-use assets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on lease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r>
      <w:tr>
        <w:trPr>
          <w:trHeight w:val="250"/>
        </w:trPr>
        <w:tc>
          <w:tcPr>
            <w:tcW w:w="7200" w:type="dxa"/>
            <w:vAlign w:val="bottom"/>
          </w:tcPr>
          <w:p>
            <w:pPr>
              <w:ind w:left="40"/>
              <w:spacing w:after="0"/>
              <w:rPr>
                <w:sz w:val="20"/>
                <w:szCs w:val="20"/>
                <w:color w:val="auto"/>
              </w:rPr>
            </w:pPr>
            <w:r>
              <w:rPr>
                <w:rFonts w:ascii="Arial" w:cs="Arial" w:eastAsia="Arial" w:hAnsi="Arial"/>
                <w:sz w:val="14"/>
                <w:szCs w:val="14"/>
                <w:color w:val="auto"/>
              </w:rPr>
              <w:t>Finance lease expense</w:t>
            </w:r>
          </w:p>
        </w:tc>
        <w:tc>
          <w:tcPr>
            <w:tcW w:w="220" w:type="dxa"/>
            <w:vAlign w:val="bottom"/>
          </w:tcPr>
          <w:p>
            <w:pPr>
              <w:spacing w:after="0"/>
              <w:rPr>
                <w:sz w:val="21"/>
                <w:szCs w:val="21"/>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234</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expense</w:t>
            </w:r>
          </w:p>
        </w:tc>
        <w:tc>
          <w:tcPr>
            <w:tcW w:w="2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7,605</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Short-term lease expense</w:t>
            </w:r>
          </w:p>
        </w:tc>
        <w:tc>
          <w:tcPr>
            <w:tcW w:w="220" w:type="dxa"/>
            <w:vAlign w:val="bottom"/>
          </w:tcPr>
          <w:p>
            <w:pPr>
              <w:spacing w:after="0"/>
              <w:rPr>
                <w:sz w:val="22"/>
                <w:szCs w:val="22"/>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2,344</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Variable lease expense</w:t>
            </w:r>
          </w:p>
        </w:tc>
        <w:tc>
          <w:tcPr>
            <w:tcW w:w="2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1,475</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Sublease income</w:t>
            </w:r>
          </w:p>
        </w:tc>
        <w:tc>
          <w:tcPr>
            <w:tcW w:w="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w:t>
            </w: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lease expense</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10,825</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operating leases as of and for the nine months ended September 30,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Right-of-use assets, net</w:t>
            </w:r>
          </w:p>
        </w:tc>
        <w:tc>
          <w:tcPr>
            <w:tcW w:w="25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42,590</w:t>
            </w:r>
          </w:p>
        </w:tc>
      </w:tr>
      <w:tr>
        <w:trPr>
          <w:trHeight w:val="210"/>
        </w:trPr>
        <w:tc>
          <w:tcPr>
            <w:tcW w:w="7460" w:type="dxa"/>
            <w:vAlign w:val="bottom"/>
          </w:tcPr>
          <w:p>
            <w:pPr>
              <w:ind w:left="40"/>
              <w:spacing w:after="0"/>
              <w:rPr>
                <w:sz w:val="20"/>
                <w:szCs w:val="20"/>
                <w:color w:val="auto"/>
              </w:rPr>
            </w:pPr>
            <w:r>
              <w:rPr>
                <w:rFonts w:ascii="Arial" w:cs="Arial" w:eastAsia="Arial" w:hAnsi="Arial"/>
                <w:sz w:val="14"/>
                <w:szCs w:val="14"/>
                <w:color w:val="auto"/>
              </w:rPr>
              <w:t>Lease liabilities</w:t>
            </w:r>
          </w:p>
        </w:tc>
        <w:tc>
          <w:tcPr>
            <w:tcW w:w="254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43,036</w:t>
            </w:r>
          </w:p>
        </w:tc>
      </w:tr>
      <w:tr>
        <w:trPr>
          <w:trHeight w:val="330"/>
        </w:trPr>
        <w:tc>
          <w:tcPr>
            <w:tcW w:w="74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10"/>
        </w:trPr>
        <w:tc>
          <w:tcPr>
            <w:tcW w:w="7460" w:type="dxa"/>
            <w:vAlign w:val="bottom"/>
          </w:tcPr>
          <w:p>
            <w:pPr>
              <w:ind w:left="40"/>
              <w:spacing w:after="0"/>
              <w:rPr>
                <w:sz w:val="20"/>
                <w:szCs w:val="20"/>
                <w:color w:val="auto"/>
              </w:rPr>
            </w:pPr>
            <w:r>
              <w:rPr>
                <w:rFonts w:ascii="Arial" w:cs="Arial" w:eastAsia="Arial" w:hAnsi="Arial"/>
                <w:sz w:val="14"/>
                <w:szCs w:val="14"/>
                <w:color w:val="auto"/>
              </w:rPr>
              <w:t>Weighted average remaining lease term</w:t>
            </w:r>
          </w:p>
        </w:tc>
        <w:tc>
          <w:tcPr>
            <w:tcW w:w="254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36.4 years</w:t>
            </w:r>
          </w:p>
        </w:tc>
      </w:tr>
      <w:tr>
        <w:trPr>
          <w:trHeight w:val="222"/>
        </w:trPr>
        <w:tc>
          <w:tcPr>
            <w:tcW w:w="7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incremental borrowing rate</w:t>
            </w:r>
          </w:p>
        </w:tc>
        <w:tc>
          <w:tcPr>
            <w:tcW w:w="25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324"/>
        </w:trPr>
        <w:tc>
          <w:tcPr>
            <w:tcW w:w="7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7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paid for amounts included in the measurement of operating lease liabilities</w:t>
            </w:r>
          </w:p>
        </w:tc>
        <w:tc>
          <w:tcPr>
            <w:tcW w:w="2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4"/>
        </w:trPr>
        <w:tc>
          <w:tcPr>
            <w:tcW w:w="7460" w:type="dxa"/>
            <w:vAlign w:val="bottom"/>
          </w:tcPr>
          <w:p>
            <w:pPr>
              <w:ind w:left="180"/>
              <w:spacing w:after="0"/>
              <w:rPr>
                <w:sz w:val="20"/>
                <w:szCs w:val="20"/>
                <w:color w:val="auto"/>
              </w:rPr>
            </w:pPr>
            <w:r>
              <w:rPr>
                <w:rFonts w:ascii="Arial" w:cs="Arial" w:eastAsia="Arial" w:hAnsi="Arial"/>
                <w:sz w:val="14"/>
                <w:szCs w:val="14"/>
                <w:color w:val="auto"/>
              </w:rPr>
              <w:t>Operating cash flows</w:t>
            </w:r>
          </w:p>
        </w:tc>
        <w:tc>
          <w:tcPr>
            <w:tcW w:w="25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7,570</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future minimum lease payments under non-cancellable operating leases as of September 30,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Remainder of 2019</w:t>
            </w:r>
          </w:p>
        </w:tc>
        <w:tc>
          <w:tcPr>
            <w:tcW w:w="78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2,446</w:t>
            </w:r>
          </w:p>
        </w:tc>
      </w:tr>
      <w:tr>
        <w:trPr>
          <w:trHeight w:val="210"/>
        </w:trPr>
        <w:tc>
          <w:tcPr>
            <w:tcW w:w="9360" w:type="dxa"/>
            <w:vAlign w:val="bottom"/>
          </w:tcPr>
          <w:p>
            <w:pPr>
              <w:ind w:left="40"/>
              <w:spacing w:after="0"/>
              <w:rPr>
                <w:sz w:val="20"/>
                <w:szCs w:val="20"/>
                <w:color w:val="auto"/>
              </w:rPr>
            </w:pPr>
            <w:r>
              <w:rPr>
                <w:rFonts w:ascii="Arial" w:cs="Arial" w:eastAsia="Arial" w:hAnsi="Arial"/>
                <w:sz w:val="14"/>
                <w:szCs w:val="14"/>
                <w:color w:val="auto"/>
              </w:rPr>
              <w:t>2020</w:t>
            </w:r>
          </w:p>
        </w:tc>
        <w:tc>
          <w:tcPr>
            <w:tcW w:w="7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6,190</w:t>
            </w:r>
          </w:p>
        </w:tc>
      </w:tr>
      <w:tr>
        <w:trPr>
          <w:trHeight w:val="222"/>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4,820</w:t>
            </w:r>
          </w:p>
        </w:tc>
      </w:tr>
      <w:tr>
        <w:trPr>
          <w:trHeight w:val="210"/>
        </w:trPr>
        <w:tc>
          <w:tcPr>
            <w:tcW w:w="9360" w:type="dxa"/>
            <w:vAlign w:val="bottom"/>
          </w:tcPr>
          <w:p>
            <w:pPr>
              <w:ind w:left="40"/>
              <w:spacing w:after="0"/>
              <w:rPr>
                <w:sz w:val="20"/>
                <w:szCs w:val="20"/>
                <w:color w:val="auto"/>
              </w:rPr>
            </w:pPr>
            <w:r>
              <w:rPr>
                <w:rFonts w:ascii="Arial" w:cs="Arial" w:eastAsia="Arial" w:hAnsi="Arial"/>
                <w:sz w:val="14"/>
                <w:szCs w:val="14"/>
                <w:color w:val="auto"/>
              </w:rPr>
              <w:t>2022</w:t>
            </w:r>
          </w:p>
        </w:tc>
        <w:tc>
          <w:tcPr>
            <w:tcW w:w="7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4,067</w:t>
            </w:r>
          </w:p>
        </w:tc>
      </w:tr>
      <w:tr>
        <w:trPr>
          <w:trHeight w:val="222"/>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3,150</w:t>
            </w:r>
          </w:p>
        </w:tc>
      </w:tr>
      <w:tr>
        <w:trPr>
          <w:trHeight w:val="21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108,029</w:t>
            </w:r>
          </w:p>
        </w:tc>
      </w:tr>
      <w:tr>
        <w:trPr>
          <w:trHeight w:val="21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undiscounted lease payments</w:t>
            </w: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128,702</w:t>
            </w:r>
          </w:p>
        </w:tc>
      </w:tr>
      <w:tr>
        <w:trPr>
          <w:trHeight w:val="21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Imputed interest</w:t>
            </w: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85,666</w:t>
            </w:r>
          </w:p>
        </w:tc>
      </w:tr>
      <w:tr>
        <w:trPr>
          <w:trHeight w:val="21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lease liabilities</w:t>
            </w:r>
          </w:p>
        </w:tc>
        <w:tc>
          <w:tcPr>
            <w:tcW w:w="78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43,036</w:t>
            </w:r>
          </w:p>
        </w:tc>
      </w:tr>
      <w:tr>
        <w:trPr>
          <w:trHeight w:val="20"/>
        </w:trPr>
        <w:tc>
          <w:tcPr>
            <w:tcW w:w="9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nine months ended September 30, 2019, we entered into lease agreements for real estate and office equipment that had a ROU asset value of $1.4 million and lease terms ranging from 5 years to 46 years at commencement.</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2019, we have an agreement for an office lease that has not yet commenced which we estimate will have a ROU asset value of $0.8 million. The lease is expected to commence in the fourth quarter of 2019 and has a lease term of seven years.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13. EQUITY-BASED COMPENSATION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of September 30, 2019, the Incentive Plan provides for the issuance of up to 30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80" w:type="dxa"/>
            <w:vAlign w:val="bottom"/>
          </w:tcPr>
          <w:p>
            <w:pPr>
              <w:spacing w:after="0"/>
              <w:rPr>
                <w:sz w:val="16"/>
                <w:szCs w:val="16"/>
                <w:color w:val="auto"/>
              </w:rPr>
            </w:pPr>
          </w:p>
        </w:tc>
        <w:tc>
          <w:tcPr>
            <w:tcW w:w="28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58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2180" w:type="dxa"/>
            <w:vAlign w:val="bottom"/>
          </w:tcPr>
          <w:p>
            <w:pPr>
              <w:jc w:val="center"/>
              <w:ind w:right="128"/>
              <w:spacing w:after="0"/>
              <w:rPr>
                <w:sz w:val="20"/>
                <w:szCs w:val="20"/>
                <w:color w:val="auto"/>
              </w:rPr>
            </w:pPr>
            <w:r>
              <w:rPr>
                <w:rFonts w:ascii="Arial" w:cs="Arial" w:eastAsia="Arial" w:hAnsi="Arial"/>
                <w:sz w:val="14"/>
                <w:szCs w:val="14"/>
                <w:b w:val="1"/>
                <w:bCs w:val="1"/>
                <w:color w:val="auto"/>
              </w:rPr>
              <w:t>Remaining Expense To Be</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80" w:type="dxa"/>
            <w:vAlign w:val="bottom"/>
            <w:vMerge w:val="restart"/>
          </w:tcPr>
          <w:p>
            <w:pPr>
              <w:jc w:val="center"/>
              <w:ind w:right="128"/>
              <w:spacing w:after="0" w:line="135" w:lineRule="exact"/>
              <w:rPr>
                <w:sz w:val="20"/>
                <w:szCs w:val="20"/>
                <w:color w:val="auto"/>
              </w:rPr>
            </w:pPr>
            <w:r>
              <w:rPr>
                <w:rFonts w:ascii="Arial" w:cs="Arial" w:eastAsia="Arial" w:hAnsi="Arial"/>
                <w:sz w:val="14"/>
                <w:szCs w:val="14"/>
                <w:b w:val="1"/>
                <w:bCs w:val="1"/>
                <w:color w:val="auto"/>
              </w:rPr>
              <w:t>Recognized, If All Vesting</w:t>
            </w:r>
          </w:p>
        </w:tc>
        <w:tc>
          <w:tcPr>
            <w:tcW w:w="216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61"/>
        </w:trPr>
        <w:tc>
          <w:tcPr>
            <w:tcW w:w="1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2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Conditions Are Met</w:t>
            </w:r>
          </w:p>
        </w:tc>
        <w:tc>
          <w:tcPr>
            <w:tcW w:w="2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Contractual Term, (in years)</w:t>
            </w:r>
          </w:p>
        </w:tc>
        <w:tc>
          <w:tcPr>
            <w:tcW w:w="0" w:type="dxa"/>
            <w:vAlign w:val="bottom"/>
          </w:tcPr>
          <w:p>
            <w:pPr>
              <w:spacing w:after="0"/>
              <w:rPr>
                <w:sz w:val="1"/>
                <w:szCs w:val="1"/>
                <w:color w:val="auto"/>
              </w:rPr>
            </w:pPr>
          </w:p>
        </w:tc>
      </w:tr>
      <w:tr>
        <w:trPr>
          <w:trHeight w:val="256"/>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860" w:type="dxa"/>
            <w:vAlign w:val="bottom"/>
            <w:shd w:val="clear" w:color="auto" w:fill="CCEEFF"/>
          </w:tcPr>
          <w:p>
            <w:pPr>
              <w:jc w:val="right"/>
              <w:ind w:right="668"/>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2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264"/>
        </w:trPr>
        <w:tc>
          <w:tcPr>
            <w:tcW w:w="1380" w:type="dxa"/>
            <w:vAlign w:val="bottom"/>
          </w:tcPr>
          <w:p>
            <w:pPr>
              <w:ind w:left="40"/>
              <w:spacing w:after="0"/>
              <w:rPr>
                <w:sz w:val="20"/>
                <w:szCs w:val="20"/>
                <w:color w:val="auto"/>
              </w:rPr>
            </w:pPr>
            <w:r>
              <w:rPr>
                <w:rFonts w:ascii="Arial" w:cs="Arial" w:eastAsia="Arial" w:hAnsi="Arial"/>
                <w:sz w:val="14"/>
                <w:szCs w:val="14"/>
                <w:color w:val="auto"/>
              </w:rPr>
              <w:t>Restricted Shares</w:t>
            </w:r>
          </w:p>
        </w:tc>
        <w:tc>
          <w:tcPr>
            <w:tcW w:w="860" w:type="dxa"/>
            <w:vAlign w:val="bottom"/>
          </w:tcPr>
          <w:p>
            <w:pPr>
              <w:spacing w:after="0"/>
              <w:rPr>
                <w:sz w:val="22"/>
                <w:szCs w:val="22"/>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b w:val="1"/>
                <w:bCs w:val="1"/>
                <w:color w:val="auto"/>
              </w:rPr>
              <w:t>273</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819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80" w:type="dxa"/>
            <w:vAlign w:val="bottom"/>
          </w:tcPr>
          <w:p>
            <w:pPr>
              <w:jc w:val="right"/>
              <w:ind w:right="28"/>
              <w:spacing w:after="0"/>
              <w:rPr>
                <w:sz w:val="20"/>
                <w:szCs w:val="20"/>
                <w:color w:val="auto"/>
              </w:rPr>
            </w:pPr>
            <w:r>
              <w:rPr>
                <w:rFonts w:ascii="Arial" w:cs="Arial" w:eastAsia="Arial" w:hAnsi="Arial"/>
                <w:sz w:val="14"/>
                <w:szCs w:val="14"/>
                <w:b w:val="1"/>
                <w:bCs w:val="1"/>
                <w:color w:val="auto"/>
              </w:rPr>
              <w:t>1,322</w:t>
            </w: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70"/>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Units</w:t>
            </w:r>
          </w:p>
        </w:tc>
        <w:tc>
          <w:tcPr>
            <w:tcW w:w="8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403</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3,369</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676</w:t>
            </w:r>
          </w:p>
        </w:tc>
        <w:tc>
          <w:tcPr>
            <w:tcW w:w="14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1,604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4,691</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2019, the Manager transferred 165,268 of its options to certain of the Manager’s employees.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Options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our September 2019 offering of preferred shares (see Note 17), we granted options to the Manager related to 575,384 common shares at an exercise price of $14.99, which had a grant date fair value of $0.7 million. The assumptions used in valuing the options were: a 1.45% risk-free rate, a 8.02% dividend yield, a 21.45% volatility and a ten-year term.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Common Units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nine months ended September 30, 2019, we issued 1,110,000 common units of our subsidiaries that had a grant date fair value of $3.4 million and vest over three years. These awards are subject to continued employment, and the compensation expense is recognized ratably over the vesting periods. The fair value of these awards was based on the fair value of the operating 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Restricted Shares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nine months ended September 30, 2019, we issued 113,121 restricted shares of our subsidiary that had a grant date fair value of $1.5 million, of which 25,138 shares vested during the period of issuance. The remaining shares vest over three years, subject to continued employment, and the compensation expense is recognized ratably over the vesting periods. The fair value of these awards was based on the fair value of the operating 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14.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(benefit) provision included in the Consolidated Statements of Operations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7"/>
                <w:szCs w:val="17"/>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w:t>
            </w: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Federal</w:t>
            </w:r>
          </w:p>
        </w:tc>
        <w:tc>
          <w:tcPr>
            <w:tcW w:w="1140" w:type="dxa"/>
            <w:vAlign w:val="bottom"/>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2"/>
                <w:szCs w:val="22"/>
                <w:color w:val="auto"/>
              </w:rPr>
            </w:pPr>
          </w:p>
        </w:tc>
        <w:tc>
          <w:tcPr>
            <w:tcW w:w="128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86</w:t>
            </w:r>
          </w:p>
        </w:tc>
        <w:tc>
          <w:tcPr>
            <w:tcW w:w="120" w:type="dxa"/>
            <w:vAlign w:val="bottom"/>
          </w:tcPr>
          <w:p>
            <w:pPr>
              <w:spacing w:after="0"/>
              <w:rPr>
                <w:sz w:val="22"/>
                <w:szCs w:val="22"/>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193</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and local</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r>
      <w:tr>
        <w:trPr>
          <w:trHeight w:val="264"/>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Foreign</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143</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r>
      <w:tr>
        <w:trPr>
          <w:trHeight w:val="25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provision</w:t>
            </w:r>
          </w:p>
        </w:tc>
        <w:tc>
          <w:tcPr>
            <w:tcW w:w="1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w:t>
            </w:r>
          </w:p>
        </w:tc>
        <w:tc>
          <w:tcPr>
            <w:tcW w:w="12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424</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r>
      <w:tr>
        <w:trPr>
          <w:trHeight w:val="324"/>
        </w:trPr>
        <w:tc>
          <w:tcPr>
            <w:tcW w:w="4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w:t>
            </w: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Federal</w:t>
            </w:r>
          </w:p>
        </w:tc>
        <w:tc>
          <w:tcPr>
            <w:tcW w:w="11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(1,760)</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1,096</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and local</w:t>
            </w:r>
          </w:p>
        </w:tc>
        <w:tc>
          <w:tcPr>
            <w:tcW w:w="1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r>
      <w:tr>
        <w:trPr>
          <w:trHeight w:val="264"/>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Foreign</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918</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1,133</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r>
      <w:tr>
        <w:trPr>
          <w:trHeight w:val="25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deferred (benefit) provision</w:t>
            </w:r>
          </w:p>
        </w:tc>
        <w:tc>
          <w:tcPr>
            <w:tcW w:w="1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918</w:t>
            </w:r>
          </w:p>
        </w:tc>
        <w:tc>
          <w:tcPr>
            <w:tcW w:w="12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(1,266)</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1,297</w:t>
            </w:r>
          </w:p>
        </w:tc>
      </w:tr>
      <w:tr>
        <w:trPr>
          <w:trHeight w:val="324"/>
        </w:trPr>
        <w:tc>
          <w:tcPr>
            <w:tcW w:w="42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(benefit) provision for income taxes</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1,004</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551</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(842)</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1,580</w:t>
            </w: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and for the nine months ended September 30, 2019,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2015. We do not believe that it is reasonably possible that the total amount of unrecognized tax benefits will significantly change within 12 months of the reporting date of September 30, 2019. The change in our effective tax rate and resulting tax benefit for the period ended September 30, 2019 is primarily driven by the reduction in taxes for one of our corporate subsidiaries as a result of an internal restructuring.</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15. MANAGEMENT AGREEMENT AND AFFILIATE TRANSACTIONS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0.05% of the Partnership and is the general partner of the Partnership.</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subsidiary of ours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Management fees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3,642</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3,866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10,817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11,527</w:t>
            </w: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incentive allocation</w:t>
            </w:r>
          </w:p>
        </w:tc>
        <w:tc>
          <w:tcPr>
            <w:tcW w:w="11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gains incentive allocation</w:t>
            </w:r>
          </w:p>
        </w:tc>
        <w:tc>
          <w:tcPr>
            <w:tcW w:w="1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3,736</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6,109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7,378</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3,846</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16,926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12,080</w:t>
            </w: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do not reimburse the Manager for these expenses.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Classification in the Consolidated Statements of Operations:</w:t>
            </w: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General and administrative expenses</w:t>
            </w:r>
          </w:p>
        </w:tc>
        <w:tc>
          <w:tcPr>
            <w:tcW w:w="1140" w:type="dxa"/>
            <w:vAlign w:val="bottom"/>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4,397</w:t>
            </w:r>
          </w:p>
        </w:tc>
        <w:tc>
          <w:tcPr>
            <w:tcW w:w="120" w:type="dxa"/>
            <w:vAlign w:val="bottom"/>
          </w:tcPr>
          <w:p>
            <w:pPr>
              <w:spacing w:after="0"/>
              <w:rPr>
                <w:sz w:val="22"/>
                <w:szCs w:val="22"/>
                <w:color w:val="auto"/>
              </w:rPr>
            </w:pPr>
          </w:p>
        </w:tc>
        <w:tc>
          <w:tcPr>
            <w:tcW w:w="122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2,327</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9,959</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6,935</w:t>
            </w: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and transaction expenses</w:t>
            </w:r>
          </w:p>
        </w:tc>
        <w:tc>
          <w:tcPr>
            <w:tcW w:w="1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4,040</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7,810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4,426</w:t>
            </w: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8,437</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3,702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17,769</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11,361</w:t>
            </w: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an offering of our common shares or other equity securities (including securities issued as consideration in an acquisition), we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 See Note 17 for information related to options granted to the Manager in connection with our September 2019 offering of preferred shares.</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Pr>
          <w:p>
            <w:pPr>
              <w:spacing w:after="0"/>
              <w:rPr>
                <w:sz w:val="17"/>
                <w:szCs w:val="17"/>
                <w:color w:val="auto"/>
              </w:rPr>
            </w:pPr>
          </w:p>
        </w:tc>
        <w:tc>
          <w:tcPr>
            <w:tcW w:w="1880" w:type="dxa"/>
            <w:vAlign w:val="bottom"/>
          </w:tcPr>
          <w:p>
            <w:pPr>
              <w:jc w:val="right"/>
              <w:ind w:right="34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Accrued management fees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1,206</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1,263</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Other payables</w:t>
            </w:r>
          </w:p>
        </w:tc>
        <w:tc>
          <w:tcPr>
            <w:tcW w:w="260" w:type="dxa"/>
            <w:vAlign w:val="bottom"/>
          </w:tcPr>
          <w:p>
            <w:pPr>
              <w:spacing w:after="0"/>
              <w:rPr>
                <w:sz w:val="22"/>
                <w:szCs w:val="22"/>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b w:val="1"/>
                <w:bCs w:val="1"/>
                <w:color w:val="auto"/>
              </w:rPr>
              <w:t>13,390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3,965</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and December 31, 2018, there were no receivables from the Manager.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September 30, 2019 and December 31, 2018 an affiliate of our Manager owns an approximately 20% interest in Jefferson Terminal which has been accounted for as a component of non-controlling interest in consolidated subsidiaries in the consolidated financial statements. The carrying amount of this non-controlling interest at September 30, 2019 and December 31, 2018 was $38.1 million and $51.1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 share of net loss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5,030</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3,758</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12,885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11,771</w:t>
            </w:r>
          </w:p>
        </w:tc>
      </w:tr>
    </w:tbl>
    <w:p>
      <w:pPr>
        <w:spacing w:after="0" w:line="32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Capital Call Agreement related to the Series 2016 Bonds, we, and an affiliate of our Manager, entered into a Fee and Support Agreement. The Fee and Support Agreement provides that the affiliate of the Manager is compensated for its guarantee of a portion of the obligations under the Standby Bond Purchase Agreement. This affiliate of the Manager received fees of $1.7 million, which are amortized as interest expense to the earlier of the redemption date or February 13, 2020.</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amendment to the Jefferson Revolver (see Note 8), on December 20, 2018, our subsidiary and an affiliate of our Manager entered into an amended and restated Fee and Support Agreement, and our subsidiary issued a $0.3 million promissory note to the affiliate of our Manager, as consideration for the fee payable pursuant to the amended and restated Fee and Support Agreement.</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 See Note 17 for details related to conversions during the period.</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16. SEGMENT INFORMATION</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four reportable segments which operate in the Equipment Leasing and Infrastructure businesses across several market sectors. Our reportable segments are</w:t>
      </w:r>
    </w:p>
    <w:p>
      <w:pPr>
        <w:spacing w:after="0" w:line="1" w:lineRule="exact"/>
        <w:rPr>
          <w:sz w:val="20"/>
          <w:szCs w:val="20"/>
          <w:color w:val="auto"/>
        </w:rPr>
      </w:pPr>
    </w:p>
    <w:p>
      <w:pPr>
        <w:jc w:val="both"/>
        <w:ind w:firstLine="8"/>
        <w:spacing w:after="0" w:line="249" w:lineRule="auto"/>
        <w:tabs>
          <w:tab w:leader="none" w:pos="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Aviation Leasing, (ii) Jefferson Terminal, (iii) Railroad, and (iv) Ports and Terminals. The Aviation Leasing segment consists of aircraft and aircraft engines held for lease and are typically held long-term. The Jefferson Terminal segment consists of a multi-modal crude oil and refined products terminal and other related assets. The Railroad segment consists of our CMQR railroad operations. The Ports and Terminals segment consists of Repauno, which is a 1,630 acre deep-water port located along the Delaware River with an underground storage cavern and multiple industrial development opportunities, and Long Ridge, which is a 1,660 acre multi-modal port located along the Ohio River with rail, dock, and multiple industrial development opportunities, including a power plant under construction.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company level general and administrative expenses, and management fees. Additionally, Corporate and Other includes (i) offshore energy related assets, which consists of vessels and equipment that support offshore oil and gas drilling and production which are typically subject to long-term operating leases and (ii) an investment in an unconsolidated entity engaged in the acquisition and leasing of shipping containers (on both an operating lease and finance lease basis).</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the first quarter of 2019, we updated our segment performance measure from Adjusted Net Income to Adjusted EBITDA (see definition below) as this is the primary performance measure that our Chief Operating Decision Maker (“CODM”) utilizes to assess operational performance, as well as make resource and allocation decisions. In connection with the change in our performance measure, in accordance with ASC 280, we also assessed our reportable segments. We determined that our Offshore Energy and Shipping Containers segments no longer met the requirement as reportable segments and, accordingly, we have presented these operating segments, along with Corporate results, within Corporate and Other effective in the first quarter of 2019. All prior periods have been restated for historical comparison across segments.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We evaluate investment performance for each reportable segment primarily based on net income attributable to shareholders and Adjusted EBITDA.</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net income (loss) attributable to shareholders, as defined by GAAP, is the most appropriate earnings measurement with which to reconcile Adjusted EBITDA. Adjusted EBITDA should not be considered as an alternative to net income (loss) attributable to shareholders as determined in accordance with GAAP.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September 30,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Three Months Ended September 30,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86,305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954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87,259</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60,537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4,174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74,962</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86,305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60,537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10,251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4,174</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954</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162,221</w:t>
            </w:r>
          </w:p>
        </w:tc>
        <w:tc>
          <w:tcPr>
            <w:tcW w:w="0" w:type="dxa"/>
            <w:vAlign w:val="bottom"/>
          </w:tcPr>
          <w:p>
            <w:pPr>
              <w:spacing w:after="0"/>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69,712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89,368</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6,284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6,284</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5,618</w:t>
            </w: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6"/>
                <w:szCs w:val="16"/>
                <w:color w:val="auto"/>
              </w:rPr>
            </w:pP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7,378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7,378</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33,911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43,744</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3,927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301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20,791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25,488</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36,449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79,356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9,538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7,560</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44,977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177,880</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w:t>
            </w:r>
          </w:p>
        </w:tc>
        <w:tc>
          <w:tcPr>
            <w:tcW w:w="180" w:type="dxa"/>
            <w:vAlign w:val="bottom"/>
          </w:tcPr>
          <w:p>
            <w:pPr>
              <w:spacing w:after="0"/>
              <w:rPr>
                <w:sz w:val="16"/>
                <w:szCs w:val="16"/>
                <w:color w:val="auto"/>
              </w:rPr>
            </w:pPr>
          </w:p>
        </w:tc>
        <w:tc>
          <w:tcPr>
            <w:tcW w:w="1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(885)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(974)</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37,060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37,061</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1,131</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36,206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636</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(597)</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1,080</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37,339</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86,062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(18,183)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(3,983)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(42,943)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21,680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816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1,004</w:t>
            </w: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85,246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(18,239)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(3,983)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(42,943)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20,676</w:t>
            </w:r>
          </w:p>
        </w:tc>
        <w:tc>
          <w:tcPr>
            <w:tcW w:w="0" w:type="dxa"/>
            <w:vAlign w:val="bottom"/>
          </w:tcPr>
          <w:p>
            <w:pPr>
              <w:spacing w:after="0"/>
              <w:rPr>
                <w:sz w:val="1"/>
                <w:szCs w:val="1"/>
                <w:color w:val="auto"/>
              </w:rPr>
            </w:pPr>
          </w:p>
        </w:tc>
      </w:tr>
      <w:tr>
        <w:trPr>
          <w:trHeight w:val="174"/>
        </w:trPr>
        <w:tc>
          <w:tcPr>
            <w:tcW w:w="3340" w:type="dxa"/>
            <w:vAlign w:val="bottom"/>
          </w:tcPr>
          <w:p>
            <w:pPr>
              <w:ind w:left="40"/>
              <w:spacing w:after="0"/>
              <w:rPr>
                <w:sz w:val="20"/>
                <w:szCs w:val="20"/>
                <w:color w:val="auto"/>
              </w:rPr>
            </w:pPr>
            <w:r>
              <w:rPr>
                <w:rFonts w:ascii="Arial" w:cs="Arial" w:eastAsia="Arial" w:hAnsi="Arial"/>
                <w:sz w:val="14"/>
                <w:szCs w:val="14"/>
                <w:color w:val="auto"/>
              </w:rPr>
              <w:t>Less: Net (loss) income attributable to non-</w:t>
            </w:r>
          </w:p>
        </w:tc>
        <w:tc>
          <w:tcPr>
            <w:tcW w:w="180" w:type="dxa"/>
            <w:vAlign w:val="bottom"/>
          </w:tcPr>
          <w:p>
            <w:pPr>
              <w:spacing w:after="0"/>
              <w:rPr>
                <w:sz w:val="15"/>
                <w:szCs w:val="15"/>
                <w:color w:val="auto"/>
              </w:rPr>
            </w:pP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(4,995)</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controlling interests in consolidated subsidiaries</w:t>
            </w:r>
          </w:p>
        </w:tc>
        <w:tc>
          <w:tcPr>
            <w:tcW w:w="1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25,671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Three Months Ended September 30,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126,758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1,901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(927)</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(11,478)</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114,142</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Add: Non-controlling share of Adjusted EBITDA</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3,068</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losses of unconsolidated entities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(974)</w:t>
            </w: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Pro-rata share of Adjusted EBITDA from</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801</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(25,488)</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(50,464)</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(3,736)</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(4,380)</w:t>
            </w: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Losses on the modification or extinguishment</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of debt and capital lease obligations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(5,618)</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(676)</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Provision for income taxes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4"/>
                <w:szCs w:val="14"/>
                <w:color w:val="auto"/>
              </w:rPr>
              <w:t>Net income attributable to shareholders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25,671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Three Months Ended September 30,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4,470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4,470</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28,777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29,731</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43,217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43,217</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60,537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83,240</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1,563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1,563</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86,305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60,537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162,221</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Nine Months Ended September 30, 2019</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Nine Months Ended September 30,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231,697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7,214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238,911</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164,053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30,735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206,942</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231,697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164,053</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30,735</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12,154</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7,214</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445,853</w:t>
            </w:r>
          </w:p>
        </w:tc>
        <w:tc>
          <w:tcPr>
            <w:tcW w:w="0" w:type="dxa"/>
            <w:vAlign w:val="bottom"/>
          </w:tcPr>
          <w:p>
            <w:pPr>
              <w:spacing w:after="0"/>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11,272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183,346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26,666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15,063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244,049</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15,313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15,313</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9,400</w:t>
            </w: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6"/>
                <w:szCs w:val="16"/>
                <w:color w:val="auto"/>
              </w:rPr>
            </w:pP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16,926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16,926</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97,183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16,392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125,877</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12,375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949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1,113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57,826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72,263</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108,533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212,113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29,886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21,416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111,880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483,828</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w:t>
            </w:r>
          </w:p>
        </w:tc>
        <w:tc>
          <w:tcPr>
            <w:tcW w:w="180" w:type="dxa"/>
            <w:vAlign w:val="bottom"/>
          </w:tcPr>
          <w:p>
            <w:pPr>
              <w:spacing w:after="0"/>
              <w:rPr>
                <w:sz w:val="16"/>
                <w:szCs w:val="16"/>
                <w:color w:val="auto"/>
              </w:rPr>
            </w:pPr>
          </w:p>
        </w:tc>
        <w:tc>
          <w:tcPr>
            <w:tcW w:w="1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(1,328)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(1,527)</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61,388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61,416</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452</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3,465</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income</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60,145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408</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2,114</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1,106</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63,806</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183,309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(47,652)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(103,560)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25,831</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180" w:type="dxa"/>
            <w:vAlign w:val="bottom"/>
          </w:tcPr>
          <w:p>
            <w:pPr>
              <w:spacing w:after="0"/>
              <w:rPr>
                <w:sz w:val="22"/>
                <w:szCs w:val="22"/>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(1,373)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347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(842)</w:t>
            </w: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184,682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(47,832)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(7,148)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(103,564)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26,673</w:t>
            </w:r>
          </w:p>
        </w:tc>
        <w:tc>
          <w:tcPr>
            <w:tcW w:w="0" w:type="dxa"/>
            <w:vAlign w:val="bottom"/>
          </w:tcPr>
          <w:p>
            <w:pPr>
              <w:spacing w:after="0"/>
              <w:rPr>
                <w:sz w:val="1"/>
                <w:szCs w:val="1"/>
                <w:color w:val="auto"/>
              </w:rPr>
            </w:pPr>
          </w:p>
        </w:tc>
      </w:tr>
      <w:tr>
        <w:trPr>
          <w:trHeight w:val="174"/>
        </w:trPr>
        <w:tc>
          <w:tcPr>
            <w:tcW w:w="3340" w:type="dxa"/>
            <w:vAlign w:val="bottom"/>
          </w:tcPr>
          <w:p>
            <w:pPr>
              <w:ind w:left="40"/>
              <w:spacing w:after="0"/>
              <w:rPr>
                <w:sz w:val="20"/>
                <w:szCs w:val="20"/>
                <w:color w:val="auto"/>
              </w:rPr>
            </w:pPr>
            <w:r>
              <w:rPr>
                <w:rFonts w:ascii="Arial" w:cs="Arial" w:eastAsia="Arial" w:hAnsi="Arial"/>
                <w:sz w:val="14"/>
                <w:szCs w:val="14"/>
                <w:color w:val="auto"/>
              </w:rPr>
              <w:t>Less: Net (loss) income attributable to non-</w:t>
            </w:r>
          </w:p>
        </w:tc>
        <w:tc>
          <w:tcPr>
            <w:tcW w:w="180" w:type="dxa"/>
            <w:vAlign w:val="bottom"/>
          </w:tcPr>
          <w:p>
            <w:pPr>
              <w:spacing w:after="0"/>
              <w:rPr>
                <w:sz w:val="15"/>
                <w:szCs w:val="15"/>
                <w:color w:val="auto"/>
              </w:rPr>
            </w:pP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(12,885)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(12,950)</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controlling interests in consolidated subsidiaries</w:t>
            </w:r>
          </w:p>
        </w:tc>
        <w:tc>
          <w:tcPr>
            <w:tcW w:w="1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184,682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39,623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Nine Months Ended September 30,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304,578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(5,965)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4,063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(2,242)</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(25,872)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274,562</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Add: Non-controlling share of Adjusted EBITDA</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8,242</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losses of unconsolidated entities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(1,527)</w:t>
            </w: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Pro-rata share of Adjusted EBITDA from</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895</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(72,263)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(149,885)</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(6,109)</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(4,130)</w:t>
            </w: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Losses on the modification or extinguishment</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of debt and capital lease obligations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(9,400)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(1,604)</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Benefit from income taxes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4"/>
                <w:szCs w:val="14"/>
                <w:color w:val="auto"/>
              </w:rPr>
              <w:t>Net income attributable to shareholders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39,623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Nine Months Ended September 30,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10,155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10,155</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76,301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83,515</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110,515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110,515</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28,708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164,053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30,735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12,154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235,650</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6,018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6,018</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231,697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164,053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445,853</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Three Months Ended September 30, 2018</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Three Months Ended September 30,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69,791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70,890</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17,836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30,265</w:t>
            </w: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69,791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17,836</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8,907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3,522</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1,099</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101,155</w:t>
            </w:r>
          </w:p>
        </w:tc>
      </w:tr>
      <w:tr>
        <w:trPr>
          <w:trHeight w:val="324"/>
        </w:trPr>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41,667</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4,012</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w:t>
            </w: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5"/>
                <w:szCs w:val="15"/>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3,846</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34,422</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15,142</w:t>
            </w: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28,543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33,149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9,120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4,474</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25,263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100,549</w:t>
            </w:r>
          </w:p>
        </w:tc>
      </w:tr>
      <w:tr>
        <w:trPr>
          <w:trHeight w:val="32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(442)</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111</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737</w:t>
            </w: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Total other income</w:t>
            </w:r>
          </w:p>
        </w:tc>
        <w:tc>
          <w:tcPr>
            <w:tcW w:w="18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668</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41,284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(24,047)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1,274</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551</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40,744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(24,047)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723</w:t>
            </w:r>
          </w:p>
        </w:tc>
      </w:tr>
      <w:tr>
        <w:trPr>
          <w:trHeight w:val="174"/>
        </w:trPr>
        <w:tc>
          <w:tcPr>
            <w:tcW w:w="3340" w:type="dxa"/>
            <w:vAlign w:val="bottom"/>
          </w:tcPr>
          <w:p>
            <w:pPr>
              <w:ind w:left="40"/>
              <w:spacing w:after="0"/>
              <w:rPr>
                <w:sz w:val="20"/>
                <w:szCs w:val="20"/>
                <w:color w:val="auto"/>
              </w:rPr>
            </w:pPr>
            <w:r>
              <w:rPr>
                <w:rFonts w:ascii="Arial" w:cs="Arial" w:eastAsia="Arial" w:hAnsi="Arial"/>
                <w:sz w:val="14"/>
                <w:szCs w:val="14"/>
                <w:color w:val="auto"/>
              </w:rPr>
              <w:t>Less: Net loss attributable to non-controlling</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interests in consolidated subsidiaries</w:t>
            </w:r>
          </w:p>
        </w:tc>
        <w:tc>
          <w:tcPr>
            <w:tcW w:w="180" w:type="dxa"/>
            <w:vAlign w:val="bottom"/>
          </w:tcPr>
          <w:p>
            <w:pPr>
              <w:spacing w:after="0"/>
              <w:rPr>
                <w:sz w:val="15"/>
                <w:szCs w:val="15"/>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(3,759)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(3,855)</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4,578</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Three Months Ended September 30,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72,452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(4,064)</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58,771</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Add: Non-controlling share of Adjusted EBITDA</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3,563</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losses of unconsolidated entities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Pro-rata share of Adjusted EBITDA from</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(402)</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(15,142)</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(39,162)</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Losses on the modification or extinguishment</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of debt and capital lease obligations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Provision for income taxes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w:t>
            </w:r>
          </w:p>
        </w:tc>
      </w:tr>
      <w:tr>
        <w:trPr>
          <w:trHeight w:val="243"/>
        </w:trPr>
        <w:tc>
          <w:tcPr>
            <w:tcW w:w="3340" w:type="dxa"/>
            <w:vAlign w:val="bottom"/>
          </w:tcPr>
          <w:p>
            <w:pPr>
              <w:ind w:left="40"/>
              <w:spacing w:after="0"/>
              <w:rPr>
                <w:sz w:val="20"/>
                <w:szCs w:val="20"/>
                <w:color w:val="auto"/>
              </w:rPr>
            </w:pPr>
            <w:r>
              <w:rPr>
                <w:rFonts w:ascii="Arial" w:cs="Arial" w:eastAsia="Arial" w:hAnsi="Arial"/>
                <w:sz w:val="14"/>
                <w:szCs w:val="14"/>
                <w:color w:val="auto"/>
              </w:rPr>
              <w:t>Net income attributable to shareholders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4,578</w:t>
            </w: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Three Months Ended September 30,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3,374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3,374</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25,717</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30,794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30,794</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39,524</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1,746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1,746</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69,791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101,155</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For the Nine Months Ended September 30,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Nine Months Ended September 30,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178,644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7,360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186,004</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55,974</w:t>
            </w: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178,644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21,639</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28,742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5,593</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7,360</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241,978</w:t>
            </w:r>
          </w:p>
        </w:tc>
      </w:tr>
      <w:tr>
        <w:trPr>
          <w:trHeight w:val="324"/>
        </w:trPr>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96,839</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12,171</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4,734</w:t>
            </w: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5"/>
                <w:szCs w:val="15"/>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12,080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12,080</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73,031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96,853</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12,070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26,536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39,870</w:t>
            </w: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80,751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73,901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26,004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11,756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70,135</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262,547</w:t>
            </w:r>
          </w:p>
        </w:tc>
      </w:tr>
      <w:tr>
        <w:trPr>
          <w:trHeight w:val="32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(598)</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5,253</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361</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2,074</w:t>
            </w: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Total other income</w:t>
            </w:r>
          </w:p>
        </w:tc>
        <w:tc>
          <w:tcPr>
            <w:tcW w:w="18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4,775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7,090</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102,668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(50,408)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(62,369)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(13,479)</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1,546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1,580</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101,122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(50,440)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(62,371)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(15,059)</w:t>
            </w:r>
          </w:p>
        </w:tc>
      </w:tr>
      <w:tr>
        <w:trPr>
          <w:trHeight w:val="174"/>
        </w:trPr>
        <w:tc>
          <w:tcPr>
            <w:tcW w:w="3340" w:type="dxa"/>
            <w:vAlign w:val="bottom"/>
          </w:tcPr>
          <w:p>
            <w:pPr>
              <w:ind w:left="40"/>
              <w:spacing w:after="0"/>
              <w:rPr>
                <w:sz w:val="20"/>
                <w:szCs w:val="20"/>
                <w:color w:val="auto"/>
              </w:rPr>
            </w:pPr>
            <w:r>
              <w:rPr>
                <w:rFonts w:ascii="Arial" w:cs="Arial" w:eastAsia="Arial" w:hAnsi="Arial"/>
                <w:sz w:val="14"/>
                <w:szCs w:val="14"/>
                <w:color w:val="auto"/>
              </w:rPr>
              <w:t>Less: Net (loss) income attributable to non-</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controlling interests in consolidated subsidiaries</w:t>
            </w:r>
          </w:p>
        </w:tc>
        <w:tc>
          <w:tcPr>
            <w:tcW w:w="18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(19,904)</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4,845</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Nine Months Ended September 30,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193,488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5,022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(25,809)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159,108</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Add: Non-controlling share of Adjusted EBITDA</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9,175</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losses of unconsolidated entities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Pro-rata share of Adjusted EBITDA from</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(385)</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(39,870)</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(114,482)</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w:t>
            </w: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Losses on the modification or extinguishment</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of debt and capital lease obligations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(4,734)</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(669)</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Provision for income taxes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(1,580)</w:t>
            </w:r>
          </w:p>
        </w:tc>
      </w:tr>
      <w:tr>
        <w:trPr>
          <w:trHeight w:val="243"/>
        </w:trPr>
        <w:tc>
          <w:tcPr>
            <w:tcW w:w="3340" w:type="dxa"/>
            <w:vAlign w:val="bottom"/>
          </w:tcPr>
          <w:p>
            <w:pPr>
              <w:ind w:left="40"/>
              <w:spacing w:after="0"/>
              <w:rPr>
                <w:sz w:val="20"/>
                <w:szCs w:val="20"/>
                <w:color w:val="auto"/>
              </w:rPr>
            </w:pPr>
            <w:r>
              <w:rPr>
                <w:rFonts w:ascii="Arial" w:cs="Arial" w:eastAsia="Arial" w:hAnsi="Arial"/>
                <w:sz w:val="14"/>
                <w:szCs w:val="14"/>
                <w:color w:val="auto"/>
              </w:rPr>
              <w:t>Net income attributable to shareholders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4,845</w:t>
            </w: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Nine Months Ended September 30,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6,779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6,779</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54,539</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98,570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98,570</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79,918</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2,172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2,172</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178,644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241,978</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 as of September 30, 2019 and December 31,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 2019</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Railroad</w:t>
            </w:r>
          </w:p>
        </w:tc>
        <w:tc>
          <w:tcPr>
            <w:tcW w:w="2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1,516,379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753,366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72,984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535,071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257,213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3,135,013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234,602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126,184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1,198,419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1,582,262</w:t>
            </w:r>
          </w:p>
        </w:tc>
        <w:tc>
          <w:tcPr>
            <w:tcW w:w="0" w:type="dxa"/>
            <w:vAlign w:val="bottom"/>
          </w:tcPr>
          <w:p>
            <w:pPr>
              <w:spacing w:after="0"/>
              <w:rPr>
                <w:sz w:val="1"/>
                <w:szCs w:val="1"/>
                <w:color w:val="auto"/>
              </w:rPr>
            </w:pPr>
          </w:p>
        </w:tc>
      </w:tr>
      <w:tr>
        <w:trPr>
          <w:trHeight w:val="324"/>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267,445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313,677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42,072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167,792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1,238,375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2,029,361</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 in equity of consolidated</w:t>
            </w:r>
          </w:p>
        </w:tc>
        <w:tc>
          <w:tcPr>
            <w:tcW w:w="180" w:type="dxa"/>
            <w:vAlign w:val="bottom"/>
            <w:shd w:val="clear" w:color="auto" w:fill="CCEEFF"/>
          </w:tcPr>
          <w:p>
            <w:pPr>
              <w:spacing w:after="0"/>
              <w:rPr>
                <w:sz w:val="16"/>
                <w:szCs w:val="16"/>
                <w:color w:val="auto"/>
              </w:rPr>
            </w:pPr>
          </w:p>
        </w:tc>
        <w:tc>
          <w:tcPr>
            <w:tcW w:w="1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39,992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45,037</w:t>
            </w: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80" w:type="dxa"/>
            <w:vAlign w:val="bottom"/>
            <w:shd w:val="clear" w:color="auto" w:fill="CCEEFF"/>
          </w:tcPr>
          <w:p>
            <w:pPr>
              <w:spacing w:after="0"/>
              <w:rPr>
                <w:sz w:val="16"/>
                <w:szCs w:val="16"/>
                <w:color w:val="auto"/>
              </w:rPr>
            </w:pPr>
          </w:p>
        </w:tc>
        <w:tc>
          <w:tcPr>
            <w:tcW w:w="17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1,248,934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439,689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30,912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367,279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(981,162)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1,105,652</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1,516,379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753,366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72,984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535,071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257,213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3,135,013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3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 2019</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Railroad</w:t>
            </w:r>
          </w:p>
        </w:tc>
        <w:tc>
          <w:tcPr>
            <w:tcW w:w="2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 and leasing</w:t>
            </w:r>
          </w:p>
        </w:tc>
        <w:tc>
          <w:tcPr>
            <w:tcW w:w="1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net</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44,312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44,312</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430,746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37,370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468,116</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637,793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637,793</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165,042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492,711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54,470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432,386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119,504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1,264,113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29,397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29,397</w:t>
            </w: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1,307,290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492,711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54,470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432,386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2,443,731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3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2018</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Railroad</w:t>
            </w:r>
          </w:p>
        </w:tc>
        <w:tc>
          <w:tcPr>
            <w:tcW w:w="2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1,367,074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670,682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234,862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980,246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1,237,347</w:t>
            </w:r>
          </w:p>
        </w:tc>
        <w:tc>
          <w:tcPr>
            <w:tcW w:w="0" w:type="dxa"/>
            <w:vAlign w:val="bottom"/>
          </w:tcPr>
          <w:p>
            <w:pPr>
              <w:spacing w:after="0"/>
              <w:rPr>
                <w:sz w:val="1"/>
                <w:szCs w:val="1"/>
                <w:color w:val="auto"/>
              </w:rPr>
            </w:pPr>
          </w:p>
        </w:tc>
      </w:tr>
      <w:tr>
        <w:trPr>
          <w:trHeight w:val="324"/>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234,449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288,256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16,615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1,008,469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1,584,996</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 in equity of consolidated</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8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56,383</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1,132,625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382,426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27,079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260,545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(748,893)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1,053,782</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1,367,074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670,682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277,160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259,576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1" w:right="239" w:bottom="1440" w:gutter="0" w:footer="0" w:header="0"/>
          <w:type w:val="continuous"/>
        </w:sectPr>
      </w:pPr>
    </w:p>
    <w:bookmarkStart w:id="41" w:name="page42"/>
    <w:bookmarkEnd w:id="41"/>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Railroad</w:t>
            </w:r>
          </w:p>
        </w:tc>
        <w:tc>
          <w:tcPr>
            <w:tcW w:w="2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162"/>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 and leasing</w:t>
            </w:r>
          </w:p>
        </w:tc>
        <w:tc>
          <w:tcPr>
            <w:tcW w:w="1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r>
      <w:tr>
        <w:trPr>
          <w:trHeight w:val="202"/>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net</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47,353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47,353</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383,648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418,315</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592,670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121,950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714,620</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177,962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433,404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51,157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263,747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926,270</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34,505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34,505</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1,236,138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433,404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263,747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2,141,063</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17. EARNINGS PER SHARE AND EQUITY</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per common share (“EPS”) is calculated by dividing net income attributable to shareholders by the weighted average number of common shares outstanding, plus any participating securities. Diluted EPS is calculated by dividing net income attributable to shareholders by the weighted average number of common shares outstanding, plus any participating securities and potentially dilutive securities. Potentially dilutive securities are calculated using the treasury stock method.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31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39"/>
        </w:trPr>
        <w:tc>
          <w:tcPr>
            <w:tcW w:w="4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20,676</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723</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26,673</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(15,059)</w:t>
            </w:r>
          </w:p>
        </w:tc>
        <w:tc>
          <w:tcPr>
            <w:tcW w:w="0" w:type="dxa"/>
            <w:vAlign w:val="bottom"/>
          </w:tcPr>
          <w:p>
            <w:pPr>
              <w:spacing w:after="0"/>
              <w:rPr>
                <w:sz w:val="1"/>
                <w:szCs w:val="1"/>
                <w:color w:val="auto"/>
              </w:rPr>
            </w:pPr>
          </w:p>
        </w:tc>
      </w:tr>
      <w:tr>
        <w:trPr>
          <w:trHeight w:val="174"/>
        </w:trPr>
        <w:tc>
          <w:tcPr>
            <w:tcW w:w="4240" w:type="dxa"/>
            <w:vAlign w:val="bottom"/>
          </w:tcPr>
          <w:p>
            <w:pPr>
              <w:ind w:left="40"/>
              <w:spacing w:after="0"/>
              <w:rPr>
                <w:sz w:val="20"/>
                <w:szCs w:val="20"/>
                <w:color w:val="auto"/>
              </w:rPr>
            </w:pPr>
            <w:r>
              <w:rPr>
                <w:rFonts w:ascii="Arial" w:cs="Arial" w:eastAsia="Arial" w:hAnsi="Arial"/>
                <w:sz w:val="14"/>
                <w:szCs w:val="14"/>
                <w:color w:val="auto"/>
              </w:rPr>
              <w:t>Less: Net loss attributable to non-controlling interests in</w:t>
            </w:r>
          </w:p>
        </w:tc>
        <w:tc>
          <w:tcPr>
            <w:tcW w:w="3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(4,995)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(12,950)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consolidated subsidiaries</w:t>
            </w: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(3,855)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(19,904)</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shareholders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25,671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39,623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4"/>
                <w:szCs w:val="14"/>
                <w:color w:val="auto"/>
              </w:rPr>
              <w:t xml:space="preserve">Weighted Average Common Shares Outstanding - Basic </w:t>
            </w:r>
            <w:r>
              <w:rPr>
                <w:rFonts w:ascii="Arial" w:cs="Arial" w:eastAsia="Arial" w:hAnsi="Arial"/>
                <w:sz w:val="17"/>
                <w:szCs w:val="17"/>
                <w:color w:val="auto"/>
                <w:vertAlign w:val="superscript"/>
              </w:rPr>
              <w:t>(1)</w:t>
            </w:r>
          </w:p>
        </w:tc>
        <w:tc>
          <w:tcPr>
            <w:tcW w:w="340" w:type="dxa"/>
            <w:vAlign w:val="bottom"/>
          </w:tcPr>
          <w:p>
            <w:pPr>
              <w:spacing w:after="0"/>
              <w:rPr>
                <w:sz w:val="19"/>
                <w:szCs w:val="19"/>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85,996,067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84,708,071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85,990,131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83,178,546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Common Shares Outstanding - Diluted </w:t>
            </w:r>
            <w:r>
              <w:rPr>
                <w:rFonts w:ascii="Arial" w:cs="Arial" w:eastAsia="Arial" w:hAnsi="Arial"/>
                <w:sz w:val="17"/>
                <w:szCs w:val="17"/>
                <w:color w:val="auto"/>
                <w:vertAlign w:val="superscript"/>
              </w:rPr>
              <w:t>(1)</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86,005,604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84,709,656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86,013,539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83,179,181</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EPS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0.30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0.46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58"/>
        </w:trPr>
        <w:tc>
          <w:tcPr>
            <w:tcW w:w="4240" w:type="dxa"/>
            <w:vAlign w:val="bottom"/>
          </w:tcPr>
          <w:p>
            <w:pPr>
              <w:ind w:left="40"/>
              <w:spacing w:after="0"/>
              <w:rPr>
                <w:sz w:val="20"/>
                <w:szCs w:val="20"/>
                <w:color w:val="auto"/>
              </w:rPr>
            </w:pPr>
            <w:r>
              <w:rPr>
                <w:rFonts w:ascii="Arial" w:cs="Arial" w:eastAsia="Arial" w:hAnsi="Arial"/>
                <w:sz w:val="14"/>
                <w:szCs w:val="14"/>
                <w:color w:val="auto"/>
              </w:rPr>
              <w:t>Diluted EPS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0.30</w:t>
            </w:r>
          </w:p>
        </w:tc>
        <w:tc>
          <w:tcPr>
            <w:tcW w:w="120" w:type="dxa"/>
            <w:vAlign w:val="bottom"/>
          </w:tcPr>
          <w:p>
            <w:pPr>
              <w:spacing w:after="0"/>
              <w:rPr>
                <w:sz w:val="22"/>
                <w:szCs w:val="22"/>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0.46</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4"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The three and nine months ended September 30, 2019 includes 1.1 million equivalent participating securities which can be converted into a fixed amount of our shares.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three months ended September 30, 2019 and 2018, 165,232 and 6,793 shares, respectively, and for the nine months ended September 30, 2019 and 2018, 140,313 and 43,472 shares, respectively, have been excluded from the calculation of Diluted EPS because the impact would be anti-dilutive.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2019, we issued 26,125 common shares to certain directors as compensation.</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the nine months ended September 30, 2019, certain holders of Class B Units (see Note 15) converted 1,115,483 Class B Units in exchange for 826,124 common shares.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Preferred Shares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September 2019, in a public offering, we issued 3,450,000 shares of 8.25% Fixed-to-Floating Rate Series A Cumulative Perpetual Redeemable Preferred Shares (“Series A Preferred Shares”), par value $0.01 per share, with a liquidation preference of $25.00 per share for net proceeds of approximately $82.9 million. See Note 13 for information related to options issued to the Manager in connection with this offering.</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18. COMMITMENTS AND CONTINGENCIES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business, a lessee did not fulfill their obligation under their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also entered into an arrangement with our non-controlling interest holder of Repauno, whereby the non-controlling interest holder may receive additional payments contingent upon the achievement of certain conditions, not to exceed $15.0 million. We will account for such amounts when and if such conditions are achieved.</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entered into an arrangement with the seller of Long Ridge, whereby the seller may receive additional payments contingent upon the achievement of certain conditions, not to exceed $5.0 million. We will account for such amounts when and if such conditions are achieved.</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19. SUBSEQUENT EVENTS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October 31, 2019, our Board of Directors declared a cash dividend on our common shares and eligible participating securities of $0.33 per share for the quarter ended September 30, 2019, payable on November 26, 2019 to the holders of record on November 15, 2019.</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October 31, 2019, our Board of Directors also declared a cash dividend on the Series A Preferred Shares of $0.53 per share, payable on December 16, 2019 to the holders of record on December 2, 2019.</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October 31, 2019, our subsidiary entered into an agreement to purchase the remaining 50% interest in JGP from the JV partner for a purchase price of approximately $29 million. We expect the transaction to close during the fourth quarter of 2019.</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September 30, 2019, we had total consolidated assets of $3.1 billion and total equity of $1.1 billion.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four reportable segments: (i) Aviation Leasing, which is within the Equipment Leasing Business, and (ii) Jefferson Terminal, (iii) Railroad and (iv) Ports and Terminals,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which were acquired in 2014. The Railroad segment consists of our Central Maine and Quebec Railway (“CMQR”) short line railroad operations also acquired in 2014. The Ports and Terminals segment consists of Repauno, acquired in 2016, a 1,630 acre deep-water port located along the Delaware River with an underground storage cavern and multiple industrial development opportunities, and Long Ridge, acquired in June 2017, a 1,660 acre multi-modal port located along the Ohio River with rail, dock, and multiple industrial development opportunities, including a power plant under construction.</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also includes the former Offshore Energy and Shipping Containers segments composed of (i) offshore energy related assets which consists of vessels and equipment that support offshore oil and gas activities and are typically subject to long-term operating leases and (ii) an investment in an unconsolidated entity engaged in the leasing of shipping containers on both an operating lease and finance lease basis.</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the first quarter of 2019, we updated our segment performance measure from Adjusted Net Income to Adjusted EBITDA (see definition below) as this is the primary performance measure that our Chief Operating Decision Maker (“CODM”) utilizes to assess operational performance, as well as make resource and allocation decisions. In connection with the change in our performance measure, in accordance with ASC 280, we also assessed our reportable segments. We determined that our Offshore Energy and Shipping Containers segments no longer met the requirement as reportable segments and, accordingly, we have presented these operating segments, along with Corporate results, within Corporate and Other effective in the first quarter of 2019. All prior periods have been restated for historical comparison across segments.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27, 2017, SoftBank Group Corp. (“SoftBank”) announced that it completed its previously announced acquisition of Fortress (the “SoftBank Merger”). In connection with the Softbank Merger, Fortress operates within SoftBank as an independent business headquartered in New York.</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CODM utilizes Adjusted EBITDA as the key performance measure. This performance measure provides the CODM with the information necessary to assess operational performance, as well as make resource and allocation decisions.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92" w:right="239" w:bottom="1440" w:gutter="0" w:footer="0" w:header="0"/>
        </w:sectPr>
      </w:pPr>
    </w:p>
    <w:bookmarkStart w:id="44" w:name="page45"/>
    <w:bookmarkEnd w:id="44"/>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and nine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50,835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151,959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114,362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35,426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27,575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7,851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82,572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67,000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15,572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2,177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87,259</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70,890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16,369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238,911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186,004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52,907</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Rail revenues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10,251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8,907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30,735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28,742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1,993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Terminal services revenues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27,085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20,760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Crude marketing revenues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50,405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15,227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35,178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140,388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15,227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125,161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1,595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3,336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4,608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74,962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30,265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44,697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206,942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55,974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150,968</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162,221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101,155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61,066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445,853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241,978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203,875</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89,368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41,667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47,701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244,049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96,839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147,210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6,284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15,313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5,618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4,158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9,400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4,666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7,378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16,926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43,744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34,422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9,322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125,877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96,853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29,024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25,488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15,142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10,346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72,263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39,870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32,393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177,880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100,549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77,331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483,828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262,547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221,281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Gain on sale of equipment, net</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37,061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36,799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61,416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56,163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1,131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3,465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37,339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36,671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63,806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7,090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56,716</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21,680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20,406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25,831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39,310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20,676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19,953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26,673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41,732</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(4,995)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(12,950)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(3,855)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25,671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21,093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39,623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34,778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93"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93"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25,671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4,578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21,093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39,623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34,778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1,004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5,618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4,158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9,400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4,666</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obligations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4,380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3,995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4,130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3,563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3,736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3,756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6,109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5,556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50,464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149,885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114,482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35,403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25,488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15,142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10,346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72,263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39,870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32,393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974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1,527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(3)</w:t>
            </w: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(3,068)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(3,563)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(8,242)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114,142</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58,771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55,371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274,562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159,108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115,454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30" w:lineRule="exact"/>
        <w:rPr>
          <w:sz w:val="20"/>
          <w:szCs w:val="20"/>
          <w:color w:val="auto"/>
        </w:rPr>
      </w:pPr>
    </w:p>
    <w:p>
      <w:pPr>
        <w:jc w:val="both"/>
        <w:ind w:left="180" w:hanging="172"/>
        <w:spacing w:after="0" w:line="232" w:lineRule="auto"/>
        <w:tabs>
          <w:tab w:leader="none" w:pos="153" w:val="left"/>
        </w:tabs>
        <w:numPr>
          <w:ilvl w:val="0"/>
          <w:numId w:val="14"/>
        </w:numPr>
        <w:rPr>
          <w:rFonts w:ascii="Arial" w:cs="Arial" w:eastAsia="Arial" w:hAnsi="Arial"/>
          <w:sz w:val="17"/>
          <w:szCs w:val="17"/>
          <w:color w:val="auto"/>
          <w:vertAlign w:val="superscript"/>
        </w:rPr>
      </w:pPr>
      <w:r>
        <w:rPr>
          <w:rFonts w:ascii="Arial" w:cs="Arial" w:eastAsia="Arial" w:hAnsi="Arial"/>
          <w:sz w:val="14"/>
          <w:szCs w:val="14"/>
          <w:color w:val="auto"/>
        </w:rPr>
        <w:t>Includes the following items for the three months ended September 30, 2019 and 2018: (i) depreciation and amortization expense of $43,744 and $34,422, (ii) lease intangible amortization of $1,072 and $1,911 and (iii) amortization for lease incentives of $5,648 and $2,829, respectively. Includes the following items for the nine months ended September 30, 2019 and 2018: (i) depreciation and amortization expense of $125,877 and $96,853, (ii) lease intangible amortization of $5,736 and $5,913 and (iii) amortization for lease incentives of $18,272 and $11,716, respectively.</w:t>
      </w:r>
    </w:p>
    <w:p>
      <w:pPr>
        <w:spacing w:after="0" w:line="55"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2019 and 2018: (i) net loss of $(1,096) and $(483), (ii) interest expense of $30 and $97 and</w:t>
      </w:r>
    </w:p>
    <w:p>
      <w:pPr>
        <w:ind w:left="180"/>
        <w:spacing w:after="0" w:line="258" w:lineRule="auto"/>
        <w:rPr>
          <w:rFonts w:ascii="Arial" w:cs="Arial" w:eastAsia="Arial" w:hAnsi="Arial"/>
          <w:sz w:val="18"/>
          <w:szCs w:val="18"/>
          <w:color w:val="auto"/>
          <w:vertAlign w:val="superscript"/>
        </w:rPr>
      </w:pPr>
      <w:r>
        <w:rPr>
          <w:rFonts w:ascii="Arial" w:cs="Arial" w:eastAsia="Arial" w:hAnsi="Arial"/>
          <w:sz w:val="14"/>
          <w:szCs w:val="14"/>
          <w:color w:val="auto"/>
        </w:rPr>
        <w:t>(iii) depreciation and amortization expense of $265 and $788, respectively. Includes the following items for the nine months ended September 30, 2019 and 2018: (i) net loss of $(1,793) and $(734), (ii) interest expense of $101 and $303 and (iii) depreciation and amortization expense of $797 and $816, respectively.</w:t>
      </w:r>
    </w:p>
    <w:p>
      <w:pPr>
        <w:spacing w:after="0" w:line="86" w:lineRule="exact"/>
        <w:rPr>
          <w:rFonts w:ascii="Arial" w:cs="Arial" w:eastAsia="Arial" w:hAnsi="Arial"/>
          <w:sz w:val="18"/>
          <w:szCs w:val="18"/>
          <w:color w:val="auto"/>
          <w:vertAlign w:val="superscript"/>
        </w:rPr>
      </w:pPr>
    </w:p>
    <w:p>
      <w:pPr>
        <w:jc w:val="both"/>
        <w:ind w:left="180" w:hanging="172"/>
        <w:spacing w:after="0" w:line="231" w:lineRule="auto"/>
        <w:tabs>
          <w:tab w:leader="none" w:pos="169"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2019 and 2018: (i) equity based compensation of $85 and $19, (ii) provision for income taxes of $27 and $2, (iii) interest expense of $846 and $1,512, (iv) depreciation and amortization expense of $1,325 and $1,809, and (v) changes in fair value of non-hedge derivative instruments of $785 and $221, respectively. Includes the following items for the nine months ended September 30, 2019 and 2018: (i) equity based compensation of $220 and $96, (ii) provision for income taxes of $73 and $10, (iii) interest expense of $2,854 and $3,823, (iv) depreciation and amortization expense of $3,834 and $5,097 and (v) changes in fair value of non-hedge derivative instruments of $1,261 and $149,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$61.1 million, primarily due to higher revenues in the Jefferson Terminal and Aviation Leasing segments.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Equipment Leasing, lease income increased $9.2 million, primarily driven by an increase in acquired assets on lease in the Aviation Leasing segment.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Maintenance revenue increased $7.9 million due to an increase in the number of aircraft and engines on lease.</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Infrastructure, crude marketing revenue increased $35.2 million. During the third quarter of 2018, Jefferson Terminal initiated a strategy in Canada sourcing crude from producers, arranging logistics to Jefferson Terminal and marketing crude to third parties. Terminal services revenue increased $9.3 million which primarily reflects increases of approximately (i) $7.0 million due to increased activity and storage capacity at Jefferson Terminal and (ii) $2.3 million due to increased activity at Long Ridge.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$203.9 million, primarily due to higher revenues in the Jefferson Terminal, Aviation Leasing and Ports and Terminals segments.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Equipment Leasing, lease income increased $37.6 million, primarily driven by an increase in acquired assets on lease in the Aviation Leasing segment.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Maintenance revenue increased $15.6 million due to an increase in the number of aircraft and engines on lease.</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Infrastructure, crude marketing revenue increased $ 125.2 million. During the third quarter of 2018, Jefferson Terminal initiated a strategy in Canada sourcing crude from producers, arranging logistics to Jefferson Terminal and marketing crude to third parties. Terminal services revenue increased $20.8 million which primarily reflects increases of approximately (i) $15.6 million due to increased activity and storage capacity at Jefferson Terminal and (ii) $5.2 million due to increased activity at Long Ridge.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93"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$77.3 million, primarily due to higher (i) operating expenses, (ii) interest expense and (iii) depreciation and amortization.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$47.7 million, primarily due to increases in:</w:t>
      </w:r>
    </w:p>
    <w:p>
      <w:pPr>
        <w:spacing w:after="0" w:line="11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 of sales of $42.7 million primarily due to costs associated with crude marketing at Jefferson Terminal;</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facility operations of $1.8 million primarily due to increased activity at Jefferson Terminal; and</w:t>
      </w:r>
    </w:p>
    <w:p>
      <w:pPr>
        <w:spacing w:after="0" w:line="11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compensation and benefits of $1.5 million primarily due to increased headcount and stock compensation in the Jefferson Terminal, Ports and Terminals and Railroad segments.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Interest expense increased $10.3 million due to an increase in our average outstanding debt of approximately $620.9 million, which primarily consists of the (i) 2025 Notes of $450.0 million, (ii) LREG Credit Agreement of $87.1 million, (iii) 2022 Notes of $44.4 million, (iv) DRP Revolver of $25.0 million and (v) Revolving Credit Facility of $20.0 million.</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and amortization increased $9.3 million, primarily due to additional assets acquired in the Aviation Leasing segment and assets placed into service at Long Ridge and Jefferson Terminal.</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$221.3 million, primarily due to higher (i) operating expenses, (ii) interest expense and (iii) depreciation and amortization.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$147.2 million, primarily due to increases in:</w:t>
      </w:r>
    </w:p>
    <w:p>
      <w:pPr>
        <w:spacing w:after="0" w:line="11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 of sales of $133.1 million primarily due to costs associated with crude marketing at Jefferson Terminal;</w:t>
      </w:r>
    </w:p>
    <w:p>
      <w:pPr>
        <w:spacing w:after="0" w:line="11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compensation and benefits of $5.3 million primarily due to increased headcount and stock compensation in the Jefferson Terminal, Ports and Terminals and Railroad segments; and</w:t>
      </w:r>
    </w:p>
    <w:p>
      <w:pPr>
        <w:spacing w:after="0" w:line="8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facility operations of $3.8 million primarily due to increased activity at Jefferson Terminal and Long Ridge and an increase in costs associated with the car cleaning business, which commenced in 2019, in the Railroad segment.</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Interest expense increased $32.4 million due to an increase in our average outstanding debt of approximately $702.1 million, which primarily consists of the (i) 2025 Notes of $383.3 million, (ii) 2022 Notes of $138.5 million, (iii) LREG Credit Agreement of $68.0 million, (iv) Revolving Credit Facility of $67.2 million, (v) Jefferson Revolver of $33.4 million and (vi) DRP Revolver of $16.9 million.</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Depreciation and amortization increased $29.0 million, primarily due to additional assets acquired in the Aviation Leasing segment and assets placed into service at Long Ridge and Jefferson Terminal.</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increased $36.7 million and $56.7 million during the three and nine months ended September 30, 2019, primarily due to a net increase in gain on sale of $36.8 million and $56.2 million, respectively, in the Aviation Leasing segment.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Attributable to Shareholders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Net income attributable to shareholders increased $21.1 million and $34.8 million during the three and nine months ended September 30, 2019, respectively, primarily due to the changes discussed above and a benefit from income taxes recognized during the nine months ended September 30, 2019.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increased $55.4 million and $115.5 million during the three and nine months ended September 30, 2019, respectively, primarily due to the changes noted above, depreciation and amortization and interest expense.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in our Aviation Leasing segment, we own and manage 221 aviation assets, consisting of 69 commercial aircraft and 152 engines.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September 30, 2019, 69 of our commercial aircraft and 112 of our engines were leased to operators or other third parties. Aviation assets currently off lease are either undergoing repair and/or maintenance, being prepared to go on lease or held in short term storage awaiting a future lease. Our aviation equipment was approximately 92% utilized as of September 30, 2019, based on the equity value of our on-hire leasing equipment as a percentage of the total equity value of our aviation leasing equipment. Our aircraft currently have a weighted average remaining lease term of 34 months, and our engines currently on-lease have an average remaining lease term of 10 months. The table below provides additional information on the assets in our Aviation Leasing segment: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73"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70"/>
        </w:trPr>
        <w:tc>
          <w:tcPr>
            <w:tcW w:w="4700" w:type="dxa"/>
            <w:vAlign w:val="bottom"/>
            <w:gridSpan w:val="4"/>
            <w:shd w:val="clear" w:color="auto" w:fill="00497F"/>
          </w:tcPr>
          <w:p>
            <w:pPr>
              <w:ind w:left="40"/>
              <w:spacing w:after="0"/>
              <w:rPr>
                <w:sz w:val="20"/>
                <w:szCs w:val="20"/>
                <w:color w:val="auto"/>
              </w:rPr>
            </w:pPr>
            <w:r>
              <w:rPr>
                <w:rFonts w:ascii="Arial" w:cs="Arial" w:eastAsia="Arial" w:hAnsi="Arial"/>
                <w:sz w:val="14"/>
                <w:szCs w:val="14"/>
                <w:b w:val="1"/>
                <w:bCs w:val="1"/>
                <w:color w:val="FFFFFF"/>
              </w:rPr>
              <w:t>Aviation Assets</w:t>
            </w:r>
          </w:p>
        </w:tc>
        <w:tc>
          <w:tcPr>
            <w:tcW w:w="240" w:type="dxa"/>
            <w:vAlign w:val="bottom"/>
            <w:shd w:val="clear" w:color="auto" w:fill="00497F"/>
          </w:tcPr>
          <w:p>
            <w:pPr>
              <w:spacing w:after="0"/>
              <w:rPr>
                <w:sz w:val="23"/>
                <w:szCs w:val="23"/>
                <w:color w:val="auto"/>
              </w:rPr>
            </w:pPr>
          </w:p>
        </w:tc>
        <w:tc>
          <w:tcPr>
            <w:tcW w:w="1240" w:type="dxa"/>
            <w:vAlign w:val="bottom"/>
            <w:gridSpan w:val="3"/>
            <w:shd w:val="clear" w:color="auto" w:fill="00497F"/>
          </w:tcPr>
          <w:p>
            <w:pPr>
              <w:jc w:val="right"/>
              <w:spacing w:after="0"/>
              <w:rPr>
                <w:sz w:val="20"/>
                <w:szCs w:val="20"/>
                <w:color w:val="auto"/>
              </w:rPr>
            </w:pPr>
            <w:r>
              <w:rPr>
                <w:rFonts w:ascii="Arial" w:cs="Arial" w:eastAsia="Arial" w:hAnsi="Arial"/>
                <w:sz w:val="14"/>
                <w:szCs w:val="14"/>
                <w:b w:val="1"/>
                <w:bCs w:val="1"/>
                <w:color w:val="FFFFFF"/>
              </w:rPr>
              <w:t>Widebody</w:t>
            </w:r>
          </w:p>
        </w:tc>
        <w:tc>
          <w:tcPr>
            <w:tcW w:w="700" w:type="dxa"/>
            <w:vAlign w:val="bottom"/>
            <w:shd w:val="clear" w:color="auto" w:fill="00497F"/>
          </w:tcPr>
          <w:p>
            <w:pPr>
              <w:spacing w:after="0"/>
              <w:rPr>
                <w:sz w:val="23"/>
                <w:szCs w:val="23"/>
                <w:color w:val="auto"/>
              </w:rPr>
            </w:pPr>
          </w:p>
        </w:tc>
        <w:tc>
          <w:tcPr>
            <w:tcW w:w="40" w:type="dxa"/>
            <w:vAlign w:val="bottom"/>
            <w:shd w:val="clear" w:color="auto" w:fill="00497F"/>
          </w:tcPr>
          <w:p>
            <w:pPr>
              <w:spacing w:after="0"/>
              <w:rPr>
                <w:sz w:val="23"/>
                <w:szCs w:val="23"/>
                <w:color w:val="auto"/>
              </w:rPr>
            </w:pPr>
          </w:p>
        </w:tc>
        <w:tc>
          <w:tcPr>
            <w:tcW w:w="80" w:type="dxa"/>
            <w:vAlign w:val="bottom"/>
            <w:shd w:val="clear" w:color="auto" w:fill="00497F"/>
          </w:tcPr>
          <w:p>
            <w:pPr>
              <w:spacing w:after="0"/>
              <w:rPr>
                <w:sz w:val="23"/>
                <w:szCs w:val="23"/>
                <w:color w:val="auto"/>
              </w:rPr>
            </w:pPr>
          </w:p>
        </w:tc>
        <w:tc>
          <w:tcPr>
            <w:tcW w:w="40" w:type="dxa"/>
            <w:vAlign w:val="bottom"/>
            <w:shd w:val="clear" w:color="auto" w:fill="00497F"/>
          </w:tcPr>
          <w:p>
            <w:pPr>
              <w:spacing w:after="0"/>
              <w:rPr>
                <w:sz w:val="23"/>
                <w:szCs w:val="23"/>
                <w:color w:val="auto"/>
              </w:rPr>
            </w:pPr>
          </w:p>
        </w:tc>
        <w:tc>
          <w:tcPr>
            <w:tcW w:w="180" w:type="dxa"/>
            <w:vAlign w:val="bottom"/>
            <w:shd w:val="clear" w:color="auto" w:fill="00497F"/>
          </w:tcPr>
          <w:p>
            <w:pPr>
              <w:spacing w:after="0"/>
              <w:rPr>
                <w:sz w:val="23"/>
                <w:szCs w:val="23"/>
                <w:color w:val="auto"/>
              </w:rPr>
            </w:pPr>
          </w:p>
        </w:tc>
        <w:tc>
          <w:tcPr>
            <w:tcW w:w="1280" w:type="dxa"/>
            <w:vAlign w:val="bottom"/>
            <w:gridSpan w:val="3"/>
            <w:shd w:val="clear" w:color="auto" w:fill="00497F"/>
          </w:tcPr>
          <w:p>
            <w:pPr>
              <w:jc w:val="right"/>
              <w:spacing w:after="0"/>
              <w:rPr>
                <w:sz w:val="20"/>
                <w:szCs w:val="20"/>
                <w:color w:val="auto"/>
              </w:rPr>
            </w:pPr>
            <w:r>
              <w:rPr>
                <w:rFonts w:ascii="Arial" w:cs="Arial" w:eastAsia="Arial" w:hAnsi="Arial"/>
                <w:sz w:val="14"/>
                <w:szCs w:val="14"/>
                <w:b w:val="1"/>
                <w:bCs w:val="1"/>
                <w:color w:val="FFFFFF"/>
              </w:rPr>
              <w:t>Narrowbody</w:t>
            </w:r>
          </w:p>
        </w:tc>
        <w:tc>
          <w:tcPr>
            <w:tcW w:w="660" w:type="dxa"/>
            <w:vAlign w:val="bottom"/>
            <w:shd w:val="clear" w:color="auto" w:fill="00497F"/>
          </w:tcPr>
          <w:p>
            <w:pPr>
              <w:spacing w:after="0"/>
              <w:rPr>
                <w:sz w:val="23"/>
                <w:szCs w:val="23"/>
                <w:color w:val="auto"/>
              </w:rPr>
            </w:pPr>
          </w:p>
        </w:tc>
        <w:tc>
          <w:tcPr>
            <w:tcW w:w="20" w:type="dxa"/>
            <w:vAlign w:val="bottom"/>
            <w:shd w:val="clear" w:color="auto" w:fill="00497F"/>
          </w:tcPr>
          <w:p>
            <w:pPr>
              <w:spacing w:after="0"/>
              <w:rPr>
                <w:sz w:val="23"/>
                <w:szCs w:val="23"/>
                <w:color w:val="auto"/>
              </w:rPr>
            </w:pPr>
          </w:p>
        </w:tc>
        <w:tc>
          <w:tcPr>
            <w:tcW w:w="80" w:type="dxa"/>
            <w:vAlign w:val="bottom"/>
            <w:shd w:val="clear" w:color="auto" w:fill="00497F"/>
          </w:tcPr>
          <w:p>
            <w:pPr>
              <w:spacing w:after="0"/>
              <w:rPr>
                <w:sz w:val="23"/>
                <w:szCs w:val="23"/>
                <w:color w:val="auto"/>
              </w:rPr>
            </w:pPr>
          </w:p>
        </w:tc>
        <w:tc>
          <w:tcPr>
            <w:tcW w:w="20" w:type="dxa"/>
            <w:vAlign w:val="bottom"/>
            <w:shd w:val="clear" w:color="auto" w:fill="00497F"/>
          </w:tcPr>
          <w:p>
            <w:pPr>
              <w:spacing w:after="0"/>
              <w:rPr>
                <w:sz w:val="23"/>
                <w:szCs w:val="23"/>
                <w:color w:val="auto"/>
              </w:rPr>
            </w:pPr>
          </w:p>
        </w:tc>
        <w:tc>
          <w:tcPr>
            <w:tcW w:w="240" w:type="dxa"/>
            <w:vAlign w:val="bottom"/>
            <w:shd w:val="clear" w:color="auto" w:fill="00497F"/>
          </w:tcPr>
          <w:p>
            <w:pPr>
              <w:spacing w:after="0"/>
              <w:rPr>
                <w:sz w:val="23"/>
                <w:szCs w:val="23"/>
                <w:color w:val="auto"/>
              </w:rPr>
            </w:pPr>
          </w:p>
        </w:tc>
        <w:tc>
          <w:tcPr>
            <w:tcW w:w="1060" w:type="dxa"/>
            <w:vAlign w:val="bottom"/>
            <w:gridSpan w:val="3"/>
            <w:shd w:val="clear" w:color="auto" w:fill="00497F"/>
          </w:tcPr>
          <w:p>
            <w:pPr>
              <w:jc w:val="right"/>
              <w:ind w:right="8"/>
              <w:spacing w:after="0"/>
              <w:rPr>
                <w:sz w:val="20"/>
                <w:szCs w:val="20"/>
                <w:color w:val="auto"/>
              </w:rPr>
            </w:pPr>
            <w:r>
              <w:rPr>
                <w:rFonts w:ascii="Arial" w:cs="Arial" w:eastAsia="Arial" w:hAnsi="Arial"/>
                <w:sz w:val="14"/>
                <w:szCs w:val="14"/>
                <w:b w:val="1"/>
                <w:bCs w:val="1"/>
                <w:color w:val="FFFFFF"/>
              </w:rPr>
              <w:t>Total</w:t>
            </w:r>
          </w:p>
        </w:tc>
        <w:tc>
          <w:tcPr>
            <w:tcW w:w="840" w:type="dxa"/>
            <w:vAlign w:val="bottom"/>
            <w:shd w:val="clear" w:color="auto" w:fill="00497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Aircraft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Assets at January 1, 2019</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Sales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660" w:type="dxa"/>
            <w:vAlign w:val="bottom"/>
            <w:tcBorders>
              <w:bottom w:val="single" w:sz="8" w:color="CCEEFF"/>
            </w:tcBorders>
            <w:gridSpan w:val="3"/>
          </w:tcPr>
          <w:p>
            <w:pPr>
              <w:ind w:left="240"/>
              <w:spacing w:after="0"/>
              <w:rPr>
                <w:sz w:val="20"/>
                <w:szCs w:val="20"/>
                <w:color w:val="auto"/>
              </w:rPr>
            </w:pPr>
            <w:r>
              <w:rPr>
                <w:rFonts w:ascii="Arial" w:cs="Arial" w:eastAsia="Arial" w:hAnsi="Arial"/>
                <w:sz w:val="14"/>
                <w:szCs w:val="14"/>
                <w:color w:val="auto"/>
              </w:rPr>
              <w:t>Transfers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Assets at September 30, 2019</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Engines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Assets at January 1, 2019</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78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142</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Purchases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66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Transfers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50"/>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Assets at September 30, 2019</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152</w:t>
            </w:r>
          </w:p>
        </w:tc>
        <w:tc>
          <w:tcPr>
            <w:tcW w:w="0" w:type="dxa"/>
            <w:vAlign w:val="bottom"/>
          </w:tcPr>
          <w:p>
            <w:pPr>
              <w:spacing w:after="0"/>
              <w:rPr>
                <w:sz w:val="1"/>
                <w:szCs w:val="1"/>
                <w:color w:val="auto"/>
              </w:rPr>
            </w:pPr>
          </w:p>
        </w:tc>
      </w:tr>
      <w:tr>
        <w:trPr>
          <w:trHeight w:val="602"/>
        </w:trPr>
        <w:tc>
          <w:tcPr>
            <w:tcW w:w="4700" w:type="dxa"/>
            <w:vAlign w:val="bottom"/>
            <w:gridSpan w:val="4"/>
          </w:tcPr>
          <w:p>
            <w:pPr>
              <w:spacing w:after="0"/>
              <w:rPr>
                <w:sz w:val="20"/>
                <w:szCs w:val="20"/>
                <w:color w:val="auto"/>
              </w:rPr>
            </w:pPr>
            <w:r>
              <w:rPr>
                <w:rFonts w:ascii="Arial" w:cs="Arial" w:eastAsia="Arial" w:hAnsi="Arial"/>
                <w:sz w:val="16"/>
                <w:szCs w:val="16"/>
                <w:color w:val="auto"/>
              </w:rPr>
              <w:t>The following table presents our results of operations: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50,169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41,040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146,203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109,663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36,540</w:t>
            </w:r>
          </w:p>
        </w:tc>
        <w:tc>
          <w:tcPr>
            <w:tcW w:w="0" w:type="dxa"/>
            <w:vAlign w:val="bottom"/>
          </w:tcPr>
          <w:p>
            <w:pPr>
              <w:spacing w:after="0"/>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4"/>
                <w:szCs w:val="14"/>
                <w:color w:val="auto"/>
              </w:rPr>
              <w:t>Maintenance revenue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35,426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27,575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7,851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82,572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67,000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15,572</w:t>
            </w:r>
          </w:p>
        </w:tc>
        <w:tc>
          <w:tcPr>
            <w:tcW w:w="0" w:type="dxa"/>
            <w:vAlign w:val="bottom"/>
          </w:tcPr>
          <w:p>
            <w:pPr>
              <w:spacing w:after="0"/>
              <w:rPr>
                <w:sz w:val="1"/>
                <w:szCs w:val="1"/>
                <w:color w:val="auto"/>
              </w:rPr>
            </w:pPr>
          </w:p>
        </w:tc>
      </w:tr>
      <w:tr>
        <w:trPr>
          <w:trHeight w:val="276"/>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719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5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86,305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69,791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16,514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231,697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178,644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53,053</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2,473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2,115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11,272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3,860</w:t>
            </w:r>
          </w:p>
        </w:tc>
        <w:tc>
          <w:tcPr>
            <w:tcW w:w="0" w:type="dxa"/>
            <w:vAlign w:val="bottom"/>
          </w:tcPr>
          <w:p>
            <w:pPr>
              <w:spacing w:after="0"/>
              <w:rPr>
                <w:sz w:val="1"/>
                <w:szCs w:val="1"/>
                <w:color w:val="auto"/>
              </w:rPr>
            </w:pPr>
          </w:p>
        </w:tc>
      </w:tr>
      <w:tr>
        <w:trPr>
          <w:trHeight w:val="276"/>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33,911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26,343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7,568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97,183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73,031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24,152</w:t>
            </w:r>
          </w:p>
        </w:tc>
        <w:tc>
          <w:tcPr>
            <w:tcW w:w="0" w:type="dxa"/>
            <w:vAlign w:val="bottom"/>
          </w:tcPr>
          <w:p>
            <w:pPr>
              <w:spacing w:after="0"/>
              <w:rPr>
                <w:sz w:val="1"/>
                <w:szCs w:val="1"/>
                <w:color w:val="auto"/>
              </w:rPr>
            </w:pPr>
          </w:p>
        </w:tc>
      </w:tr>
      <w:tr>
        <w:trPr>
          <w:trHeight w:val="25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36,449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28,543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7,906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108,533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80,751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27,782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276"/>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37,060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61,388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56,190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36,206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36,170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60,145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4,775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55,370</w:t>
            </w:r>
          </w:p>
        </w:tc>
        <w:tc>
          <w:tcPr>
            <w:tcW w:w="0" w:type="dxa"/>
            <w:vAlign w:val="bottom"/>
          </w:tcPr>
          <w:p>
            <w:pPr>
              <w:spacing w:after="0"/>
              <w:rPr>
                <w:sz w:val="1"/>
                <w:szCs w:val="1"/>
                <w:color w:val="auto"/>
              </w:rPr>
            </w:pPr>
          </w:p>
        </w:tc>
      </w:tr>
      <w:tr>
        <w:trPr>
          <w:trHeight w:val="250"/>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86,062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41,284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44,778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183,309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102,668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80,641</w:t>
            </w:r>
          </w:p>
        </w:tc>
        <w:tc>
          <w:tcPr>
            <w:tcW w:w="0" w:type="dxa"/>
            <w:vAlign w:val="bottom"/>
          </w:tcPr>
          <w:p>
            <w:pPr>
              <w:spacing w:after="0"/>
              <w:rPr>
                <w:sz w:val="1"/>
                <w:szCs w:val="1"/>
                <w:color w:val="auto"/>
              </w:rPr>
            </w:pPr>
          </w:p>
        </w:tc>
      </w:tr>
      <w:tr>
        <w:trPr>
          <w:trHeight w:val="27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540</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(1,373)</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85,246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40,744</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44,502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184,682</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101,122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83,560</w:t>
            </w:r>
          </w:p>
        </w:tc>
        <w:tc>
          <w:tcPr>
            <w:tcW w:w="0" w:type="dxa"/>
            <w:vAlign w:val="bottom"/>
          </w:tcPr>
          <w:p>
            <w:pPr>
              <w:spacing w:after="0"/>
              <w:rPr>
                <w:sz w:val="1"/>
                <w:szCs w:val="1"/>
                <w:color w:val="auto"/>
              </w:rPr>
            </w:pPr>
          </w:p>
        </w:tc>
      </w:tr>
      <w:tr>
        <w:trPr>
          <w:trHeight w:val="18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85,246</w:t>
            </w:r>
          </w:p>
        </w:tc>
        <w:tc>
          <w:tcPr>
            <w:tcW w:w="120" w:type="dxa"/>
            <w:vAlign w:val="bottom"/>
          </w:tcPr>
          <w:p>
            <w:pPr>
              <w:spacing w:after="0"/>
              <w:rPr>
                <w:sz w:val="21"/>
                <w:szCs w:val="21"/>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40,744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44,502</w:t>
            </w:r>
          </w:p>
        </w:tc>
        <w:tc>
          <w:tcPr>
            <w:tcW w:w="100" w:type="dxa"/>
            <w:vAlign w:val="bottom"/>
          </w:tcPr>
          <w:p>
            <w:pPr>
              <w:spacing w:after="0"/>
              <w:rPr>
                <w:sz w:val="21"/>
                <w:szCs w:val="21"/>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184,682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101,146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83,536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626"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85,246</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40,744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44,502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184,682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101,146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83,536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816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65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obligations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40,631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121,191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90,660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30,531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885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1,328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(3)</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126,758</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72,452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54,306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304,578</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193,488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111,090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334" w:lineRule="auto"/>
        <w:tabs>
          <w:tab w:leader="none" w:pos="153"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Includes the following items for the three months ended September 30, 2019 and 2018: (i) depreciation expense of $33,911 and $26,343, (ii) lease intangible amortization of $1,072 and $1,911 and (iii) amortization for lease incentives of $5,648 and $2,829, respectively. Includes the following items for the nine months ended September 30, 2019 and 2018: (i) depreciation expense of $97,183 and $73,031, (ii) lease intangible amortization of $5,736 and $5,913 and (iii) amortization for lease incentives of $18,272 and $11,716, respectively.</w:t>
      </w:r>
    </w:p>
    <w:p>
      <w:pPr>
        <w:spacing w:after="0" w:line="36" w:lineRule="exact"/>
        <w:rPr>
          <w:rFonts w:ascii="Arial" w:cs="Arial" w:eastAsia="Arial" w:hAnsi="Arial"/>
          <w:sz w:val="17"/>
          <w:szCs w:val="17"/>
          <w:color w:val="auto"/>
          <w:vertAlign w:val="superscript"/>
        </w:rPr>
      </w:pPr>
    </w:p>
    <w:p>
      <w:pPr>
        <w:ind w:left="180" w:hanging="172"/>
        <w:spacing w:after="0" w:line="225" w:lineRule="auto"/>
        <w:tabs>
          <w:tab w:leader="none" w:pos="153"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Includes Aviation Leasing’s proportionate share of the unconsolidated entities’ net income adjusted for the excluded and included items detailed in the table above, for which there were no adjustments.</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Includes depreciation expense of $0 and $172 for the nine months ended September 30, 2019 and 2018,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$16.5 million driven by higher lease income and maintenance revenue.</w:t>
      </w:r>
    </w:p>
    <w:p>
      <w:pPr>
        <w:spacing w:after="0" w:line="113" w:lineRule="exact"/>
        <w:rPr>
          <w:sz w:val="20"/>
          <w:szCs w:val="20"/>
          <w:color w:val="auto"/>
        </w:rPr>
      </w:pPr>
    </w:p>
    <w:p>
      <w:pPr>
        <w:ind w:left="660" w:hanging="328"/>
        <w:spacing w:after="0" w:line="26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Lease income increased $9.1 million mainly due to an increase in (i) aircraft lease income of $7.6 million primarily driven by the addition of 22 aircraft on lease and (ii) engine lease income of $1.5 million primarily driven by an additional 15 revenue generating engines.</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Maintenance revenue increased $7.9 million due to an increase in the number of aircraft and engines on lease.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$53.1 million driven by higher lease income and maintenance revenue.</w:t>
      </w:r>
    </w:p>
    <w:p>
      <w:pPr>
        <w:spacing w:after="0" w:line="113" w:lineRule="exact"/>
        <w:rPr>
          <w:sz w:val="20"/>
          <w:szCs w:val="20"/>
          <w:color w:val="auto"/>
        </w:rPr>
      </w:pPr>
    </w:p>
    <w:p>
      <w:pPr>
        <w:ind w:left="660" w:hanging="328"/>
        <w:spacing w:after="0" w:line="26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Lease income increased $36.5 million mainly due to an increase in (i) aircraft lease income of $27.0 million primarily driven by the addition of 23 aircraft on lease and (ii) engine lease income of $9.5 million primarily driven by an additional 24 revenue generating engines.</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Maintenance revenue increased $15.6 million due to an increase in the number of aircraft and engines on lease.</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Finance lease income increased $1.2 million due to income earned from aircraft classified as a finance lease.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$7.9 million primarily due to an increase in depreciation and amortization expense and operating expenses.</w:t>
      </w:r>
    </w:p>
    <w:p>
      <w:pPr>
        <w:spacing w:after="0" w:line="11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Depreciation and amortization expense increased $7.6 million driven by additional aircraft and engines owned and on lease.</w:t>
      </w:r>
    </w:p>
    <w:p>
      <w:pPr>
        <w:spacing w:after="0" w:line="11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expenses increased $0.4 million primarily as a result of an increase in professional fees of $0.2 million and other operating expenses of $0.2 million.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93"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00497F"/>
        </w:rPr>
        <w:t>Comparison of the nine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$27.8 million primarily due to an increase in depreciation and amortization expense and operating expenses.</w:t>
      </w:r>
    </w:p>
    <w:p>
      <w:pPr>
        <w:spacing w:after="0" w:line="11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Depreciation and amortization expense increased $24.2 million driven by additional aircraft and engines owned and on lease.</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Operating expenses increased $3.9 million primarily as a result of an increase in (i) bad debt expense of $1.5 million relating to an engine loss receivable deemed uncollectible due to bankruptcy, (ii) shipping and storage fees of $1.3 million due to the positioning of our assets for lease, (iii) repairs and maintenance expenses of $0.7 million and (iii) other operating expenses of $0.4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Total other income increased $36.2 million during the three months ended September 30, 2019 primarily due to an increase of $36.8 million in gain on the sale of leasing equipment in 2019 partially offset due to a decrease of $0.7 million in Aviation Leasing’s proportionate share of the unconsolidated entities’ net income.</w:t>
      </w:r>
    </w:p>
    <w:p>
      <w:pPr>
        <w:spacing w:after="0" w:line="28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Total other income increased $55.4 million during the nine months ended September 30, 2019 primarily due to an increase of $56.2 million in gain on the sale of leasing equipment in 2019 partially offset due to a decrease of $0.8 million in Aviation Leasing’s proportionate share of the unconsolidated entities’ net income.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increased $54.3 million and $111.1 million during the three and nine months ended September 30, 2019, respectively, primarily due to the changes noted above and higher depreciation and amortization for the additional aircraft and engines owned and on lease.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Terminal services revenues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9,505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6,983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21,909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15,584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Crude marketing revenues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50,405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140,388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125,161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60,537</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17,836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42,701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164,053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21,639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142,414</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69,712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23,893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45,819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183,346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47,105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136,241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16,392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3,927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4,257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12,375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12,070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79,356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33,149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46,207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212,113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73,901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138,212</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(18,183)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(47,652)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(18,239)</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(14,856)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(47,832)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(50,440)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2,608</w:t>
            </w:r>
          </w:p>
        </w:tc>
        <w:tc>
          <w:tcPr>
            <w:tcW w:w="0" w:type="dxa"/>
            <w:vAlign w:val="bottom"/>
          </w:tcPr>
          <w:p>
            <w:pPr>
              <w:spacing w:after="0"/>
              <w:rPr>
                <w:sz w:val="1"/>
                <w:szCs w:val="1"/>
                <w:color w:val="auto"/>
              </w:rPr>
            </w:pPr>
          </w:p>
        </w:tc>
      </w:tr>
      <w:tr>
        <w:trPr>
          <w:trHeight w:val="174"/>
        </w:trPr>
        <w:tc>
          <w:tcPr>
            <w:tcW w:w="4700" w:type="dxa"/>
            <w:vAlign w:val="bottom"/>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(12,885)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(3,759)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(20,017)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7,132</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73"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(13,208)</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(11,097)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(34,947)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obligations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3,736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3,351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6,003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5,436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16,392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3,927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12,375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12,070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(2)</w:t>
            </w: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(3,510)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(7,511)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(8,846)</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(2,112)</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(4,064)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(5,965)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4,838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94"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Includes the following items for the three months ended September 30, 2019 and 2018: (i) net loss of $(162) and $(349) and (ii) depreciation and amortization expense of $265</w:t>
      </w:r>
    </w:p>
    <w:p>
      <w:pPr>
        <w:ind w:left="180" w:right="20"/>
        <w:spacing w:after="0" w:line="258" w:lineRule="auto"/>
        <w:rPr>
          <w:rFonts w:ascii="Arial" w:cs="Arial" w:eastAsia="Arial" w:hAnsi="Arial"/>
          <w:sz w:val="16"/>
          <w:szCs w:val="16"/>
          <w:color w:val="auto"/>
          <w:vertAlign w:val="superscript"/>
        </w:rPr>
      </w:pPr>
      <w:r>
        <w:rPr>
          <w:rFonts w:ascii="Arial" w:cs="Arial" w:eastAsia="Arial" w:hAnsi="Arial"/>
          <w:sz w:val="14"/>
          <w:szCs w:val="14"/>
          <w:color w:val="auto"/>
        </w:rPr>
        <w:t>and $788, respectively. Includes the following items for the nine months ended September 30, 2019 and 2018: (i) net loss of $(363) and $(436) and (ii) depreciation and amortization expense of $797 and $788, respectively.</w:t>
      </w:r>
    </w:p>
    <w:p>
      <w:pPr>
        <w:spacing w:after="0" w:line="86" w:lineRule="exact"/>
        <w:rPr>
          <w:rFonts w:ascii="Arial" w:cs="Arial" w:eastAsia="Arial" w:hAnsi="Arial"/>
          <w:sz w:val="16"/>
          <w:szCs w:val="16"/>
          <w:color w:val="auto"/>
          <w:vertAlign w:val="superscript"/>
        </w:rPr>
      </w:pPr>
    </w:p>
    <w:p>
      <w:pPr>
        <w:jc w:val="both"/>
        <w:ind w:left="180" w:hanging="172"/>
        <w:spacing w:after="0" w:line="231" w:lineRule="auto"/>
        <w:tabs>
          <w:tab w:leader="none" w:pos="169"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2019 and 2018: (i) equity-based compensation of $57 and $17, (ii) provision for income taxes of $12 and $2, (iii) interest expense of $825 and $1,498, (iv) changes in fair value of non-hedge derivative instruments of $785 and $221 and (v) depreciation and amortization expense of $1,199 and $1,772, respectively. Includes the following items for the nine months ended September 30, 2019 and 2018: (i) equity-based compensation of $172 and $88, (ii) provision for income taxes of $38 and $10, (iii) interest expense of $2,599 and $3,780, (iv) changes in fair value of non-hedge derivative instruments of $1,261 and $149 and (v) depreciation and amortization expense of $3,441 and $4,819,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2019 and 2018</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increased $42.7 million primarily due to crude marketing revenue of $35.2 million. During the third quarter of 2018, Jefferson Terminal initiated a strategy in Canada sourcing crude from producers, arranging logistics to Jefferson Terminal and marketing crude to third parties. Additionally, terminal services revenue increased $7.0 million primarily due to increased activity and storage capacity.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2019 and 2018</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increased $142.4 million primarily due to crude marketing revenue of $125.2 million. During the third quarter of 2018, Jefferson Terminal initiated a strategy in Canada sourcing crude from producers, arranging logistics to Jefferson Terminal and marketing crude to third parties. Additionally, terminal services revenue increased $15.6 million primarily due to increased activity and storage capacity.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2019 and 2018</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$46.2 million primarily due to higher operating expenses of $45.8 million, which primarily reflected higher costs associated with crude marketing.</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2019 and 2018</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$138.2 million primarily due to higher operating expenses of $136.2 million, which primarily reflected higher costs associated with crude marketing.</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increased $2.0 million and $4.8 million during the three and nine months ended September 30, 2019, respectively, primarily due to the changes noted above, changes in the fair value of non-hedge derivative instruments and depreciation and amortization.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93"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497F"/>
        </w:rPr>
        <w:t>Railroad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Rail revenues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10,251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8,907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30,735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28,742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10,251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8,907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30,735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28,742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1,993</w:t>
            </w:r>
          </w:p>
        </w:tc>
        <w:tc>
          <w:tcPr>
            <w:tcW w:w="0" w:type="dxa"/>
            <w:vAlign w:val="bottom"/>
          </w:tcPr>
          <w:p>
            <w:pPr>
              <w:spacing w:after="0"/>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26,666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949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9,538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9,120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29,886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26,004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Gain on sale of equipment, net</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727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(1,911)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595</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535</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2,793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(2,258)</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(loss) attributable to non-controlling interest in</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subsidiaries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434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73"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obligations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949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1,901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4,063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9" w:lineRule="auto"/>
        <w:tabs>
          <w:tab w:leader="none" w:pos="173"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2019 and 2018: (i) equity-based compensation of $28 and $2, (ii) interest expense of $33 and $14, (iii) provision for income taxes of $15 and $0 and (iv) depreciation and amortization expense of $64 and $37, respectively. Includes the following items for the nine months ended September 30, 2019 and 2018: (i) equity-based compensation of $44 and $8, (ii) interest expense of $96 and $43, (iii) provision for income taxes of $35 and $0 and (iv) depreciation and amortization expense of $201 and $106,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2019 and 2018</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revenues increased $1.3 million which primarily reflects an increase in freight transportation revenue of $0.8 million, due to an overall increase in carloads and increased contract repair revenue.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2019 and 2018</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$2.0 million primarily due to an increase in switching and other rail service revenue of $1.9 million relating to increased contract repair revenue.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increased $0.4 million and $3.9 million during the three and nine months ended September 30, 2019, respectively, primarily due to higher operating expenses. These increases primarily reflect additional operating costs resulting from the car cleaning business, which commenced in 2019, and a credit for certain tax benefits taken in 2018 which were not repeated in 2019.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increased $1.2 million and decreased $1.0 million during the three and nine months ended September 30, 2019, respectively, primarily due to the changes noted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93"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Terminal services revenues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2,330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2,330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5,176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5,176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1,595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3,249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4,174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12,154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6,561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15,063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1,687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5,240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2,759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7,560</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4,474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3,086</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21,416</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11,756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9,660</w:t>
            </w:r>
          </w:p>
        </w:tc>
        <w:tc>
          <w:tcPr>
            <w:tcW w:w="0" w:type="dxa"/>
            <w:vAlign w:val="bottom"/>
          </w:tcPr>
          <w:p>
            <w:pPr>
              <w:spacing w:after="0"/>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(expense) income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1,873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1,873</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(3,983)</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(952)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(3,031)</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(7,148)</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(3,983)</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(7,148)</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(3,903)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(3,021)</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(6,982)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(3,903)</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(6,982)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obligations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644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(1,873)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469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1,113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(927)</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(2,242)</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hanging="172"/>
        <w:spacing w:after="0" w:line="218" w:lineRule="auto"/>
        <w:tabs>
          <w:tab w:leader="none" w:pos="171"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and nine months ended September 30, 2019: (i) equity-based compensation of $0 and $(4), (ii) interest expense of $41 and $(71) and (iii) depreciation and amortization expense of $3 and $(12), respectively.</w:t>
      </w:r>
    </w:p>
    <w:p>
      <w:pPr>
        <w:sectPr>
          <w:pgSz w:w="11900" w:h="16838" w:orient="portrait"/>
          <w:cols w:equalWidth="0" w:num="1">
            <w:col w:w="11420"/>
          </w:cols>
          <w:pgMar w:left="240" w:top="473"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73"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$0.7 million primarily due to an increase in natural gas sales at Long Ridge.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$6.6 million primarily due to terminal services revenue of $5.2 million and other revenue of $1.6 million.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terminal services revenue primarily reflects higher transloading revenue of $5.5 million at Long Ridge.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other revenue is primarily due to higher oil and gas related activity of $1.1 million at Long Ridge.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$3.1 million primarily due to higher operating expenses of $1.8 million and depreciation and amortization of $0.8 million.</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increase in operating expenses primarily reflects increases in (i) operating costs of $0.5 million for proved gas properties at Long Ridge that were previously being capitalized, (ii) compensation and benefits of $0.5 million due to additional headcount and (iii) $0.2 million of repairs and maintenance expenses due to increased activity.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depreciation and amortization is primarily due to new oil and gas related assets placed into service at Long Ridge.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$9.7 million primarily due to higher operating expenses of $6.3 million and depreciation and amortization of $2.8 million.</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increase in operating expenses primarily reflects higher (i) facility operations and repairs and maintenance of $2.0 million due to increased activity at Long Ridge, (ii) cost of sales of $1.2 million related to the sale of butane at Repauno, (iii) compensation and benefits of $1.3 million due to additional headcount for Ports and Terminals, (iv) operating costs of $1.1 million for proved gas properties at Long Ridge that were previously being capitalized and (v) $0.7 million increase in professional fees and insurance for Ports and Terminals.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depreciation and amortization is primarily due to assets placed into service at Long Ridge.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decreased $0.6 million during the three months ended September 30, 2019 primarily due to an unrealized loss of $0.6 million on our electricity derivatives.</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income increased $2.1 million during the nine months ended September 30, 2019 primarily due to an unrealized gain of $1.9 million on our electricity derivatives.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decreased $1.0 million and increased $0.5 million during the three and nine months ended September 30, 2019, respectively, primarily due to the changes noted above.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527"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954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7,214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7,360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6,284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4,012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2,272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15,313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12,171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7,378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3,532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16,926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12,080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4,846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20,791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10,652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10,139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57,826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26,536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31,290</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44,977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25,263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19,714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111,880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70,135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41,745</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Equity in earnings of unconsolidated entities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1,003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1,003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1,080</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963</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1,106</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406</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10"/>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(42,943)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(24,047)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(103,560)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(41,191)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(42,943)</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(24,047)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(18,896)</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(103,564)</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(62,371)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(41,193)</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2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(42,943)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(24,047)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(18,896)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(103,564)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(62,371)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(41,193)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73"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(42,943)</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(24,047)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(18,896)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(103,564)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(62,371)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(41,193)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5,278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3,903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9,047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4,621</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obligations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3,736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3,756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6,109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5,556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20,791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10,652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10,139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57,826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26,536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31,290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(2)</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(11,478)</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(10,371)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(25,872)</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(25,809)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71"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2019 and 2018: (i) net (loss) income of $(49) and $58 and (ii) interest expense of $30 and $97,</w:t>
      </w:r>
    </w:p>
    <w:p>
      <w:pPr>
        <w:ind w:left="180"/>
        <w:spacing w:after="0" w:line="258" w:lineRule="auto"/>
        <w:rPr>
          <w:rFonts w:ascii="Arial" w:cs="Arial" w:eastAsia="Arial" w:hAnsi="Arial"/>
          <w:sz w:val="18"/>
          <w:szCs w:val="18"/>
          <w:color w:val="auto"/>
          <w:vertAlign w:val="superscript"/>
        </w:rPr>
      </w:pPr>
      <w:r>
        <w:rPr>
          <w:rFonts w:ascii="Arial" w:cs="Arial" w:eastAsia="Arial" w:hAnsi="Arial"/>
          <w:sz w:val="14"/>
          <w:szCs w:val="14"/>
          <w:color w:val="auto"/>
        </w:rPr>
        <w:t>respectively. Includes the following items for the nine months ended September 30, 2019 and 2018: (i) net (loss) income of $(102) and $244, (ii) interest expense of $101 and $303 and (iii) depreciation and amortization expense of $0 and $28, respectively.</w:t>
      </w:r>
    </w:p>
    <w:p>
      <w:pPr>
        <w:spacing w:after="0" w:line="86" w:lineRule="exact"/>
        <w:rPr>
          <w:rFonts w:ascii="Arial" w:cs="Arial" w:eastAsia="Arial" w:hAnsi="Arial"/>
          <w:sz w:val="18"/>
          <w:szCs w:val="18"/>
          <w:color w:val="auto"/>
          <w:vertAlign w:val="superscript"/>
        </w:rPr>
      </w:pPr>
    </w:p>
    <w:p>
      <w:pPr>
        <w:ind w:left="180" w:right="20" w:hanging="172"/>
        <w:spacing w:after="0" w:line="225" w:lineRule="auto"/>
        <w:tabs>
          <w:tab w:leader="none" w:pos="153" w:val="left"/>
        </w:tabs>
        <w:numPr>
          <w:ilvl w:val="0"/>
          <w:numId w:val="25"/>
        </w:numPr>
        <w:rPr>
          <w:rFonts w:ascii="Arial" w:cs="Arial" w:eastAsia="Arial" w:hAnsi="Arial"/>
          <w:sz w:val="17"/>
          <w:szCs w:val="17"/>
          <w:color w:val="auto"/>
          <w:vertAlign w:val="superscript"/>
        </w:rPr>
      </w:pPr>
      <w:r>
        <w:rPr>
          <w:rFonts w:ascii="Arial" w:cs="Arial" w:eastAsia="Arial" w:hAnsi="Arial"/>
          <w:sz w:val="14"/>
          <w:szCs w:val="14"/>
          <w:color w:val="auto"/>
        </w:rPr>
        <w:t>Includes the following items for the three and nine months ended September 30, 2019: (i) interest expense of $29 and $88 and (ii) depreciation and amortization expense of $65 and $180,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2019 and 2018</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revenues decreased $0.1 million which primarily reflects a decrease in finance lease income as one of our vessels was put on nonaccrual status due to a casualty event.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2019 and 2018</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revenues decreased $0.1 million which primarily reflects a decrease in finance lease income as one of our vessels was put on nonaccrual status due to a casualty event, partially offset by higher lease income due to a vessel being on hire for the entire period in 2019 as compared to 2018.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2019 and 2018</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$19.7 million primarily due to higher (i) interest expense of $10.1 million, (ii) acquisition and transaction expenses of $3.9 million and (iii) management fees and incentive allocation to affiliate of $3.5 million.</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increase in interest expense reflects an increase in our average outstanding debt of approximately $508.2 million, which primarily consists of the (i) 2025 Notes of $450.0 million, (ii) 2022 Notes of $44.4 million and (iii) Revolving Credit Facility of $20.0 million.</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increase in acquisition and transaction expenses primarily reflects a higher reimbursement to the Manager due to an increase in transaction volume compared to 2018.</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increase in management fees and incentive allocation to affiliate reflects incentive fees paid to the Manager related to gains on sale of equipment recognized during the period.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2019 and 2018</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$41.7 million primarily due to higher (i) interest expense of $31.3 million, (ii) management fees and incentive allocation to affiliate of $4.8 million and (iii) acquisition and transaction expenses of $4.6 million.</w:t>
      </w:r>
    </w:p>
    <w:p>
      <w:pPr>
        <w:spacing w:after="0" w:line="8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increase in interest expense reflects an increase in our average outstanding debt of approximately $582.8 million, which consists of the (i) 2025 Notes of $383.3 million, (ii) 2022 Notes of $138.5 million and (iii) Revolving Credit Facility of $67.2 million.</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increase in management fees and incentive allocation to affiliate reflects incentive fees paid to the Manager related to gains on sale of equipment recognized during the period.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47" w:right="239" w:bottom="1440" w:gutter="0" w:footer="0" w:header="0"/>
        </w:sectPr>
      </w:pPr>
    </w:p>
    <w:bookmarkStart w:id="57" w:name="page58"/>
    <w:bookmarkEnd w:id="57"/>
    <w:p>
      <w:pPr>
        <w:jc w:val="both"/>
        <w:spacing w:after="0" w:line="260" w:lineRule="auto"/>
        <w:rPr>
          <w:sz w:val="20"/>
          <w:szCs w:val="20"/>
          <w:color w:val="auto"/>
        </w:rPr>
      </w:pPr>
      <w:r>
        <w:rPr>
          <w:rFonts w:ascii="Arial" w:cs="Arial" w:eastAsia="Arial" w:hAnsi="Arial"/>
          <w:sz w:val="16"/>
          <w:szCs w:val="16"/>
          <w:color w:val="auto"/>
        </w:rPr>
        <w:t>The increase in acquisition and transaction expenses primarily reflects a higher reimbursement to the Manager due to an increase in transaction volume compared to 2018.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Other income increased $1.0 million and $0.7 million during the three and nine months ended September 30, 2019, respectively, primarily due to a gain of approximately $1.0 million from casualty insurance proceeds received on one of our vessels.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decreased $1.1 million and $0.1 million during the three and nine months ended September 30, 2019, respectively, primarily due to the changes noted above.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 and holders of eligible participating securities, (iii) expenses associated with our operating activities, and (iv) debt service obligations associated with our investments.</w:t>
      </w:r>
    </w:p>
    <w:p>
      <w:pPr>
        <w:spacing w:after="0" w:line="280" w:lineRule="exact"/>
        <w:rPr>
          <w:sz w:val="20"/>
          <w:szCs w:val="20"/>
          <w:color w:val="auto"/>
        </w:rPr>
      </w:pPr>
    </w:p>
    <w:p>
      <w:pPr>
        <w:ind w:left="660" w:hanging="328"/>
        <w:spacing w:after="0" w:line="26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$590.7 million and $533.5 million during the nine months ended September 30, 2019 and 2018, respectively.</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Dividends to shareholders and holders of eligible participating securities were $85.2 million and $82.6 million during the nine months ended September 30, 2019 and 2018,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Cash flows from operating activities, plus the principal collections on finance leases and maintenance reserve collections were $155.2 million and $128.9 million during the nine months ended September 30, 2019 and 2018, respectively.</w:t>
      </w:r>
    </w:p>
    <w:p>
      <w:pPr>
        <w:spacing w:after="0" w:line="87"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nine months ended September 30, 2019, additional borrowings were obtained in connection with the 2025 Notes of $148.7 million, 2022 Notes of $147.8 million, Revolving Credit Facility of $105.0 million, LREG Credit Agreement of $104.4 million, DRP Revolver of $25.0 million, Jefferson Revolver of $23.2 million and CMQR Credit Agreement of $15.6 million. We made total principal repayments of $218.9 million, primarily relating to the Revolving Credit Facility of $175.0 million, Jefferson Revolver of $23.0 million and CMQR Credit Agreement of $14.4 million. During the nine months ended September 30, 2018, additional borrowings were obtained in connection with the 2025 Notes of $291.0 million, Revolving Credit Facility of $150.0 million, 2022 Notes of $100.0 million, Jefferson Revolver of $49.5 million, net of financing costs, and the CMQR Credit Agreement of $24.8 million. We made total principal repayments of $181.9 million, primarily relating to the Revolving Credit Facility, CMQR Credit Agreement and FTAI Pride Credit Agreement.</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Proceeds from the sale of assets were $166.3 million and $30.5 million during the nine months ended September 30, 2019 and 2018, respectively.</w:t>
      </w:r>
    </w:p>
    <w:p>
      <w:pPr>
        <w:spacing w:after="0" w:line="11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Proceeds from the issuance of common shares was $128.5 million, net of issuance costs of $2.1 million, during the nine months ended September 30, 2018. There were no issuances of common shares in 2019.</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Proceeds from the issuance of preferred shares was $82.9 million, net of issuance costs, during the nine months ended September 30, 2019.</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none of these pipeline transactions or negotiations are definitive or included within our planned liquidity needs. We cannot assure if or when any such transaction will be consummated or the terms of any such transaction.</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 dividend reinvestment plan in place which allows shareholders to automatically reinvest dividends in our common shares. The plan became effective on February 24, 2017.</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93"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00497F"/>
        </w:rPr>
        <w:t>Historical Cash Flow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nine months ended September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nine months ended September 30, 2019 and 2018:</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5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5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92,713</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86,415</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(409,853)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(501,606)</w:t>
            </w:r>
          </w:p>
        </w:tc>
      </w:tr>
      <w:tr>
        <w:trPr>
          <w:trHeight w:val="258"/>
        </w:trPr>
        <w:tc>
          <w:tcPr>
            <w:tcW w:w="7200" w:type="dxa"/>
            <w:vAlign w:val="bottom"/>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50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346,887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507,885</w:t>
            </w:r>
          </w:p>
        </w:tc>
      </w:tr>
    </w:tbl>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provided by operating activities increased $6.3 million primarily due to an increase in net income of $41.7 million and adjustments to reconcile net income which include increases in (i) depreciation and amortization of $29.0 million and (ii) amortization of lease intangibles and incentives of $6.4 million. The overall increase was partially offset by decreases in (iii) gain on sale of equipment of $56.2 million and (iv) changes in accounts receivable, other assets and other liabilities due to the continued expansion of operations across all business segments.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used in investing activities decreased $91.8 million primarily due to (i) proceeds from sale of leasing equipment of $135.9 million, (ii) a decrease in acquisition of leasing equipment of $43.0 million and (iii) principal collections on finance leases of $12.4 million. The overall decrease was partially offset by (iv) the acquisition of property, plant and equipment of $65.2 million, (v) purchase deposits for acquisitions of $28.5 million and (vi) an additional investment in unconsolidated subsidiaries of $12.4 million.</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provided by financing activities decreased $161.0 million primarily due to decreases in (i) proceeds from the issuance of common shares net of issuance costs of $127.7 million, (ii) a decrease in proceeds from debt of $46.5 million, (iii) repayment of debt of $37.1 million and (iv) payment of deferred financing costs of $28.9 million. The overall decrease was partially offset by proceeds from the issuance of preferred shares net of issuance costs of $82.9 million.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excludes changes in working capital. The following table sets forth a reconciliation of Net Cash Provided by Operating Activities to FAD: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92,713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86,415</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Add: Principal Collections on Finance Leases</w:t>
            </w:r>
          </w:p>
        </w:tc>
        <w:tc>
          <w:tcPr>
            <w:tcW w:w="500" w:type="dxa"/>
            <w:vAlign w:val="bottom"/>
          </w:tcPr>
          <w:p>
            <w:pPr>
              <w:spacing w:after="0"/>
              <w:rPr>
                <w:sz w:val="18"/>
                <w:szCs w:val="18"/>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13,094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658</w:t>
            </w:r>
          </w:p>
        </w:tc>
      </w:tr>
      <w:tr>
        <w:trPr>
          <w:trHeight w:val="22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Proceeds from Sale of Assets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166,297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30,487</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Add: Return of Capital Distributions from Unconsolidated Entities</w:t>
            </w:r>
          </w:p>
        </w:tc>
        <w:tc>
          <w:tcPr>
            <w:tcW w:w="500" w:type="dxa"/>
            <w:vAlign w:val="bottom"/>
          </w:tcPr>
          <w:p>
            <w:pPr>
              <w:spacing w:after="0"/>
              <w:rPr>
                <w:sz w:val="18"/>
                <w:szCs w:val="18"/>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1,424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872</w:t>
            </w:r>
          </w:p>
        </w:tc>
      </w:tr>
      <w:tr>
        <w:trPr>
          <w:trHeight w:val="22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7"/>
                <w:szCs w:val="17"/>
                <w:color w:val="auto"/>
                <w:vertAlign w:val="superscript"/>
              </w:rPr>
              <w:t>(1)</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(29,513)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(6,231)</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Less: Capital Distributions to Non-Controlling Interest</w:t>
            </w:r>
          </w:p>
        </w:tc>
        <w:tc>
          <w:tcPr>
            <w:tcW w:w="5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Exclude: Changes in Working Capital</w:t>
            </w:r>
          </w:p>
        </w:tc>
        <w:tc>
          <w:tcPr>
            <w:tcW w:w="5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33,803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11,735</w:t>
            </w:r>
          </w:p>
        </w:tc>
      </w:tr>
      <w:tr>
        <w:trPr>
          <w:trHeight w:val="216"/>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Funds Available for Distribution (FAD)</w:t>
            </w: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277,818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123,936</w:t>
            </w: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30" w:lineRule="auto"/>
        <w:tabs>
          <w:tab w:leader="none" w:pos="153" w:val="left"/>
        </w:tabs>
        <w:numPr>
          <w:ilvl w:val="0"/>
          <w:numId w:val="28"/>
        </w:numPr>
        <w:rPr>
          <w:rFonts w:ascii="Arial" w:cs="Arial" w:eastAsia="Arial" w:hAnsi="Arial"/>
          <w:sz w:val="17"/>
          <w:szCs w:val="17"/>
          <w:color w:val="auto"/>
          <w:vertAlign w:val="superscript"/>
        </w:rPr>
      </w:pPr>
      <w:r>
        <w:rPr>
          <w:rFonts w:ascii="Arial" w:cs="Arial" w:eastAsia="Arial" w:hAnsi="Arial"/>
          <w:sz w:val="14"/>
          <w:szCs w:val="14"/>
          <w:color w:val="auto"/>
        </w:rPr>
        <w:t>Required payments on debt obligations for the nine months ended September 30, 2019 exclude repayments of $175,000 for the Revolving Credit Facility and $14,421 for the CMQR Credit Agreement, and for the nine months ended September 30, 2018 exclude repayments of $150,000 for the Revolving Credit Facility and $25,625 for the CMQR Credit Agreement, all of which were voluntary refinancings as repayments of these amounts were not required at such time.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73" w:right="239" w:bottom="1440" w:gutter="0" w:footer="0" w:header="0"/>
        </w:sectPr>
      </w:pPr>
    </w:p>
    <w:bookmarkStart w:id="59" w:name="page60"/>
    <w:bookmarkEnd w:id="59"/>
    <w:p>
      <w:pPr>
        <w:ind w:left="660" w:right="20" w:hanging="328"/>
        <w:spacing w:after="0" w:line="26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intends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of the Consolidated Financial Statements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future obligations, by period due, as of September 30, 2019, under our various contractual obligations and commitments.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had no off-balance sheet arrangements as of September 30, 2019.</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FTAI Pride Credit Agreement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41,493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43,056</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CMQR Credit Agreement</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23,275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23,275</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Jefferson Revolver</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50,000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DRP Revolver</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LREG Credit Agreement</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104,438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104,438</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Series 2012 Bonds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39,550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Series 2016 Bonds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144,200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144,200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 due 2022</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700,000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Senior Notes due 2025</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450,000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450,000</w:t>
            </w:r>
          </w:p>
        </w:tc>
      </w:tr>
      <w:tr>
        <w:trPr>
          <w:trHeight w:val="18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principal payments on loans and</w:t>
            </w: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17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bonds payable</w:t>
            </w: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1,563</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187,503</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76,960</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755,395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2,295</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585,803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1,609,519</w:t>
            </w:r>
          </w:p>
        </w:tc>
      </w:tr>
      <w:tr>
        <w:trPr>
          <w:trHeight w:val="324"/>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7"/>
                <w:szCs w:val="17"/>
                <w:color w:val="auto"/>
                <w:vertAlign w:val="superscript"/>
              </w:rPr>
              <w:t>(1)</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27,337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96,020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90,635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50,360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39,765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98,542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402,659</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Obligation to third-party</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9,283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9,283</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obligations</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128,702</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961</w:t>
            </w:r>
          </w:p>
        </w:tc>
      </w:tr>
      <w:tr>
        <w:trPr>
          <w:trHeight w:val="250"/>
        </w:trPr>
        <w:tc>
          <w:tcPr>
            <w:tcW w:w="27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29,888</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111,899</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95,727</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54,574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42,946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206,571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541,605</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contractual obligations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31,451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299,402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172,687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809,969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45,241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792,374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2,151,124</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Estimated interest rates as of September 30, 2019.</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93"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000000"/>
        </w:rPr>
        <w:t>Goodwill includes the excess of the purchase price over the fair value of the net tangible and intangible assets associated with the acquisitions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CMQR and Jefferson Terminal. The carrying amount of goodwill is approximately $116.6 million as of both September 30, 2019 and December 31, 2018.</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 ended December 31, 2018.</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performing the annual analysis, our two reporting units subject to the test are the Jefferson Terminal and Railroad reporting units. We estimate the fair value of the reporting units using an income approach, specifically a discounted cash flow analysis. This analysis requires us to make significant assumptions and estimates about the extent and timing of future cash flows, discount rates and growth rates. The estimates and assumptions used consider historical performance if indicative of future performance, and are consistent with the assumptions used in determining future profit plans for the reporting units. We also utilize market valuation models and other financial ratios, which require us to make certain assumptions and estimates regarding the applicability of those models to our assets and businesses.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and Railroad reporting units or other key inputs are negatively revised in the future, the estimated fair value of the Jefferson Terminal and Railroad reporting units could be adversely impacted, potentially leading to an impairment in the future that could materially affect our operating results. Specifically, as it relates to the Jefferson Terminal segment, forecasted revenue is dependent on the ramp up of volumes under current contracts and the acquisition of additional storage contracts for the heavy and light crude and refined products during 2019 and 2020 and is subject to obtaining rail capacity for crude, permits for pipeline, movements in future oil spreads and construction of additional infrastructure for increased volumes. We have generally experienced consistent strengthening in volumes at Jefferson Terminal across all product lines throughout 2019. Jefferson Terminal was designed to reach a storage capacity of 21.7 million barrels, and 2.9 million of storage, or approximately 13% of capacity, is currently operational, and we are expanding to add an additional 1.4 million barrels during the fourth quarter of 2019. If the Company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Other assumptions utilized in our annual impairment analysis that are significant in determination of the fair value of the reporting unit include the discount rate utilized in our discounted cash flow analysis of 14% and our terminal growth rate of 3%.</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development of both inbound and outbound pipelines to and from the Jefferson Terminal over the next two to three years will affect our forecasted growth and therefore our estimated fair value. Three separate pipeline projects will commence construction during the fourth quarter of 2019 and are expected to be complete near the end of 2020. We expect the Jefferson Terminal segment to generate positive Adjusted EBITDA during 2020. Although certain of our anticipated contracts or expected volumes from existing contracts for Jefferson Terminal have been delayed, we continue to believe our projected revenues are achievable. Projections are revised as information is made available based on negotiations with customers, status of construction projects and macro conditions influencing the markets we serve. Further delays in executing these contracts or achieving our projections could adversely affect the fair value of the reporting unit. However, due to strengthening macroeconomic conditions such as increased oil prices, and our expectation that the spread between Western Canadian Crude and Western Texas Intermediate will increase over the long term, we remain positive for the outlook of Jefferson Terminal’s earnings potential.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2018, there was no impairment of goodwill.</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for recent accounting pronouncements.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73"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and it appears likely that LIBOR will be phased out or the methodology for determining LIBOR will be modified by 2021. We currently have agreements that are indexed to LIBOR and are monitoring related reform proposals and evaluating the related risks; however, it is not possible to predict the effects of any of these developments, and any future initiatives to regulate, reform or change the manner of administration of LIBOR could result in adverse consequences to the rate of interest payable and receivable on, market value of and market liquidity for LIBOR-based financial instruments.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 In addition, the following discussion does not take into account our Series A preferred shares, on which distributions currently accrue interest at a fixed rate but will accrue interest at a floating rate based on three-month LIBOR plus a spread from and after September 15, 2024.</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September 30, 2019, assuming we do not hedge our exposure to interest rate fluctuations related to our outstanding floating rate debt, a hypothetical 100-basis point increase/decrease in our variable interest rate on our borrowings would result in an increase/decrease in interest expense of approximately $1.7 million over the next 12 months before the impact of interest rate derivatives.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Foreign Currency Exchange Risk</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73"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common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shares. However, these categories do overlap and should not be considered exclusive.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4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general demand for the type of assets that we purchase;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general macroeconomic conditions, including market prices for commodities that our assets may serve;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geopolitical events, including war, prolonged armed conflict and acts of terrorism;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outbreaks of communicable diseases and natural disasters;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governmental regulation;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the availability of credit;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manufacturer production levels and technological innovation;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manufacturers merging or exiting the industry or ceasing to produce certain asset types;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retirement and obsolescence of the assets that we own;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630" w:right="239" w:bottom="1440" w:gutter="0" w:footer="0" w:header="0"/>
        </w:sectPr>
      </w:pPr>
    </w:p>
    <w:bookmarkStart w:id="63" w:name="page64"/>
    <w:bookmarkEnd w:id="63"/>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6"/>
          <w:szCs w:val="16"/>
          <w:color w:val="auto"/>
        </w:rPr>
        <w:t>our railroad infrastructure may be damaged, including by flooding and railroad derailments;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6"/>
          <w:szCs w:val="16"/>
          <w:color w:val="auto"/>
        </w:rPr>
        <w:t>increases in supply levels of assets in the market due to the sale or merging of operating lessors;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6"/>
          <w:szCs w:val="16"/>
          <w:color w:val="auto"/>
        </w:rPr>
        <w:t>reintroduction of previously unused or dormant assets into the industries in which we operate.</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40" w:right="239" w:bottom="1440" w:gutter="0" w:footer="0" w:header="0"/>
        </w:sectPr>
      </w:pPr>
    </w:p>
    <w:bookmarkStart w:id="64" w:name="page65"/>
    <w:bookmarkEnd w:id="64"/>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2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93" w:right="239" w:bottom="1440" w:gutter="0" w:footer="0" w:header="0"/>
        </w:sectPr>
      </w:pPr>
    </w:p>
    <w:bookmarkStart w:id="65" w:name="page66"/>
    <w:bookmarkEnd w:id="65"/>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4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competition from market participants;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73" w:right="239" w:bottom="1440" w:gutter="0" w:footer="0" w:header="0"/>
        </w:sectPr>
      </w:pPr>
    </w:p>
    <w:bookmarkStart w:id="66" w:name="page67"/>
    <w:bookmarkEnd w:id="66"/>
    <w:p>
      <w:pPr>
        <w:ind w:left="660" w:hanging="328"/>
        <w:spacing w:after="0" w:line="26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4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changes or deficiencies in the design or construction of development projects;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unforeseen engineering, environmental or geological problems;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the availability and cost of skilled labor and equipment;</w:t>
      </w:r>
    </w:p>
    <w:p>
      <w:pPr>
        <w:spacing w:after="0" w:line="7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potential liability for injury or casualty losses which are not covered by insurance;</w:t>
      </w:r>
    </w:p>
    <w:p>
      <w:pPr>
        <w:spacing w:after="0" w:line="75"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4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local and economic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changes in legal requirements;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force majeure events, including catastrophes and adverse weather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8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(DOT or Transport Canada), the Occupational Safety and Health Act (OSHA or Canadian provincial equivalents), the U.S. Federal Railroad Administration (FRA), and the U.S. Surface Transportation Board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2" w:right="239" w:bottom="1440" w:gutter="0" w:footer="0" w:header="0"/>
        </w:sectPr>
      </w:pPr>
    </w:p>
    <w:bookmarkStart w:id="67" w:name="page68"/>
    <w:bookmarkEnd w:id="67"/>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93" w:right="239" w:bottom="1440" w:gutter="0" w:footer="0" w:header="0"/>
        </w:sectPr>
      </w:pPr>
    </w:p>
    <w:bookmarkStart w:id="68" w:name="page69"/>
    <w:bookmarkEnd w:id="68"/>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73" w:right="239" w:bottom="1440" w:gutter="0" w:footer="0" w:header="0"/>
        </w:sectPr>
      </w:pPr>
    </w:p>
    <w:bookmarkStart w:id="69" w:name="page70"/>
    <w:bookmarkEnd w:id="69"/>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3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terrorist acts, armed hostilities, war and civil disturbances;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acts of piracy;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potential cybersecurity attacks;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significant governmental influence over many aspects of local economies;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seizure, nationalization or expropriation of property or equipment;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repudiation, nullification, modification or renegotiation of contracts;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limitations on insurance coverage, such as war risk coverage, in certain areas;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political unrest;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foreign and U.S. monetary policy and foreign currency fluctuations and devaluations;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the inability to repatriate income or capital;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complications associated with repairing and replacing equipment in remote locations;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import-export quotas, wage and price controls, imposition of trade barriers;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U.S. and foreign sanctions or trade embargoes;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restrictions on the transfer of funds into or out of countries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regulatory or financial requirements to comply with foreign bureaucratic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compliance with applicable anti-corruption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changing taxation policies, including confiscatory taxation;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other forms of government regulation and economic conditions that are beyond our control;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governmental corruption.</w:t>
      </w:r>
    </w:p>
    <w:p>
      <w:pPr>
        <w:spacing w:after="0" w:line="11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73" w:right="239" w:bottom="1440" w:gutter="0" w:footer="0" w:header="0"/>
        </w:sectPr>
      </w:pPr>
    </w:p>
    <w:bookmarkStart w:id="70" w:name="page71"/>
    <w:bookmarkEnd w:id="70"/>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3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4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merge, consolidate or transfer all, or substantially all, of our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incur additional debt or issue preferred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make certain investments or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create liens on our or our subsidiaries’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sell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make distributions on or repurchase our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enter into transactions with affiliates;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create dividend restrictions and other payment restrictions that affect our subsidiaries.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73" w:right="239" w:bottom="1440" w:gutter="0" w:footer="0" w:header="0"/>
        </w:sectPr>
      </w:pPr>
    </w:p>
    <w:bookmarkStart w:id="71" w:name="page72"/>
    <w:bookmarkEnd w:id="71"/>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have a limited operating history, our historical financial and operating data may not be representative of our future results.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93" w:right="239" w:bottom="1440" w:gutter="0" w:footer="0" w:header="0"/>
        </w:sectPr>
      </w:pPr>
    </w:p>
    <w:bookmarkStart w:id="72" w:name="page73"/>
    <w:bookmarkEnd w:id="72"/>
    <w:p>
      <w:pPr>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3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meet the terms and maturities of our existing and future debt facilities;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purchase new assets or refinance existing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fund our working capital needs and maintain adequate liquidity;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finance other growth initiatives.</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493" w:right="239" w:bottom="1440" w:gutter="0" w:footer="0" w:header="0"/>
        </w:sectPr>
      </w:pPr>
    </w:p>
    <w:bookmarkStart w:id="73" w:name="page74"/>
    <w:bookmarkEnd w:id="73"/>
    <w:p>
      <w:pPr>
        <w:jc w:val="both"/>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 not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September 30, 2019 and we do not anticipate any expenditures relating to environmental clean-up (including impacts to the Chaudière River) as a result of the Incident.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93"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Jefferson, CMQR, Repauno and Long Ridge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Industries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and Trac Intermodal. Although we have the same Manager, we may compete with entities affiliated with our Manager or Fortress, including Seacastle Ships Holdings Inc. and Trac Intermodal,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473" w:right="239" w:bottom="1440" w:gutter="0" w:footer="0" w:header="0"/>
        </w:sectPr>
      </w:pPr>
    </w:p>
    <w:bookmarkStart w:id="75" w:name="page76"/>
    <w:bookmarkEnd w:id="75"/>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Industries,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93" w:right="239" w:bottom="1440" w:gutter="0" w:footer="0" w:header="0"/>
        </w:sectPr>
      </w:pPr>
    </w:p>
    <w:bookmarkStart w:id="76" w:name="page77"/>
    <w:bookmarkEnd w:id="76"/>
    <w:p>
      <w:pPr>
        <w:jc w:val="both"/>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Holders of our common shares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Such shareholders may not receive cash dividends equal to their allocable share of our net taxable income or even the tax liability that results from that income.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certain of our holdings, including holdings, if any, in a controlled foreign corporation (as defined in the Code) (a “CFC”) may produce taxable income prior to our receipt of cash relating to such income, and shareholders subject to U.S. federal income tax will be required to take such income into account in determining their taxable income.</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tax consequences of the ownership of our preferred shares, including treatment of distributions as guaranteed payments for the use of capital, are uncertain.</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tax treatment of distributions on our preferred shares is uncertain. We intend to treat the holders of our preferred shares as partners for tax purposes and we intend to treat distributions on the shares as guaranteed payments for the use of capital that will generally be taxable to the holders of our preferred shares as ordinary income. Although a holder of our preferred shares will recognize taxable income from the accrual of such a guaranteed payment (even in the absence of a contemporaneous cash distribution), we anticipate accruing and making the guaranteed payment distributions quarterly. Except in the case of any loss recognized in connection with our liquidation, holders of our preferred shares are generally not anticipated to share in our items of income, gain, loss or deduction, nor are they anticipated to be allocated any share of our nonrecourse liabilities. If our preferred shares were treated as indebtedness for tax purposes, rather than as guaranteed payments for the use of capital, distributions likely would be treated as payments of interest by us to the holders of our preferred shares. Finally, if holders of our preferred shares were entitled to an allocation of income from FTAI, the risk factors applicable to holders of common shares would generally apply.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472"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i w:val="1"/>
          <w:iCs w:val="1"/>
          <w:color w:val="auto"/>
        </w:rPr>
        <w:t>U.S. tax reform could adversely affect us and our shareholders.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December 22, 2017, legislation referred to as the “Tax Cuts and Jobs Act” (the “TCJA”) was signed into law. The TCJA is generally effective for taxable years beginning after December 31, 2017. The TCJA includes significant amendments to the Code, including amendments that significantly change the taxation of individuals and business entities, including the taxation of offshore earnings and the deductibility of interest. Some of the amendments could adversely affect our business and financial condition and the value of our shares. In some cases, there is uncertainty around the scope and application of the new legislation that may be addressed in future guidance issued by the U.S. Department of Treasury and the IRS.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not U.S. persons could be subject to U.S. federal income tax, including a 10% withholding tax, on the disposition of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engaged in a U.S. trade or business (directly or indirectly through pass-through subsidiaries), we are not required to manage our operations in a manner that is intended to avoid the conduct of a U.S. trade or business.</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472" w:right="239" w:bottom="1440" w:gutter="0" w:footer="0" w:header="0"/>
        </w:sectPr>
      </w:pPr>
    </w:p>
    <w:bookmarkStart w:id="78" w:name="page79"/>
    <w:bookmarkEnd w:id="78"/>
    <w:p>
      <w:pPr>
        <w:jc w:val="both"/>
        <w:spacing w:after="0" w:line="253" w:lineRule="auto"/>
        <w:rPr>
          <w:sz w:val="20"/>
          <w:szCs w:val="20"/>
          <w:color w:val="auto"/>
        </w:rPr>
      </w:pPr>
      <w:r>
        <w:rPr>
          <w:rFonts w:ascii="Arial" w:cs="Arial" w:eastAsia="Arial" w:hAnsi="Arial"/>
          <w:sz w:val="16"/>
          <w:szCs w:val="16"/>
          <w:color w:val="auto"/>
        </w:rPr>
        <w:t>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A substantial portion of our income consists of “Subpart F” income (which includes rent and other types of passive income) derived from CFCs.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shares.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(directly or indirectly through pass-through subsidiaries),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holding our common shares generally would be required to file U.S. federal income tax returns and would be subject to U.S. federal withholding tax on their allocable share of the effectively connected income on gain at the highest marginal U.S. federal income tax rates applicable to ordinary income. Likewise, non-U.S. persons holding our preferred shares, by virtue of receiving guaranteed payments, may be required to file U.S. federal income tax returns and may be subject to U.S. federal withholding tax on their guaranteed payments, irrespective of our operations or investments. In both cases, non-U.S. persons that are corporations may also be subject to a branch profits tax on their allocable share of such income. Non-U.S. persons should anticipate being required to file U.S. tax returns and may be required to pay U.S. tax solely on account of owning our shares. Non-U.S. shareholders are urged to consult their tax advisors regarding the tax consequences of an investment in our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any class of our shares (or held, or were deemed to hold, more than 5% of any class of our shares) may be subject to U.S. federal income tax upon the disposition of some or all their shares.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any class of our shares at any time during the 5-year period preceding such non-U.S. person’s disposition of such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such shares (and may have a U.S. tax return filing obligation).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shares.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In addition, the treatment of guaranteed payments for the use of capital to tax-exempt investors is not certain, and so distributions on our preferred shares may be treated as UBTI for federal income tax purposes, irrespective of our operations or the structure of our investments. The potential for income to be characterized as UBTI could make our shares an unsuitable investment for a tax-exempt entity. Tax-exempt shareholders are urged to consult their tax advisors regarding the tax consequences of an investment in our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an entity classified as a CFC for U.S. federal income tax purposes.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Many of our investments are in non-U.S. corporations or are held through a non-U.S. subsidiary that is classified as a corporation for U.S. federal income tax purposes. Many of these entities are CFCs for U.S. federal income tax purposes. U.S. Holders indirectly owning an interest in a CFC may experience adverse U.S. tax consequences.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92" w:right="239" w:bottom="1440" w:gutter="0" w:footer="0" w:header="0"/>
        </w:sectPr>
      </w:pPr>
    </w:p>
    <w:bookmarkStart w:id="79" w:name="page80"/>
    <w:bookmarkEnd w:id="79"/>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shares could cause an ownership change in one or more of our corporate subsidiaries. Sales of our shares by our shareholders, as well as future issuances of our shares, could contribute to a potential ownership change in our corporate subsidiaries.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2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73" w:right="239" w:bottom="1440" w:gutter="0" w:footer="0" w:header="0"/>
        </w:sectPr>
      </w:pPr>
    </w:p>
    <w:bookmarkStart w:id="80" w:name="page81"/>
    <w:bookmarkEnd w:id="80"/>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Rules regarding U.S. federal income tax liability arising from IRS audits could adversely affect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It is possible that certain shareholders or we may be liable for taxes attributable to adjustments to our taxable income with respect to tax years that closed before such shareholders owned our shares. Accordingly, these rules may adversely affect certain shareholders in certain cases. This differs from the rules that apply for taxable years beginning before January 1, 2018, which generally provide that tax adjustments only affect the persons who were shareholders in the tax year in which the item was reported on our tax return. The manner in which these rules apply is uncertain and in many respects depends on the promulgation of future regulations or other guidance by the U.S. Treasury Department or the IRS.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and preferred shares may be volatile, which could result in rapid and substantial losses for our shareholders.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market price of our common and preferred shares may be highly volatile and could be subject to wide fluctuations. In addition, the trading volume in our common and preferred shares may fluctuate and cause significant price variations to occur. If the market price of our common or preferred shares declines significantly, you may be unable to resell your shares at or above your purchase price, if at all. The market price of our common and preferred shares may fluctuate or decline significantly in the future. Some of the factors that could negatively affect our share price or result in fluctuations in the price or trading volume of our shares include:</w:t>
      </w:r>
    </w:p>
    <w:p>
      <w:pPr>
        <w:spacing w:after="0" w:line="4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a shift in our investor base;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our quarterly or annual earnings, or those of other comparable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actual or anticipated fluctuations in our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changes in accounting standards, policies, guidance, interpretations or principles;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announcements by us or our competitors of significant investments, acquisitions or dispositions;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the failure of securities analysts to cover our common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changes in earnings estimates by securities analysts or our ability to meet those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the operating and share price performance of other comparable companies;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73" w:right="239" w:bottom="1440" w:gutter="0" w:footer="0" w:header="0"/>
        </w:sectPr>
      </w:pPr>
    </w:p>
    <w:bookmarkStart w:id="81" w:name="page82"/>
    <w:bookmarkEnd w:id="81"/>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we we declare distributions on our preferred shares;</w:t>
      </w:r>
    </w:p>
    <w:p>
      <w:pPr>
        <w:spacing w:after="0" w:line="60"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6"/>
          <w:szCs w:val="16"/>
          <w:color w:val="auto"/>
        </w:rPr>
        <w:t>overall market fluctuations;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6"/>
          <w:szCs w:val="16"/>
          <w:color w:val="auto"/>
        </w:rPr>
        <w:t>general economic conditions;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6"/>
          <w:szCs w:val="16"/>
          <w:color w:val="auto"/>
        </w:rPr>
        <w:t>developments in the markets and market sectors in which we participate.</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and preferred shares.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 on Form 10-K for the fiscal year ended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1,401,726 common shares in connection with equity offerings.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September 30, 2019, rights relating to 1,426,726 of our common shares were outstanding under the Incentive Plan.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38" w:right="239" w:bottom="1440" w:gutter="0" w:footer="0" w:header="0"/>
        </w:sectPr>
      </w:pPr>
    </w:p>
    <w:bookmarkStart w:id="82" w:name="page83"/>
    <w:bookmarkEnd w:id="82"/>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 Furthermore, the terms of our Series A preferred shares generally prevent us from declaring or paying dividends on or repurchasing our common shares or other junior capital unless all accrued distributions on such preferred shares have been paid in full.</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472" w:right="239" w:bottom="1440" w:gutter="0" w:footer="0" w:header="0"/>
        </w:sectPr>
      </w:pPr>
    </w:p>
    <w:bookmarkStart w:id="83" w:name="page84"/>
    <w:bookmarkEnd w:id="83"/>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472"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006EBF"/>
        </w:rPr>
        <w:t>Item 6. Exhibits</w:t>
      </w:r>
    </w:p>
    <w:p>
      <w:pPr>
        <w:spacing w:after="0" w:line="343" w:lineRule="exact"/>
        <w:rPr>
          <w:sz w:val="20"/>
          <w:szCs w:val="20"/>
          <w:color w:val="auto"/>
        </w:rPr>
      </w:pPr>
    </w:p>
    <w:p>
      <w:pPr>
        <w:ind w:left="300"/>
        <w:spacing w:after="0"/>
        <w:tabs>
          <w:tab w:leader="none" w:pos="60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7203440" cy="24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248920"/>
                    </a:xfrm>
                    <a:prstGeom prst="rect">
                      <a:avLst/>
                    </a:prstGeom>
                    <a:noFill/>
                  </pic:spPr>
                </pic:pic>
              </a:graphicData>
            </a:graphic>
          </wp:anchor>
        </w:drawing>
      </w:r>
    </w:p>
    <w:p>
      <w:pPr>
        <w:spacing w:after="0" w:line="67" w:lineRule="exact"/>
        <w:rPr>
          <w:sz w:val="20"/>
          <w:szCs w:val="20"/>
          <w:color w:val="auto"/>
        </w:rPr>
      </w:pPr>
    </w:p>
    <w:p>
      <w:pPr>
        <w:jc w:val="both"/>
        <w:ind w:left="1560" w:hanging="456"/>
        <w:spacing w:after="0" w:line="258" w:lineRule="auto"/>
        <w:tabs>
          <w:tab w:leader="none" w:pos="1540" w:val="left"/>
        </w:tabs>
        <w:rPr>
          <w:rFonts w:ascii="Arial" w:cs="Arial" w:eastAsia="Arial" w:hAnsi="Arial"/>
          <w:sz w:val="14"/>
          <w:szCs w:val="14"/>
          <w:color w:val="0000FF"/>
        </w:rPr>
      </w:pPr>
      <w:hyperlink r:id="rId12">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32" w:lineRule="exact"/>
        <w:rPr>
          <w:sz w:val="20"/>
          <w:szCs w:val="20"/>
          <w:color w:val="auto"/>
        </w:rPr>
      </w:pPr>
    </w:p>
    <w:p>
      <w:pPr>
        <w:ind w:left="1100"/>
        <w:spacing w:after="0"/>
        <w:tabs>
          <w:tab w:leader="none" w:pos="1540" w:val="left"/>
        </w:tabs>
        <w:rPr>
          <w:rFonts w:ascii="Arial" w:cs="Arial" w:eastAsia="Arial" w:hAnsi="Arial"/>
          <w:sz w:val="14"/>
          <w:szCs w:val="14"/>
          <w:color w:val="0000FF"/>
        </w:rPr>
      </w:pPr>
      <w:hyperlink r:id="rId13">
        <w:r>
          <w:rPr>
            <w:rFonts w:ascii="Arial" w:cs="Arial" w:eastAsia="Arial" w:hAnsi="Arial"/>
            <w:sz w:val="14"/>
            <w:szCs w:val="14"/>
            <w:u w:val="single" w:color="auto"/>
            <w:color w:val="0000FF"/>
          </w:rPr>
          <w:t>3.2</w:t>
        </w:r>
      </w:hyperlink>
      <w:r>
        <w:rPr>
          <w:rFonts w:ascii="Arial" w:cs="Arial" w:eastAsia="Arial" w:hAnsi="Arial"/>
          <w:sz w:val="14"/>
          <w:szCs w:val="14"/>
          <w:color w:val="0000FF"/>
        </w:rPr>
        <w:tab/>
        <w:t>Second Amended and Restated Limited Liability Company Agreement of Fortress Transportation and Infrastructure Investors LLC, dated as of September</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12, 2019 (incorporated by reference to Exhibit 3.2 of the Company’s Form 8-A, filed September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7203440"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spacing w:after="0" w:line="35" w:lineRule="exact"/>
        <w:rPr>
          <w:sz w:val="20"/>
          <w:szCs w:val="20"/>
          <w:color w:val="auto"/>
        </w:rPr>
      </w:pPr>
    </w:p>
    <w:p>
      <w:pPr>
        <w:ind w:left="1100"/>
        <w:spacing w:after="0"/>
        <w:tabs>
          <w:tab w:leader="none" w:pos="1540" w:val="left"/>
        </w:tabs>
        <w:rPr>
          <w:rFonts w:ascii="Arial" w:cs="Arial" w:eastAsia="Arial" w:hAnsi="Arial"/>
          <w:sz w:val="14"/>
          <w:szCs w:val="14"/>
          <w:color w:val="0000FF"/>
        </w:rPr>
      </w:pPr>
      <w:hyperlink r:id="rId13">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8.25% Fixed-to-Floating Series A Cumulative Perpetual Redeemable Preferred Shares, dated as of September 12,</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2019 (included as part of Exhibit 3.2).</w:t>
      </w:r>
    </w:p>
    <w:p>
      <w:pPr>
        <w:spacing w:after="0" w:line="55"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15">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March 15, 2017, between Fortress Transportation and Infrastructure Investors LLC and U.S. Bank National Association, as trustee, relating to the Company’s 6.75% senior unsecured notes due 2022 (incorporated by reference to Exhibit 4.1 of the Company’s Current Report on Form 8-K, filed on March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7203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7" w:lineRule="exact"/>
        <w:rPr>
          <w:sz w:val="20"/>
          <w:szCs w:val="20"/>
          <w:color w:val="auto"/>
        </w:rPr>
      </w:pPr>
    </w:p>
    <w:p>
      <w:pPr>
        <w:ind w:left="1100"/>
        <w:spacing w:after="0"/>
        <w:tabs>
          <w:tab w:leader="none" w:pos="1540" w:val="left"/>
        </w:tabs>
        <w:rPr>
          <w:rFonts w:ascii="Arial" w:cs="Arial" w:eastAsia="Arial" w:hAnsi="Arial"/>
          <w:sz w:val="14"/>
          <w:szCs w:val="14"/>
          <w:color w:val="0000FF"/>
        </w:rPr>
      </w:pPr>
      <w:hyperlink r:id="rId15">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6.75% senior unsecured notes due 2022 (included in Exhibit 4.1).</w:t>
      </w:r>
    </w:p>
    <w:p>
      <w:pPr>
        <w:spacing w:after="0" w:line="109"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17">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June 8, 2017, between Fortress Transportation and Infrastructure Investors LLC and U.S. Bank National Association, as trustee, relating to the Company’s 6.75% senior unsecured notes due 2022 (incorporated by reference to Exhibit 4.3 of the Company’s Annual Report on Form 10-K, filed on March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720344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17"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19">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August 23, 2017, between Fortress Transportation and Infrastructure Investors LLC and U.S. Bank National Association, as trustee, relating to the Company’s 6.75% senior unsecured notes due 2022 (incorporated by reference to Exhibit 4.1 of the Company’s Current Report on Form 8-K, filed on August 23, 2017).</w:t>
      </w:r>
    </w:p>
    <w:p>
      <w:pPr>
        <w:spacing w:after="0" w:line="37"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20">
        <w:r>
          <w:rPr>
            <w:rFonts w:ascii="Arial" w:cs="Arial" w:eastAsia="Arial" w:hAnsi="Arial"/>
            <w:sz w:val="14"/>
            <w:szCs w:val="14"/>
            <w:u w:val="single" w:color="auto"/>
            <w:color w:val="0000FF"/>
          </w:rPr>
          <w:t>4.5</w:t>
        </w:r>
      </w:hyperlink>
      <w:r>
        <w:rPr>
          <w:rFonts w:ascii="Arial" w:cs="Arial" w:eastAsia="Arial" w:hAnsi="Arial"/>
          <w:sz w:val="14"/>
          <w:szCs w:val="14"/>
          <w:color w:val="0000FF"/>
        </w:rPr>
        <w:tab/>
        <w:t>Third Supplemental Indenture, dated December 20, 2017, between Fortress Transportation and Infrastructure LLC and U.S. Bank National Association, as trustee, relating to the Company’s 6.75% senior unsecured notes due 2022 (incorporated by reference to Exhibit 4.1 of the Company’s Current Report on Form 8-K filed on 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720344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17"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22">
        <w:r>
          <w:rPr>
            <w:rFonts w:ascii="Arial" w:cs="Arial" w:eastAsia="Arial" w:hAnsi="Arial"/>
            <w:sz w:val="14"/>
            <w:szCs w:val="14"/>
            <w:u w:val="single" w:color="auto"/>
            <w:color w:val="0000FF"/>
          </w:rPr>
          <w:t>4.6</w:t>
        </w:r>
      </w:hyperlink>
      <w:r>
        <w:rPr>
          <w:rFonts w:ascii="Arial" w:cs="Arial" w:eastAsia="Arial" w:hAnsi="Arial"/>
          <w:sz w:val="14"/>
          <w:szCs w:val="14"/>
          <w:color w:val="0000FF"/>
        </w:rPr>
        <w:tab/>
        <w:t>Fourth Supplemental Indenture, dated May 31, 2018, between Fortress Transportation and Infrastructure Investors LLC and U.S. Bank National Association, as trustee, relating to the Company’s 6.75% senior unsecured notes due 2022 (incorporated by reference to Exhibit 4.1 of the Company’s Current Report on Form 8-K, filed May 31, 2018).</w:t>
      </w:r>
    </w:p>
    <w:p>
      <w:pPr>
        <w:spacing w:after="0" w:line="37"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23">
        <w:r>
          <w:rPr>
            <w:rFonts w:ascii="Arial" w:cs="Arial" w:eastAsia="Arial" w:hAnsi="Arial"/>
            <w:sz w:val="14"/>
            <w:szCs w:val="14"/>
            <w:u w:val="single" w:color="auto"/>
            <w:color w:val="0000FF"/>
          </w:rPr>
          <w:t>4.7</w:t>
        </w:r>
      </w:hyperlink>
      <w:r>
        <w:rPr>
          <w:rFonts w:ascii="Arial" w:cs="Arial" w:eastAsia="Arial" w:hAnsi="Arial"/>
          <w:sz w:val="14"/>
          <w:szCs w:val="14"/>
          <w:color w:val="0000FF"/>
        </w:rPr>
        <w:tab/>
        <w:t>Fifth Supplemental Indenture, dated February 8, 2019, between Fortress Transportation and Infrastructure Investors LLC and U.S. Bank National Association, as trustee, relating to the Company’s 6.75% senior unsecured notes due 2022 (incorporated by reference to Exhibit 4.1 of the Company’s Current Report on Form 8-K, filed 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720344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17"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25">
        <w:r>
          <w:rPr>
            <w:rFonts w:ascii="Arial" w:cs="Arial" w:eastAsia="Arial" w:hAnsi="Arial"/>
            <w:sz w:val="14"/>
            <w:szCs w:val="14"/>
            <w:u w:val="single" w:color="auto"/>
            <w:color w:val="0000FF"/>
          </w:rPr>
          <w:t>4.8</w:t>
        </w:r>
      </w:hyperlink>
      <w:r>
        <w:rPr>
          <w:rFonts w:ascii="Arial" w:cs="Arial" w:eastAsia="Arial" w:hAnsi="Arial"/>
          <w:sz w:val="14"/>
          <w:szCs w:val="14"/>
          <w:color w:val="0000FF"/>
        </w:rPr>
        <w:tab/>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37" w:lineRule="exact"/>
        <w:rPr>
          <w:sz w:val="20"/>
          <w:szCs w:val="20"/>
          <w:color w:val="auto"/>
        </w:rPr>
      </w:pPr>
    </w:p>
    <w:p>
      <w:pPr>
        <w:ind w:left="1100"/>
        <w:spacing w:after="0"/>
        <w:tabs>
          <w:tab w:leader="none" w:pos="1540" w:val="left"/>
        </w:tabs>
        <w:rPr>
          <w:rFonts w:ascii="Arial" w:cs="Arial" w:eastAsia="Arial" w:hAnsi="Arial"/>
          <w:sz w:val="14"/>
          <w:szCs w:val="14"/>
          <w:color w:val="0000FF"/>
        </w:rPr>
      </w:pPr>
      <w:hyperlink r:id="rId25">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global note representing the Company’s 6.50% senior unsecured notes due 2025 (included in 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720344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89" w:lineRule="exact"/>
        <w:rPr>
          <w:sz w:val="20"/>
          <w:szCs w:val="20"/>
          <w:color w:val="auto"/>
        </w:rPr>
      </w:pPr>
    </w:p>
    <w:p>
      <w:pPr>
        <w:jc w:val="both"/>
        <w:ind w:left="1560" w:hanging="536"/>
        <w:spacing w:after="0" w:line="250" w:lineRule="auto"/>
        <w:tabs>
          <w:tab w:leader="none" w:pos="1540" w:val="left"/>
        </w:tabs>
        <w:rPr>
          <w:rFonts w:ascii="Arial" w:cs="Arial" w:eastAsia="Arial" w:hAnsi="Arial"/>
          <w:sz w:val="14"/>
          <w:szCs w:val="14"/>
          <w:color w:val="0000FF"/>
        </w:rPr>
      </w:pPr>
      <w:hyperlink r:id="rId27">
        <w:r>
          <w:rPr>
            <w:rFonts w:ascii="Arial" w:cs="Arial" w:eastAsia="Arial" w:hAnsi="Arial"/>
            <w:sz w:val="14"/>
            <w:szCs w:val="14"/>
            <w:u w:val="single" w:color="auto"/>
            <w:color w:val="0000FF"/>
          </w:rPr>
          <w:t>4.10</w:t>
        </w:r>
      </w:hyperlink>
      <w:r>
        <w:rPr>
          <w:rFonts w:ascii="Arial" w:cs="Arial" w:eastAsia="Arial" w:hAnsi="Arial"/>
          <w:sz w:val="14"/>
          <w:szCs w:val="14"/>
          <w:color w:val="0000FF"/>
        </w:rPr>
        <w:tab/>
        <w:t>First Supplemental Indenture, dated May 21, 2019, between Fortress Transportation and Infrastructure Investors LLC and U.S. Bank National Association, as trustee, relating to the Company’s 6.50% senior unsecured notes due 2025 (incorporated by reference to Exhibit 4.1 of the Company’s Current Report on Form 8-K, filed on May 21, 2019).</w:t>
      </w:r>
    </w:p>
    <w:p>
      <w:pPr>
        <w:spacing w:after="0" w:line="37" w:lineRule="exact"/>
        <w:rPr>
          <w:sz w:val="20"/>
          <w:szCs w:val="20"/>
          <w:color w:val="auto"/>
        </w:rPr>
      </w:pPr>
    </w:p>
    <w:p>
      <w:pPr>
        <w:jc w:val="both"/>
        <w:ind w:left="1560" w:right="20" w:hanging="536"/>
        <w:spacing w:after="0" w:line="258" w:lineRule="auto"/>
        <w:tabs>
          <w:tab w:leader="none" w:pos="1540" w:val="left"/>
        </w:tabs>
        <w:rPr>
          <w:rFonts w:ascii="Arial" w:cs="Arial" w:eastAsia="Arial" w:hAnsi="Arial"/>
          <w:sz w:val="14"/>
          <w:szCs w:val="14"/>
          <w:color w:val="0000FF"/>
        </w:rPr>
      </w:pPr>
      <w:hyperlink r:id="rId28">
        <w:r>
          <w:rPr>
            <w:rFonts w:ascii="Arial" w:cs="Arial" w:eastAsia="Arial" w:hAnsi="Arial"/>
            <w:sz w:val="14"/>
            <w:szCs w:val="14"/>
            <w:u w:val="single" w:color="auto"/>
            <w:color w:val="0000FF"/>
          </w:rPr>
          <w:t>4.11</w:t>
        </w:r>
      </w:hyperlink>
      <w:r>
        <w:rPr>
          <w:rFonts w:ascii="Arial" w:cs="Arial" w:eastAsia="Arial" w:hAnsi="Arial"/>
          <w:sz w:val="14"/>
          <w:szCs w:val="14"/>
          <w:color w:val="0000FF"/>
        </w:rPr>
        <w:tab/>
        <w:t>Form of certificate representing the 8.25% Fixed-to-Floating Rate Series A Cumulative Perpetual Redeemable Preferred Shares of Fortress Transportation and Infrastructure Investors LLC (incorporated by reference to Exhibit 4.1 of the Company’s Form 8-A, filed September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720344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spacing w:after="0" w:line="12" w:lineRule="exact"/>
        <w:rPr>
          <w:sz w:val="20"/>
          <w:szCs w:val="20"/>
          <w:color w:val="auto"/>
        </w:rPr>
      </w:pPr>
    </w:p>
    <w:p>
      <w:pPr>
        <w:jc w:val="both"/>
        <w:ind w:left="1560" w:hanging="536"/>
        <w:spacing w:after="0" w:line="258" w:lineRule="auto"/>
        <w:tabs>
          <w:tab w:leader="none" w:pos="1540" w:val="left"/>
        </w:tabs>
        <w:rPr>
          <w:rFonts w:ascii="Arial" w:cs="Arial" w:eastAsia="Arial" w:hAnsi="Arial"/>
          <w:sz w:val="14"/>
          <w:szCs w:val="14"/>
          <w:color w:val="0000FF"/>
        </w:rPr>
      </w:pPr>
      <w:hyperlink r:id="rId30">
        <w:r>
          <w:rPr>
            <w:rFonts w:ascii="Arial" w:cs="Arial" w:eastAsia="Arial" w:hAnsi="Arial"/>
            <w:sz w:val="14"/>
            <w:szCs w:val="14"/>
            <w:u w:val="single" w:color="auto"/>
            <w:color w:val="0000FF"/>
          </w:rPr>
          <w:t>10.1</w:t>
        </w:r>
      </w:hyperlink>
      <w:r>
        <w:rPr>
          <w:rFonts w:ascii="Arial" w:cs="Arial" w:eastAsia="Arial" w:hAnsi="Arial"/>
          <w:sz w:val="14"/>
          <w:szCs w:val="14"/>
          <w:color w:val="0000FF"/>
        </w:rPr>
        <w:tab/>
        <w:t>Fourth Amended and Restated Partnership Agreement of Fortress Worldwide Transportation and Infrastructure General Partnership (incorporated by reference to Exhibit 10.1 of the Company's Current Report on Form 8-K, filed on May 21, 2015).</w:t>
      </w:r>
    </w:p>
    <w:p>
      <w:pPr>
        <w:spacing w:after="0" w:line="32" w:lineRule="exact"/>
        <w:rPr>
          <w:sz w:val="20"/>
          <w:szCs w:val="20"/>
          <w:color w:val="auto"/>
        </w:rPr>
      </w:pPr>
    </w:p>
    <w:p>
      <w:pPr>
        <w:ind w:left="1560" w:hanging="1491"/>
        <w:spacing w:after="0" w:line="258" w:lineRule="auto"/>
        <w:tabs>
          <w:tab w:leader="none" w:pos="1023" w:val="left"/>
        </w:tabs>
        <w:numPr>
          <w:ilvl w:val="0"/>
          <w:numId w:val="40"/>
        </w:numPr>
        <w:rPr>
          <w:rFonts w:ascii="Arial" w:cs="Arial" w:eastAsia="Arial" w:hAnsi="Arial"/>
          <w:sz w:val="14"/>
          <w:szCs w:val="14"/>
          <w:color w:val="0000FF"/>
        </w:rPr>
      </w:pPr>
      <w:hyperlink r:id="rId31">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May 20, 2015, between Fortress Transportation and Infrastructure Investors LLC and FIG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 of the Company's Current Report on Form 8-K, filed on May 21, 2015).</w:t>
      </w:r>
    </w:p>
    <w:p>
      <w:pPr>
        <w:spacing w:after="0" w:line="32" w:lineRule="exact"/>
        <w:rPr>
          <w:rFonts w:ascii="Arial" w:cs="Arial" w:eastAsia="Arial" w:hAnsi="Arial"/>
          <w:sz w:val="14"/>
          <w:szCs w:val="14"/>
          <w:color w:val="0000FF"/>
        </w:rPr>
      </w:pPr>
    </w:p>
    <w:p>
      <w:pPr>
        <w:ind w:left="1560" w:right="20" w:hanging="1491"/>
        <w:spacing w:after="0" w:line="253" w:lineRule="auto"/>
        <w:tabs>
          <w:tab w:leader="none" w:pos="1023" w:val="left"/>
        </w:tabs>
        <w:numPr>
          <w:ilvl w:val="0"/>
          <w:numId w:val="40"/>
        </w:numPr>
        <w:rPr>
          <w:rFonts w:ascii="Arial" w:cs="Arial" w:eastAsia="Arial" w:hAnsi="Arial"/>
          <w:sz w:val="14"/>
          <w:szCs w:val="14"/>
          <w:color w:val="0000FF"/>
        </w:rPr>
      </w:pPr>
      <w:hyperlink r:id="rId32">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Registration</w:t>
      </w:r>
      <w:r>
        <w:rPr>
          <w:rFonts w:ascii="Arial" w:cs="Arial" w:eastAsia="Arial" w:hAnsi="Arial"/>
          <w:sz w:val="14"/>
          <w:szCs w:val="14"/>
          <w:color w:val="0000FF"/>
        </w:rPr>
        <w:t xml:space="preserve"> </w:t>
      </w:r>
      <w:r>
        <w:rPr>
          <w:rFonts w:ascii="Arial" w:cs="Arial" w:eastAsia="Arial" w:hAnsi="Arial"/>
          <w:sz w:val="14"/>
          <w:szCs w:val="14"/>
          <w:color w:val="000000"/>
        </w:rPr>
        <w:t>Rights Agreement, dated as of May 20, 2015, among Fortress Transportation and Infrastructure Investors LLC, FIG LLC and 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10.3 of the Company's Current Report on Form 8-K, filed on May 21, 2015).</w:t>
      </w:r>
    </w:p>
    <w:p>
      <w:pPr>
        <w:spacing w:after="0" w:line="200" w:lineRule="exact"/>
        <w:rPr>
          <w:rFonts w:ascii="Arial" w:cs="Arial" w:eastAsia="Arial" w:hAnsi="Arial"/>
          <w:sz w:val="14"/>
          <w:szCs w:val="14"/>
          <w:color w:val="0000FF"/>
        </w:rPr>
      </w:pPr>
    </w:p>
    <w:p>
      <w:pPr>
        <w:ind w:left="1560" w:hanging="1491"/>
        <w:spacing w:after="0" w:line="258" w:lineRule="auto"/>
        <w:tabs>
          <w:tab w:leader="none" w:pos="1023" w:val="left"/>
        </w:tabs>
        <w:numPr>
          <w:ilvl w:val="0"/>
          <w:numId w:val="40"/>
        </w:numPr>
        <w:rPr>
          <w:rFonts w:ascii="Arial" w:cs="Arial" w:eastAsia="Arial" w:hAnsi="Arial"/>
          <w:sz w:val="14"/>
          <w:szCs w:val="14"/>
          <w:color w:val="0000FF"/>
        </w:rPr>
      </w:pPr>
      <w:hyperlink r:id="rId33">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Investors LLC Nonqualified Stock Option and Incentive Award Plan (incorporated by reference to Exhibit 10.4 of</w:t>
      </w:r>
      <w:r>
        <w:rPr>
          <w:rFonts w:ascii="Arial" w:cs="Arial" w:eastAsia="Arial" w:hAnsi="Arial"/>
          <w:sz w:val="14"/>
          <w:szCs w:val="14"/>
          <w:color w:val="0000FF"/>
        </w:rPr>
        <w:t xml:space="preserve"> </w:t>
      </w:r>
      <w:r>
        <w:rPr>
          <w:rFonts w:ascii="Arial" w:cs="Arial" w:eastAsia="Arial" w:hAnsi="Arial"/>
          <w:sz w:val="14"/>
          <w:szCs w:val="14"/>
          <w:color w:val="000000"/>
        </w:rPr>
        <w:t>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31115</wp:posOffset>
            </wp:positionH>
            <wp:positionV relativeFrom="paragraph">
              <wp:posOffset>-582295</wp:posOffset>
            </wp:positionV>
            <wp:extent cx="720344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203440" cy="3429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0</wp:posOffset>
            </wp:positionV>
            <wp:extent cx="720344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spacing w:after="0" w:line="12" w:lineRule="exact"/>
        <w:rPr>
          <w:rFonts w:ascii="Arial" w:cs="Arial" w:eastAsia="Arial" w:hAnsi="Arial"/>
          <w:sz w:val="14"/>
          <w:szCs w:val="14"/>
          <w:color w:val="auto"/>
        </w:rPr>
      </w:pPr>
    </w:p>
    <w:p>
      <w:pPr>
        <w:ind w:left="1020"/>
        <w:spacing w:after="0"/>
        <w:tabs>
          <w:tab w:leader="none" w:pos="1540" w:val="left"/>
        </w:tabs>
        <w:rPr>
          <w:rFonts w:ascii="Arial" w:cs="Arial" w:eastAsia="Arial" w:hAnsi="Arial"/>
          <w:sz w:val="14"/>
          <w:szCs w:val="14"/>
          <w:color w:val="0000FF"/>
        </w:rPr>
      </w:pPr>
      <w:hyperlink r:id="rId36">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spacing w:after="0" w:line="1" w:lineRule="exact"/>
        <w:rPr>
          <w:rFonts w:ascii="Arial" w:cs="Arial" w:eastAsia="Arial" w:hAnsi="Arial"/>
          <w:sz w:val="14"/>
          <w:szCs w:val="14"/>
          <w:color w:val="auto"/>
        </w:rPr>
      </w:pPr>
    </w:p>
    <w:p>
      <w:pPr>
        <w:ind w:left="156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55" w:lineRule="exact"/>
        <w:rPr>
          <w:rFonts w:ascii="Arial" w:cs="Arial" w:eastAsia="Arial" w:hAnsi="Arial"/>
          <w:sz w:val="14"/>
          <w:szCs w:val="14"/>
          <w:color w:val="auto"/>
        </w:rPr>
      </w:pPr>
    </w:p>
    <w:p>
      <w:pPr>
        <w:jc w:val="both"/>
        <w:ind w:left="1560" w:right="20" w:hanging="536"/>
        <w:spacing w:after="0" w:line="250" w:lineRule="auto"/>
        <w:tabs>
          <w:tab w:leader="none" w:pos="1540" w:val="left"/>
        </w:tabs>
        <w:rPr>
          <w:rFonts w:ascii="Arial" w:cs="Arial" w:eastAsia="Arial" w:hAnsi="Arial"/>
          <w:sz w:val="14"/>
          <w:szCs w:val="14"/>
          <w:color w:val="0000FF"/>
        </w:rPr>
      </w:pPr>
      <w:hyperlink r:id="rId37">
        <w:r>
          <w:rPr>
            <w:rFonts w:ascii="Arial" w:cs="Arial" w:eastAsia="Arial" w:hAnsi="Arial"/>
            <w:sz w:val="14"/>
            <w:szCs w:val="14"/>
            <w:u w:val="single" w:color="auto"/>
            <w:color w:val="0000FF"/>
          </w:rPr>
          <w:t>10.6</w:t>
        </w:r>
      </w:hyperlink>
      <w:r>
        <w:rPr>
          <w:rFonts w:ascii="Arial" w:cs="Arial" w:eastAsia="Arial" w:hAnsi="Arial"/>
          <w:sz w:val="14"/>
          <w:szCs w:val="14"/>
          <w:color w:val="0000FF"/>
        </w:rPr>
        <w:tab/>
        <w:t>Credit Agreement, dated as of August 27, 2014, among Morgan Stanley Senior Funding, Inc., as administrative agent, Jefferson Gulf Coast Energy Partners LLC and the other lenders party thereto (incorporated by reference to Exhibit 10.6 of Amendment No. 4 to the Company's Registration Statement on Form S-1, filed April 30,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720344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spacing w:after="0" w:line="17" w:lineRule="exact"/>
        <w:rPr>
          <w:rFonts w:ascii="Arial" w:cs="Arial" w:eastAsia="Arial" w:hAnsi="Arial"/>
          <w:sz w:val="14"/>
          <w:szCs w:val="14"/>
          <w:color w:val="auto"/>
        </w:rPr>
      </w:pPr>
    </w:p>
    <w:p>
      <w:pPr>
        <w:jc w:val="both"/>
        <w:ind w:left="1560" w:right="20" w:hanging="536"/>
        <w:spacing w:after="0" w:line="258" w:lineRule="auto"/>
        <w:tabs>
          <w:tab w:leader="none" w:pos="1540" w:val="left"/>
        </w:tabs>
        <w:rPr>
          <w:rFonts w:ascii="Arial" w:cs="Arial" w:eastAsia="Arial" w:hAnsi="Arial"/>
          <w:sz w:val="14"/>
          <w:szCs w:val="14"/>
          <w:color w:val="0000FF"/>
        </w:rPr>
      </w:pPr>
      <w:hyperlink r:id="rId39">
        <w:r>
          <w:rPr>
            <w:rFonts w:ascii="Arial" w:cs="Arial" w:eastAsia="Arial" w:hAnsi="Arial"/>
            <w:sz w:val="14"/>
            <w:szCs w:val="14"/>
            <w:u w:val="single" w:color="auto"/>
            <w:color w:val="0000FF"/>
          </w:rPr>
          <w:t>10.7</w:t>
        </w:r>
      </w:hyperlink>
      <w:r>
        <w:rPr>
          <w:rFonts w:ascii="Arial" w:cs="Arial" w:eastAsia="Arial" w:hAnsi="Arial"/>
          <w:sz w:val="14"/>
          <w:szCs w:val="14"/>
          <w:color w:val="0000FF"/>
        </w:rPr>
        <w:tab/>
        <w:t>Trust Indenture and Security Agreement between the District and The Bank of New York Mellon Trust Company, National Association, dated as of February 1, 2016 (incorporated by reference to Exhibit 10.7 of the Company's Annual Report on Form 10-K, filed on March 10, 2016).</w:t>
      </w:r>
    </w:p>
    <w:p>
      <w:pPr>
        <w:spacing w:after="0" w:line="32" w:lineRule="exact"/>
        <w:rPr>
          <w:rFonts w:ascii="Arial" w:cs="Arial" w:eastAsia="Arial" w:hAnsi="Arial"/>
          <w:sz w:val="14"/>
          <w:szCs w:val="14"/>
          <w:color w:val="auto"/>
        </w:rPr>
      </w:pPr>
    </w:p>
    <w:p>
      <w:pPr>
        <w:jc w:val="both"/>
        <w:ind w:left="1560" w:hanging="536"/>
        <w:spacing w:after="0" w:line="250" w:lineRule="auto"/>
        <w:tabs>
          <w:tab w:leader="none" w:pos="1540" w:val="left"/>
        </w:tabs>
        <w:rPr>
          <w:rFonts w:ascii="Arial" w:cs="Arial" w:eastAsia="Arial" w:hAnsi="Arial"/>
          <w:sz w:val="14"/>
          <w:szCs w:val="14"/>
          <w:color w:val="0000FF"/>
        </w:rPr>
      </w:pPr>
      <w:hyperlink r:id="rId40">
        <w:r>
          <w:rPr>
            <w:rFonts w:ascii="Arial" w:cs="Arial" w:eastAsia="Arial" w:hAnsi="Arial"/>
            <w:sz w:val="14"/>
            <w:szCs w:val="14"/>
            <w:u w:val="single" w:color="auto"/>
            <w:color w:val="0000FF"/>
          </w:rPr>
          <w:t>10.8</w:t>
        </w:r>
      </w:hyperlink>
      <w:r>
        <w:rPr>
          <w:rFonts w:ascii="Arial" w:cs="Arial" w:eastAsia="Arial" w:hAnsi="Arial"/>
          <w:sz w:val="14"/>
          <w:szCs w:val="14"/>
          <w:color w:val="0000FF"/>
        </w:rPr>
        <w:tab/>
        <w:t>Standby Bond Purchase Agreement among the Port of Beaumont Navigation District of Jefferson County, Texas, The Bank of New York Mellon Trust Company, National Association, Jefferson Railport Terminal II Holdings LLC and Jefferson Railport Terminal II LLC dated as of February 1, 2016 (incorporated by reference to Exhibit 10.8 of the Company's Annual Report on Form 10-K, filed on March 10, 2016).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720344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7203440" cy="445770"/>
                    </a:xfrm>
                    <a:prstGeom prst="rect">
                      <a:avLst/>
                    </a:prstGeom>
                    <a:noFill/>
                  </pic:spPr>
                </pic:pic>
              </a:graphicData>
            </a:graphic>
          </wp:anchor>
        </w:drawing>
      </w:r>
    </w:p>
    <w:p>
      <w:pPr>
        <w:spacing w:after="0" w:line="17" w:lineRule="exact"/>
        <w:rPr>
          <w:rFonts w:ascii="Arial" w:cs="Arial" w:eastAsia="Arial" w:hAnsi="Arial"/>
          <w:sz w:val="14"/>
          <w:szCs w:val="14"/>
          <w:color w:val="auto"/>
        </w:rPr>
      </w:pPr>
    </w:p>
    <w:p>
      <w:pPr>
        <w:jc w:val="both"/>
        <w:ind w:left="1560" w:hanging="536"/>
        <w:spacing w:after="0" w:line="247" w:lineRule="auto"/>
        <w:tabs>
          <w:tab w:leader="none" w:pos="1540" w:val="left"/>
        </w:tabs>
        <w:rPr>
          <w:rFonts w:ascii="Arial" w:cs="Arial" w:eastAsia="Arial" w:hAnsi="Arial"/>
          <w:sz w:val="14"/>
          <w:szCs w:val="14"/>
          <w:color w:val="0000FF"/>
        </w:rPr>
      </w:pPr>
      <w:hyperlink r:id="rId42">
        <w:r>
          <w:rPr>
            <w:rFonts w:ascii="Arial" w:cs="Arial" w:eastAsia="Arial" w:hAnsi="Arial"/>
            <w:sz w:val="14"/>
            <w:szCs w:val="14"/>
            <w:u w:val="single" w:color="auto"/>
            <w:color w:val="0000FF"/>
          </w:rPr>
          <w:t>10.9</w:t>
        </w:r>
      </w:hyperlink>
      <w:r>
        <w:rPr>
          <w:rFonts w:ascii="Arial" w:cs="Arial" w:eastAsia="Arial" w:hAnsi="Arial"/>
          <w:sz w:val="14"/>
          <w:szCs w:val="14"/>
          <w:color w:val="0000FF"/>
        </w:rPr>
        <w:tab/>
        <w:t>Capital Call Agreement, by and among Fortress Transportation and Infrastructure Investors LLC, FTAI Energy Holdings LLC, FTAI Partner Holdings LLC, FTAI Midstream GP Holdings LLC, FTAI Midstream GP LLC, FTAI Midstream Holdings LLC, FTAI Energy Partners LLC and Jefferson Railport Terminal II Holdings LLC, dated as of February 1, 2016 (incorporated by reference to Exhibit 10.9 of the Company's Annual Report on Form 10-K, filed on March 10, 2016).</w:t>
      </w:r>
    </w:p>
    <w:p>
      <w:pPr>
        <w:spacing w:after="0" w:line="40" w:lineRule="exact"/>
        <w:rPr>
          <w:rFonts w:ascii="Arial" w:cs="Arial" w:eastAsia="Arial" w:hAnsi="Arial"/>
          <w:sz w:val="14"/>
          <w:szCs w:val="14"/>
          <w:color w:val="auto"/>
        </w:rPr>
      </w:pPr>
    </w:p>
    <w:p>
      <w:pPr>
        <w:ind w:left="940"/>
        <w:spacing w:after="0"/>
        <w:tabs>
          <w:tab w:leader="none" w:pos="1540" w:val="left"/>
        </w:tabs>
        <w:rPr>
          <w:rFonts w:ascii="Arial" w:cs="Arial" w:eastAsia="Arial" w:hAnsi="Arial"/>
          <w:sz w:val="14"/>
          <w:szCs w:val="14"/>
          <w:color w:val="0000FF"/>
        </w:rPr>
      </w:pPr>
      <w:hyperlink r:id="rId43">
        <w:r>
          <w:rPr>
            <w:rFonts w:ascii="Arial" w:cs="Arial" w:eastAsia="Arial" w:hAnsi="Arial"/>
            <w:sz w:val="14"/>
            <w:szCs w:val="14"/>
            <w:u w:val="single" w:color="auto"/>
            <w:color w:val="0000FF"/>
          </w:rPr>
          <w:t>10.10</w:t>
        </w:r>
      </w:hyperlink>
      <w:r>
        <w:rPr>
          <w:rFonts w:ascii="Arial" w:cs="Arial" w:eastAsia="Arial" w:hAnsi="Arial"/>
          <w:sz w:val="14"/>
          <w:szCs w:val="14"/>
          <w:color w:val="0000FF"/>
        </w:rPr>
        <w:tab/>
        <w:t>Fee and Support Agreement, among FTAI Energy Holdings LLC, FEP Terminal Holdings LLC, FTAI Energy Partners LLC and Jefferson Railport Terminal</w:t>
      </w:r>
    </w:p>
    <w:p>
      <w:pPr>
        <w:spacing w:after="0" w:line="1" w:lineRule="exact"/>
        <w:rPr>
          <w:rFonts w:ascii="Arial" w:cs="Arial" w:eastAsia="Arial" w:hAnsi="Arial"/>
          <w:sz w:val="14"/>
          <w:szCs w:val="14"/>
          <w:color w:val="auto"/>
        </w:rPr>
      </w:pPr>
    </w:p>
    <w:p>
      <w:pPr>
        <w:ind w:left="1560" w:hanging="6"/>
        <w:spacing w:after="0" w:line="258" w:lineRule="auto"/>
        <w:tabs>
          <w:tab w:leader="none" w:pos="1688" w:val="left"/>
        </w:tabs>
        <w:numPr>
          <w:ilvl w:val="0"/>
          <w:numId w:val="41"/>
        </w:numPr>
        <w:rPr>
          <w:rFonts w:ascii="Arial" w:cs="Arial" w:eastAsia="Arial" w:hAnsi="Arial"/>
          <w:sz w:val="14"/>
          <w:szCs w:val="14"/>
          <w:color w:val="auto"/>
        </w:rPr>
      </w:pPr>
      <w:r>
        <w:rPr>
          <w:rFonts w:ascii="Arial" w:cs="Arial" w:eastAsia="Arial" w:hAnsi="Arial"/>
          <w:sz w:val="14"/>
          <w:szCs w:val="14"/>
          <w:color w:val="auto"/>
        </w:rPr>
        <w:t>LLC, dated as of March 7, 2016 (incorporated by reference to Exhibit 10.10 of the Company's Amended Annual Report on Form 10-K/A, filed on April 29, 2016).</w:t>
      </w:r>
    </w:p>
    <w:p>
      <w:pPr>
        <w:spacing w:after="0" w:line="245" w:lineRule="exact"/>
        <w:rPr>
          <w:rFonts w:ascii="Arial" w:cs="Arial" w:eastAsia="Arial" w:hAnsi="Arial"/>
          <w:sz w:val="14"/>
          <w:szCs w:val="14"/>
          <w:color w:val="auto"/>
        </w:rPr>
      </w:pPr>
    </w:p>
    <w:p>
      <w:pPr>
        <w:jc w:val="center"/>
        <w:ind w:right="-5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360"/>
          </w:cols>
          <w:pgMar w:left="240" w:top="468" w:right="299" w:bottom="1440" w:gutter="0" w:footer="0" w:header="0"/>
        </w:sectPr>
      </w:pPr>
    </w:p>
    <w:bookmarkStart w:id="85" w:name="page86"/>
    <w:bookmarkEnd w:id="85"/>
    <w:p>
      <w:pPr>
        <w:ind w:left="240"/>
        <w:spacing w:after="0"/>
        <w:tabs>
          <w:tab w:leader="none" w:pos="59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7203440" cy="351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7203440" cy="351790"/>
                    </a:xfrm>
                    <a:prstGeom prst="rect">
                      <a:avLst/>
                    </a:prstGeom>
                    <a:noFill/>
                  </pic:spPr>
                </pic:pic>
              </a:graphicData>
            </a:graphic>
          </wp:anchor>
        </w:drawing>
      </w:r>
    </w:p>
    <w:p>
      <w:pPr>
        <w:spacing w:after="0" w:line="67" w:lineRule="exact"/>
        <w:rPr>
          <w:sz w:val="20"/>
          <w:szCs w:val="20"/>
          <w:color w:val="auto"/>
        </w:rPr>
      </w:pPr>
    </w:p>
    <w:p>
      <w:pPr>
        <w:jc w:val="both"/>
        <w:ind w:left="1500" w:hanging="616"/>
        <w:spacing w:after="0" w:line="250" w:lineRule="auto"/>
        <w:tabs>
          <w:tab w:leader="none" w:pos="1480" w:val="left"/>
        </w:tabs>
        <w:rPr>
          <w:rFonts w:ascii="Arial" w:cs="Arial" w:eastAsia="Arial" w:hAnsi="Arial"/>
          <w:sz w:val="14"/>
          <w:szCs w:val="14"/>
          <w:color w:val="0000FF"/>
        </w:rPr>
      </w:pPr>
      <w:hyperlink r:id="rId45">
        <w:r>
          <w:rPr>
            <w:rFonts w:ascii="Arial" w:cs="Arial" w:eastAsia="Arial" w:hAnsi="Arial"/>
            <w:sz w:val="14"/>
            <w:szCs w:val="14"/>
            <w:u w:val="single" w:color="auto"/>
            <w:color w:val="0000FF"/>
          </w:rPr>
          <w:t>10.11</w:t>
        </w:r>
      </w:hyperlink>
      <w:r>
        <w:rPr>
          <w:rFonts w:ascii="Arial" w:cs="Arial" w:eastAsia="Arial" w:hAnsi="Arial"/>
          <w:sz w:val="14"/>
          <w:szCs w:val="14"/>
          <w:color w:val="0000FF"/>
        </w:rPr>
        <w:tab/>
        <w:t>Lease and Development Agreement (Facilities Lease), dated as of February 1, 2016, by and between the Port of Beaumont Navigation District of Jefferson County, Texas and Jefferson Railport Terminal II LLC (incorporated by reference to Exhibit 10.11 of the Company's Annual Report on Form 10-K, filed on March 10, 2016).</w:t>
      </w:r>
    </w:p>
    <w:p>
      <w:pPr>
        <w:spacing w:after="0" w:line="37" w:lineRule="exact"/>
        <w:rPr>
          <w:sz w:val="20"/>
          <w:szCs w:val="20"/>
          <w:color w:val="auto"/>
        </w:rPr>
      </w:pPr>
    </w:p>
    <w:p>
      <w:pPr>
        <w:jc w:val="both"/>
        <w:ind w:left="1500" w:hanging="616"/>
        <w:spacing w:after="0" w:line="258" w:lineRule="auto"/>
        <w:tabs>
          <w:tab w:leader="none" w:pos="1480" w:val="left"/>
        </w:tabs>
        <w:rPr>
          <w:rFonts w:ascii="Arial" w:cs="Arial" w:eastAsia="Arial" w:hAnsi="Arial"/>
          <w:sz w:val="14"/>
          <w:szCs w:val="14"/>
          <w:color w:val="0000FF"/>
        </w:rPr>
      </w:pPr>
      <w:hyperlink r:id="rId46">
        <w:r>
          <w:rPr>
            <w:rFonts w:ascii="Arial" w:cs="Arial" w:eastAsia="Arial" w:hAnsi="Arial"/>
            <w:sz w:val="14"/>
            <w:szCs w:val="14"/>
            <w:u w:val="single" w:color="auto"/>
            <w:color w:val="0000FF"/>
          </w:rPr>
          <w:t>10.12</w:t>
        </w:r>
      </w:hyperlink>
      <w:r>
        <w:rPr>
          <w:rFonts w:ascii="Arial" w:cs="Arial" w:eastAsia="Arial" w:hAnsi="Arial"/>
          <w:sz w:val="14"/>
          <w:szCs w:val="14"/>
          <w:color w:val="0000FF"/>
        </w:rPr>
        <w:tab/>
        <w:t>Deed of Trust of Jefferson Railport Terminal II LLC, dated as of February 1, 2016 (incorporated by reference to Exhibit 10.12 of the Company's Annual Report on Form 10-K, filed on March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20344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extLst>
                    </a:blip>
                    <a:srcRect/>
                    <a:stretch>
                      <a:fillRect/>
                    </a:stretch>
                  </pic:blipFill>
                  <pic:spPr bwMode="auto">
                    <a:xfrm>
                      <a:off x="0" y="0"/>
                      <a:ext cx="7203440" cy="445770"/>
                    </a:xfrm>
                    <a:prstGeom prst="rect">
                      <a:avLst/>
                    </a:prstGeom>
                    <a:noFill/>
                  </pic:spPr>
                </pic:pic>
              </a:graphicData>
            </a:graphic>
          </wp:anchor>
        </w:drawing>
      </w:r>
    </w:p>
    <w:p>
      <w:pPr>
        <w:spacing w:after="0" w:line="12" w:lineRule="exact"/>
        <w:rPr>
          <w:sz w:val="20"/>
          <w:szCs w:val="20"/>
          <w:color w:val="auto"/>
        </w:rPr>
      </w:pPr>
    </w:p>
    <w:p>
      <w:pPr>
        <w:jc w:val="both"/>
        <w:ind w:left="1500" w:hanging="616"/>
        <w:spacing w:after="0" w:line="247" w:lineRule="auto"/>
        <w:tabs>
          <w:tab w:leader="none" w:pos="1480" w:val="left"/>
        </w:tabs>
        <w:rPr>
          <w:rFonts w:ascii="Arial" w:cs="Arial" w:eastAsia="Arial" w:hAnsi="Arial"/>
          <w:sz w:val="14"/>
          <w:szCs w:val="14"/>
          <w:color w:val="0000FF"/>
        </w:rPr>
      </w:pPr>
      <w:hyperlink r:id="rId48">
        <w:r>
          <w:rPr>
            <w:rFonts w:ascii="Arial" w:cs="Arial" w:eastAsia="Arial" w:hAnsi="Arial"/>
            <w:sz w:val="14"/>
            <w:szCs w:val="14"/>
            <w:u w:val="single" w:color="auto"/>
            <w:color w:val="0000FF"/>
          </w:rPr>
          <w:t>10.13</w:t>
        </w:r>
      </w:hyperlink>
      <w:r>
        <w:rPr>
          <w:rFonts w:ascii="Arial" w:cs="Arial" w:eastAsia="Arial" w:hAnsi="Arial"/>
          <w:sz w:val="14"/>
          <w:szCs w:val="14"/>
          <w:color w:val="0000FF"/>
        </w:rPr>
        <w:tab/>
        <w:t>Credit Agreement, dated January 23, 2017, among Fortress Transportation and Infrastructure Investors LLC, as holdings, Fortress Worldwide Transportation and Infrastructure General Partnership, as IntermediateCo, WWTAI Finance Ltd., as Borrower, the Subsidiary Guarantors from time to time party thereto, the lenders from time to time party thereto and Morgan Stanley Senior Funding, Inc., as Administrative Agent (incorporated by reference to Exhibit 10.1 of the Company's Current Report on Form 8-K, filed on January 27, 2017).</w:t>
      </w:r>
    </w:p>
    <w:p>
      <w:pPr>
        <w:spacing w:after="0" w:line="40" w:lineRule="exact"/>
        <w:rPr>
          <w:sz w:val="20"/>
          <w:szCs w:val="20"/>
          <w:color w:val="auto"/>
        </w:rPr>
      </w:pPr>
    </w:p>
    <w:p>
      <w:pPr>
        <w:jc w:val="both"/>
        <w:ind w:left="1500" w:right="20" w:hanging="616"/>
        <w:spacing w:after="0" w:line="250" w:lineRule="auto"/>
        <w:tabs>
          <w:tab w:leader="none" w:pos="1480" w:val="left"/>
        </w:tabs>
        <w:rPr>
          <w:rFonts w:ascii="Arial" w:cs="Arial" w:eastAsia="Arial" w:hAnsi="Arial"/>
          <w:sz w:val="14"/>
          <w:szCs w:val="14"/>
          <w:color w:val="0000FF"/>
        </w:rPr>
      </w:pPr>
      <w:hyperlink r:id="rId49">
        <w:r>
          <w:rPr>
            <w:rFonts w:ascii="Arial" w:cs="Arial" w:eastAsia="Arial" w:hAnsi="Arial"/>
            <w:sz w:val="14"/>
            <w:szCs w:val="14"/>
            <w:u w:val="single" w:color="auto"/>
            <w:color w:val="0000FF"/>
          </w:rPr>
          <w:t>10.14</w:t>
        </w:r>
      </w:hyperlink>
      <w:r>
        <w:rPr>
          <w:rFonts w:ascii="Arial" w:cs="Arial" w:eastAsia="Arial" w:hAnsi="Arial"/>
          <w:sz w:val="14"/>
          <w:szCs w:val="14"/>
          <w:color w:val="0000FF"/>
        </w:rPr>
        <w:tab/>
        <w:t>Credit Agreement, dated June 16, 2017, among Fortress Transportation and Infrastructure Investors LLC, as Borrower, the lenders and issuing banks from time to time party thereto and JPMorgan Chase Bank, N.A., as Administrative Agent (incorporated by reference to Exhibit 10.1 of the Company’s Current Report on Form 8-K, filed on June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720344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extLst>
                    </a:blip>
                    <a:srcRect/>
                    <a:stretch>
                      <a:fillRect/>
                    </a:stretch>
                  </pic:blipFill>
                  <pic:spPr bwMode="auto">
                    <a:xfrm>
                      <a:off x="0" y="0"/>
                      <a:ext cx="7203440" cy="445770"/>
                    </a:xfrm>
                    <a:prstGeom prst="rect">
                      <a:avLst/>
                    </a:prstGeom>
                    <a:noFill/>
                  </pic:spPr>
                </pic:pic>
              </a:graphicData>
            </a:graphic>
          </wp:anchor>
        </w:drawing>
      </w:r>
    </w:p>
    <w:p>
      <w:pPr>
        <w:spacing w:after="0" w:line="17" w:lineRule="exact"/>
        <w:rPr>
          <w:sz w:val="20"/>
          <w:szCs w:val="20"/>
          <w:color w:val="auto"/>
        </w:rPr>
      </w:pPr>
    </w:p>
    <w:p>
      <w:pPr>
        <w:jc w:val="both"/>
        <w:ind w:left="1500" w:hanging="616"/>
        <w:spacing w:after="0" w:line="248" w:lineRule="auto"/>
        <w:tabs>
          <w:tab w:leader="none" w:pos="1480" w:val="left"/>
        </w:tabs>
        <w:rPr>
          <w:rFonts w:ascii="Arial" w:cs="Arial" w:eastAsia="Arial" w:hAnsi="Arial"/>
          <w:sz w:val="14"/>
          <w:szCs w:val="14"/>
          <w:color w:val="0000FF"/>
        </w:rPr>
      </w:pPr>
      <w:hyperlink r:id="rId51">
        <w:r>
          <w:rPr>
            <w:rFonts w:ascii="Arial" w:cs="Arial" w:eastAsia="Arial" w:hAnsi="Arial"/>
            <w:sz w:val="14"/>
            <w:szCs w:val="14"/>
            <w:u w:val="single" w:color="auto"/>
            <w:color w:val="0000FF"/>
          </w:rPr>
          <w:t>10.15</w:t>
        </w:r>
      </w:hyperlink>
      <w:r>
        <w:rPr>
          <w:rFonts w:ascii="Arial" w:cs="Arial" w:eastAsia="Arial" w:hAnsi="Arial"/>
          <w:sz w:val="14"/>
          <w:szCs w:val="14"/>
          <w:color w:val="0000FF"/>
        </w:rPr>
        <w:tab/>
        <w:t>Credit Agreement Amendment No. 1, dated as of August 2, 2018, among Fortress Transportation and Infrastructure Investors LLC, as borrower, Fortress Worldwide Transportation and Infrastructure General Partnership, the lenders and issuing banks from time to time party thereto and JPMorgan Chase Bank, N.A., as administrative agent (incorporated by reference to Exhibit 10.15 of the Company’s Quarterly Report on Form 10-Q, filed on August 3, 2018).</w:t>
      </w:r>
    </w:p>
    <w:p>
      <w:pPr>
        <w:spacing w:after="0" w:line="203" w:lineRule="exact"/>
        <w:rPr>
          <w:sz w:val="20"/>
          <w:szCs w:val="20"/>
          <w:color w:val="auto"/>
        </w:rPr>
      </w:pPr>
    </w:p>
    <w:p>
      <w:pPr>
        <w:jc w:val="both"/>
        <w:ind w:left="1500" w:hanging="616"/>
        <w:spacing w:after="0" w:line="247" w:lineRule="auto"/>
        <w:tabs>
          <w:tab w:leader="none" w:pos="1480" w:val="left"/>
        </w:tabs>
        <w:rPr>
          <w:rFonts w:ascii="Arial" w:cs="Arial" w:eastAsia="Arial" w:hAnsi="Arial"/>
          <w:sz w:val="14"/>
          <w:szCs w:val="14"/>
          <w:color w:val="0000FF"/>
        </w:rPr>
      </w:pPr>
      <w:hyperlink r:id="rId52">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Amendment No. 2 dated as of February 8,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February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5080</wp:posOffset>
            </wp:positionV>
            <wp:extent cx="720344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extLst>
                    </a:blip>
                    <a:srcRect/>
                    <a:stretch>
                      <a:fillRect/>
                    </a:stretch>
                  </pic:blipFill>
                  <pic:spPr bwMode="auto">
                    <a:xfrm>
                      <a:off x="0" y="0"/>
                      <a:ext cx="7203440" cy="445770"/>
                    </a:xfrm>
                    <a:prstGeom prst="rect">
                      <a:avLst/>
                    </a:prstGeom>
                    <a:noFill/>
                  </pic:spPr>
                </pic:pic>
              </a:graphicData>
            </a:graphic>
          </wp:anchor>
        </w:drawing>
      </w:r>
    </w:p>
    <w:p>
      <w:pPr>
        <w:spacing w:after="0" w:line="20" w:lineRule="exact"/>
        <w:rPr>
          <w:sz w:val="20"/>
          <w:szCs w:val="20"/>
          <w:color w:val="auto"/>
        </w:rPr>
      </w:pPr>
    </w:p>
    <w:p>
      <w:pPr>
        <w:jc w:val="both"/>
        <w:ind w:left="1500" w:hanging="616"/>
        <w:spacing w:after="0" w:line="247" w:lineRule="auto"/>
        <w:tabs>
          <w:tab w:leader="none" w:pos="1480" w:val="left"/>
        </w:tabs>
        <w:rPr>
          <w:rFonts w:ascii="Arial" w:cs="Arial" w:eastAsia="Arial" w:hAnsi="Arial"/>
          <w:sz w:val="14"/>
          <w:szCs w:val="14"/>
          <w:color w:val="0000FF"/>
        </w:rPr>
      </w:pPr>
      <w:hyperlink r:id="rId54">
        <w:r>
          <w:rPr>
            <w:rFonts w:ascii="Arial" w:cs="Arial" w:eastAsia="Arial" w:hAnsi="Arial"/>
            <w:sz w:val="14"/>
            <w:szCs w:val="14"/>
            <w:u w:val="single" w:color="auto"/>
            <w:color w:val="0000FF"/>
          </w:rPr>
          <w:t>10.17</w:t>
        </w:r>
      </w:hyperlink>
      <w:r>
        <w:rPr>
          <w:rFonts w:ascii="Arial" w:cs="Arial" w:eastAsia="Arial" w:hAnsi="Arial"/>
          <w:sz w:val="14"/>
          <w:szCs w:val="14"/>
          <w:color w:val="0000FF"/>
        </w:rPr>
        <w:tab/>
        <w:t>Credit Agreement Amendment No. 3 dated as of August 6,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August 9, 2019).</w:t>
      </w:r>
    </w:p>
    <w:p>
      <w:pPr>
        <w:spacing w:after="0" w:line="40" w:lineRule="exact"/>
        <w:rPr>
          <w:sz w:val="20"/>
          <w:szCs w:val="20"/>
          <w:color w:val="auto"/>
        </w:rPr>
      </w:pPr>
    </w:p>
    <w:p>
      <w:pPr>
        <w:ind w:left="1500" w:hanging="1491"/>
        <w:spacing w:after="0" w:line="258" w:lineRule="auto"/>
        <w:tabs>
          <w:tab w:leader="none" w:pos="883" w:val="left"/>
        </w:tabs>
        <w:numPr>
          <w:ilvl w:val="0"/>
          <w:numId w:val="42"/>
        </w:numPr>
        <w:rPr>
          <w:rFonts w:ascii="Arial" w:cs="Arial" w:eastAsia="Arial" w:hAnsi="Arial"/>
          <w:sz w:val="14"/>
          <w:szCs w:val="14"/>
          <w:color w:val="0000FF"/>
        </w:rPr>
      </w:pPr>
      <w:hyperlink r:id="rId55">
        <w:r>
          <w:rPr>
            <w:rFonts w:ascii="Arial" w:cs="Arial" w:eastAsia="Arial" w:hAnsi="Arial"/>
            <w:sz w:val="14"/>
            <w:szCs w:val="14"/>
            <w:u w:val="single" w:color="auto"/>
            <w:color w:val="0000FF"/>
          </w:rPr>
          <w:t>10.18</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the Company’s Quarterly Report on Form 10-Q, filed on May 3, 2019).</w:t>
      </w:r>
    </w:p>
    <w:p>
      <w:pPr>
        <w:spacing w:after="0" w:line="32" w:lineRule="exact"/>
        <w:rPr>
          <w:rFonts w:ascii="Arial" w:cs="Arial" w:eastAsia="Arial" w:hAnsi="Arial"/>
          <w:sz w:val="14"/>
          <w:szCs w:val="14"/>
          <w:color w:val="0000FF"/>
        </w:rPr>
      </w:pPr>
    </w:p>
    <w:p>
      <w:pPr>
        <w:ind w:left="1500" w:hanging="1491"/>
        <w:spacing w:after="0" w:line="253" w:lineRule="auto"/>
        <w:tabs>
          <w:tab w:leader="none" w:pos="883" w:val="left"/>
        </w:tabs>
        <w:numPr>
          <w:ilvl w:val="0"/>
          <w:numId w:val="42"/>
        </w:numPr>
        <w:rPr>
          <w:rFonts w:ascii="Arial" w:cs="Arial" w:eastAsia="Arial" w:hAnsi="Arial"/>
          <w:sz w:val="14"/>
          <w:szCs w:val="14"/>
          <w:color w:val="0000FF"/>
        </w:rPr>
      </w:pPr>
      <w:hyperlink r:id="rId56">
        <w:r>
          <w:rPr>
            <w:rFonts w:ascii="Arial" w:cs="Arial" w:eastAsia="Arial" w:hAnsi="Arial"/>
            <w:sz w:val="14"/>
            <w:szCs w:val="14"/>
            <w:u w:val="single" w:color="auto"/>
            <w:color w:val="0000FF"/>
          </w:rPr>
          <w:t>10.19</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-234950</wp:posOffset>
            </wp:positionV>
            <wp:extent cx="720344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181" w:lineRule="exact"/>
        <w:rPr>
          <w:rFonts w:ascii="Arial" w:cs="Arial" w:eastAsia="Arial" w:hAnsi="Arial"/>
          <w:sz w:val="14"/>
          <w:szCs w:val="14"/>
          <w:color w:val="auto"/>
        </w:rPr>
      </w:pPr>
    </w:p>
    <w:p>
      <w:pPr>
        <w:jc w:val="both"/>
        <w:ind w:left="1500" w:hanging="616"/>
        <w:spacing w:after="0" w:line="250" w:lineRule="auto"/>
        <w:tabs>
          <w:tab w:leader="none" w:pos="1480" w:val="left"/>
        </w:tabs>
        <w:rPr>
          <w:rFonts w:ascii="Arial" w:cs="Arial" w:eastAsia="Arial" w:hAnsi="Arial"/>
          <w:sz w:val="14"/>
          <w:szCs w:val="14"/>
          <w:color w:val="0000FF"/>
        </w:rPr>
      </w:pPr>
      <w:hyperlink r:id="rId58">
        <w:r>
          <w:rPr>
            <w:rFonts w:ascii="Arial" w:cs="Arial" w:eastAsia="Arial" w:hAnsi="Arial"/>
            <w:sz w:val="14"/>
            <w:szCs w:val="14"/>
            <w:u w:val="single" w:color="auto"/>
            <w:color w:val="0000FF"/>
          </w:rPr>
          <w:t>10.20</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 (incorporated by reference to Exhibit 10.19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720344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17" w:lineRule="exact"/>
        <w:rPr>
          <w:rFonts w:ascii="Arial" w:cs="Arial" w:eastAsia="Arial" w:hAnsi="Arial"/>
          <w:sz w:val="14"/>
          <w:szCs w:val="14"/>
          <w:color w:val="auto"/>
        </w:rPr>
      </w:pPr>
    </w:p>
    <w:p>
      <w:pPr>
        <w:jc w:val="both"/>
        <w:ind w:left="1500" w:hanging="616"/>
        <w:spacing w:after="0" w:line="250" w:lineRule="auto"/>
        <w:tabs>
          <w:tab w:leader="none" w:pos="1480" w:val="left"/>
        </w:tabs>
        <w:rPr>
          <w:rFonts w:ascii="Arial" w:cs="Arial" w:eastAsia="Arial" w:hAnsi="Arial"/>
          <w:sz w:val="14"/>
          <w:szCs w:val="14"/>
          <w:color w:val="0000FF"/>
        </w:rPr>
      </w:pPr>
      <w:hyperlink r:id="rId60">
        <w:r>
          <w:rPr>
            <w:rFonts w:ascii="Arial" w:cs="Arial" w:eastAsia="Arial" w:hAnsi="Arial"/>
            <w:sz w:val="14"/>
            <w:szCs w:val="14"/>
            <w:u w:val="single" w:color="auto"/>
            <w:color w:val="0000FF"/>
          </w:rPr>
          <w:t>10.21</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 (incorporated by reference to Exhibit 10.20 of the Company’s Quarterly Report on Form 10-Q, filed on May 3, 2019).</w:t>
      </w:r>
    </w:p>
    <w:p>
      <w:pPr>
        <w:spacing w:after="0" w:line="37" w:lineRule="exact"/>
        <w:rPr>
          <w:rFonts w:ascii="Arial" w:cs="Arial" w:eastAsia="Arial" w:hAnsi="Arial"/>
          <w:sz w:val="14"/>
          <w:szCs w:val="14"/>
          <w:color w:val="auto"/>
        </w:rPr>
      </w:pPr>
    </w:p>
    <w:p>
      <w:pPr>
        <w:ind w:left="1500" w:hanging="1491"/>
        <w:spacing w:after="0" w:line="258" w:lineRule="auto"/>
        <w:tabs>
          <w:tab w:leader="none" w:pos="883" w:val="left"/>
        </w:tabs>
        <w:numPr>
          <w:ilvl w:val="0"/>
          <w:numId w:val="43"/>
        </w:numPr>
        <w:rPr>
          <w:rFonts w:ascii="Arial" w:cs="Arial" w:eastAsia="Arial" w:hAnsi="Arial"/>
          <w:sz w:val="14"/>
          <w:szCs w:val="14"/>
          <w:color w:val="0000FF"/>
        </w:rPr>
      </w:pPr>
      <w:hyperlink r:id="rId61">
        <w:r>
          <w:rPr>
            <w:rFonts w:ascii="Arial" w:cs="Arial" w:eastAsia="Arial" w:hAnsi="Arial"/>
            <w:sz w:val="14"/>
            <w:szCs w:val="14"/>
            <w:u w:val="single" w:color="auto"/>
            <w:color w:val="0000FF"/>
          </w:rPr>
          <w:t>10.22</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2034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2" w:lineRule="exact"/>
        <w:rPr>
          <w:rFonts w:ascii="Arial" w:cs="Arial" w:eastAsia="Arial" w:hAnsi="Arial"/>
          <w:sz w:val="14"/>
          <w:szCs w:val="14"/>
          <w:color w:val="auto"/>
        </w:rPr>
      </w:pPr>
    </w:p>
    <w:p>
      <w:pPr>
        <w:ind w:left="960"/>
        <w:spacing w:after="0"/>
        <w:tabs>
          <w:tab w:leader="none" w:pos="1480" w:val="left"/>
        </w:tabs>
        <w:rPr>
          <w:rFonts w:ascii="Arial" w:cs="Arial" w:eastAsia="Arial" w:hAnsi="Arial"/>
          <w:sz w:val="14"/>
          <w:szCs w:val="14"/>
          <w:color w:val="0000FF"/>
        </w:rPr>
      </w:pPr>
      <w:hyperlink w:anchor="page88">
        <w:r>
          <w:rPr>
            <w:rFonts w:ascii="Arial" w:cs="Arial" w:eastAsia="Arial" w:hAnsi="Arial"/>
            <w:sz w:val="14"/>
            <w:szCs w:val="14"/>
            <w:u w:val="single" w:color="auto"/>
            <w:color w:val="0000FF"/>
          </w:rPr>
          <w:t>31.1</w:t>
        </w:r>
      </w:hyperlink>
      <w:r>
        <w:rPr>
          <w:rFonts w:ascii="Arial" w:cs="Arial" w:eastAsia="Arial" w:hAnsi="Arial"/>
          <w:sz w:val="14"/>
          <w:szCs w:val="14"/>
          <w:color w:val="0000FF"/>
        </w:rPr>
        <w:tab/>
        <w:t>Certification of Chief Executive Officer pursuant to Rule 13a-14(a)/15d-14(a), as adopted pursuant to Section 302 of the Sarbanes-Oxley Act of 2002.</w:t>
      </w:r>
    </w:p>
    <w:p>
      <w:pPr>
        <w:spacing w:after="0" w:line="109" w:lineRule="exact"/>
        <w:rPr>
          <w:rFonts w:ascii="Arial" w:cs="Arial" w:eastAsia="Arial" w:hAnsi="Arial"/>
          <w:sz w:val="14"/>
          <w:szCs w:val="14"/>
          <w:color w:val="auto"/>
        </w:rPr>
      </w:pPr>
    </w:p>
    <w:p>
      <w:pPr>
        <w:ind w:left="960"/>
        <w:spacing w:after="0"/>
        <w:tabs>
          <w:tab w:leader="none" w:pos="1480" w:val="left"/>
        </w:tabs>
        <w:rPr>
          <w:rFonts w:ascii="Arial" w:cs="Arial" w:eastAsia="Arial" w:hAnsi="Arial"/>
          <w:sz w:val="14"/>
          <w:szCs w:val="14"/>
          <w:color w:val="0000FF"/>
        </w:rPr>
      </w:pPr>
      <w:hyperlink w:anchor="page89">
        <w:r>
          <w:rPr>
            <w:rFonts w:ascii="Arial" w:cs="Arial" w:eastAsia="Arial" w:hAnsi="Arial"/>
            <w:sz w:val="14"/>
            <w:szCs w:val="14"/>
            <w:u w:val="single" w:color="auto"/>
            <w:color w:val="0000FF"/>
          </w:rPr>
          <w:t>31.2</w:t>
        </w:r>
      </w:hyperlink>
      <w:r>
        <w:rPr>
          <w:rFonts w:ascii="Arial" w:cs="Arial" w:eastAsia="Arial" w:hAnsi="Arial"/>
          <w:sz w:val="14"/>
          <w:szCs w:val="14"/>
          <w:color w:val="0000FF"/>
        </w:rPr>
        <w:tab/>
        <w:t>Certification of Chief Financial Officer pursuant to Rule 13a-14(a)/15d-14(a), as adopted pursuant to Section 302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48895</wp:posOffset>
            </wp:positionV>
            <wp:extent cx="720344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89" w:lineRule="exact"/>
        <w:rPr>
          <w:rFonts w:ascii="Arial" w:cs="Arial" w:eastAsia="Arial" w:hAnsi="Arial"/>
          <w:sz w:val="14"/>
          <w:szCs w:val="14"/>
          <w:color w:val="auto"/>
        </w:rPr>
      </w:pPr>
    </w:p>
    <w:p>
      <w:pPr>
        <w:ind w:left="960"/>
        <w:spacing w:after="0"/>
        <w:tabs>
          <w:tab w:leader="none" w:pos="1480" w:val="left"/>
        </w:tabs>
        <w:rPr>
          <w:rFonts w:ascii="Arial" w:cs="Arial" w:eastAsia="Arial" w:hAnsi="Arial"/>
          <w:sz w:val="14"/>
          <w:szCs w:val="14"/>
          <w:color w:val="0000FF"/>
        </w:rPr>
      </w:pPr>
      <w:hyperlink w:anchor="page90">
        <w:r>
          <w:rPr>
            <w:rFonts w:ascii="Arial" w:cs="Arial" w:eastAsia="Arial" w:hAnsi="Arial"/>
            <w:sz w:val="14"/>
            <w:szCs w:val="14"/>
            <w:u w:val="single" w:color="auto"/>
            <w:color w:val="0000FF"/>
          </w:rPr>
          <w:t>32.1</w:t>
        </w:r>
      </w:hyperlink>
      <w:r>
        <w:rPr>
          <w:rFonts w:ascii="Arial" w:cs="Arial" w:eastAsia="Arial" w:hAnsi="Arial"/>
          <w:sz w:val="14"/>
          <w:szCs w:val="14"/>
          <w:color w:val="0000FF"/>
        </w:rPr>
        <w:tab/>
        <w:t>Certification of Chief Executive Officer pursuant to 18 U.S.C. Section 1350, as adopted pursuant to Section 906 of the Sarbanes-Oxley Act of 2002.</w:t>
      </w:r>
    </w:p>
    <w:p>
      <w:pPr>
        <w:spacing w:after="0" w:line="109" w:lineRule="exact"/>
        <w:rPr>
          <w:rFonts w:ascii="Arial" w:cs="Arial" w:eastAsia="Arial" w:hAnsi="Arial"/>
          <w:sz w:val="14"/>
          <w:szCs w:val="14"/>
          <w:color w:val="auto"/>
        </w:rPr>
      </w:pPr>
    </w:p>
    <w:p>
      <w:pPr>
        <w:ind w:left="960"/>
        <w:spacing w:after="0"/>
        <w:tabs>
          <w:tab w:leader="none" w:pos="1480" w:val="left"/>
        </w:tabs>
        <w:rPr>
          <w:rFonts w:ascii="Arial" w:cs="Arial" w:eastAsia="Arial" w:hAnsi="Arial"/>
          <w:sz w:val="14"/>
          <w:szCs w:val="14"/>
          <w:color w:val="0000FF"/>
        </w:rPr>
      </w:pPr>
      <w:hyperlink w:anchor="page91">
        <w:r>
          <w:rPr>
            <w:rFonts w:ascii="Arial" w:cs="Arial" w:eastAsia="Arial" w:hAnsi="Arial"/>
            <w:sz w:val="14"/>
            <w:szCs w:val="14"/>
            <w:u w:val="single" w:color="auto"/>
            <w:color w:val="0000FF"/>
          </w:rPr>
          <w:t>32.2</w:t>
        </w:r>
      </w:hyperlink>
      <w:r>
        <w:rPr>
          <w:rFonts w:ascii="Arial" w:cs="Arial" w:eastAsia="Arial" w:hAnsi="Arial"/>
          <w:sz w:val="14"/>
          <w:szCs w:val="14"/>
          <w:color w:val="0000FF"/>
        </w:rPr>
        <w:tab/>
        <w:t>Certification of Chief Financial Officer pursuant to 18 U.S.C. Section 1350, as adopted pursuant to Section 906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48895</wp:posOffset>
            </wp:positionV>
            <wp:extent cx="720344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4">
                      <a:extLst>
                        <a:ext uri="{28A0092B-C50C-407E-A947-70E740481C1C}"/>
                      </a:extLst>
                    </a:blip>
                    <a:srcRect/>
                    <a:stretch>
                      <a:fillRect/>
                    </a:stretch>
                  </pic:blipFill>
                  <pic:spPr bwMode="auto">
                    <a:xfrm>
                      <a:off x="0" y="0"/>
                      <a:ext cx="7203440" cy="445770"/>
                    </a:xfrm>
                    <a:prstGeom prst="rect">
                      <a:avLst/>
                    </a:prstGeom>
                    <a:noFill/>
                  </pic:spPr>
                </pic:pic>
              </a:graphicData>
            </a:graphic>
          </wp:anchor>
        </w:drawing>
      </w:r>
    </w:p>
    <w:p>
      <w:pPr>
        <w:spacing w:after="0" w:line="89" w:lineRule="exact"/>
        <w:rPr>
          <w:rFonts w:ascii="Arial" w:cs="Arial" w:eastAsia="Arial" w:hAnsi="Arial"/>
          <w:sz w:val="14"/>
          <w:szCs w:val="14"/>
          <w:color w:val="auto"/>
        </w:rPr>
      </w:pPr>
    </w:p>
    <w:p>
      <w:pPr>
        <w:jc w:val="both"/>
        <w:ind w:left="1500" w:hanging="502"/>
        <w:spacing w:after="0" w:line="247" w:lineRule="auto"/>
        <w:tabs>
          <w:tab w:leader="none" w:pos="1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Quarterly Report on Form 10-Q for the quarter ended September 30, 2019,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p>
      <w:pPr>
        <w:spacing w:after="0" w:line="40" w:lineRule="exact"/>
        <w:rPr>
          <w:rFonts w:ascii="Arial" w:cs="Arial" w:eastAsia="Arial" w:hAnsi="Arial"/>
          <w:sz w:val="14"/>
          <w:szCs w:val="14"/>
          <w:color w:val="auto"/>
        </w:rPr>
      </w:pPr>
    </w:p>
    <w:p>
      <w:pPr>
        <w:ind w:left="1500" w:hanging="502"/>
        <w:spacing w:after="0"/>
        <w:tabs>
          <w:tab w:leader="none" w:pos="1500" w:val="left"/>
        </w:tabs>
        <w:numPr>
          <w:ilvl w:val="1"/>
          <w:numId w:val="45"/>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95" w:lineRule="exact"/>
        <w:rPr>
          <w:rFonts w:ascii="Arial" w:cs="Arial" w:eastAsia="Arial" w:hAnsi="Arial"/>
          <w:sz w:val="14"/>
          <w:szCs w:val="14"/>
          <w:color w:val="auto"/>
        </w:rPr>
      </w:pPr>
    </w:p>
    <w:p>
      <w:pPr>
        <w:ind w:left="240" w:hanging="231"/>
        <w:spacing w:after="0"/>
        <w:tabs>
          <w:tab w:leader="none" w:pos="24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-113030</wp:posOffset>
            </wp:positionV>
            <wp:extent cx="72034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extLst>
                    </a:blip>
                    <a:srcRect/>
                    <a:stretch>
                      <a:fillRect/>
                    </a:stretch>
                  </pic:blipFill>
                  <pic:spPr bwMode="auto">
                    <a:xfrm>
                      <a:off x="0" y="0"/>
                      <a:ext cx="7203440" cy="137160"/>
                    </a:xfrm>
                    <a:prstGeom prst="rect">
                      <a:avLst/>
                    </a:prstGeom>
                    <a:noFill/>
                  </pic:spPr>
                </pic:pic>
              </a:graphicData>
            </a:graphic>
          </wp:anchor>
        </w:drawing>
      </w:r>
    </w:p>
    <w:p>
      <w:pPr>
        <w:spacing w:after="0" w:line="35" w:lineRule="exact"/>
        <w:rPr>
          <w:rFonts w:ascii="Arial" w:cs="Arial" w:eastAsia="Arial" w:hAnsi="Arial"/>
          <w:sz w:val="14"/>
          <w:szCs w:val="14"/>
          <w:color w:val="auto"/>
        </w:rPr>
      </w:pPr>
    </w:p>
    <w:p>
      <w:pPr>
        <w:ind w:left="240" w:hanging="231"/>
        <w:spacing w:after="0"/>
        <w:tabs>
          <w:tab w:leader="none" w:pos="24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82"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300"/>
          </w:cols>
          <w:pgMar w:left="300" w:top="693" w:right="299" w:bottom="1440" w:gutter="0" w:footer="0" w:header="0"/>
        </w:sectPr>
      </w:pPr>
    </w:p>
    <w:bookmarkStart w:id="86" w:name="page87"/>
    <w:bookmarkEnd w:id="86"/>
    <w:p>
      <w:pPr>
        <w:jc w:val="center"/>
        <w:ind w:right="-199"/>
        <w:spacing w:after="0"/>
        <w:rPr>
          <w:sz w:val="20"/>
          <w:szCs w:val="20"/>
          <w:color w:val="auto"/>
        </w:rPr>
      </w:pPr>
      <w:r>
        <w:rPr>
          <w:rFonts w:ascii="Arial" w:cs="Arial" w:eastAsia="Arial" w:hAnsi="Arial"/>
          <w:sz w:val="16"/>
          <w:szCs w:val="16"/>
          <w:b w:val="1"/>
          <w:bCs w:val="1"/>
          <w:color w:val="00497F"/>
        </w:rPr>
        <w:t>SIGNATURES</w:t>
      </w: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660" w:type="dxa"/>
            <w:vAlign w:val="bottom"/>
          </w:tcPr>
          <w:p>
            <w:pPr>
              <w:ind w:left="320"/>
              <w:spacing w:after="0"/>
              <w:rPr>
                <w:sz w:val="20"/>
                <w:szCs w:val="20"/>
                <w:color w:val="auto"/>
              </w:rPr>
            </w:pPr>
            <w:r>
              <w:rPr>
                <w:rFonts w:ascii="Arial" w:cs="Arial" w:eastAsia="Arial" w:hAnsi="Arial"/>
                <w:sz w:val="16"/>
                <w:szCs w:val="16"/>
                <w:color w:val="auto"/>
              </w:rPr>
              <w:t>November 1, 2019</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Joseph P. Adams, Jr.</w:t>
            </w:r>
          </w:p>
        </w:tc>
        <w:tc>
          <w:tcPr>
            <w:tcW w:w="46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Chairman and Chief Executive Officer</w:t>
            </w:r>
          </w:p>
        </w:tc>
        <w:tc>
          <w:tcPr>
            <w:tcW w:w="46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52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660" w:type="dxa"/>
            <w:vAlign w:val="bottom"/>
          </w:tcPr>
          <w:p>
            <w:pPr>
              <w:ind w:left="320"/>
              <w:spacing w:after="0"/>
              <w:rPr>
                <w:sz w:val="20"/>
                <w:szCs w:val="20"/>
                <w:color w:val="auto"/>
              </w:rPr>
            </w:pPr>
            <w:r>
              <w:rPr>
                <w:rFonts w:ascii="Arial" w:cs="Arial" w:eastAsia="Arial" w:hAnsi="Arial"/>
                <w:sz w:val="16"/>
                <w:szCs w:val="16"/>
                <w:color w:val="auto"/>
              </w:rPr>
              <w:t>November 1, 2019</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Scott Christopher</w:t>
            </w:r>
          </w:p>
        </w:tc>
        <w:tc>
          <w:tcPr>
            <w:tcW w:w="46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46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52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Eun Nam</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660" w:type="dxa"/>
            <w:vAlign w:val="bottom"/>
          </w:tcPr>
          <w:p>
            <w:pPr>
              <w:ind w:left="320"/>
              <w:spacing w:after="0"/>
              <w:rPr>
                <w:sz w:val="20"/>
                <w:szCs w:val="20"/>
                <w:color w:val="auto"/>
              </w:rPr>
            </w:pPr>
            <w:r>
              <w:rPr>
                <w:rFonts w:ascii="Arial" w:cs="Arial" w:eastAsia="Arial" w:hAnsi="Arial"/>
                <w:sz w:val="16"/>
                <w:szCs w:val="16"/>
                <w:color w:val="auto"/>
              </w:rPr>
              <w:t>November 1, 2019</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Eun Nam</w:t>
            </w:r>
          </w:p>
        </w:tc>
        <w:tc>
          <w:tcPr>
            <w:tcW w:w="46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Accounting Officer</w:t>
            </w:r>
          </w:p>
        </w:tc>
        <w:tc>
          <w:tcPr>
            <w:tcW w:w="46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783"/>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00" w:type="dxa"/>
            <w:vAlign w:val="bottom"/>
          </w:tcPr>
          <w:p>
            <w:pPr>
              <w:jc w:val="right"/>
              <w:ind w:right="2959"/>
              <w:spacing w:after="0"/>
              <w:rPr>
                <w:sz w:val="20"/>
                <w:szCs w:val="20"/>
                <w:color w:val="auto"/>
              </w:rPr>
            </w:pPr>
            <w:r>
              <w:rPr>
                <w:rFonts w:ascii="Arial" w:cs="Arial" w:eastAsia="Arial" w:hAnsi="Arial"/>
                <w:sz w:val="16"/>
                <w:szCs w:val="16"/>
                <w:color w:val="auto"/>
              </w:rPr>
              <w:t>87</w:t>
            </w:r>
          </w:p>
        </w:tc>
        <w:tc>
          <w:tcPr>
            <w:tcW w:w="1660" w:type="dxa"/>
            <w:vAlign w:val="bottom"/>
          </w:tcPr>
          <w:p>
            <w:pPr>
              <w:spacing w:after="0"/>
              <w:rPr>
                <w:sz w:val="24"/>
                <w:szCs w:val="24"/>
                <w:color w:val="auto"/>
              </w:rPr>
            </w:pPr>
          </w:p>
        </w:tc>
      </w:tr>
    </w:tbl>
    <w:p>
      <w:pPr>
        <w:sectPr>
          <w:pgSz w:w="11900" w:h="16838" w:orient="portrait"/>
          <w:cols w:equalWidth="0" w:num="1">
            <w:col w:w="11220"/>
          </w:cols>
          <w:pgMar w:left="240" w:top="473" w:right="439" w:bottom="144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jc w:val="both"/>
        <w:ind w:left="660" w:hanging="652"/>
        <w:spacing w:after="0" w:line="253"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left="660" w:hanging="652"/>
        <w:spacing w:after="0" w:line="253"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652"/>
        <w:spacing w:after="0" w:line="260"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hanging="644"/>
        <w:spacing w:after="0" w:line="260"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November 1, 2019</w:t>
            </w:r>
          </w:p>
        </w:tc>
        <w:tc>
          <w:tcPr>
            <w:tcW w:w="5460" w:type="dxa"/>
            <w:vAlign w:val="bottom"/>
          </w:tcPr>
          <w:p>
            <w:pPr>
              <w:spacing w:after="0"/>
              <w:rPr>
                <w:sz w:val="19"/>
                <w:szCs w:val="19"/>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37"/>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6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70"/>
        </w:trPr>
        <w:tc>
          <w:tcPr>
            <w:tcW w:w="218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58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jc w:val="both"/>
        <w:ind w:left="660" w:hanging="652"/>
        <w:spacing w:after="0" w:line="253"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left="660" w:hanging="652"/>
        <w:spacing w:after="0" w:line="253"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571"/>
        <w:spacing w:after="0" w:line="260" w:lineRule="auto"/>
        <w:tabs>
          <w:tab w:leader="none" w:pos="6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hanging="644"/>
        <w:spacing w:after="0" w:line="260"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November 1, 2019</w:t>
            </w:r>
          </w:p>
        </w:tc>
        <w:tc>
          <w:tcPr>
            <w:tcW w:w="5700" w:type="dxa"/>
            <w:vAlign w:val="bottom"/>
          </w:tcPr>
          <w:p>
            <w:pPr>
              <w:spacing w:after="0"/>
              <w:rPr>
                <w:sz w:val="19"/>
                <w:szCs w:val="19"/>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r>
      <w:tr>
        <w:trPr>
          <w:trHeight w:val="237"/>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60" w:type="dxa"/>
            <w:vAlign w:val="bottom"/>
          </w:tcPr>
          <w:p>
            <w:pPr>
              <w:ind w:left="20"/>
              <w:spacing w:after="0"/>
              <w:rPr>
                <w:sz w:val="20"/>
                <w:szCs w:val="20"/>
                <w:color w:val="auto"/>
              </w:rPr>
            </w:pPr>
            <w:r>
              <w:rPr>
                <w:rFonts w:ascii="Arial" w:cs="Arial" w:eastAsia="Arial" w:hAnsi="Arial"/>
                <w:sz w:val="16"/>
                <w:szCs w:val="16"/>
                <w:color w:val="auto"/>
              </w:rPr>
              <w:t>Scott Christopher</w:t>
            </w:r>
          </w:p>
        </w:tc>
      </w:tr>
      <w:tr>
        <w:trPr>
          <w:trHeight w:val="270"/>
        </w:trPr>
        <w:tc>
          <w:tcPr>
            <w:tcW w:w="194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580"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September 30, 2019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9"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660" w:hanging="652"/>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27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Joseph P. Adams, Jr.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1, 2019</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September 30, 2019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49"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660" w:hanging="652"/>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2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Scott Christopher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1, 2019</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8"/>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lowerRoman"/>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upperLetter"/>
      <w:start w:val="35"/>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decimal"/>
      <w:start w:val="101"/>
    </w:lvl>
  </w:abstractNum>
  <w:abstractNum w:abstractNumId="44">
    <w:nsid w:val="38437FDB"/>
    <w:multiLevelType w:val="hybridMultilevel"/>
    <w:lvl w:ilvl="0">
      <w:lvlJc w:val="left"/>
      <w:lvlText w:val="†"/>
      <w:numFmt w:val="bullet"/>
      <w:start w:val="1"/>
    </w:lvl>
    <w:lvl w:ilvl="1">
      <w:lvlJc w:val="left"/>
      <w:lvlText w:val="%2"/>
      <w:numFmt w:val="decimal"/>
      <w:start w:val="104"/>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4" Type="http://schemas.openxmlformats.org/officeDocument/2006/relationships/image" Target="media/image9.png"/><Relationship Id="rId26" Type="http://schemas.openxmlformats.org/officeDocument/2006/relationships/image" Target="media/image10.png"/><Relationship Id="rId29"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8" Type="http://schemas.openxmlformats.org/officeDocument/2006/relationships/image" Target="media/image14.png"/><Relationship Id="rId41" Type="http://schemas.openxmlformats.org/officeDocument/2006/relationships/image" Target="media/image15.png"/><Relationship Id="rId44" Type="http://schemas.openxmlformats.org/officeDocument/2006/relationships/image" Target="media/image16.png"/><Relationship Id="rId47" Type="http://schemas.openxmlformats.org/officeDocument/2006/relationships/image" Target="media/image17.png"/><Relationship Id="rId50" Type="http://schemas.openxmlformats.org/officeDocument/2006/relationships/image" Target="media/image18.png"/><Relationship Id="rId53" Type="http://schemas.openxmlformats.org/officeDocument/2006/relationships/image" Target="media/image19.png"/><Relationship Id="rId57" Type="http://schemas.openxmlformats.org/officeDocument/2006/relationships/image" Target="media/image20.png"/><Relationship Id="rId59" Type="http://schemas.openxmlformats.org/officeDocument/2006/relationships/image" Target="media/image21.png"/><Relationship Id="rId62" Type="http://schemas.openxmlformats.org/officeDocument/2006/relationships/image" Target="media/image22.png"/><Relationship Id="rId63" Type="http://schemas.openxmlformats.org/officeDocument/2006/relationships/image" Target="media/image23.png"/><Relationship Id="rId64" Type="http://schemas.openxmlformats.org/officeDocument/2006/relationships/image" Target="media/image24.png"/><Relationship Id="rId65" Type="http://schemas.openxmlformats.org/officeDocument/2006/relationships/image" Target="media/image25.png"/><Relationship Id="rId66" Type="http://schemas.openxmlformats.org/officeDocument/2006/relationships/image" Target="media/image26.png"/><Relationship Id="rId67" Type="http://schemas.openxmlformats.org/officeDocument/2006/relationships/image" Target="media/image27.png"/><Relationship Id="rId12" Type="http://schemas.openxmlformats.org/officeDocument/2006/relationships/hyperlink" Target="http://www.sec.gov/Archives/edgar/data/1590364/000119312515163776/d616610dex31.htm" TargetMode="External"/><Relationship Id="rId13" Type="http://schemas.openxmlformats.org/officeDocument/2006/relationships/hyperlink" Target="http://www.sec.gov/Archives/edgar/data/1590364/000114036119016562/ex3_2.htm" TargetMode="External"/><Relationship Id="rId15" Type="http://schemas.openxmlformats.org/officeDocument/2006/relationships/hyperlink" Target="http://www.sec.gov/Archives/edgar/data/1590364/000095015717000381/ex4-1.htm" TargetMode="External"/><Relationship Id="rId17" Type="http://schemas.openxmlformats.org/officeDocument/2006/relationships/hyperlink" Target="http://www.sec.gov/Archives/edgar/data/1590364/000159036418000003/ftai12312017exhibit43.htm" TargetMode="External"/><Relationship Id="rId19" Type="http://schemas.openxmlformats.org/officeDocument/2006/relationships/hyperlink" Target="http://www.sec.gov/Archives/edgar/data/1590364/000095015717001232/ex4-1.htm" TargetMode="External"/><Relationship Id="rId20" Type="http://schemas.openxmlformats.org/officeDocument/2006/relationships/hyperlink" Target="http://www.sec.gov/Archives/edgar/data/1590364/000114036117046889/s001999x5_ex4-1.htm" TargetMode="External"/><Relationship Id="rId22" Type="http://schemas.openxmlformats.org/officeDocument/2006/relationships/hyperlink" Target="http://www.sec.gov/Archives/edgar/data/1590364/000114036118026546/ex4_1.htm" TargetMode="External"/><Relationship Id="rId23" Type="http://schemas.openxmlformats.org/officeDocument/2006/relationships/hyperlink" Target="http://www.sec.gov/Archives/edgar/data/1590364/000114036119002776/s002571x8_ex4-1.htm" TargetMode="External"/><Relationship Id="rId25" Type="http://schemas.openxmlformats.org/officeDocument/2006/relationships/hyperlink" Target="http://www.sec.gov/Archives/edgar/data/1590364/000114036118038650/ex4_1.htm" TargetMode="External"/><Relationship Id="rId27" Type="http://schemas.openxmlformats.org/officeDocument/2006/relationships/hyperlink" Target="http://www.sec.gov/Archives/edgar/data/1590364/000114036119009546/nc10001919x3_ex4-1.htm" TargetMode="External"/><Relationship Id="rId28" Type="http://schemas.openxmlformats.org/officeDocument/2006/relationships/hyperlink" Target="http://www.sec.gov/Archives/edgar/data/1590364/000114036119016562/ex3_2.htm#Exhibit4.1" TargetMode="External"/><Relationship Id="rId30" Type="http://schemas.openxmlformats.org/officeDocument/2006/relationships/hyperlink" Target="http://www.sec.gov/Archives/edgar/data/1590364/000119312515197222/d931434dex101.htm" TargetMode="External"/><Relationship Id="rId31" Type="http://schemas.openxmlformats.org/officeDocument/2006/relationships/hyperlink" Target="http://www.sec.gov/Archives/edgar/data/1590364/000119312515197222/d931434dex102.htm" TargetMode="External"/><Relationship Id="rId32" Type="http://schemas.openxmlformats.org/officeDocument/2006/relationships/hyperlink" Target="http://www.sec.gov/Archives/edgar/data/1590364/000119312515163776/d616610dex103.htm" TargetMode="External"/><Relationship Id="rId33" Type="http://schemas.openxmlformats.org/officeDocument/2006/relationships/hyperlink" Target="http://www.sec.gov/Archives/edgar/data/1590364/000119312515197222/d931434dex104.htm" TargetMode="External"/><Relationship Id="rId36" Type="http://schemas.openxmlformats.org/officeDocument/2006/relationships/hyperlink" Target="http://www.sec.gov/Archives/edgar/data/1590364/000119312515163776/d616610dex105.htm" TargetMode="External"/><Relationship Id="rId37" Type="http://schemas.openxmlformats.org/officeDocument/2006/relationships/hyperlink" Target="http://www.sec.gov/Archives/edgar/data/1590364/000119312515163776/d616610dex106.htm" TargetMode="External"/><Relationship Id="rId39" Type="http://schemas.openxmlformats.org/officeDocument/2006/relationships/hyperlink" Target="http://www.sec.gov/Archives/edgar/data/1590364/000159036416000014/ftai12312015exhibit107.htm" TargetMode="External"/><Relationship Id="rId40" Type="http://schemas.openxmlformats.org/officeDocument/2006/relationships/hyperlink" Target="http://www.sec.gov/Archives/edgar/data/1590364/000159036416000014/ftai12312015exhibit108.htm" TargetMode="External"/><Relationship Id="rId42" Type="http://schemas.openxmlformats.org/officeDocument/2006/relationships/hyperlink" Target="http://www.sec.gov/Archives/edgar/data/1590364/000159036416000014/ftai12312015exhibit109.htm" TargetMode="External"/><Relationship Id="rId43" Type="http://schemas.openxmlformats.org/officeDocument/2006/relationships/hyperlink" Target="http://www.sec.gov/Archives/edgar/data/1590364/000159036416000014/ftai12312015exhibit1010.htm" TargetMode="External"/><Relationship Id="rId45" Type="http://schemas.openxmlformats.org/officeDocument/2006/relationships/hyperlink" Target="http://www.sec.gov/Archives/edgar/data/1590364/000159036416000014/ftai12312015exhibit1011.htm" TargetMode="External"/><Relationship Id="rId46" Type="http://schemas.openxmlformats.org/officeDocument/2006/relationships/hyperlink" Target="http://www.sec.gov/Archives/edgar/data/1590364/000159036416000014/ftai12312015exhibit1012.htm" TargetMode="External"/><Relationship Id="rId48" Type="http://schemas.openxmlformats.org/officeDocument/2006/relationships/hyperlink" Target="http://www.sec.gov/Archives/edgar/data/1590364/000156761917000090/s001516x1_ex10-1.htm" TargetMode="External"/><Relationship Id="rId49" Type="http://schemas.openxmlformats.org/officeDocument/2006/relationships/hyperlink" Target="http://www.sec.gov/Archives/edgar/data/1590364/000156761917001299/s001761x1_ex10-1.htm" TargetMode="External"/><Relationship Id="rId51" Type="http://schemas.openxmlformats.org/officeDocument/2006/relationships/hyperlink" Target="http://www.sec.gov/Archives/edgar/data/1590364/000159036418000010/creditagreement-exhibit1015.htm" TargetMode="External"/><Relationship Id="rId52" Type="http://schemas.openxmlformats.org/officeDocument/2006/relationships/hyperlink" Target="http://www.sec.gov/Archives/edgar/data/1590364/000114036119002813/s002571x9_ex10-1.htm" TargetMode="External"/><Relationship Id="rId54" Type="http://schemas.openxmlformats.org/officeDocument/2006/relationships/hyperlink" Target="http://www.sec.gov/Archives/edgar/data/1590364/000114036119014758/ex10_1.htm" TargetMode="External"/><Relationship Id="rId55" Type="http://schemas.openxmlformats.org/officeDocument/2006/relationships/hyperlink" Target="http://www.sec.gov/Archives/edgar/data/1590364/000159036419000004/epccontract-exhibit1017.htm" TargetMode="External"/><Relationship Id="rId56" Type="http://schemas.openxmlformats.org/officeDocument/2006/relationships/hyperlink" Target="http://www.sec.gov/Archives/edgar/data/1590364/000159036419000004/geequipmentsupplyagreement.htm" TargetMode="External"/><Relationship Id="rId58" Type="http://schemas.openxmlformats.org/officeDocument/2006/relationships/hyperlink" Target="http://www.sec.gov/Archives/edgar/data/1590364/000159036419000004/firstliencreditagreement-e.htm" TargetMode="External"/><Relationship Id="rId60" Type="http://schemas.openxmlformats.org/officeDocument/2006/relationships/hyperlink" Target="http://www.sec.gov/Archives/edgar/data/1590364/000159036419000004/secondliencreditagreement-.htm" TargetMode="External"/><Relationship Id="rId61" Type="http://schemas.openxmlformats.org/officeDocument/2006/relationships/hyperlink" Target="http://www.sec.gov/Archives/edgar/data/1590364/000114036118002262/s002014x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2019-12-28T03:18:49Z</dcterms:created>
  <dcterms:modified xsi:type="dcterms:W3CDTF">2019-12-28T03:18:49Z</dcterms:modified>
</cp:coreProperties>
</file>