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 SECURITIES AND EXCHANGE COMMISSION</w: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tbl>
      <w:tblPr>
        <w:tblW w:w="9657" w:type="dxa"/>
        <w:jc w:val="center"/>
        <w:tblInd w:w="0" w:type="dxa"/>
        <w:tblLayout w:type="fixed"/>
        <w:tblCellMar>
          <w:top w:w="28" w:type="dxa"/>
          <w:left w:w="28" w:type="dxa"/>
          <w:bottom w:w="28" w:type="dxa"/>
          <w:right w:w="28" w:type="dxa"/>
        </w:tblCellMar>
      </w:tblPr>
      <w:tblGrid>
        <w:gridCol w:w="124"/>
        <w:gridCol w:w="109"/>
        <w:gridCol w:w="109"/>
        <w:gridCol w:w="2726"/>
        <w:gridCol w:w="2726"/>
        <w:gridCol w:w="3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QUARTERLY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18"/>
        </w:rPr>
        <w:t>For the quarterly period ended </w:t>
      </w:r>
      <w:r>
        <w:rPr>
          <w:rFonts w:ascii="Arial;sans-serif" w:hAnsi="Arial;sans-serif"/>
          <w:b/>
          <w:color w:val="000000"/>
          <w:sz w:val="18"/>
        </w:rPr>
        <w:t>September 30, 2023</w:t>
      </w:r>
      <w:r>
        <w:rPr>
          <w:color w:val="000000"/>
        </w:rPr>
        <w:t xml:space="preserve"> </w:t>
      </w:r>
    </w:p>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OR</w:t>
      </w:r>
    </w:p>
    <w:tbl>
      <w:tblPr>
        <w:tblW w:w="9626" w:type="dxa"/>
        <w:jc w:val="center"/>
        <w:tblInd w:w="0" w:type="dxa"/>
        <w:tblLayout w:type="fixed"/>
        <w:tblCellMar>
          <w:top w:w="28" w:type="dxa"/>
          <w:left w:w="28" w:type="dxa"/>
          <w:bottom w:w="28" w:type="dxa"/>
          <w:right w:w="28" w:type="dxa"/>
        </w:tblCellMar>
      </w:tblPr>
      <w:tblGrid>
        <w:gridCol w:w="124"/>
        <w:gridCol w:w="109"/>
        <w:gridCol w:w="109"/>
        <w:gridCol w:w="2715"/>
        <w:gridCol w:w="2715"/>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____ to ____</w:t>
      </w:r>
    </w:p>
    <w:p>
      <w:pPr>
        <w:pStyle w:val="TextBody"/>
        <w:bidi w:val="0"/>
        <w:spacing w:lineRule="auto" w:line="288" w:before="60" w:after="283"/>
        <w:jc w:val="center"/>
        <w:rPr/>
      </w:pPr>
      <w:r>
        <w:rPr>
          <w:rFonts w:ascii="Arial;sans-serif" w:hAnsi="Arial;sans-serif"/>
          <w:b w:val="false"/>
          <w:color w:val="000000"/>
          <w:sz w:val="18"/>
        </w:rPr>
        <w:t xml:space="preserve">Commission file number </w:t>
      </w:r>
      <w:r>
        <w:rPr>
          <w:rFonts w:ascii="Arial;sans-serif" w:hAnsi="Arial;sans-serif"/>
          <w:b/>
          <w:color w:val="000000"/>
          <w:sz w:val="18"/>
        </w:rPr>
        <w:t>001-37386</w:t>
      </w:r>
      <w:r>
        <w:rPr>
          <w:color w:val="000000"/>
        </w:rPr>
        <w:t xml:space="preserve"> </w:t>
      </w:r>
    </w:p>
    <w:p>
      <w:pPr>
        <w:pStyle w:val="TextBody"/>
        <w:bidi w:val="0"/>
        <w:spacing w:before="120" w:after="283"/>
        <w:jc w:val="center"/>
        <w:rPr/>
      </w:pPr>
      <w:r>
        <w:rPr/>
        <w:drawing>
          <wp:inline distT="0" distB="0" distL="0" distR="0">
            <wp:extent cx="143827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55245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FTAI AVIATION LTD.</w:t>
      </w:r>
    </w:p>
    <w:p>
      <w:pPr>
        <w:pStyle w:val="TextBody"/>
        <w:bidi w:val="0"/>
        <w:spacing w:lineRule="auto" w:line="288" w:before="0" w:after="0"/>
        <w:jc w:val="center"/>
        <w:rPr/>
      </w:pPr>
      <w:r>
        <w:rPr>
          <w:rFonts w:ascii="Arial;sans-serif" w:hAnsi="Arial;sans-serif"/>
          <w:b w:val="false"/>
          <w:color w:val="000000"/>
          <w:sz w:val="18"/>
        </w:rPr>
        <w:t>(Exact name of registrant as specified in its charter</w:t>
      </w:r>
      <w:r>
        <w:rPr>
          <w:rFonts w:ascii="Arial;sans-serif" w:hAnsi="Arial;sans-serif"/>
          <w:b w:val="false"/>
          <w:color w:val="000000"/>
          <w:sz w:val="20"/>
        </w:rPr>
        <w:t>)</w:t>
      </w:r>
    </w:p>
    <w:tbl>
      <w:tblPr>
        <w:tblW w:w="10052" w:type="dxa"/>
        <w:jc w:val="left"/>
        <w:tblInd w:w="0" w:type="dxa"/>
        <w:tblLayout w:type="fixed"/>
        <w:tblCellMar>
          <w:top w:w="28" w:type="dxa"/>
          <w:left w:w="28" w:type="dxa"/>
          <w:bottom w:w="28" w:type="dxa"/>
          <w:right w:w="28" w:type="dxa"/>
        </w:tblCellMar>
      </w:tblPr>
      <w:tblGrid>
        <w:gridCol w:w="1302"/>
        <w:gridCol w:w="1149"/>
        <w:gridCol w:w="1149"/>
        <w:gridCol w:w="532"/>
        <w:gridCol w:w="532"/>
        <w:gridCol w:w="532"/>
        <w:gridCol w:w="532"/>
        <w:gridCol w:w="532"/>
        <w:gridCol w:w="532"/>
        <w:gridCol w:w="109"/>
        <w:gridCol w:w="109"/>
        <w:gridCol w:w="109"/>
        <w:gridCol w:w="309"/>
        <w:gridCol w:w="309"/>
        <w:gridCol w:w="309"/>
        <w:gridCol w:w="309"/>
        <w:gridCol w:w="309"/>
        <w:gridCol w:w="309"/>
        <w:gridCol w:w="309"/>
        <w:gridCol w:w="309"/>
        <w:gridCol w:w="461"/>
      </w:tblGrid>
      <w:tr>
        <w:trPr/>
        <w:tc>
          <w:tcPr>
            <w:tcW w:w="130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67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Cayman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98-1420784</w:t>
            </w:r>
          </w:p>
        </w:tc>
      </w:tr>
      <w:tr>
        <w:trPr/>
        <w:tc>
          <w:tcPr>
            <w:tcW w:w="67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1345 Avenue of the Americas, 45th Floor</w:t>
            </w:r>
          </w:p>
        </w:tc>
        <w:tc>
          <w:tcPr>
            <w:tcW w:w="15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NY</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10105</w:t>
            </w:r>
          </w:p>
        </w:tc>
      </w:tr>
      <w:tr>
        <w:trPr/>
        <w:tc>
          <w:tcPr>
            <w:tcW w:w="80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w:t>
      </w:r>
      <w:r>
        <w:rPr>
          <w:rFonts w:ascii="Arial;sans-serif" w:hAnsi="Arial;sans-serif"/>
          <w:b/>
          <w:color w:val="000000"/>
          <w:sz w:val="18"/>
        </w:rPr>
        <w:t xml:space="preserve">(212) 798-6100 </w:t>
      </w:r>
    </w:p>
    <w:p>
      <w:pPr>
        <w:pStyle w:val="TextBody"/>
        <w:bidi w:val="0"/>
        <w:spacing w:lineRule="auto" w:line="288" w:before="60" w:after="283"/>
        <w:jc w:val="center"/>
        <w:rPr/>
      </w:pPr>
      <w:r>
        <w:rPr>
          <w:rFonts w:ascii="Arial;sans-serif" w:hAnsi="Arial;sans-serif"/>
          <w:b w:val="false"/>
          <w:color w:val="000000"/>
          <w:sz w:val="18"/>
        </w:rPr>
        <w:t xml:space="preserve">(Former name, former address and former fiscal year, if changed since last report) </w:t>
      </w:r>
      <w:r>
        <w:rPr>
          <w:rFonts w:ascii="Arial;sans-serif" w:hAnsi="Arial;sans-serif"/>
          <w:b/>
          <w:color w:val="000000"/>
          <w:sz w:val="18"/>
        </w:rPr>
        <w:t>N/A</w:t>
      </w:r>
    </w:p>
    <w:tbl>
      <w:tblPr>
        <w:tblW w:w="10205" w:type="dxa"/>
        <w:jc w:val="center"/>
        <w:tblInd w:w="0" w:type="dxa"/>
        <w:tblLayout w:type="fixed"/>
        <w:tblCellMar>
          <w:top w:w="28" w:type="dxa"/>
          <w:left w:w="28" w:type="dxa"/>
          <w:bottom w:w="28" w:type="dxa"/>
          <w:right w:w="28" w:type="dxa"/>
        </w:tblCellMar>
      </w:tblPr>
      <w:tblGrid>
        <w:gridCol w:w="1956"/>
        <w:gridCol w:w="1589"/>
        <w:gridCol w:w="1581"/>
        <w:gridCol w:w="255"/>
        <w:gridCol w:w="255"/>
        <w:gridCol w:w="255"/>
        <w:gridCol w:w="401"/>
        <w:gridCol w:w="385"/>
        <w:gridCol w:w="350"/>
        <w:gridCol w:w="255"/>
        <w:gridCol w:w="255"/>
        <w:gridCol w:w="255"/>
        <w:gridCol w:w="720"/>
        <w:gridCol w:w="720"/>
        <w:gridCol w:w="973"/>
      </w:tblGrid>
      <w:tr>
        <w:trPr/>
        <w:tc>
          <w:tcPr>
            <w:tcW w:w="195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5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exchange on which registered:</w:t>
            </w:r>
          </w:p>
        </w:tc>
      </w:tr>
      <w:tr>
        <w:trPr/>
        <w:tc>
          <w:tcPr>
            <w:tcW w:w="5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Ordinary shares, $0.01 par value per share</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 Fixed-to-Floating Rate Series A Cumulative Perpetual Redeemable Preferred Shares</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FTAIP</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8.00% Fixed-to-Floating Rate Series B Cumulative Perpetual Redeemable Preferred Shares</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FTAIO</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 Fixed-Rate Reset Series C Cumulative Perpetual Redeemable Preferred Shares</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FTAIN</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1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shd w:fill="FFFFFF" w:val="clear"/>
              </w:rPr>
              <w:t>9.50% F</w:t>
            </w:r>
            <w:r>
              <w:rPr>
                <w:rFonts w:ascii="Times New Roman;sans-serif" w:hAnsi="Times New Roman;sans-serif"/>
                <w:b w:val="false"/>
                <w:color w:val="000000"/>
                <w:sz w:val="18"/>
              </w:rPr>
              <w:t>ixed-Rate Reset Series D Cumulative Perpetual Redeemable Preferred Shares</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FTAIM</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60" w:after="283"/>
        <w:jc w:val="center"/>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Arial;sans-serif" w:hAnsi="Arial;sans-serif"/>
          <w:b w:val="false"/>
          <w:color w:val="000000"/>
          <w:sz w:val="18"/>
        </w:rPr>
        <w:t>No</w:t>
      </w:r>
      <w:r>
        <w:rPr>
          <w:color w:val="000000"/>
        </w:rPr>
        <w:t xml:space="preserve"> ☐  </w:t>
      </w:r>
    </w:p>
    <w:p>
      <w:pPr>
        <w:pStyle w:val="TextBody"/>
        <w:bidi w:val="0"/>
        <w:spacing w:lineRule="auto" w:line="288" w:before="12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8"/>
        </w:rPr>
        <w:t>No</w:t>
      </w:r>
      <w:r>
        <w:rPr>
          <w:color w:val="000000"/>
        </w:rPr>
        <w:t xml:space="preserve"> ☐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12" w:type="dxa"/>
        <w:jc w:val="left"/>
        <w:tblInd w:w="0" w:type="dxa"/>
        <w:tblLayout w:type="fixed"/>
        <w:tblCellMar>
          <w:top w:w="28" w:type="dxa"/>
          <w:left w:w="28" w:type="dxa"/>
          <w:bottom w:w="28" w:type="dxa"/>
          <w:right w:w="28" w:type="dxa"/>
        </w:tblCellMar>
      </w:tblPr>
      <w:tblGrid>
        <w:gridCol w:w="124"/>
        <w:gridCol w:w="109"/>
        <w:gridCol w:w="109"/>
        <w:gridCol w:w="644"/>
        <w:gridCol w:w="644"/>
        <w:gridCol w:w="646"/>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 </w:t>
      </w:r>
    </w:p>
    <w:p>
      <w:pPr>
        <w:pStyle w:val="TextBody"/>
        <w:bidi w:val="0"/>
        <w:spacing w:lineRule="auto" w:line="288" w:before="120" w:after="60"/>
        <w:jc w:val="both"/>
        <w:rPr/>
      </w:pPr>
      <w:r>
        <w:rPr>
          <w:rFonts w:ascii="Arial;sans-serif" w:hAnsi="Arial;sans-serif"/>
          <w:b w:val="false"/>
          <w:color w:val="000000"/>
          <w:sz w:val="18"/>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8"/>
        </w:rPr>
        <w:t>No</w:t>
      </w:r>
      <w:r>
        <w:rPr>
          <w:color w:val="000000"/>
        </w:rPr>
        <w:t xml:space="preserve"> ☑ </w:t>
      </w:r>
    </w:p>
    <w:p>
      <w:pPr>
        <w:pStyle w:val="TextBody"/>
        <w:bidi w:val="0"/>
        <w:spacing w:lineRule="auto" w:line="288" w:before="120" w:after="60"/>
        <w:jc w:val="both"/>
        <w:rPr/>
      </w:pPr>
      <w:r>
        <w:rPr>
          <w:rFonts w:ascii="Arial;sans-serif" w:hAnsi="Arial;sans-serif"/>
          <w:b w:val="false"/>
          <w:color w:val="000000"/>
          <w:sz w:val="18"/>
        </w:rPr>
        <w:t xml:space="preserve">There </w:t>
      </w:r>
      <w:r>
        <w:rPr>
          <w:rFonts w:ascii="Arial;sans-serif" w:hAnsi="Arial;sans-serif"/>
          <w:b w:val="false"/>
          <w:color w:val="000000"/>
          <w:sz w:val="18"/>
          <w:shd w:fill="FFFFFF" w:val="clear"/>
        </w:rPr>
        <w:t>were 100,238,075 ordin</w:t>
      </w:r>
      <w:r>
        <w:rPr>
          <w:rFonts w:ascii="Arial;sans-serif" w:hAnsi="Arial;sans-serif"/>
          <w:b w:val="false"/>
          <w:color w:val="000000"/>
          <w:sz w:val="18"/>
        </w:rPr>
        <w:t>ary shares outstanding representing limited liability company interests at October 23,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497F"/>
          <w:sz w:val="20"/>
        </w:rPr>
      </w:pPr>
      <w:r>
        <w:rPr>
          <w:rFonts w:ascii="Arial;sans-serif" w:hAnsi="Arial;sans-serif"/>
          <w:b/>
          <w:color w:val="00497F"/>
          <w:sz w:val="20"/>
        </w:rPr>
        <w:t>FORWARD-LOOKING STATEMENTS AND RISK FACTORS SUMMARY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changes in economic conditions generally and specifically in our industry sectors, and other risks relating to the global economy, including, but not limited to, the Russia-Ukraine conflict, and any related responses or actions by businesses and governments;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reductions in cash flows received from our assets, as well as contractual limitations on the use of our aviation assets to secure debt for borrowed money;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take advantage of acquisition opportunities at favorable prices;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a lack of liquidity surrounding our assets, which could impede our ability to vary our portfolio in an appropriate manner;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relative spreads between the yield on the assets we acquire and the cost of financing;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adverse changes in the financing markets we access affecting our ability to finance our acquisitions;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customer defaults on their obligations;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renew existing contracts and enter into new contracts with existing or potential customers;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availability and cost of capital for future acquisitions;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concentration of a particular type of asset or in a particular sector;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competition within the aviation industry;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competitive market for acquisition opportunities;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risks related to operating through joint ventures, partnerships, consortium arrangements or other collaborations with third parties;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successfully integrate acquired businesses;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obsolescence of our assets or our ability to sell, re-lease or re-charter our assets;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exposure to uninsurable losses and force majeure events;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legislative/regulatory environment and exposure to increased economic regulation;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exposure to the oil and gas industry’s volatile oil and gas prices;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difficulties in obtaining effective legal redress in jurisdictions in which we operate with less developed legal systems;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maintain our exemption from registration under the Investment Company Act of 1940 and the fact that maintaining such exemption imposes limits on our operations;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successfully utilize leverage in connection with our investments;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foreign currency risk and risk management activities;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effectiveness of our internal control over financial reporting;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exposure to environmental risks, including natural disasters, increasing environmental legislation and the broader impacts of climate change;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changes in interest rates and/or credit spreads, as well as the success of any hedging strategy we may undertake in relation to such changes;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actions taken by national, state, or provincial governments, including nationalization, or the imposition of new taxes, could materially impact the financial performance or value of our assets;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dependence on our Manager and its professionals and actual, potential or perceived conflicts of interest in our relationship with our Manager;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effects of the pending acquisition of SoftBank’s equity in Fortress by certain members of management of Fortress and Mubadala;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32740"/>
                <wp:effectExtent l="0" t="0" r="0" b="0"/>
                <wp:wrapNone/>
                <wp:docPr id="3" name="Frame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volatility in the market price of our shares;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inability to pay dividends to our shareholders in the future; and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other risks described in the “Risk Factors” section of this report.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32740"/>
                <wp:effectExtent l="0" t="0" r="0" b="0"/>
                <wp:wrapNone/>
                <wp:docPr id="4" name="Frame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Arial;sans-serif" w:hAnsi="Arial;sans-serif"/>
          <w:b/>
          <w:color w:val="00497F"/>
          <w:sz w:val="20"/>
          <w:shd w:fill="FFFFFF" w:val="clear"/>
        </w:rPr>
      </w:pPr>
      <w:r>
        <w:rPr>
          <w:rFonts w:ascii="Arial;sans-serif" w:hAnsi="Arial;sans-serif"/>
          <w:b/>
          <w:color w:val="00497F"/>
          <w:sz w:val="20"/>
          <w:shd w:fill="FFFFFF" w:val="clear"/>
        </w:rPr>
        <w:t>FTAI AVIATION LTD.</w:t>
      </w:r>
    </w:p>
    <w:p>
      <w:pPr>
        <w:pStyle w:val="TextBody"/>
        <w:bidi w:val="0"/>
        <w:spacing w:lineRule="auto" w:line="288" w:before="100" w:after="283"/>
        <w:jc w:val="center"/>
        <w:rPr>
          <w:rFonts w:ascii="Arial;sans-serif" w:hAnsi="Arial;sans-serif"/>
          <w:b/>
          <w:color w:val="00497F"/>
          <w:sz w:val="20"/>
          <w:shd w:fill="FFFFFF" w:val="clear"/>
        </w:rPr>
      </w:pPr>
      <w:r>
        <w:rPr>
          <w:rFonts w:ascii="Arial;sans-serif" w:hAnsi="Arial;sans-serif"/>
          <w:b/>
          <w:color w:val="00497F"/>
          <w:sz w:val="20"/>
          <w:shd w:fill="FFFFFF" w:val="clear"/>
        </w:rPr>
        <w:t>INDEX TO 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75"/>
        <w:gridCol w:w="240"/>
        <w:gridCol w:w="243"/>
        <w:gridCol w:w="3023"/>
        <w:gridCol w:w="3023"/>
        <w:gridCol w:w="3026"/>
        <w:gridCol w:w="109"/>
        <w:gridCol w:w="109"/>
        <w:gridCol w:w="157"/>
      </w:tblGrid>
      <w:tr>
        <w:trPr/>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EBF"/>
                <w:sz w:val="16"/>
              </w:rPr>
            </w:pPr>
            <w:r>
              <w:rPr>
                <w:rFonts w:ascii="Arial;sans-serif" w:hAnsi="Arial;sans-serif"/>
                <w:b/>
                <w:color w:val="006EBF"/>
                <w:sz w:val="16"/>
              </w:rPr>
              <w:t>PART I - FINANCIAL INFORMATION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9">
              <w:r>
                <w:rPr>
                  <w:rStyle w:val="InternetLink"/>
                  <w:rFonts w:ascii="Arial;sans-serif" w:hAnsi="Arial;sans-serif"/>
                  <w:b w:val="false"/>
                  <w:strike w:val="false"/>
                  <w:dstrike w:val="false"/>
                  <w:color w:val="0000FF"/>
                  <w:sz w:val="16"/>
                  <w:u w:val="none"/>
                  <w:effect w:val="none"/>
                </w:rPr>
                <w:t>Unaudited Consolidated Financial Statements of FTAI Aviation Ltd.: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9">
              <w:r>
                <w:rPr>
                  <w:rStyle w:val="InternetLink"/>
                  <w:rFonts w:ascii="Arial;sans-serif" w:hAnsi="Arial;sans-serif"/>
                  <w:b w:val="false"/>
                  <w:strike w:val="false"/>
                  <w:dstrike w:val="false"/>
                  <w:color w:val="0000FF"/>
                  <w:sz w:val="16"/>
                  <w:u w:val="none"/>
                  <w:effect w:val="none"/>
                </w:rPr>
                <w:t>5</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9">
              <w:r>
                <w:rPr>
                  <w:rStyle w:val="InternetLink"/>
                  <w:rFonts w:ascii="Arial;sans-serif" w:hAnsi="Arial;sans-serif"/>
                  <w:b w:val="false"/>
                  <w:strike w:val="false"/>
                  <w:dstrike w:val="false"/>
                  <w:color w:val="0000FF"/>
                  <w:sz w:val="16"/>
                  <w:u w:val="none"/>
                  <w:effect w:val="none"/>
                </w:rPr>
                <w:t>Consolidated Balance Sheets as of September 30, 2023 and December 31,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9">
              <w:r>
                <w:rPr>
                  <w:rStyle w:val="InternetLink"/>
                  <w:rFonts w:ascii="Arial;sans-serif" w:hAnsi="Arial;sans-serif"/>
                  <w:b w:val="false"/>
                  <w:strike w:val="false"/>
                  <w:dstrike w:val="false"/>
                  <w:color w:val="0000FF"/>
                  <w:sz w:val="16"/>
                  <w:u w:val="none"/>
                  <w:effect w:val="none"/>
                </w:rPr>
                <w:t>5</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25">
              <w:r>
                <w:rPr>
                  <w:rStyle w:val="InternetLink"/>
                  <w:rFonts w:ascii="Arial;sans-serif" w:hAnsi="Arial;sans-serif"/>
                  <w:b w:val="false"/>
                  <w:strike w:val="false"/>
                  <w:dstrike w:val="false"/>
                  <w:color w:val="0000FF"/>
                  <w:sz w:val="16"/>
                  <w:u w:val="none"/>
                  <w:effect w:val="none"/>
                </w:rPr>
                <w:t>Consolidated Statements of Operations for the three and nine months ended September 30,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25">
              <w:r>
                <w:rPr>
                  <w:rStyle w:val="InternetLink"/>
                  <w:rFonts w:ascii="Arial;sans-serif" w:hAnsi="Arial;sans-serif"/>
                  <w:b w:val="false"/>
                  <w:strike w:val="false"/>
                  <w:dstrike w:val="false"/>
                  <w:color w:val="0000FF"/>
                  <w:sz w:val="16"/>
                  <w:u w:val="none"/>
                  <w:effect w:val="none"/>
                </w:rPr>
                <w:t>6</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1b79d0bc6ee94ac8b353600dafd7d7b3_31">
              <w:r>
                <w:rPr>
                  <w:rStyle w:val="InternetLink"/>
                  <w:rFonts w:ascii="Arial;sans-serif" w:hAnsi="Arial;sans-serif"/>
                  <w:b w:val="false"/>
                  <w:strike w:val="false"/>
                  <w:dstrike w:val="false"/>
                  <w:color w:val="0000FF"/>
                  <w:sz w:val="16"/>
                  <w:u w:val="none"/>
                  <w:effect w:val="none"/>
                </w:rPr>
                <w:t>Consolidated Statements of Comprehensive Income (Loss) for the three and nine months ended September 30,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31">
              <w:r>
                <w:rPr>
                  <w:rStyle w:val="InternetLink"/>
                  <w:rFonts w:ascii="Arial;sans-serif" w:hAnsi="Arial;sans-serif"/>
                  <w:b w:val="false"/>
                  <w:strike w:val="false"/>
                  <w:dstrike w:val="false"/>
                  <w:color w:val="0000FF"/>
                  <w:sz w:val="16"/>
                  <w:u w:val="none"/>
                  <w:effect w:val="none"/>
                </w:rPr>
                <w:t>7</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37">
              <w:r>
                <w:rPr>
                  <w:rStyle w:val="InternetLink"/>
                  <w:rFonts w:ascii="Arial;sans-serif" w:hAnsi="Arial;sans-serif"/>
                  <w:b w:val="false"/>
                  <w:strike w:val="false"/>
                  <w:dstrike w:val="false"/>
                  <w:color w:val="0000FF"/>
                  <w:sz w:val="16"/>
                  <w:u w:val="none"/>
                  <w:effect w:val="none"/>
                </w:rPr>
                <w:t>Consolidated Statements of Changes in Equity for the three and nine months ended September 30,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37">
              <w:r>
                <w:rPr>
                  <w:rStyle w:val="InternetLink"/>
                  <w:rFonts w:ascii="Arial;sans-serif" w:hAnsi="Arial;sans-serif"/>
                  <w:b w:val="false"/>
                  <w:strike w:val="false"/>
                  <w:dstrike w:val="false"/>
                  <w:color w:val="0000FF"/>
                  <w:sz w:val="16"/>
                  <w:u w:val="none"/>
                  <w:effect w:val="none"/>
                </w:rPr>
                <w:t>8</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40">
              <w:r>
                <w:rPr>
                  <w:rStyle w:val="InternetLink"/>
                  <w:rFonts w:ascii="Arial;sans-serif" w:hAnsi="Arial;sans-serif"/>
                  <w:b w:val="false"/>
                  <w:strike w:val="false"/>
                  <w:dstrike w:val="false"/>
                  <w:color w:val="0000FF"/>
                  <w:sz w:val="16"/>
                  <w:u w:val="none"/>
                  <w:effect w:val="none"/>
                </w:rPr>
                <w:t>Consolidated Statements of Cash Flows for the nine months ended September 30,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40">
              <w:r>
                <w:rPr>
                  <w:rStyle w:val="InternetLink"/>
                  <w:rFonts w:ascii="Arial;sans-serif" w:hAnsi="Arial;sans-serif"/>
                  <w:b w:val="false"/>
                  <w:strike w:val="false"/>
                  <w:dstrike w:val="false"/>
                  <w:color w:val="0000FF"/>
                  <w:sz w:val="16"/>
                  <w:u w:val="none"/>
                  <w:effect w:val="none"/>
                </w:rPr>
                <w:t>10</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46">
              <w:r>
                <w:rPr>
                  <w:rStyle w:val="InternetLink"/>
                  <w:rFonts w:ascii="Arial;sans-serif" w:hAnsi="Arial;sans-serif"/>
                  <w:b w:val="false"/>
                  <w:strike w:val="false"/>
                  <w:dstrike w:val="false"/>
                  <w:color w:val="0000FF"/>
                  <w:sz w:val="16"/>
                  <w:u w:val="none"/>
                  <w:effect w:val="none"/>
                </w:rPr>
                <w:t>Notes to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46">
              <w:r>
                <w:rPr>
                  <w:rStyle w:val="InternetLink"/>
                  <w:rFonts w:ascii="Arial;sans-serif" w:hAnsi="Arial;sans-serif"/>
                  <w:b w:val="false"/>
                  <w:strike w:val="false"/>
                  <w:dstrike w:val="false"/>
                  <w:color w:val="0000FF"/>
                  <w:sz w:val="16"/>
                  <w:u w:val="none"/>
                  <w:effect w:val="none"/>
                </w:rPr>
                <w:t>12</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49">
              <w:r>
                <w:rPr>
                  <w:rStyle w:val="InternetLink"/>
                  <w:rFonts w:ascii="Arial;sans-serif" w:hAnsi="Arial;sans-serif"/>
                  <w:b w:val="false"/>
                  <w:strike w:val="false"/>
                  <w:dstrike w:val="false"/>
                  <w:color w:val="0000FF"/>
                  <w:sz w:val="16"/>
                  <w:u w:val="none"/>
                  <w:effect w:val="none"/>
                </w:rPr>
                <w:t>Note 1: Organization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49">
              <w:r>
                <w:rPr>
                  <w:rStyle w:val="InternetLink"/>
                  <w:rFonts w:ascii="Arial;sans-serif" w:hAnsi="Arial;sans-serif"/>
                  <w:b w:val="false"/>
                  <w:strike w:val="false"/>
                  <w:dstrike w:val="false"/>
                  <w:color w:val="0000FF"/>
                  <w:sz w:val="16"/>
                  <w:u w:val="none"/>
                  <w:effect w:val="none"/>
                </w:rPr>
                <w:t>12</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52">
              <w:r>
                <w:rPr>
                  <w:rStyle w:val="InternetLink"/>
                  <w:rFonts w:ascii="Arial;sans-serif" w:hAnsi="Arial;sans-serif"/>
                  <w:b w:val="false"/>
                  <w:strike w:val="false"/>
                  <w:dstrike w:val="false"/>
                  <w:color w:val="0000FF"/>
                  <w:sz w:val="16"/>
                  <w:u w:val="none"/>
                  <w:effect w:val="none"/>
                </w:rPr>
                <w:t>Note 2: Summary of Significant Accounting Policies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52">
              <w:r>
                <w:rPr>
                  <w:rStyle w:val="InternetLink"/>
                  <w:rFonts w:ascii="Arial;sans-serif" w:hAnsi="Arial;sans-serif"/>
                  <w:b w:val="false"/>
                  <w:strike w:val="false"/>
                  <w:dstrike w:val="false"/>
                  <w:color w:val="0000FF"/>
                  <w:sz w:val="16"/>
                  <w:u w:val="none"/>
                  <w:effect w:val="none"/>
                </w:rPr>
                <w:t>12</w:t>
              </w:r>
            </w:hyperlink>
          </w:p>
        </w:tc>
      </w:tr>
      <w:tr>
        <w:trPr/>
        <w:tc>
          <w:tcPr>
            <w:tcW w:w="758" w:type="dxa"/>
            <w:gridSpan w:val="3"/>
            <w:tcBorders/>
            <w:vAlign w:val="center"/>
          </w:tcPr>
          <w:p>
            <w:pPr>
              <w:pStyle w:val="TableContents"/>
              <w:bidi w:val="0"/>
              <w:spacing w:before="0" w:after="283"/>
              <w:jc w:val="left"/>
              <w:rPr>
                <w:sz w:val="4"/>
                <w:szCs w:val="4"/>
              </w:rPr>
            </w:pPr>
            <w:r>
              <w:rPr>
                <w:sz w:val="4"/>
                <w:szCs w:val="4"/>
              </w:rPr>
            </w:r>
          </w:p>
        </w:tc>
        <w:tc>
          <w:tcPr>
            <w:tcW w:w="90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8" w:type="dxa"/>
            <w:gridSpan w:val="3"/>
            <w:tcBorders/>
            <w:vAlign w:val="center"/>
          </w:tcPr>
          <w:p>
            <w:pPr>
              <w:pStyle w:val="TableContents"/>
              <w:bidi w:val="0"/>
              <w:spacing w:before="0" w:after="283"/>
              <w:jc w:val="left"/>
              <w:rPr>
                <w:sz w:val="4"/>
                <w:szCs w:val="4"/>
              </w:rPr>
            </w:pPr>
            <w:r>
              <w:rPr>
                <w:sz w:val="4"/>
                <w:szCs w:val="4"/>
              </w:rPr>
            </w:r>
          </w:p>
        </w:tc>
        <w:tc>
          <w:tcPr>
            <w:tcW w:w="90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58">
              <w:r>
                <w:rPr>
                  <w:rStyle w:val="InternetLink"/>
                  <w:rFonts w:ascii="Arial;sans-serif" w:hAnsi="Arial;sans-serif"/>
                  <w:b w:val="false"/>
                  <w:strike w:val="false"/>
                  <w:dstrike w:val="false"/>
                  <w:color w:val="0000FF"/>
                  <w:sz w:val="16"/>
                  <w:u w:val="none"/>
                  <w:effect w:val="none"/>
                </w:rPr>
                <w:t>Note 3: Discontinued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58">
              <w:r>
                <w:rPr>
                  <w:rStyle w:val="InternetLink"/>
                  <w:rFonts w:ascii="Arial;sans-serif" w:hAnsi="Arial;sans-serif"/>
                  <w:b w:val="false"/>
                  <w:strike w:val="false"/>
                  <w:dstrike w:val="false"/>
                  <w:color w:val="0000FF"/>
                  <w:sz w:val="16"/>
                  <w:u w:val="none"/>
                  <w:effect w:val="none"/>
                </w:rPr>
                <w:t>15</w:t>
              </w:r>
            </w:hyperlink>
          </w:p>
        </w:tc>
      </w:tr>
      <w:tr>
        <w:trPr/>
        <w:tc>
          <w:tcPr>
            <w:tcW w:w="758" w:type="dxa"/>
            <w:gridSpan w:val="3"/>
            <w:tcBorders/>
            <w:vAlign w:val="center"/>
          </w:tcPr>
          <w:p>
            <w:pPr>
              <w:pStyle w:val="TableContents"/>
              <w:bidi w:val="0"/>
              <w:spacing w:before="0" w:after="283"/>
              <w:jc w:val="left"/>
              <w:rPr>
                <w:sz w:val="4"/>
                <w:szCs w:val="4"/>
              </w:rPr>
            </w:pPr>
            <w:r>
              <w:rPr>
                <w:sz w:val="4"/>
                <w:szCs w:val="4"/>
              </w:rPr>
            </w:r>
          </w:p>
        </w:tc>
        <w:tc>
          <w:tcPr>
            <w:tcW w:w="90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64">
              <w:r>
                <w:rPr>
                  <w:rStyle w:val="InternetLink"/>
                  <w:rFonts w:ascii="Arial;sans-serif" w:hAnsi="Arial;sans-serif"/>
                  <w:b w:val="false"/>
                  <w:strike w:val="false"/>
                  <w:dstrike w:val="false"/>
                  <w:color w:val="0000FF"/>
                  <w:sz w:val="16"/>
                  <w:u w:val="none"/>
                  <w:effect w:val="none"/>
                </w:rPr>
                <w:t>Note 4: Leasing Equipment, net</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64">
              <w:r>
                <w:rPr>
                  <w:rStyle w:val="InternetLink"/>
                  <w:rFonts w:ascii="Arial;sans-serif" w:hAnsi="Arial;sans-serif"/>
                  <w:b w:val="false"/>
                  <w:strike w:val="false"/>
                  <w:dstrike w:val="false"/>
                  <w:color w:val="0000FF"/>
                  <w:sz w:val="16"/>
                  <w:u w:val="none"/>
                  <w:effect w:val="none"/>
                </w:rPr>
                <w:t>16</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73">
              <w:r>
                <w:rPr>
                  <w:rStyle w:val="InternetLink"/>
                  <w:rFonts w:ascii="Arial;sans-serif" w:hAnsi="Arial;sans-serif"/>
                  <w:b w:val="false"/>
                  <w:strike w:val="false"/>
                  <w:dstrike w:val="false"/>
                  <w:color w:val="0000FF"/>
                  <w:sz w:val="16"/>
                  <w:u w:val="none"/>
                  <w:effect w:val="none"/>
                </w:rPr>
                <w:t>Note 5: Investments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73">
              <w:r>
                <w:rPr>
                  <w:rStyle w:val="InternetLink"/>
                  <w:rFonts w:ascii="Arial;sans-serif" w:hAnsi="Arial;sans-serif"/>
                  <w:b w:val="false"/>
                  <w:strike w:val="false"/>
                  <w:dstrike w:val="false"/>
                  <w:color w:val="0000FF"/>
                  <w:sz w:val="16"/>
                  <w:u w:val="none"/>
                  <w:effect w:val="none"/>
                </w:rPr>
                <w:t>17</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76">
              <w:r>
                <w:rPr>
                  <w:rStyle w:val="InternetLink"/>
                  <w:rFonts w:ascii="Arial;sans-serif" w:hAnsi="Arial;sans-serif"/>
                  <w:b w:val="false"/>
                  <w:strike w:val="false"/>
                  <w:dstrike w:val="false"/>
                  <w:color w:val="0000FF"/>
                  <w:sz w:val="16"/>
                  <w:u w:val="none"/>
                  <w:effect w:val="none"/>
                </w:rPr>
                <w:t>Note 6: Intangible Assets and Liabilities, net</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76">
              <w:r>
                <w:rPr>
                  <w:rStyle w:val="InternetLink"/>
                  <w:rFonts w:ascii="Arial;sans-serif" w:hAnsi="Arial;sans-serif"/>
                  <w:b w:val="false"/>
                  <w:strike w:val="false"/>
                  <w:dstrike w:val="false"/>
                  <w:color w:val="0000FF"/>
                  <w:sz w:val="16"/>
                  <w:u w:val="none"/>
                  <w:effect w:val="none"/>
                </w:rPr>
                <w:t>18</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79">
              <w:r>
                <w:rPr>
                  <w:rStyle w:val="InternetLink"/>
                  <w:rFonts w:ascii="Arial;sans-serif" w:hAnsi="Arial;sans-serif"/>
                  <w:b w:val="false"/>
                  <w:strike w:val="false"/>
                  <w:dstrike w:val="false"/>
                  <w:color w:val="0000FF"/>
                  <w:sz w:val="16"/>
                  <w:u w:val="none"/>
                  <w:effect w:val="none"/>
                </w:rPr>
                <w:t>Note 7: Debt, net</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79">
              <w:r>
                <w:rPr>
                  <w:rStyle w:val="InternetLink"/>
                  <w:rFonts w:ascii="Arial;sans-serif" w:hAnsi="Arial;sans-serif"/>
                  <w:b w:val="false"/>
                  <w:strike w:val="false"/>
                  <w:dstrike w:val="false"/>
                  <w:color w:val="0000FF"/>
                  <w:sz w:val="16"/>
                  <w:u w:val="none"/>
                  <w:effect w:val="none"/>
                </w:rPr>
                <w:t>19</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82">
              <w:r>
                <w:rPr>
                  <w:rStyle w:val="InternetLink"/>
                  <w:rFonts w:ascii="Arial;sans-serif" w:hAnsi="Arial;sans-serif"/>
                  <w:b w:val="false"/>
                  <w:strike w:val="false"/>
                  <w:dstrike w:val="false"/>
                  <w:color w:val="0000FF"/>
                  <w:sz w:val="16"/>
                  <w:u w:val="none"/>
                  <w:effect w:val="none"/>
                </w:rPr>
                <w:t>Note 8: Fair Value Measurements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82">
              <w:r>
                <w:rPr>
                  <w:rStyle w:val="InternetLink"/>
                  <w:rFonts w:ascii="Arial;sans-serif" w:hAnsi="Arial;sans-serif"/>
                  <w:b w:val="false"/>
                  <w:strike w:val="false"/>
                  <w:dstrike w:val="false"/>
                  <w:color w:val="0000FF"/>
                  <w:sz w:val="16"/>
                  <w:u w:val="none"/>
                  <w:effect w:val="none"/>
                </w:rPr>
                <w:t>19</w:t>
              </w:r>
            </w:hyperlink>
          </w:p>
        </w:tc>
      </w:tr>
      <w:tr>
        <w:trPr/>
        <w:tc>
          <w:tcPr>
            <w:tcW w:w="758" w:type="dxa"/>
            <w:gridSpan w:val="3"/>
            <w:tcBorders/>
            <w:vAlign w:val="center"/>
          </w:tcPr>
          <w:p>
            <w:pPr>
              <w:pStyle w:val="TableContents"/>
              <w:bidi w:val="0"/>
              <w:spacing w:before="0" w:after="283"/>
              <w:jc w:val="left"/>
              <w:rPr>
                <w:sz w:val="4"/>
                <w:szCs w:val="4"/>
              </w:rPr>
            </w:pPr>
            <w:r>
              <w:rPr>
                <w:sz w:val="4"/>
                <w:szCs w:val="4"/>
              </w:rPr>
            </w:r>
          </w:p>
        </w:tc>
        <w:tc>
          <w:tcPr>
            <w:tcW w:w="90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8" w:type="dxa"/>
            <w:gridSpan w:val="3"/>
            <w:tcBorders/>
            <w:vAlign w:val="center"/>
          </w:tcPr>
          <w:p>
            <w:pPr>
              <w:pStyle w:val="TableContents"/>
              <w:bidi w:val="0"/>
              <w:spacing w:before="0" w:after="283"/>
              <w:jc w:val="left"/>
              <w:rPr>
                <w:sz w:val="4"/>
                <w:szCs w:val="4"/>
              </w:rPr>
            </w:pPr>
            <w:r>
              <w:rPr>
                <w:sz w:val="4"/>
                <w:szCs w:val="4"/>
              </w:rPr>
            </w:r>
          </w:p>
        </w:tc>
        <w:tc>
          <w:tcPr>
            <w:tcW w:w="90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8" w:type="dxa"/>
            <w:gridSpan w:val="3"/>
            <w:tcBorders/>
            <w:vAlign w:val="center"/>
          </w:tcPr>
          <w:p>
            <w:pPr>
              <w:pStyle w:val="TableContents"/>
              <w:bidi w:val="0"/>
              <w:spacing w:before="0" w:after="283"/>
              <w:jc w:val="left"/>
              <w:rPr>
                <w:sz w:val="4"/>
                <w:szCs w:val="4"/>
              </w:rPr>
            </w:pPr>
            <w:r>
              <w:rPr>
                <w:sz w:val="4"/>
                <w:szCs w:val="4"/>
              </w:rPr>
            </w:r>
          </w:p>
        </w:tc>
        <w:tc>
          <w:tcPr>
            <w:tcW w:w="90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97">
              <w:r>
                <w:rPr>
                  <w:rStyle w:val="InternetLink"/>
                  <w:rFonts w:ascii="Arial;sans-serif" w:hAnsi="Arial;sans-serif"/>
                  <w:b w:val="false"/>
                  <w:strike w:val="false"/>
                  <w:dstrike w:val="false"/>
                  <w:color w:val="0000FF"/>
                  <w:sz w:val="16"/>
                  <w:u w:val="none"/>
                  <w:effect w:val="none"/>
                </w:rPr>
                <w:t>Note 9: Equity-Based Compensation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97">
              <w:r>
                <w:rPr>
                  <w:rStyle w:val="InternetLink"/>
                  <w:rFonts w:ascii="Arial;sans-serif" w:hAnsi="Arial;sans-serif"/>
                  <w:b w:val="false"/>
                  <w:strike w:val="false"/>
                  <w:dstrike w:val="false"/>
                  <w:color w:val="0000FF"/>
                  <w:sz w:val="16"/>
                  <w:u w:val="none"/>
                  <w:effect w:val="none"/>
                </w:rPr>
                <w:t>20</w:t>
              </w:r>
            </w:hyperlink>
          </w:p>
        </w:tc>
      </w:tr>
      <w:tr>
        <w:trPr/>
        <w:tc>
          <w:tcPr>
            <w:tcW w:w="758" w:type="dxa"/>
            <w:gridSpan w:val="3"/>
            <w:tcBorders/>
            <w:vAlign w:val="center"/>
          </w:tcPr>
          <w:p>
            <w:pPr>
              <w:pStyle w:val="TableContents"/>
              <w:bidi w:val="0"/>
              <w:spacing w:before="0" w:after="283"/>
              <w:jc w:val="left"/>
              <w:rPr>
                <w:sz w:val="4"/>
                <w:szCs w:val="4"/>
              </w:rPr>
            </w:pPr>
            <w:r>
              <w:rPr>
                <w:sz w:val="4"/>
                <w:szCs w:val="4"/>
              </w:rPr>
            </w:r>
          </w:p>
        </w:tc>
        <w:tc>
          <w:tcPr>
            <w:tcW w:w="907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03">
              <w:r>
                <w:rPr>
                  <w:rStyle w:val="InternetLink"/>
                  <w:rFonts w:ascii="Arial;sans-serif" w:hAnsi="Arial;sans-serif"/>
                  <w:b w:val="false"/>
                  <w:strike w:val="false"/>
                  <w:dstrike w:val="false"/>
                  <w:color w:val="0000FF"/>
                  <w:sz w:val="16"/>
                  <w:u w:val="none"/>
                  <w:effect w:val="none"/>
                </w:rPr>
                <w:t>Note 10: Income Taxes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03">
              <w:r>
                <w:rPr>
                  <w:rStyle w:val="InternetLink"/>
                  <w:rFonts w:ascii="Arial;sans-serif" w:hAnsi="Arial;sans-serif"/>
                  <w:b w:val="false"/>
                  <w:strike w:val="false"/>
                  <w:dstrike w:val="false"/>
                  <w:color w:val="0000FF"/>
                  <w:sz w:val="16"/>
                  <w:u w:val="none"/>
                  <w:effect w:val="none"/>
                </w:rPr>
                <w:t>21</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06">
              <w:r>
                <w:rPr>
                  <w:rStyle w:val="InternetLink"/>
                  <w:rFonts w:ascii="Arial;sans-serif" w:hAnsi="Arial;sans-serif"/>
                  <w:b w:val="false"/>
                  <w:strike w:val="false"/>
                  <w:dstrike w:val="false"/>
                  <w:color w:val="0000FF"/>
                  <w:sz w:val="16"/>
                  <w:u w:val="none"/>
                  <w:effect w:val="none"/>
                </w:rPr>
                <w:t>Note 11: Management Agreement and Affiliate Transactions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06">
              <w:r>
                <w:rPr>
                  <w:rStyle w:val="InternetLink"/>
                  <w:rFonts w:ascii="Arial;sans-serif" w:hAnsi="Arial;sans-serif"/>
                  <w:b w:val="false"/>
                  <w:strike w:val="false"/>
                  <w:dstrike w:val="false"/>
                  <w:color w:val="0000FF"/>
                  <w:sz w:val="16"/>
                  <w:u w:val="none"/>
                  <w:effect w:val="none"/>
                </w:rPr>
                <w:t>21</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09">
              <w:r>
                <w:rPr>
                  <w:rStyle w:val="InternetLink"/>
                  <w:rFonts w:ascii="Arial;sans-serif" w:hAnsi="Arial;sans-serif"/>
                  <w:b w:val="false"/>
                  <w:strike w:val="false"/>
                  <w:dstrike w:val="false"/>
                  <w:color w:val="0000FF"/>
                  <w:sz w:val="16"/>
                  <w:u w:val="none"/>
                  <w:effect w:val="none"/>
                </w:rPr>
                <w:t>Note 12: Segment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09">
              <w:r>
                <w:rPr>
                  <w:rStyle w:val="InternetLink"/>
                  <w:rFonts w:ascii="Arial;sans-serif" w:hAnsi="Arial;sans-serif"/>
                  <w:b w:val="false"/>
                  <w:strike w:val="false"/>
                  <w:dstrike w:val="false"/>
                  <w:color w:val="0000FF"/>
                  <w:sz w:val="16"/>
                  <w:u w:val="none"/>
                  <w:effect w:val="none"/>
                </w:rPr>
                <w:t>23</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15">
              <w:r>
                <w:rPr>
                  <w:rStyle w:val="InternetLink"/>
                  <w:rFonts w:ascii="Arial;sans-serif" w:hAnsi="Arial;sans-serif"/>
                  <w:b w:val="false"/>
                  <w:strike w:val="false"/>
                  <w:dstrike w:val="false"/>
                  <w:color w:val="0000FF"/>
                  <w:sz w:val="16"/>
                  <w:u w:val="none"/>
                  <w:effect w:val="none"/>
                </w:rPr>
                <w:t>Note 13: Earnings per Share and Equity</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15">
              <w:r>
                <w:rPr>
                  <w:rStyle w:val="InternetLink"/>
                  <w:rFonts w:ascii="Arial;sans-serif" w:hAnsi="Arial;sans-serif"/>
                  <w:b w:val="false"/>
                  <w:strike w:val="false"/>
                  <w:dstrike w:val="false"/>
                  <w:color w:val="0000FF"/>
                  <w:sz w:val="16"/>
                  <w:u w:val="none"/>
                  <w:effect w:val="none"/>
                </w:rPr>
                <w:t>31</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18">
              <w:r>
                <w:rPr>
                  <w:rStyle w:val="InternetLink"/>
                  <w:rFonts w:ascii="Arial;sans-serif" w:hAnsi="Arial;sans-serif"/>
                  <w:b w:val="false"/>
                  <w:strike w:val="false"/>
                  <w:dstrike w:val="false"/>
                  <w:color w:val="0000FF"/>
                  <w:sz w:val="16"/>
                  <w:u w:val="none"/>
                  <w:effect w:val="none"/>
                </w:rPr>
                <w:t>Note 14: Commitments and Contingencies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18">
              <w:r>
                <w:rPr>
                  <w:rStyle w:val="InternetLink"/>
                  <w:rFonts w:ascii="Arial;sans-serif" w:hAnsi="Arial;sans-serif"/>
                  <w:b w:val="false"/>
                  <w:strike w:val="false"/>
                  <w:dstrike w:val="false"/>
                  <w:color w:val="0000FF"/>
                  <w:sz w:val="16"/>
                  <w:u w:val="none"/>
                  <w:effect w:val="none"/>
                </w:rPr>
                <w:t>32</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21">
              <w:r>
                <w:rPr>
                  <w:rStyle w:val="InternetLink"/>
                  <w:rFonts w:ascii="Arial;sans-serif" w:hAnsi="Arial;sans-serif"/>
                  <w:b w:val="false"/>
                  <w:strike w:val="false"/>
                  <w:dstrike w:val="false"/>
                  <w:color w:val="0000FF"/>
                  <w:sz w:val="16"/>
                  <w:u w:val="none"/>
                  <w:effect w:val="none"/>
                </w:rPr>
                <w:t>Note 15: Subsequent Events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21">
              <w:r>
                <w:rPr>
                  <w:rStyle w:val="InternetLink"/>
                  <w:rFonts w:ascii="Arial;sans-serif" w:hAnsi="Arial;sans-serif"/>
                  <w:b w:val="false"/>
                  <w:strike w:val="false"/>
                  <w:dstrike w:val="false"/>
                  <w:color w:val="0000FF"/>
                  <w:sz w:val="16"/>
                  <w:u w:val="none"/>
                  <w:effect w:val="none"/>
                </w:rPr>
                <w:t>32</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2.</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24">
              <w:r>
                <w:rPr>
                  <w:rStyle w:val="InternetLink"/>
                  <w:rFonts w:ascii="Arial;sans-serif" w:hAnsi="Arial;sans-serif"/>
                  <w:b w:val="false"/>
                  <w:strike w:val="false"/>
                  <w:dstrike w:val="false"/>
                  <w:color w:val="0000FF"/>
                  <w:sz w:val="16"/>
                  <w:u w:val="none"/>
                  <w:effect w:val="non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24">
              <w:r>
                <w:rPr>
                  <w:rStyle w:val="InternetLink"/>
                  <w:rFonts w:ascii="Arial;sans-serif" w:hAnsi="Arial;sans-serif"/>
                  <w:b w:val="false"/>
                  <w:strike w:val="false"/>
                  <w:dstrike w:val="false"/>
                  <w:color w:val="0000FF"/>
                  <w:sz w:val="16"/>
                  <w:u w:val="none"/>
                  <w:effect w:val="none"/>
                </w:rPr>
                <w:t>34</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3.</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84">
              <w:r>
                <w:rPr>
                  <w:rStyle w:val="InternetLink"/>
                  <w:rFonts w:ascii="Arial;sans-serif" w:hAnsi="Arial;sans-serif"/>
                  <w:b w:val="false"/>
                  <w:strike w:val="false"/>
                  <w:dstrike w:val="false"/>
                  <w:color w:val="0000FF"/>
                  <w:sz w:val="16"/>
                  <w:u w:val="none"/>
                  <w:effect w:val="non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84">
              <w:r>
                <w:rPr>
                  <w:rStyle w:val="InternetLink"/>
                  <w:rFonts w:ascii="Arial;sans-serif" w:hAnsi="Arial;sans-serif"/>
                  <w:b w:val="false"/>
                  <w:strike w:val="false"/>
                  <w:dstrike w:val="false"/>
                  <w:color w:val="0000FF"/>
                  <w:sz w:val="16"/>
                  <w:u w:val="none"/>
                  <w:effect w:val="none"/>
                </w:rPr>
                <w:t>49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4.</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87">
              <w:r>
                <w:rPr>
                  <w:rStyle w:val="InternetLink"/>
                  <w:rFonts w:ascii="Arial;sans-serif" w:hAnsi="Arial;sans-serif"/>
                  <w:b w:val="false"/>
                  <w:strike w:val="false"/>
                  <w:dstrike w:val="false"/>
                  <w:color w:val="0000FF"/>
                  <w:sz w:val="16"/>
                  <w:u w:val="none"/>
                  <w:effect w:val="non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87">
              <w:r>
                <w:rPr>
                  <w:rStyle w:val="InternetLink"/>
                  <w:rFonts w:ascii="Arial;sans-serif" w:hAnsi="Arial;sans-serif"/>
                  <w:b w:val="false"/>
                  <w:strike w:val="false"/>
                  <w:dstrike w:val="false"/>
                  <w:color w:val="0000FF"/>
                  <w:sz w:val="16"/>
                  <w:u w:val="none"/>
                  <w:effect w:val="none"/>
                </w:rPr>
                <w:t>49</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EBF"/>
                <w:sz w:val="16"/>
              </w:rPr>
            </w:pPr>
            <w:r>
              <w:rPr>
                <w:rFonts w:ascii="Arial;sans-serif" w:hAnsi="Arial;sans-serif"/>
                <w:b/>
                <w:color w:val="006EBF"/>
                <w:sz w:val="16"/>
              </w:rPr>
              <w:t>PART II - OTHER INFORMATION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93">
              <w:r>
                <w:rPr>
                  <w:rStyle w:val="InternetLink"/>
                  <w:rFonts w:ascii="Arial;sans-serif" w:hAnsi="Arial;sans-serif"/>
                  <w:b w:val="false"/>
                  <w:strike w:val="false"/>
                  <w:dstrike w:val="false"/>
                  <w:color w:val="0000FF"/>
                  <w:sz w:val="16"/>
                  <w:u w:val="none"/>
                  <w:effect w:val="non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93">
              <w:r>
                <w:rPr>
                  <w:rStyle w:val="InternetLink"/>
                  <w:rFonts w:ascii="Arial;sans-serif" w:hAnsi="Arial;sans-serif"/>
                  <w:b w:val="false"/>
                  <w:strike w:val="false"/>
                  <w:dstrike w:val="false"/>
                  <w:color w:val="0000FF"/>
                  <w:sz w:val="16"/>
                  <w:u w:val="none"/>
                  <w:effect w:val="none"/>
                </w:rPr>
                <w:t>50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1A.</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96">
              <w:r>
                <w:rPr>
                  <w:rStyle w:val="InternetLink"/>
                  <w:rFonts w:ascii="Arial;sans-serif" w:hAnsi="Arial;sans-serif"/>
                  <w:b w:val="false"/>
                  <w:strike w:val="false"/>
                  <w:dstrike w:val="false"/>
                  <w:color w:val="0000FF"/>
                  <w:sz w:val="16"/>
                  <w:u w:val="none"/>
                  <w:effect w:val="non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96">
              <w:r>
                <w:rPr>
                  <w:rStyle w:val="InternetLink"/>
                  <w:rFonts w:ascii="Arial;sans-serif" w:hAnsi="Arial;sans-serif"/>
                  <w:b w:val="false"/>
                  <w:strike w:val="false"/>
                  <w:dstrike w:val="false"/>
                  <w:color w:val="0000FF"/>
                  <w:sz w:val="16"/>
                  <w:u w:val="none"/>
                  <w:effect w:val="none"/>
                </w:rPr>
                <w:t>50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 xml:space="preserve">Item 2. </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199">
              <w:r>
                <w:rPr>
                  <w:rStyle w:val="InternetLink"/>
                  <w:rFonts w:ascii="Arial;sans-serif" w:hAnsi="Arial;sans-serif"/>
                  <w:b w:val="false"/>
                  <w:strike w:val="false"/>
                  <w:dstrike w:val="false"/>
                  <w:color w:val="0000FF"/>
                  <w:sz w:val="16"/>
                  <w:u w:val="none"/>
                  <w:effect w:val="non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199">
              <w:r>
                <w:rPr>
                  <w:rStyle w:val="InternetLink"/>
                  <w:rFonts w:ascii="Arial;sans-serif" w:hAnsi="Arial;sans-serif"/>
                  <w:b w:val="false"/>
                  <w:strike w:val="false"/>
                  <w:dstrike w:val="false"/>
                  <w:color w:val="0000FF"/>
                  <w:sz w:val="16"/>
                  <w:u w:val="none"/>
                  <w:effect w:val="none"/>
                </w:rPr>
                <w:t>66</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3.</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202">
              <w:r>
                <w:rPr>
                  <w:rStyle w:val="InternetLink"/>
                  <w:rFonts w:ascii="Arial;sans-serif" w:hAnsi="Arial;sans-serif"/>
                  <w:b w:val="false"/>
                  <w:strike w:val="false"/>
                  <w:dstrike w:val="false"/>
                  <w:color w:val="0000FF"/>
                  <w:sz w:val="16"/>
                  <w:u w:val="none"/>
                  <w:effect w:val="none"/>
                </w:rPr>
                <w:t>Defaults Upon Senior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202">
              <w:r>
                <w:rPr>
                  <w:rStyle w:val="InternetLink"/>
                  <w:rFonts w:ascii="Arial;sans-serif" w:hAnsi="Arial;sans-serif"/>
                  <w:b w:val="false"/>
                  <w:strike w:val="false"/>
                  <w:dstrike w:val="false"/>
                  <w:color w:val="0000FF"/>
                  <w:sz w:val="16"/>
                  <w:u w:val="none"/>
                  <w:effect w:val="none"/>
                </w:rPr>
                <w:t>67</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4.</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205">
              <w:r>
                <w:rPr>
                  <w:rStyle w:val="InternetLink"/>
                  <w:rFonts w:ascii="Arial;sans-serif" w:hAnsi="Arial;sans-serif"/>
                  <w:b w:val="false"/>
                  <w:strike w:val="false"/>
                  <w:dstrike w:val="false"/>
                  <w:color w:val="0000FF"/>
                  <w:sz w:val="16"/>
                  <w:u w:val="none"/>
                  <w:effect w:val="non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205">
              <w:r>
                <w:rPr>
                  <w:rStyle w:val="InternetLink"/>
                  <w:rFonts w:ascii="Arial;sans-serif" w:hAnsi="Arial;sans-serif"/>
                  <w:b w:val="false"/>
                  <w:strike w:val="false"/>
                  <w:dstrike w:val="false"/>
                  <w:color w:val="0000FF"/>
                  <w:sz w:val="16"/>
                  <w:u w:val="none"/>
                  <w:effect w:val="none"/>
                </w:rPr>
                <w:t>67</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5.</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208">
              <w:r>
                <w:rPr>
                  <w:rStyle w:val="InternetLink"/>
                  <w:rFonts w:ascii="Arial;sans-serif" w:hAnsi="Arial;sans-serif"/>
                  <w:b w:val="false"/>
                  <w:strike w:val="false"/>
                  <w:dstrike w:val="false"/>
                  <w:color w:val="0000FF"/>
                  <w:sz w:val="16"/>
                  <w:u w:val="none"/>
                  <w:effect w:val="non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208">
              <w:r>
                <w:rPr>
                  <w:rStyle w:val="InternetLink"/>
                  <w:rFonts w:ascii="Arial;sans-serif" w:hAnsi="Arial;sans-serif"/>
                  <w:b w:val="false"/>
                  <w:strike w:val="false"/>
                  <w:dstrike w:val="false"/>
                  <w:color w:val="0000FF"/>
                  <w:sz w:val="16"/>
                  <w:u w:val="none"/>
                  <w:effect w:val="none"/>
                </w:rPr>
                <w:t>67</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6.</w:t>
            </w:r>
          </w:p>
        </w:tc>
        <w:tc>
          <w:tcPr>
            <w:tcW w:w="9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79d0bc6ee94ac8b353600dafd7d7b3_211">
              <w:r>
                <w:rPr>
                  <w:rStyle w:val="InternetLink"/>
                  <w:rFonts w:ascii="Arial;sans-serif" w:hAnsi="Arial;sans-serif"/>
                  <w:b w:val="false"/>
                  <w:strike w:val="false"/>
                  <w:dstrike w:val="false"/>
                  <w:color w:val="0000FF"/>
                  <w:sz w:val="16"/>
                  <w:u w:val="none"/>
                  <w:effect w:val="non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79d0bc6ee94ac8b353600dafd7d7b3_211">
              <w:r>
                <w:rPr>
                  <w:rStyle w:val="InternetLink"/>
                  <w:rFonts w:ascii="Arial;sans-serif" w:hAnsi="Arial;sans-serif"/>
                  <w:b w:val="false"/>
                  <w:strike w:val="false"/>
                  <w:dstrike w:val="false"/>
                  <w:color w:val="0000FF"/>
                  <w:sz w:val="16"/>
                  <w:u w:val="none"/>
                  <w:effect w:val="none"/>
                </w:rPr>
                <w:t>68</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2740"/>
                <wp:effectExtent l="0" t="0" r="0" b="0"/>
                <wp:wrapNone/>
                <wp:docPr id="5" name="Frame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6EBF"/>
          <w:sz w:val="20"/>
        </w:rPr>
      </w:pPr>
      <w:r>
        <w:rPr>
          <w:rFonts w:ascii="Arial;sans-serif" w:hAnsi="Arial;sans-serif"/>
          <w:b/>
          <w:color w:val="006EBF"/>
          <w:sz w:val="20"/>
        </w:rPr>
        <w:t>PART I—FINANCIAL INFORMATION</w:t>
      </w:r>
    </w:p>
    <w:p>
      <w:pPr>
        <w:pStyle w:val="TextBody"/>
        <w:bidi w:val="0"/>
        <w:spacing w:lineRule="auto" w:line="288" w:before="0" w:after="0"/>
        <w:jc w:val="left"/>
        <w:rPr>
          <w:rFonts w:ascii="Arial;sans-serif" w:hAnsi="Arial;sans-serif"/>
          <w:b/>
          <w:color w:val="006EBF"/>
          <w:sz w:val="20"/>
        </w:rPr>
      </w:pPr>
      <w:r>
        <w:rPr>
          <w:rFonts w:ascii="Arial;sans-serif" w:hAnsi="Arial;sans-serif"/>
          <w:b/>
          <w:color w:val="006EBF"/>
          <w:sz w:val="20"/>
        </w:rPr>
        <w:t>Item 1.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 xml:space="preserve">FTAI AVIATION LTD. </w: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CONSOLIDATED BALANCE SHEETS</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 except share and per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70"/>
        <w:gridCol w:w="1931"/>
        <w:gridCol w:w="1957"/>
        <w:gridCol w:w="190"/>
        <w:gridCol w:w="190"/>
        <w:gridCol w:w="191"/>
        <w:gridCol w:w="109"/>
        <w:gridCol w:w="109"/>
        <w:gridCol w:w="109"/>
        <w:gridCol w:w="222"/>
        <w:gridCol w:w="1007"/>
        <w:gridCol w:w="123"/>
        <w:gridCol w:w="109"/>
        <w:gridCol w:w="109"/>
        <w:gridCol w:w="109"/>
        <w:gridCol w:w="219"/>
        <w:gridCol w:w="975"/>
        <w:gridCol w:w="176"/>
      </w:tblGrid>
      <w:tr>
        <w:trPr/>
        <w:tc>
          <w:tcPr>
            <w:tcW w:w="2370"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52,879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107,825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1,924,198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1,913,553 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13,454</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39,868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41,471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274,832</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179,259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2,633,786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2,429,577 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108,579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2,279,330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2,175,727 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deposits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61,497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deposits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39,901</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49,417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2,538,724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2,410,175 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Ordinary shares ($0.01 par value per share; 2,000,000,000 shares authorized; </w:t>
            </w:r>
            <w:r>
              <w:rPr>
                <w:rFonts w:ascii="Arial;sans-serif" w:hAnsi="Arial;sans-serif"/>
                <w:b w:val="false"/>
                <w:color w:val="000000"/>
                <w:sz w:val="16"/>
                <w:shd w:fill="FFFFFF" w:val="clear"/>
              </w:rPr>
              <w:t xml:space="preserve">100,238,075 </w:t>
            </w:r>
            <w:r>
              <w:rPr>
                <w:rFonts w:ascii="Arial;sans-serif" w:hAnsi="Arial;sans-serif"/>
                <w:b w:val="false"/>
                <w:color w:val="000000"/>
                <w:sz w:val="16"/>
              </w:rPr>
              <w:t>and 99,716,621 shares issued and outstanding as of September 30, 2023 and December 31, 2022, respectively)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shares ($0.01 par value per share; 200,000,000 shares authorized; 15,920,000 and 13,320,000 shares issued and outstanding as of September 30, 2023 and December 31, 2022, respectively)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293,512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343,350 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(200,145)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(325,602)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94,528</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18,878 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 in equity of consolidated subsidiaries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95,062</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equity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2,633,786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2,429,577 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OPERATIONS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349"/>
        <w:gridCol w:w="1086"/>
        <w:gridCol w:w="1067"/>
        <w:gridCol w:w="190"/>
        <w:gridCol w:w="190"/>
        <w:gridCol w:w="191"/>
        <w:gridCol w:w="109"/>
        <w:gridCol w:w="109"/>
        <w:gridCol w:w="109"/>
        <w:gridCol w:w="247"/>
        <w:gridCol w:w="826"/>
        <w:gridCol w:w="122"/>
        <w:gridCol w:w="122"/>
        <w:gridCol w:w="122"/>
        <w:gridCol w:w="122"/>
        <w:gridCol w:w="247"/>
        <w:gridCol w:w="806"/>
        <w:gridCol w:w="122"/>
        <w:gridCol w:w="109"/>
        <w:gridCol w:w="109"/>
        <w:gridCol w:w="109"/>
        <w:gridCol w:w="221"/>
        <w:gridCol w:w="847"/>
        <w:gridCol w:w="115"/>
        <w:gridCol w:w="115"/>
        <w:gridCol w:w="115"/>
        <w:gridCol w:w="115"/>
        <w:gridCol w:w="215"/>
        <w:gridCol w:w="829"/>
        <w:gridCol w:w="170"/>
      </w:tblGrid>
      <w:tr>
        <w:trPr/>
        <w:tc>
          <w:tcPr>
            <w:tcW w:w="134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Lease income </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45,622</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161,141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129,163 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63,925</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141,131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112,171 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72,990</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283,167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107,085</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260,273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12,447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291,096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230,365 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858,159</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434,120 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116,707</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366,909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33,887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81,218</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3,015</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4,261</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10,195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4,577</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13,137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43,959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123,399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128,171 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40,185</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117,976</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246,591</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209,066 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724,324</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624,330 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earnings (losses) of unconsolidated entities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507</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60,155 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from continuing operations before income taxes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45,012</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133,043</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(130,055)</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3,705</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7,586</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125,457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(137,412)</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from discontinued operations, net of income taxes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(101,416)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(loss) </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125,457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(238,828)</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 in consolidated subsidiaries: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23,460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32,973</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(22,849)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101,997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(240,384)</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(loss) per share: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0.33</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shares outstanding:</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99,927,594</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99,378,771 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99,796,736</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99,372,016 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100,482,309</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99,378,771 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100,269,203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99,372,016 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2740"/>
                <wp:effectExtent l="0" t="0" r="0" b="0"/>
                <wp:wrapNone/>
                <wp:docPr id="7" name="Frame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 xml:space="preserve">FTAI AVIATION LTD. </w:t>
      </w:r>
    </w:p>
    <w:p>
      <w:pPr>
        <w:pStyle w:val="TextBody"/>
        <w:bidi w:val="0"/>
        <w:spacing w:lineRule="auto" w:line="288" w:before="0" w:after="0"/>
        <w:jc w:val="left"/>
        <w:rPr/>
      </w:pPr>
      <w:r>
        <w:rPr>
          <w:rFonts w:ascii="Arial;sans-serif" w:hAnsi="Arial;sans-serif"/>
          <w:b/>
          <w:color w:val="00497F"/>
          <w:sz w:val="20"/>
        </w:rPr>
        <w:t xml:space="preserve">CONSOLIDATED STATEMENTS OF COMPREHENSIVE INCOME (LOSS)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10205" w:type="dxa"/>
        <w:jc w:val="left"/>
        <w:tblInd w:w="0" w:type="dxa"/>
        <w:tblLayout w:type="fixed"/>
        <w:tblCellMar>
          <w:top w:w="28" w:type="dxa"/>
          <w:left w:w="28" w:type="dxa"/>
          <w:bottom w:w="28" w:type="dxa"/>
          <w:right w:w="28" w:type="dxa"/>
        </w:tblCellMar>
      </w:tblPr>
      <w:tblGrid>
        <w:gridCol w:w="1707"/>
        <w:gridCol w:w="1458"/>
        <w:gridCol w:w="1359"/>
        <w:gridCol w:w="225"/>
        <w:gridCol w:w="760"/>
        <w:gridCol w:w="125"/>
        <w:gridCol w:w="125"/>
        <w:gridCol w:w="125"/>
        <w:gridCol w:w="125"/>
        <w:gridCol w:w="225"/>
        <w:gridCol w:w="804"/>
        <w:gridCol w:w="125"/>
        <w:gridCol w:w="109"/>
        <w:gridCol w:w="109"/>
        <w:gridCol w:w="109"/>
        <w:gridCol w:w="210"/>
        <w:gridCol w:w="808"/>
        <w:gridCol w:w="117"/>
        <w:gridCol w:w="117"/>
        <w:gridCol w:w="117"/>
        <w:gridCol w:w="117"/>
        <w:gridCol w:w="210"/>
        <w:gridCol w:w="847"/>
        <w:gridCol w:w="172"/>
      </w:tblGrid>
      <w:tr>
        <w:trPr/>
        <w:tc>
          <w:tcPr>
            <w:tcW w:w="170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125,457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(238,828)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related to equity method investees, net in discontinued operations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(40,470)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(182,963)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(59,399)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125,457</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(421,791)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 attributable to non-controlling interest:</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shareholders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(56,528)</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125,457</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(402,974)</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2740"/>
                <wp:effectExtent l="0" t="0" r="0" b="0"/>
                <wp:wrapNone/>
                <wp:docPr id="8" name="Frame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CHANGES IN EQUITY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6"/>
        <w:gridCol w:w="400"/>
        <w:gridCol w:w="402"/>
        <w:gridCol w:w="208"/>
        <w:gridCol w:w="607"/>
        <w:gridCol w:w="115"/>
        <w:gridCol w:w="109"/>
        <w:gridCol w:w="109"/>
        <w:gridCol w:w="109"/>
        <w:gridCol w:w="235"/>
        <w:gridCol w:w="524"/>
        <w:gridCol w:w="131"/>
        <w:gridCol w:w="109"/>
        <w:gridCol w:w="109"/>
        <w:gridCol w:w="109"/>
        <w:gridCol w:w="217"/>
        <w:gridCol w:w="835"/>
        <w:gridCol w:w="121"/>
        <w:gridCol w:w="109"/>
        <w:gridCol w:w="109"/>
        <w:gridCol w:w="109"/>
        <w:gridCol w:w="225"/>
        <w:gridCol w:w="866"/>
        <w:gridCol w:w="126"/>
        <w:gridCol w:w="109"/>
        <w:gridCol w:w="109"/>
        <w:gridCol w:w="109"/>
        <w:gridCol w:w="495"/>
        <w:gridCol w:w="1101"/>
        <w:gridCol w:w="276"/>
        <w:gridCol w:w="109"/>
        <w:gridCol w:w="109"/>
        <w:gridCol w:w="109"/>
        <w:gridCol w:w="198"/>
        <w:gridCol w:w="668"/>
        <w:gridCol w:w="164"/>
      </w:tblGrid>
      <w:tr>
        <w:trPr/>
        <w:tc>
          <w:tcPr>
            <w:tcW w:w="6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and Nine Months Ended September 30, 2023</w:t>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Non-Controlling Interest in Equity of Consolidated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December 31, 2022</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343,350 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(325,602)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w:t>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389</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389</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(59,854)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(59,854)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preferred shares</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61,703</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61,729</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(15,126)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(15,126)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June 30, 2023</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331,080</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(241,452)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91,318</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w:t>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4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4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(29,922)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(29,922)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(8,334)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(8,334)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September 30, 2023</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1,002</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293,512</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(200,145)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95,062</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2740"/>
                <wp:effectExtent l="0" t="0" r="0" b="0"/>
                <wp:wrapNone/>
                <wp:docPr id="9" name="Frame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CHANGES IN EQUITY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p>
      <w:pPr>
        <w:pStyle w:val="TextBody"/>
        <w:bidi w:val="0"/>
        <w:spacing w:before="0" w:after="0"/>
        <w:jc w:val="left"/>
        <w:rPr/>
      </w:pPr>
      <w:r>
        <w:rPr/>
      </w:r>
    </w:p>
    <w:tbl>
      <w:tblPr>
        <w:tblW w:w="11235" w:type="dxa"/>
        <w:jc w:val="left"/>
        <w:tblInd w:w="0" w:type="dxa"/>
        <w:tblLayout w:type="fixed"/>
        <w:tblCellMar>
          <w:top w:w="28" w:type="dxa"/>
          <w:left w:w="28" w:type="dxa"/>
          <w:bottom w:w="28" w:type="dxa"/>
          <w:right w:w="28" w:type="dxa"/>
        </w:tblCellMar>
      </w:tblPr>
      <w:tblGrid>
        <w:gridCol w:w="595"/>
        <w:gridCol w:w="325"/>
        <w:gridCol w:w="326"/>
        <w:gridCol w:w="227"/>
        <w:gridCol w:w="487"/>
        <w:gridCol w:w="127"/>
        <w:gridCol w:w="109"/>
        <w:gridCol w:w="109"/>
        <w:gridCol w:w="109"/>
        <w:gridCol w:w="222"/>
        <w:gridCol w:w="478"/>
        <w:gridCol w:w="126"/>
        <w:gridCol w:w="109"/>
        <w:gridCol w:w="109"/>
        <w:gridCol w:w="109"/>
        <w:gridCol w:w="196"/>
        <w:gridCol w:w="871"/>
        <w:gridCol w:w="109"/>
        <w:gridCol w:w="109"/>
        <w:gridCol w:w="109"/>
        <w:gridCol w:w="109"/>
        <w:gridCol w:w="214"/>
        <w:gridCol w:w="822"/>
        <w:gridCol w:w="120"/>
        <w:gridCol w:w="109"/>
        <w:gridCol w:w="109"/>
        <w:gridCol w:w="109"/>
        <w:gridCol w:w="250"/>
        <w:gridCol w:w="960"/>
        <w:gridCol w:w="141"/>
        <w:gridCol w:w="109"/>
        <w:gridCol w:w="109"/>
        <w:gridCol w:w="109"/>
        <w:gridCol w:w="325"/>
        <w:gridCol w:w="949"/>
        <w:gridCol w:w="182"/>
        <w:gridCol w:w="109"/>
        <w:gridCol w:w="109"/>
        <w:gridCol w:w="109"/>
        <w:gridCol w:w="196"/>
        <w:gridCol w:w="871"/>
        <w:gridCol w:w="154"/>
      </w:tblGrid>
      <w:tr>
        <w:trPr/>
        <w:tc>
          <w:tcPr>
            <w:tcW w:w="59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and Nine Months Ended September 30, 2022</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Common Shares</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Preferred Shares</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Non-Controlling Interest in Equity of Consolidated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December 31, 2021</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(132,392)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(156,381)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(203,953)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(142,493)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loss</w:t>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(203,953)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(142,493)</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(15,946)</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(362,392)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consolidated subsidiary</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June 30, 2022</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(336,345)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(298,874)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(9,603)</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(40,470)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loss</w:t>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(40,470)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Spin-off of FTAI Infrastructure, Inc., net of distributions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339,344 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(564,421)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equity-based compensation</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September 30, 2022</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(352,403)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w:t>
      </w:r>
    </w:p>
    <w:p>
      <w:pPr>
        <w:pStyle w:val="TextBody"/>
        <w:bidi w:val="0"/>
        <w:spacing w:lineRule="auto" w:line="288" w:before="0" w:after="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Common and Preferred Shares of Fortress Transportation and Infrastructure Investors LLC were exchanged for Ordinary and Preferred Shares of FTAI Aviation Ltd. when the Merger, as detailed in Note 1, was completed on November 10, 2022.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2740"/>
                <wp:effectExtent l="0" t="0" r="0" b="0"/>
                <wp:wrapNone/>
                <wp:docPr id="10" name="Frame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 xml:space="preserve">FTAI AVIATION LTD. </w:t>
      </w:r>
    </w:p>
    <w:p>
      <w:pPr>
        <w:pStyle w:val="TextBody"/>
        <w:bidi w:val="0"/>
        <w:spacing w:lineRule="auto" w:line="288" w:before="0" w:after="0"/>
        <w:jc w:val="left"/>
        <w:rPr/>
      </w:pPr>
      <w:r>
        <w:rPr>
          <w:rFonts w:ascii="Arial;sans-serif" w:hAnsi="Arial;sans-serif"/>
          <w:b/>
          <w:color w:val="00497F"/>
          <w:sz w:val="20"/>
        </w:rPr>
        <w:t xml:space="preserve">CONSOLIDATED STATEMENTS OF CASH FLOWS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9970" w:type="dxa"/>
        <w:jc w:val="left"/>
        <w:tblInd w:w="0" w:type="dxa"/>
        <w:tblLayout w:type="fixed"/>
        <w:tblCellMar>
          <w:top w:w="28" w:type="dxa"/>
          <w:left w:w="28" w:type="dxa"/>
          <w:bottom w:w="28" w:type="dxa"/>
          <w:right w:w="28" w:type="dxa"/>
        </w:tblCellMar>
      </w:tblPr>
      <w:tblGrid>
        <w:gridCol w:w="2571"/>
        <w:gridCol w:w="2258"/>
        <w:gridCol w:w="2265"/>
        <w:gridCol w:w="216"/>
        <w:gridCol w:w="897"/>
        <w:gridCol w:w="120"/>
        <w:gridCol w:w="120"/>
        <w:gridCol w:w="120"/>
        <w:gridCol w:w="120"/>
        <w:gridCol w:w="216"/>
        <w:gridCol w:w="897"/>
        <w:gridCol w:w="170"/>
      </w:tblGrid>
      <w:tr>
        <w:trPr/>
        <w:tc>
          <w:tcPr>
            <w:tcW w:w="2571"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125,457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(238,828)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(loss) to net cash provided by (used in) operating activities:</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(110,511)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(106,427)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deposits and maintenance claims included in earnings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(34,458)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(31,558)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123,399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155,780 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128,171 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income taxes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5,974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non-hedge derivative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guarantees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lease intangibles and incentives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33,685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financing costs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6,429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6,583</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(995)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w:t>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receivable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(34,358)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(61,892)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Inventory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(4,845)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assets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(3,727)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(23,576)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payable and accrued liabilities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Management fees payable to affiliate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liabilities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operating activities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116,766</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(21,299)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unconsolidated entities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collections on notes receivable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2,438</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collections on finance leases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business, net of cash acquired</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leasing equipment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(506,923)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(360,642)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property, plant and equipment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(3,906)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(138,750)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lease intangibles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(10,474)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promissory notes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(11,500)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deposits for acquisitions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(10,533)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(28,621)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leasing equipment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366,065</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(Refunds) proceeds for deposit on sale of aircraft and engine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(683)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of purchase deposits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investing activities</w:t>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(191,092)</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(268,367)</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2740"/>
                <wp:effectExtent l="0" t="0" r="0" b="0"/>
                <wp:wrapNone/>
                <wp:docPr id="11" name="Frame1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 xml:space="preserve">FTAI AVIATION LTD. </w:t>
      </w:r>
    </w:p>
    <w:p>
      <w:pPr>
        <w:pStyle w:val="TextBody"/>
        <w:bidi w:val="0"/>
        <w:spacing w:lineRule="auto" w:line="288" w:before="0" w:after="0"/>
        <w:jc w:val="left"/>
        <w:rPr/>
      </w:pPr>
      <w:r>
        <w:rPr>
          <w:rFonts w:ascii="Arial;sans-serif" w:hAnsi="Arial;sans-serif"/>
          <w:b/>
          <w:color w:val="00497F"/>
          <w:sz w:val="20"/>
        </w:rPr>
        <w:t xml:space="preserve">CONSOLIDATED STATEMENTS OF CASH FLOWS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10205" w:type="dxa"/>
        <w:jc w:val="left"/>
        <w:tblInd w:w="0" w:type="dxa"/>
        <w:tblLayout w:type="fixed"/>
        <w:tblCellMar>
          <w:top w:w="28" w:type="dxa"/>
          <w:left w:w="28" w:type="dxa"/>
          <w:bottom w:w="28" w:type="dxa"/>
          <w:right w:w="28" w:type="dxa"/>
        </w:tblCellMar>
      </w:tblPr>
      <w:tblGrid>
        <w:gridCol w:w="2698"/>
        <w:gridCol w:w="2331"/>
        <w:gridCol w:w="2349"/>
        <w:gridCol w:w="223"/>
        <w:gridCol w:w="860"/>
        <w:gridCol w:w="124"/>
        <w:gridCol w:w="124"/>
        <w:gridCol w:w="124"/>
        <w:gridCol w:w="124"/>
        <w:gridCol w:w="223"/>
        <w:gridCol w:w="842"/>
        <w:gridCol w:w="183"/>
      </w:tblGrid>
      <w:tr>
        <w:trPr/>
        <w:tc>
          <w:tcPr>
            <w:tcW w:w="2698"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7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debt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430,000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503,980 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debt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(330,000)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(984,529)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deferred financing costs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(1,805)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(18,151)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Receipt of security deposits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7,355</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of security deposits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(2,385)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Receipt of maintenance deposits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22,747</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Release of maintenance deposits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contributions from non-controlling interests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equity-based compensation</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preferred shares, net of underwriter's discount and issuance costs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61,729</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from spin-off of FTAI Infrastructure, net of cash transferred</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500,562 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 ordinary shares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(89,776)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(98,584)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 preferred shares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(23,460)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financing activities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74,140</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(77,653)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decrease in cash and cash equivalents and restricted cash</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(367,319)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and restricted cash, beginning of period</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53,065</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440,061 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and restricted cash, end of period</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52,879</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72,742 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non-cash investing and financing activities:</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leasing equipment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96,510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property, plant and equipment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deposits, maintenance deposits, other assets and other liabilities settled in the sale of leasing equipment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20,127</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Settled and assumed security deposits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Billed, assumed and settled maintenance deposits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(15,854)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(73,808)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change in equity method investment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(182,963)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Conversion of interests in unconsolidated entities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2740"/>
                <wp:effectExtent l="0" t="0" r="0" b="0"/>
                <wp:wrapNone/>
                <wp:docPr id="12" name="Frame1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1. ORGANIZATION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FTAI Aviation Ltd. (“we”, “us”, “our” or the “Company” and formerly “Fortress Transportation and Infrastructure Investors LLC”) is a Cayman Islands exempted company which through its subsidiaries owns, leases, and sells aviation equipment and also develops and manufactures, through a joint venture, and repairs and sells, through exclusivity arrangements, aftermarket components for aircraft engines. Additionally, we own and lease offshore energy equipment. We have two reportable segments, (i) Aviation Leasing and (ii) Aerospace Products (see Note 12).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August 1, 2022, the Company completed the spin-off of its infrastructure business into an independent publicly traded company. Accordingly, the operating results of, and costs to separate, the infrastructure business are reported in Net loss from discontinued operations, net of income taxes in the Consolidated Statements of Operations for all periods presented. All amounts and disclosures included in the Notes to Consolidated Financial Statements reflect only the Company's continuing operations unless otherwise noted. For additional information, see Note 3, "Discontinued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On November 10, 2022, the Company completed a reverse merger transaction pursuant to the Agreement and Plan of Merger (the “Merger”) between Fortress Transportation and Infrastructure Investors LLC (“FTAI LLC”) and the Company and the parties thereto, with FTAI LLC becoming a subsidiary of the Company. This reverse merger represents a transaction between entities under common control. Upon merger completion, FTAI LLC’s shareholders received one share of the Company’s ordinary shares, Series A Preferred Shares, Series B Preferred Shares and Series C Preferred Shares in exchange for each share of FTAI LLC’s common shares, Series A Preferred Shares, Series B Preferred Shares and Series C Preferred Shares, respectively, with the new Shares of FTAI Aviation Ltd. having substantially similar rights and privileges as the respective FTAI LLC shares being converted. All exchanges were completed without any further action from the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2. SUMMARY OF SIGNIFICANT ACCOUNTING POLICIES </w:t>
      </w:r>
    </w:p>
    <w:p>
      <w:pPr>
        <w:pStyle w:val="TextBody"/>
        <w:bidi w:val="0"/>
        <w:spacing w:lineRule="auto" w:line="288" w:before="180" w:after="283"/>
        <w:jc w:val="both"/>
        <w:rPr/>
      </w:pPr>
      <w:r>
        <w:rPr>
          <w:rFonts w:ascii="Arial;sans-serif" w:hAnsi="Arial;sans-serif"/>
          <w:b/>
          <w:i/>
          <w:color w:val="00497F"/>
          <w:sz w:val="18"/>
        </w:rPr>
        <w:t>Basis of Accounting</w:t>
      </w:r>
      <w:r>
        <w:rPr>
          <w:color w:val="00497F"/>
        </w:rPr>
        <w:t>—</w:t>
      </w:r>
      <w:r>
        <w:rPr>
          <w:rFonts w:ascii="Arial;sans-serif" w:hAnsi="Arial;sans-serif"/>
          <w:b w:val="false"/>
          <w:color w:val="000000"/>
          <w:sz w:val="18"/>
        </w:rPr>
        <w:t>The accompanying consolidated financial statements are prepared in accordance with U.S. generally accepted accounting principles (“U.S. GAAP”) and include the accounts of us and our subsidiaries. These financial statements and related notes should be read in conjunction with the Consolidated Financial Statements and related notes included in the Company’s Annual Report on Form 10-K for the year ended December 31, 2022.</w:t>
      </w:r>
    </w:p>
    <w:p>
      <w:pPr>
        <w:pStyle w:val="TextBody"/>
        <w:bidi w:val="0"/>
        <w:spacing w:lineRule="auto" w:line="288" w:before="120" w:after="283"/>
        <w:jc w:val="both"/>
        <w:rPr/>
      </w:pPr>
      <w:r>
        <w:rPr>
          <w:rFonts w:ascii="Arial;sans-serif" w:hAnsi="Arial;sans-serif"/>
          <w:b/>
          <w:i/>
          <w:color w:val="00497F"/>
          <w:sz w:val="18"/>
        </w:rPr>
        <w:t>Principles of Consolidation</w:t>
      </w:r>
      <w:r>
        <w:rPr>
          <w:color w:val="00497F"/>
        </w:rPr>
        <w:t>—</w:t>
      </w:r>
      <w:r>
        <w:rPr>
          <w:rFonts w:ascii="Arial;sans-serif" w:hAnsi="Arial;sans-serif"/>
          <w:b w:val="false"/>
          <w:color w:val="000000"/>
          <w:sz w:val="18"/>
        </w:rPr>
        <w:t>We consolidate all entities in which we have a controlling financial interest and control over significant operating decisions. All adjustments (consisting of normal recurring accruals) considered necessary for a fair presentation have been included. The ownership interest of other investors in consolidated subsidiaries is recorded as non-controlling interest.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loss.</w:t>
      </w:r>
    </w:p>
    <w:p>
      <w:pPr>
        <w:pStyle w:val="TextBody"/>
        <w:bidi w:val="0"/>
        <w:spacing w:lineRule="auto" w:line="288" w:before="120" w:after="283"/>
        <w:jc w:val="both"/>
        <w:rPr/>
      </w:pPr>
      <w:r>
        <w:rPr>
          <w:rFonts w:ascii="Arial;sans-serif" w:hAnsi="Arial;sans-serif"/>
          <w:b/>
          <w:i/>
          <w:color w:val="00497F"/>
          <w:sz w:val="18"/>
        </w:rPr>
        <w:t>Use of Estimates</w:t>
      </w:r>
      <w:r>
        <w:rPr>
          <w:color w:val="00497F"/>
        </w:rPr>
        <w:t>—</w:t>
      </w:r>
      <w:r>
        <w:rPr>
          <w:rFonts w:ascii="Arial;sans-serif" w:hAnsi="Arial;sans-serif"/>
          <w:b w:val="false"/>
          <w:color w:val="000000"/>
          <w:sz w:val="18"/>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lineRule="auto" w:line="288" w:before="120" w:after="283"/>
        <w:jc w:val="both"/>
        <w:rPr/>
      </w:pPr>
      <w:r>
        <w:rPr>
          <w:rFonts w:ascii="Arial;sans-serif" w:hAnsi="Arial;sans-serif"/>
          <w:b/>
          <w:i/>
          <w:color w:val="00497F"/>
          <w:sz w:val="18"/>
        </w:rPr>
        <w:t>Risks and Uncertainties</w:t>
      </w:r>
      <w:r>
        <w:rPr>
          <w:color w:val="00497F"/>
        </w:rPr>
        <w:t>—</w:t>
      </w:r>
      <w:r>
        <w:rPr>
          <w:rFonts w:ascii="Arial;sans-serif" w:hAnsi="Arial;sans-serif"/>
          <w:b w:val="false"/>
          <w:color w:val="000000"/>
          <w:sz w:val="18"/>
        </w:rPr>
        <w:t>In the normal course of business, we encounter several significant types of economic risk including credit, market, and capital market risks. Credit risk is the risk of the inability or unwillingness of a lessee or customer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are denominated in U.S. dollars.</w:t>
      </w:r>
    </w:p>
    <w:p>
      <w:pPr>
        <w:pStyle w:val="TextBody"/>
        <w:bidi w:val="0"/>
        <w:spacing w:lineRule="auto" w:line="288" w:before="120" w:after="283"/>
        <w:jc w:val="both"/>
        <w:rPr/>
      </w:pPr>
      <w:r>
        <w:rPr>
          <w:rFonts w:ascii="Arial;sans-serif" w:hAnsi="Arial;sans-serif"/>
          <w:b/>
          <w:i/>
          <w:color w:val="00497F"/>
          <w:sz w:val="18"/>
        </w:rPr>
        <w:t>Cash and Cash Equivalents</w:t>
      </w:r>
      <w:r>
        <w:rPr>
          <w:color w:val="00497F"/>
        </w:rPr>
        <w:t>—</w:t>
      </w:r>
      <w:r>
        <w:rPr>
          <w:rFonts w:ascii="Arial;sans-serif" w:hAnsi="Arial;sans-serif"/>
          <w:b w:val="false"/>
          <w:color w:val="000000"/>
          <w:sz w:val="18"/>
        </w:rPr>
        <w:t>We consider all highly liquid short-term investments with a maturity of 90 days or less when purchased to be cash equivalents.</w:t>
      </w:r>
    </w:p>
    <w:p>
      <w:pPr>
        <w:pStyle w:val="TextBody"/>
        <w:bidi w:val="0"/>
        <w:spacing w:lineRule="auto" w:line="288" w:before="120" w:after="283"/>
        <w:jc w:val="both"/>
        <w:rPr/>
      </w:pPr>
      <w:r>
        <w:rPr>
          <w:rFonts w:ascii="Arial;sans-serif" w:hAnsi="Arial;sans-serif"/>
          <w:b/>
          <w:i/>
          <w:color w:val="00497F"/>
          <w:sz w:val="18"/>
        </w:rPr>
        <w:t>Restricted Cash</w:t>
      </w:r>
      <w:r>
        <w:rPr>
          <w:color w:val="00497F"/>
        </w:rPr>
        <w:t>—</w:t>
      </w:r>
      <w:r>
        <w:rPr>
          <w:rFonts w:ascii="Arial;sans-serif" w:hAnsi="Arial;sans-serif"/>
          <w:b w:val="false"/>
          <w:color w:val="000000"/>
          <w:sz w:val="18"/>
          <w:shd w:fill="FFFFFF" w:val="clear"/>
        </w:rPr>
        <w:t xml:space="preserve">Restricted cash consists of funds required for the Company’s investment in Quick Turn, as described in Note 5, of </w:t>
      </w:r>
      <w:r>
        <w:rPr>
          <w:rFonts w:ascii="Arial;sans-serif" w:hAnsi="Arial;sans-serif"/>
          <w:b w:val="false"/>
          <w:color w:val="000000"/>
          <w:sz w:val="18"/>
        </w:rPr>
        <w:t>$19.5 million</w:t>
      </w:r>
      <w:r>
        <w:rPr>
          <w:color w:val="000000"/>
          <w:shd w:fill="FFFFFF" w:val="clear"/>
        </w:rPr>
        <w:t xml:space="preserve"> </w:t>
      </w:r>
      <w:r>
        <w:rPr>
          <w:rFonts w:ascii="Arial;sans-serif" w:hAnsi="Arial;sans-serif"/>
          <w:b w:val="false"/>
          <w:color w:val="000000"/>
          <w:sz w:val="18"/>
          <w:shd w:fill="FFFFFF" w:val="clear"/>
        </w:rPr>
        <w:t>as of December 31, 2022. The Company had no restricted cash as of September 30, 2023.</w:t>
      </w:r>
    </w:p>
    <w:p>
      <w:pPr>
        <w:pStyle w:val="TextBody"/>
        <w:bidi w:val="0"/>
        <w:spacing w:lineRule="auto" w:line="288" w:before="120" w:after="283"/>
        <w:jc w:val="both"/>
        <w:rPr/>
      </w:pPr>
      <w:r>
        <w:rPr>
          <w:rFonts w:ascii="Arial;sans-serif" w:hAnsi="Arial;sans-serif"/>
          <w:b/>
          <w:i/>
          <w:color w:val="00497F"/>
          <w:sz w:val="18"/>
        </w:rPr>
        <w:t>Inventory</w:t>
      </w:r>
      <w:r>
        <w:rPr>
          <w:color w:val="00497F"/>
        </w:rPr>
        <w:t>—</w:t>
      </w:r>
      <w:r>
        <w:rPr>
          <w:rFonts w:ascii="Arial;sans-serif" w:hAnsi="Arial;sans-serif"/>
          <w:b w:val="false"/>
          <w:color w:val="000000"/>
          <w:sz w:val="18"/>
        </w:rPr>
        <w:t>We hold aircraft engine modules, spare parts and used material inventory for trading and to support operations. Inventory is carried at the lower of cost or net realizable value on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2740"/>
                <wp:effectExtent l="0" t="0" r="0" b="0"/>
                <wp:wrapNone/>
                <wp:docPr id="13" name="Frame1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i/>
          <w:color w:val="00497F"/>
          <w:sz w:val="18"/>
        </w:rPr>
        <w:t>Revenues</w:t>
      </w:r>
      <w:r>
        <w:rPr>
          <w:color w:val="00497F"/>
        </w:rPr>
        <w:t>—</w:t>
      </w:r>
      <w:r>
        <w:rPr>
          <w:rFonts w:ascii="Arial;sans-serif" w:hAnsi="Arial;sans-serif"/>
          <w:b w:val="false"/>
          <w:color w:val="000000"/>
          <w:sz w:val="18"/>
        </w:rPr>
        <w:t>We disaggregate our revenue from contracts with customers by products and services. Revenues are within the scope of ASC 842,</w:t>
      </w:r>
      <w:r>
        <w:rPr>
          <w:color w:val="000000"/>
        </w:rPr>
        <w:t xml:space="preserve"> </w:t>
      </w:r>
      <w:r>
        <w:rPr>
          <w:rFonts w:ascii="Arial;sans-serif" w:hAnsi="Arial;sans-serif"/>
          <w:b w:val="false"/>
          <w:i/>
          <w:color w:val="000000"/>
          <w:sz w:val="18"/>
        </w:rPr>
        <w:t>Leases,</w:t>
      </w:r>
      <w:r>
        <w:rPr>
          <w:color w:val="000000"/>
        </w:rPr>
        <w:t xml:space="preserve"> </w:t>
      </w:r>
      <w:r>
        <w:rPr>
          <w:rFonts w:ascii="Arial;sans-serif" w:hAnsi="Arial;sans-serif"/>
          <w:b w:val="false"/>
          <w:color w:val="000000"/>
          <w:sz w:val="18"/>
        </w:rPr>
        <w:t xml:space="preserve">and ASC 606, </w:t>
      </w:r>
      <w:r>
        <w:rPr>
          <w:rFonts w:ascii="Arial;sans-serif" w:hAnsi="Arial;sans-serif"/>
          <w:b w:val="false"/>
          <w:i/>
          <w:color w:val="000000"/>
          <w:sz w:val="18"/>
        </w:rPr>
        <w:t>Revenue from contracts with customers</w:t>
      </w:r>
      <w:r>
        <w:rPr>
          <w:rFonts w:ascii="Arial;sans-serif" w:hAnsi="Arial;sans-serif"/>
          <w:b w:val="false"/>
          <w:color w:val="000000"/>
          <w:sz w:val="18"/>
        </w:rPr>
        <w:t>, unless otherwise noted. We have elected to exclude sales and other similar taxes from revenues.</w:t>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color w:val="000000"/>
          <w:sz w:val="18"/>
        </w:rPr>
        <w:t xml:space="preserve">During the third quarter of 2022, we updated our corporate strategy based on the opportunities available in the market such that the sale of aircraft and engines is now an output of our recurring, ordinary activities. As a result of this update, the transaction price allocated to the sale of assets is included in Asset sales revenue in the Consolidated Statement of Operations beginning in the third quarter of 2022 and are accounted for in accordance with ASC 606. The corresponding net book values of the assets sold are recorded in Cost of sales in the Consolidated Statement of Operations beginning in the third quarter of 2022. Sales transactions of aircraft and engines prior to the third quarter of 2022 were accounted for in accordance with ASC 610-20, </w:t>
      </w:r>
      <w:r>
        <w:rPr>
          <w:rFonts w:ascii="Arial;sans-serif" w:hAnsi="Arial;sans-serif"/>
          <w:b w:val="false"/>
          <w:i/>
          <w:color w:val="000000"/>
          <w:sz w:val="18"/>
        </w:rPr>
        <w:t>Gains and losses from the derecognition of nonfinancial assets</w:t>
      </w:r>
      <w:r>
        <w:rPr>
          <w:color w:val="000000"/>
        </w:rPr>
        <w:t xml:space="preserve"> </w:t>
      </w:r>
      <w:r>
        <w:rPr>
          <w:rFonts w:ascii="Arial;sans-serif" w:hAnsi="Arial;sans-serif"/>
          <w:b w:val="false"/>
          <w:color w:val="000000"/>
          <w:sz w:val="18"/>
        </w:rPr>
        <w:t>and were included in Gain on sale of assets, net on the Consolidated Statement of Operations, as we were previously only occasionally selling these assets. Generally, assets sold were under leasing arrangements with customers prior to sales and were included in Leasing equipment, net, on the Consolidated Balance Sheets.</w:t>
      </w:r>
    </w:p>
    <w:p>
      <w:pPr>
        <w:pStyle w:val="TextBody"/>
        <w:bidi w:val="0"/>
        <w:spacing w:lineRule="auto" w:line="288" w:before="120" w:after="283"/>
        <w:jc w:val="both"/>
        <w:rPr/>
      </w:pPr>
      <w:r>
        <w:rPr>
          <w:rFonts w:ascii="Arial;sans-serif" w:hAnsi="Arial;sans-serif"/>
          <w:b w:val="false"/>
          <w:i/>
          <w:color w:val="00497F"/>
          <w:sz w:val="18"/>
        </w:rPr>
        <w:t>Operating Leases</w:t>
      </w:r>
      <w:r>
        <w:rPr>
          <w:color w:val="000000"/>
        </w:rPr>
        <w:t>—</w:t>
      </w:r>
      <w:r>
        <w:rPr>
          <w:rFonts w:ascii="Arial;sans-serif" w:hAnsi="Arial;sans-serif"/>
          <w:b w:val="false"/>
          <w:color w:val="000000"/>
          <w:sz w:val="18"/>
        </w:rPr>
        <w:t>We lease equipment pursuant to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Maintenance payments received for which we expect to repay to the lessee are presented as Maintenance deposits in our Consolidated Balance Sheets. All excess maintenance payments received that we do not expect to repay to the lessee are recorded as Maintenance revenue on our Consolidated Statements of Operations.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pStyle w:val="TextBody"/>
        <w:bidi w:val="0"/>
        <w:spacing w:lineRule="auto" w:line="288" w:before="120" w:after="283"/>
        <w:jc w:val="both"/>
        <w:rPr/>
      </w:pPr>
      <w:r>
        <w:rPr>
          <w:rFonts w:ascii="Arial;sans-serif" w:hAnsi="Arial;sans-serif"/>
          <w:b w:val="false"/>
          <w:i/>
          <w:color w:val="00497F"/>
          <w:sz w:val="18"/>
        </w:rPr>
        <w:t>Finance Leases</w:t>
      </w:r>
      <w:r>
        <w:rPr>
          <w:color w:val="000000"/>
        </w:rPr>
        <w:t>—</w:t>
      </w:r>
      <w:r>
        <w:rPr>
          <w:rFonts w:ascii="Arial;sans-serif" w:hAnsi="Arial;sans-serif"/>
          <w:b w:val="false"/>
          <w:color w:val="000000"/>
          <w:sz w:val="18"/>
        </w:rPr>
        <w:t>From time to time we enter into finance lease arrangements that include a lessee obligation to purchase the leased equipment at the end 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pStyle w:val="TextBody"/>
        <w:bidi w:val="0"/>
        <w:spacing w:lineRule="auto" w:line="288" w:before="120" w:after="283"/>
        <w:jc w:val="both"/>
        <w:rPr/>
      </w:pPr>
      <w:r>
        <w:rPr>
          <w:rFonts w:ascii="Arial;sans-serif" w:hAnsi="Arial;sans-serif"/>
          <w:b w:val="false"/>
          <w:i/>
          <w:color w:val="00497F"/>
          <w:sz w:val="18"/>
        </w:rPr>
        <w:t>Asset sales revenue</w:t>
      </w:r>
      <w:r>
        <w:rPr>
          <w:color w:val="000000"/>
        </w:rPr>
        <w:t>—</w:t>
      </w:r>
      <w:r>
        <w:rPr>
          <w:rFonts w:ascii="Arial;sans-serif" w:hAnsi="Arial;sans-serif"/>
          <w:b w:val="false"/>
          <w:color w:val="000000"/>
          <w:sz w:val="18"/>
        </w:rPr>
        <w:t xml:space="preserve">Asset sales revenue primarily consists of the transaction price related to the sale of aircraft and aircraft engines from our Aviation Leasing segment. From time to time, the Company may also assign the related lease agreements to the customer as part of the sale of these assets. We routinely sell leasing equipment to customers and such transactions are considered recurring and ordinary in nature to our business. As such, these sales are accounted for within the scope of ASC 606. Revenue is recognized when a performance obligation is satisfied by transferring control over an asset to a customer. Revenue is recorded with corresponding costs of sales, presented on a gross basis in the Consolidated Statements of Operations. </w:t>
      </w:r>
    </w:p>
    <w:p>
      <w:pPr>
        <w:pStyle w:val="TextBody"/>
        <w:bidi w:val="0"/>
        <w:spacing w:lineRule="auto" w:line="288" w:before="120" w:after="283"/>
        <w:jc w:val="both"/>
        <w:rPr/>
      </w:pPr>
      <w:r>
        <w:rPr>
          <w:rFonts w:ascii="Arial;sans-serif" w:hAnsi="Arial;sans-serif"/>
          <w:b w:val="false"/>
          <w:i/>
          <w:color w:val="00497F"/>
          <w:sz w:val="18"/>
        </w:rPr>
        <w:t>Aerospace products revenue</w:t>
      </w:r>
      <w:r>
        <w:rPr>
          <w:color w:val="000000"/>
        </w:rPr>
        <w:t>—</w:t>
      </w:r>
      <w:r>
        <w:rPr>
          <w:rFonts w:ascii="Arial;sans-serif" w:hAnsi="Arial;sans-serif"/>
          <w:b w:val="false"/>
          <w:color w:val="000000"/>
          <w:sz w:val="18"/>
        </w:rPr>
        <w:t>Aerospace products revenue primarily consists of the transaction price related to the sale of repaired CFM56-7B and CFM56-5B engines, engine modules, spare parts and used material inventory, and are accounted for within the scope of ASC 606. Revenue is recognized when a performance obligation is satisfied by transferring control over the related asset to a customer. Revenue is recorded with corresponding costs of sales, presented on a gross basis in the Consolidated Statements of Operations. Aerospace products revenue also consists of engine management service contracts, where the Company has a stand-ready obligation to provide replacement CFM56-7B and CFM56-5B engines to customers as they become unserviceable during the contract term. The Company recognizes revenue over time using a straight-line attribution method and the costs related to fulfilling the performance obligation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2740"/>
                <wp:effectExtent l="0" t="0" r="0" b="0"/>
                <wp:wrapNone/>
                <wp:docPr id="14" name="Frame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i/>
          <w:color w:val="00497F"/>
          <w:sz w:val="18"/>
        </w:rPr>
        <w:t>Leasing Arrangements</w:t>
      </w:r>
      <w:r>
        <w:rPr>
          <w:color w:val="00497F"/>
        </w:rPr>
        <w:t>—</w:t>
      </w:r>
      <w:r>
        <w:rPr>
          <w:rFonts w:ascii="Arial;sans-serif" w:hAnsi="Arial;sans-serif"/>
          <w:b w:val="false"/>
          <w:color w:val="000000"/>
          <w:sz w:val="18"/>
        </w:rPr>
        <w:t>At contract inception, we evaluate whether an arrangement is or contains a lease for which we are the lessee (that is, arrangements which provide us with the right to control a physical asset for a period of time). Operating lease right-of-use (“ROU”) assets and lease liabilities are included in Other assets and Other liabilities in our Consolidated Balance Sheets, respectively. Finance lease ROU assets are recognized in Other assets and lease liabilities are recognized in Other liabilities in our Consolidated Balance Sheets.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Operating lease ROU assets are subsequently measured at the carrying amount of the lease liability adjusted for prepaid or accrued lease payments and lease incentives. The finance lease ROU assets are subsequently amortized using the straight-line method.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Operating lease expenses are recognized on a straight-line basis over the lease term. With respect to finance leases, amortization of the ROU asset is presented separately from interest expense related to the finance lease liability and is recorded in Operating expenses in the Consolidated Statements of Operations. Variable lease payments, which are primarily based on usage, are recognized when the associated activity occurs.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pStyle w:val="TextBody"/>
        <w:bidi w:val="0"/>
        <w:spacing w:lineRule="auto" w:line="288" w:before="120" w:after="283"/>
        <w:jc w:val="both"/>
        <w:rPr/>
      </w:pPr>
      <w:r>
        <w:rPr>
          <w:rFonts w:ascii="Arial;sans-serif" w:hAnsi="Arial;sans-serif"/>
          <w:b/>
          <w:i/>
          <w:color w:val="00497F"/>
          <w:sz w:val="18"/>
          <w:shd w:fill="FFFFFF" w:val="clear"/>
        </w:rPr>
        <w:t>Concentration of Credit Risk</w:t>
      </w:r>
      <w:r>
        <w:rPr>
          <w:color w:val="00497F"/>
          <w:shd w:fill="FFFFFF" w:val="clear"/>
        </w:rPr>
        <w:t>—</w:t>
      </w:r>
      <w:r>
        <w:rPr>
          <w:rFonts w:ascii="Arial;sans-serif" w:hAnsi="Arial;sans-serif"/>
          <w:b w:val="false"/>
          <w:color w:val="000000"/>
          <w:sz w:val="18"/>
          <w:shd w:fill="FFFFFF" w:val="clear"/>
        </w:rPr>
        <w:t>We are subject to concentrations of credit risk with respect to amounts due from customers. We attempt to limit our credit risk by performing ongoing credit evaluations. No single customer accounted for gre</w:t>
      </w:r>
      <w:r>
        <w:rPr>
          <w:rFonts w:ascii="Arial;sans-serif" w:hAnsi="Arial;sans-serif"/>
          <w:b w:val="false"/>
          <w:color w:val="000000"/>
          <w:sz w:val="18"/>
        </w:rPr>
        <w:t xml:space="preserve">ater than 10% of total revenue during the three and nine months ended September 30, 2023 and </w:t>
      </w:r>
      <w:r>
        <w:rPr>
          <w:rFonts w:ascii="Arial;sans-serif" w:hAnsi="Arial;sans-serif"/>
          <w:b w:val="false"/>
          <w:color w:val="000000"/>
          <w:sz w:val="18"/>
          <w:shd w:fill="FFFFFF" w:val="clear"/>
        </w:rPr>
        <w:t>September 30, 2022.</w:t>
      </w:r>
    </w:p>
    <w:p>
      <w:pPr>
        <w:pStyle w:val="TextBody"/>
        <w:bidi w:val="0"/>
        <w:spacing w:lineRule="auto" w:line="288" w:before="120" w:after="283"/>
        <w:jc w:val="both"/>
        <w:rPr/>
      </w:pPr>
      <w:r>
        <w:rPr>
          <w:rFonts w:ascii="Arial;sans-serif" w:hAnsi="Arial;sans-serif"/>
          <w:b w:val="false"/>
          <w:color w:val="000000"/>
          <w:sz w:val="18"/>
        </w:rPr>
        <w:t>As of September 30, 2023, there was one customer in the Aviation Leasing segment that represented 17% of total accounts receivable, net.</w:t>
      </w:r>
      <w:r>
        <w:rPr>
          <w:color w:val="000000"/>
          <w:shd w:fill="FFFFFF" w:val="clear"/>
        </w:rPr>
        <w:t xml:space="preserve"> </w:t>
      </w:r>
      <w:r>
        <w:rPr>
          <w:rFonts w:ascii="Arial;sans-serif" w:hAnsi="Arial;sans-serif"/>
          <w:b w:val="false"/>
          <w:color w:val="000000"/>
          <w:sz w:val="18"/>
          <w:shd w:fill="FFFFFF" w:val="clear"/>
        </w:rPr>
        <w:t>As of December 31, 2022, there were two customers in the Aviation Leasing segment that represented 20% and 12% of total accounts receivable, net.</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maintain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pStyle w:val="TextBody"/>
        <w:bidi w:val="0"/>
        <w:spacing w:lineRule="auto" w:line="288" w:before="120" w:after="283"/>
        <w:jc w:val="both"/>
        <w:rPr/>
      </w:pPr>
      <w:r>
        <w:rPr>
          <w:rFonts w:ascii="Arial;sans-serif" w:hAnsi="Arial;sans-serif"/>
          <w:b/>
          <w:i/>
          <w:color w:val="00497F"/>
          <w:sz w:val="18"/>
          <w:shd w:fill="FFFFFF" w:val="clear"/>
        </w:rPr>
        <w:t>Allowance for Doubtful Accounts</w:t>
      </w:r>
      <w:r>
        <w:rPr>
          <w:color w:val="00497F"/>
          <w:shd w:fill="FFFFFF" w:val="clear"/>
        </w:rPr>
        <w:t>—</w:t>
      </w:r>
      <w:r>
        <w:rPr>
          <w:rFonts w:ascii="Arial;sans-serif" w:hAnsi="Arial;sans-serif"/>
          <w:b w:val="false"/>
          <w:color w:val="000000"/>
          <w:sz w:val="18"/>
          <w:shd w:fill="FFFFFF" w:val="clear"/>
        </w:rPr>
        <w:t>We determine the allowance for doubtful accounts based on our assessment of the collectability of our receivables on a customer-by-customer basis. The allowance for doubtful accounts was $</w:t>
      </w:r>
      <w:r>
        <w:rPr>
          <w:rFonts w:ascii="Arial;sans-serif" w:hAnsi="Arial;sans-serif"/>
          <w:b w:val="false"/>
          <w:color w:val="000000"/>
          <w:sz w:val="18"/>
        </w:rPr>
        <w:t>72.2 million</w:t>
      </w:r>
      <w:r>
        <w:rPr>
          <w:color w:val="000000"/>
          <w:shd w:fill="FFFFFF" w:val="clear"/>
        </w:rPr>
        <w:t xml:space="preserve"> </w:t>
      </w:r>
      <w:r>
        <w:rPr>
          <w:rFonts w:ascii="Arial;sans-serif" w:hAnsi="Arial;sans-serif"/>
          <w:b w:val="false"/>
          <w:color w:val="000000"/>
          <w:sz w:val="18"/>
          <w:shd w:fill="FFFFFF" w:val="clear"/>
        </w:rPr>
        <w:t>and $65.6 million as of September 30, 2023 and December 31, 2022, respectively. There was provision for credit losses of $</w:t>
      </w:r>
      <w:r>
        <w:rPr>
          <w:rFonts w:ascii="Arial;sans-serif" w:hAnsi="Arial;sans-serif"/>
          <w:b w:val="false"/>
          <w:color w:val="000000"/>
          <w:sz w:val="18"/>
        </w:rPr>
        <w:t>5.6 million</w:t>
      </w:r>
      <w:r>
        <w:rPr>
          <w:color w:val="000000"/>
          <w:shd w:fill="FFFFFF" w:val="clear"/>
        </w:rPr>
        <w:t xml:space="preserve"> </w:t>
      </w:r>
      <w:r>
        <w:rPr>
          <w:rFonts w:ascii="Arial;sans-serif" w:hAnsi="Arial;sans-serif"/>
          <w:b w:val="false"/>
          <w:color w:val="000000"/>
          <w:sz w:val="18"/>
          <w:shd w:fill="FFFFFF" w:val="clear"/>
        </w:rPr>
        <w:t xml:space="preserve">and a bad debt reversal of $0.7 million for the three months ended September 30, 2023 and 2022, respectively. There was a provision for credit losses of </w:t>
      </w:r>
      <w:r>
        <w:rPr>
          <w:rFonts w:ascii="Arial;sans-serif" w:hAnsi="Arial;sans-serif"/>
          <w:b w:val="false"/>
          <w:color w:val="000000"/>
          <w:sz w:val="18"/>
        </w:rPr>
        <w:t>$6.6 million</w:t>
      </w:r>
      <w:r>
        <w:rPr>
          <w:color w:val="000000"/>
          <w:shd w:fill="FFFFFF" w:val="clear"/>
        </w:rPr>
        <w:t xml:space="preserve"> </w:t>
      </w:r>
      <w:r>
        <w:rPr>
          <w:rFonts w:ascii="Arial;sans-serif" w:hAnsi="Arial;sans-serif"/>
          <w:b w:val="false"/>
          <w:color w:val="000000"/>
          <w:sz w:val="18"/>
          <w:shd w:fill="FFFFFF" w:val="clear"/>
        </w:rPr>
        <w:t>and a provision for credit losses of $47.1 million for the nine months ended September 30, 2023 and 2022, respectively, and is included in Operating expenses in the Consolidated Statements of Operations.</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Economic sanctions and export controls against Russia and Russia’s aviation industry were imposed due to its invasion of Ukraine during the first quarter of 2022. As a result of the sanctions imposed on Russian airlines, we terminated all lease agreements with Russian airlines and our allowance for doubtful accounts at September 30, 2023 includes all accounts receivable exposure to Russian and Ukrainian customers.</w:t>
      </w:r>
    </w:p>
    <w:p>
      <w:pPr>
        <w:pStyle w:val="TextBody"/>
        <w:bidi w:val="0"/>
        <w:spacing w:lineRule="auto" w:line="288" w:before="120" w:after="283"/>
        <w:jc w:val="both"/>
        <w:rPr/>
      </w:pPr>
      <w:r>
        <w:rPr>
          <w:rFonts w:ascii="Arial;sans-serif" w:hAnsi="Arial;sans-serif"/>
          <w:b/>
          <w:i/>
          <w:color w:val="00497F"/>
          <w:sz w:val="18"/>
          <w:shd w:fill="FFFFFF" w:val="clear"/>
        </w:rPr>
        <w:t>Comprehensive Loss</w:t>
      </w:r>
      <w:r>
        <w:rPr>
          <w:color w:val="00497F"/>
          <w:shd w:fill="FFFFFF" w:val="clear"/>
        </w:rPr>
        <w:t>—</w:t>
      </w:r>
      <w:r>
        <w:rPr>
          <w:rFonts w:ascii="Arial;sans-serif" w:hAnsi="Arial;sans-serif"/>
          <w:b w:val="false"/>
          <w:color w:val="000000"/>
          <w:sz w:val="18"/>
          <w:shd w:fill="FFFFFF" w:val="clear"/>
        </w:rPr>
        <w:t>Comprehensive loss is defined as the change in equity of a business enterprise during a period from transactions and other events and circumstances, excluding those resulting from investments by and distributions to owners. Our comprehensive loss represents net income (loss), as presented in the Consolidated Statements of Operations, adjusted for comprehensive loss related to cash flow hedges of our equity method investees of discontinued operations. The cash flow impact of commodity derivatives held by our consolidated subsidiaries is recognized in Change in fair value of non-hedge derivatives in our Consolidated Statements of Cash Flows.</w:t>
      </w:r>
    </w:p>
    <w:p>
      <w:pPr>
        <w:pStyle w:val="TextBody"/>
        <w:bidi w:val="0"/>
        <w:spacing w:lineRule="auto" w:line="288" w:before="120" w:after="283"/>
        <w:jc w:val="both"/>
        <w:rPr/>
      </w:pPr>
      <w:r>
        <w:rPr>
          <w:rFonts w:ascii="Arial;sans-serif" w:hAnsi="Arial;sans-serif"/>
          <w:b/>
          <w:i/>
          <w:color w:val="00497F"/>
          <w:sz w:val="18"/>
          <w:shd w:fill="FFFFFF" w:val="clear"/>
        </w:rPr>
        <w:t>Other Assets—</w:t>
      </w:r>
      <w:r>
        <w:rPr>
          <w:rFonts w:ascii="Arial;sans-serif" w:hAnsi="Arial;sans-serif"/>
          <w:b w:val="false"/>
          <w:color w:val="000000"/>
          <w:sz w:val="18"/>
          <w:shd w:fill="FFFFFF" w:val="clear"/>
        </w:rPr>
        <w:t xml:space="preserve">Other assets is primarily comprised of lease incentives of $47.9 million and $37.9 million, purchase deposits of $10.5 million and $6.7 million, notes receivable of $85.7 million and $49.2 million, operating lease right-of-use assets, net of $2.4 million and $3.0 million, finance leases, net of $3.6 million and $6.4 million, maintenance right assets of $12.5 million and $6.8 million and prepaid expenses of $2.9 million and $1.9 million, as of September 30, 2023 and December 31, 2022, respectively. </w:t>
      </w:r>
    </w:p>
    <w:p>
      <w:pPr>
        <w:pStyle w:val="TextBody"/>
        <w:bidi w:val="0"/>
        <w:spacing w:lineRule="auto" w:line="288" w:before="120" w:after="283"/>
        <w:jc w:val="both"/>
        <w:rPr/>
      </w:pPr>
      <w:r>
        <w:rPr>
          <w:rFonts w:ascii="Arial;sans-serif" w:hAnsi="Arial;sans-serif"/>
          <w:b/>
          <w:i/>
          <w:color w:val="00497F"/>
          <w:sz w:val="18"/>
        </w:rPr>
        <w:t>Dividends—</w:t>
      </w:r>
      <w:r>
        <w:rPr>
          <w:rFonts w:ascii="Arial;sans-serif" w:hAnsi="Arial;sans-serif"/>
          <w:b w:val="false"/>
          <w:color w:val="000000"/>
          <w:sz w:val="18"/>
        </w:rPr>
        <w:t xml:space="preserve">Dividends are recorded if and when declared by the Board of Directors. For both the three months ended September 30, 2023 and 2022, the Board </w:t>
      </w:r>
      <w:r>
        <w:rPr>
          <w:rFonts w:ascii="Arial;sans-serif" w:hAnsi="Arial;sans-serif"/>
          <w:b w:val="false"/>
          <w:color w:val="000000"/>
          <w:sz w:val="18"/>
          <w:shd w:fill="FFFFFF" w:val="clear"/>
        </w:rPr>
        <w:t xml:space="preserve">of Directors declared cash dividends of $0.30 per ordinary share. For the nine months ended September 30, 2023 and 2022, the Board of Directors declared cash dividends of $0.90 and $0.96 per ordinary share, respectively. </w:t>
      </w:r>
    </w:p>
    <w:p>
      <w:pPr>
        <w:pStyle w:val="TextBody"/>
        <w:bidi w:val="0"/>
        <w:spacing w:lineRule="auto" w:line="288" w:before="120" w:after="283"/>
        <w:jc w:val="both"/>
        <w:rPr/>
      </w:pPr>
      <w:r>
        <w:rPr>
          <w:rFonts w:ascii="Arial;sans-serif" w:hAnsi="Arial;sans-serif"/>
          <w:b w:val="false"/>
          <w:color w:val="000000"/>
          <w:sz w:val="18"/>
          <w:shd w:fill="FFFFFF" w:val="clear"/>
        </w:rPr>
        <w:t xml:space="preserve">Additionally, in the quarter ended September 30, 2023, the Board of Directors declared cash dividends on the Series A Preferred Shares, Series B Preferred Shares, Series C Preferred Shares and Series D Preferred Shares of $0.52, $0.50, $0.52 and $0.59 </w:t>
      </w:r>
      <w:r>
        <w:rPr>
          <w:rFonts w:ascii="Arial;sans-serif" w:hAnsi="Arial;sans-serif"/>
          <w:b w:val="false"/>
          <w:color w:val="000000"/>
          <w:sz w:val="18"/>
        </w:rPr>
        <w:t>per share,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2740"/>
                <wp:effectExtent l="0" t="0" r="0" b="0"/>
                <wp:wrapNone/>
                <wp:docPr id="15" name="Frame1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68" w:before="0" w:after="0"/>
        <w:jc w:val="left"/>
        <w:rPr/>
      </w:pPr>
      <w:r>
        <w:rPr>
          <w:rFonts w:ascii="Arial;sans-serif" w:hAnsi="Arial;sans-serif"/>
          <w:b/>
          <w:i/>
          <w:color w:val="00497F"/>
          <w:sz w:val="18"/>
          <w:shd w:fill="FFFFFF" w:val="clear"/>
        </w:rPr>
        <w:t>Recent Accounting Pronouncements</w:t>
      </w:r>
      <w:r>
        <w:rPr>
          <w:color w:val="00497F"/>
          <w:shd w:fill="FFFFFF" w:val="clear"/>
        </w:rPr>
        <w:t>—</w:t>
      </w:r>
      <w:r>
        <w:rPr>
          <w:rFonts w:ascii="Arial;sans-serif" w:hAnsi="Arial;sans-serif"/>
          <w:b w:val="false"/>
          <w:color w:val="000000"/>
          <w:sz w:val="18"/>
          <w:shd w:fill="FFFFFF" w:val="clear"/>
        </w:rPr>
        <w:t>The Company has evaluated all recent accounting pronouncements and none are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3. DISCONTINUED OPERATIONS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FTAI Infrastructure Inc. (“FTAI Infrastructure”) Spin-Off</w:t>
      </w:r>
    </w:p>
    <w:p>
      <w:pPr>
        <w:pStyle w:val="TextBody"/>
        <w:bidi w:val="0"/>
        <w:spacing w:lineRule="auto" w:line="288" w:before="120" w:after="283"/>
        <w:jc w:val="both"/>
        <w:rPr/>
      </w:pPr>
      <w:r>
        <w:rPr>
          <w:rFonts w:ascii="Arial;sans-serif" w:hAnsi="Arial;sans-serif"/>
          <w:b w:val="false"/>
          <w:color w:val="000000"/>
          <w:sz w:val="18"/>
        </w:rPr>
        <w:t xml:space="preserve">On April 28, 2022, the Board of Directors of the Company unanimously approved the previously announced spin-off of the Company’s infrastructure business held by FTAI Infrastructure (a wholly owned subsidiary of the Company). The spin-off was effected as a distribution of all of the shares owned by the Company of common stock of FTAI Infrastructure to the holders of the Company’s ordinary shares as of July 21, 2022. The distribution was completed on August 1, 2022. Under ASC 205-20, </w:t>
      </w:r>
      <w:r>
        <w:rPr>
          <w:rFonts w:ascii="Arial;sans-serif" w:hAnsi="Arial;sans-serif"/>
          <w:b w:val="false"/>
          <w:i/>
          <w:color w:val="000000"/>
          <w:sz w:val="18"/>
        </w:rPr>
        <w:t>Presentation of Financial Statements – Discontinued Operations</w:t>
      </w:r>
      <w:r>
        <w:rPr>
          <w:rFonts w:ascii="Arial;sans-serif" w:hAnsi="Arial;sans-serif"/>
          <w:b w:val="false"/>
          <w:color w:val="000000"/>
          <w:sz w:val="18"/>
        </w:rPr>
        <w:t>, the spin-off met the criteria to be reported as a discontinued operation. Therefore, FTAI Infrastructure is presented as a discontinued operation within the Company’s financial statements for the three and nine months ended September 30,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businesses. In connection with the spin-off,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FTAI LLC retained the aviation business and certain other assets, and FTAI LLC’s remaining outstanding corporate indebtedness.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connection with the spin-off, the Company and the Manager assigned the Company’s then-existing management agreement to FTAI Infrastructure, and FTAI Infrastructure and the Manager executed an amended and restated agreement. The Company and certain of its subsidiaries executed a new management agreement with the Manager. The new management agreement has an initial term of six years. The Manager is entitled to a management fee and reimbursement of certain expenses on substantially similar terms as the previous arrangements with the Manager, which were assigned to FTAI Infrastructure. Prior to the Merger described below, our Manager remained entitled to incentive allocations (comprised of income incentive allocation and capital gains incentive allocation) on the same terms as they existed prior to spin-off. Following the Merger, the Company entered into a Services and Profit Sharing Agreement (the “Services and Profit Sharing Agreement”), with a subsidiary of the Company and Fortress Worldwide Transportation and Infrastructure Master GP LLC (“Master GP”), pursuant to which Master GP is entitled to incentive payments on substantially similar terms as the previous arrangements.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Financial Information of Discontinued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the significant components of net loss from discontinued operations:</w:t>
      </w:r>
    </w:p>
    <w:tbl>
      <w:tblPr>
        <w:tblW w:w="9851" w:type="dxa"/>
        <w:jc w:val="left"/>
        <w:tblInd w:w="0" w:type="dxa"/>
        <w:tblLayout w:type="fixed"/>
        <w:tblCellMar>
          <w:top w:w="28" w:type="dxa"/>
          <w:left w:w="28" w:type="dxa"/>
          <w:bottom w:w="28" w:type="dxa"/>
          <w:right w:w="28" w:type="dxa"/>
        </w:tblCellMar>
      </w:tblPr>
      <w:tblGrid>
        <w:gridCol w:w="2175"/>
        <w:gridCol w:w="1916"/>
        <w:gridCol w:w="1924"/>
        <w:gridCol w:w="344"/>
        <w:gridCol w:w="1265"/>
        <w:gridCol w:w="191"/>
        <w:gridCol w:w="109"/>
        <w:gridCol w:w="109"/>
        <w:gridCol w:w="109"/>
        <w:gridCol w:w="308"/>
        <w:gridCol w:w="1159"/>
        <w:gridCol w:w="242"/>
      </w:tblGrid>
      <w:tr>
        <w:trPr/>
        <w:tc>
          <w:tcPr>
            <w:tcW w:w="2175"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2022</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140,009 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92,478 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40,319 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47,765 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38,277 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233,198 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before income taxes</w:t>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(10,284)</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(93,189)</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from discontinued operations, net of income taxes</w:t>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(14,782)</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(101,416)</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 in consolidated subsidiaries</w:t>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(18,817)</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shareholders</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(11,911)</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(82,599)</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2740"/>
                <wp:effectExtent l="0" t="0" r="0" b="0"/>
                <wp:wrapNone/>
                <wp:docPr id="16" name="Frame1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76" w:before="120" w:after="283"/>
        <w:jc w:val="both"/>
        <w:rPr>
          <w:rFonts w:ascii="Arial;sans-serif" w:hAnsi="Arial;sans-serif"/>
          <w:b w:val="false"/>
          <w:color w:val="000000"/>
          <w:sz w:val="18"/>
        </w:rPr>
      </w:pPr>
      <w:r>
        <w:rPr>
          <w:rFonts w:ascii="Arial;sans-serif" w:hAnsi="Arial;sans-serif"/>
          <w:b w:val="false"/>
          <w:color w:val="000000"/>
          <w:sz w:val="18"/>
        </w:rPr>
        <w:t>The cash flows related to discontinued operations have not been segregated, and are included in the Consolidated Statements of Cash Flows for the nine months ended September 30, 2022. The following table summarizes depreciation and amortization, capital expenditures, and other significant operating and investing noncash items from discontinued operations:</w:t>
      </w:r>
    </w:p>
    <w:tbl>
      <w:tblPr>
        <w:tblW w:w="6118" w:type="dxa"/>
        <w:jc w:val="left"/>
        <w:tblInd w:w="0" w:type="dxa"/>
        <w:tblLayout w:type="fixed"/>
        <w:tblCellMar>
          <w:top w:w="28" w:type="dxa"/>
          <w:left w:w="28" w:type="dxa"/>
          <w:bottom w:w="28" w:type="dxa"/>
          <w:right w:w="28" w:type="dxa"/>
        </w:tblCellMar>
      </w:tblPr>
      <w:tblGrid>
        <w:gridCol w:w="1581"/>
        <w:gridCol w:w="1386"/>
        <w:gridCol w:w="1397"/>
        <w:gridCol w:w="296"/>
        <w:gridCol w:w="1226"/>
        <w:gridCol w:w="232"/>
      </w:tblGrid>
      <w:tr>
        <w:trPr/>
        <w:tc>
          <w:tcPr>
            <w:tcW w:w="15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2022</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46,601 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40,319 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property, plant and equipment</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(129,920)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business, net of cash acquired</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(3,819)</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unconsolidated entities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(7,954)</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change in equity method investment</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(182,963)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Non-cash conversion of interest in unconsolidated entities </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pPr>
      <w:r>
        <w:rPr>
          <w:rFonts w:ascii="Arial;sans-serif" w:hAnsi="Arial;sans-serif"/>
          <w:b w:val="false"/>
          <w:color w:val="000000"/>
          <w:sz w:val="18"/>
        </w:rPr>
        <w:t>The Company accounted for Long Ridge Terminal LLC, included in discontinued operations for the three and nine months ended September 30, 2022 included above, using the equity method of accounting. Summarized financial data for Long Ridge Terminal LLC are shown in the following table.</w:t>
      </w:r>
      <w:r>
        <w:rPr>
          <w:color w:val="000000"/>
        </w:rPr>
        <w:t xml:space="preserve"> </w:t>
      </w:r>
    </w:p>
    <w:tbl>
      <w:tblPr>
        <w:tblW w:w="6288" w:type="dxa"/>
        <w:jc w:val="left"/>
        <w:tblInd w:w="0" w:type="dxa"/>
        <w:tblLayout w:type="fixed"/>
        <w:tblCellMar>
          <w:top w:w="28" w:type="dxa"/>
          <w:left w:w="28" w:type="dxa"/>
          <w:bottom w:w="28" w:type="dxa"/>
          <w:right w:w="28" w:type="dxa"/>
        </w:tblCellMar>
      </w:tblPr>
      <w:tblGrid>
        <w:gridCol w:w="826"/>
        <w:gridCol w:w="725"/>
        <w:gridCol w:w="729"/>
        <w:gridCol w:w="335"/>
        <w:gridCol w:w="1233"/>
        <w:gridCol w:w="186"/>
        <w:gridCol w:w="109"/>
        <w:gridCol w:w="109"/>
        <w:gridCol w:w="109"/>
        <w:gridCol w:w="318"/>
        <w:gridCol w:w="1170"/>
        <w:gridCol w:w="176"/>
        <w:gridCol w:w="109"/>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Statement</w:t>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15,199 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96,696 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w:t>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(13,165)</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(81,731)</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4. LEASING EQUIPMENT, NET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Leasing equipment, net is summarized as follows:</w:t>
      </w:r>
    </w:p>
    <w:tbl>
      <w:tblPr>
        <w:tblW w:w="7334" w:type="dxa"/>
        <w:jc w:val="left"/>
        <w:tblInd w:w="0" w:type="dxa"/>
        <w:tblLayout w:type="fixed"/>
        <w:tblCellMar>
          <w:top w:w="28" w:type="dxa"/>
          <w:left w:w="28" w:type="dxa"/>
          <w:bottom w:w="28" w:type="dxa"/>
          <w:right w:w="28" w:type="dxa"/>
        </w:tblCellMar>
      </w:tblPr>
      <w:tblGrid>
        <w:gridCol w:w="885"/>
        <w:gridCol w:w="777"/>
        <w:gridCol w:w="782"/>
        <w:gridCol w:w="109"/>
        <w:gridCol w:w="109"/>
        <w:gridCol w:w="109"/>
        <w:gridCol w:w="109"/>
        <w:gridCol w:w="109"/>
        <w:gridCol w:w="109"/>
        <w:gridCol w:w="269"/>
        <w:gridCol w:w="1217"/>
        <w:gridCol w:w="149"/>
        <w:gridCol w:w="109"/>
        <w:gridCol w:w="109"/>
        <w:gridCol w:w="109"/>
        <w:gridCol w:w="109"/>
        <w:gridCol w:w="109"/>
        <w:gridCol w:w="109"/>
        <w:gridCol w:w="109"/>
        <w:gridCol w:w="109"/>
        <w:gridCol w:w="109"/>
        <w:gridCol w:w="260"/>
        <w:gridCol w:w="1156"/>
        <w:gridCol w:w="20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2601"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2,448,274</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2,413,230 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(524,076)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(499,677)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Leasing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1,924,198</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1,913,553 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pPr>
      <w:r>
        <w:rPr>
          <w:rFonts w:ascii="Arial;sans-serif" w:hAnsi="Arial;sans-serif"/>
          <w:b w:val="false"/>
          <w:color w:val="000000"/>
          <w:sz w:val="18"/>
        </w:rPr>
        <w:t xml:space="preserve">Economic sanctions and export controls against Russia and Russia’s aviation industry were imposed due to its invasion of Ukraine during the three months ended March 31, 2022. As a result of the sanctions imposed on Russian airlines, we terminated all lease agreements with Russian airlines. We determined that it is unlikely that we will regain possession of the aircrafts and engines that had not yet been recovered from Ukraine and Russia. As a result, we recognized an impairment charge totaling </w:t>
      </w:r>
      <w:r>
        <w:rPr>
          <w:rFonts w:ascii="Arial;sans-serif" w:hAnsi="Arial;sans-serif"/>
          <w:b w:val="false"/>
          <w:color w:val="000000"/>
          <w:sz w:val="18"/>
          <w:shd w:fill="FFFFFF" w:val="clear"/>
        </w:rPr>
        <w:t>$120.0 million,</w:t>
      </w:r>
      <w:r>
        <w:rPr>
          <w:color w:val="000000"/>
        </w:rPr>
        <w:t xml:space="preserve"> </w:t>
      </w:r>
      <w:r>
        <w:rPr>
          <w:rFonts w:ascii="Arial;sans-serif" w:hAnsi="Arial;sans-serif"/>
          <w:b w:val="false"/>
          <w:color w:val="000000"/>
          <w:sz w:val="18"/>
        </w:rPr>
        <w:t xml:space="preserve">net of maintenance deposits, to write-off the </w:t>
      </w:r>
      <w:r>
        <w:rPr>
          <w:rFonts w:ascii="Arial;sans-serif" w:hAnsi="Arial;sans-serif"/>
          <w:b w:val="false"/>
          <w:color w:val="000000"/>
          <w:sz w:val="18"/>
          <w:shd w:fill="FFFFFF" w:val="clear"/>
        </w:rPr>
        <w:t xml:space="preserve">entire carrying value of leasing equipment assets that we did not expect to recover from Ukraine and Russia. As of September 30, 2023, </w:t>
      </w:r>
      <w:r>
        <w:rPr>
          <w:rFonts w:ascii="Arial;sans-serif" w:hAnsi="Arial;sans-serif"/>
          <w:b w:val="false"/>
          <w:color w:val="000000"/>
          <w:sz w:val="18"/>
        </w:rPr>
        <w:t>four</w:t>
      </w:r>
      <w:r>
        <w:rPr>
          <w:color w:val="000000"/>
          <w:shd w:fill="FFFFFF" w:val="clear"/>
        </w:rPr>
        <w:t xml:space="preserve"> </w:t>
      </w:r>
      <w:r>
        <w:rPr>
          <w:rFonts w:ascii="Arial;sans-serif" w:hAnsi="Arial;sans-serif"/>
          <w:b w:val="false"/>
          <w:color w:val="000000"/>
          <w:sz w:val="18"/>
          <w:shd w:fill="FFFFFF" w:val="clear"/>
        </w:rPr>
        <w:t xml:space="preserve">aircraft were still located in Ukraine and </w:t>
      </w:r>
      <w:r>
        <w:rPr>
          <w:rFonts w:ascii="Arial;sans-serif" w:hAnsi="Arial;sans-serif"/>
          <w:b w:val="false"/>
          <w:color w:val="000000"/>
          <w:sz w:val="18"/>
        </w:rPr>
        <w:t>eight</w:t>
      </w:r>
      <w:r>
        <w:rPr>
          <w:color w:val="000000"/>
          <w:shd w:fill="FFFFFF" w:val="clear"/>
        </w:rPr>
        <w:t xml:space="preserve"> </w:t>
      </w:r>
      <w:r>
        <w:rPr>
          <w:rFonts w:ascii="Arial;sans-serif" w:hAnsi="Arial;sans-serif"/>
          <w:b w:val="false"/>
          <w:color w:val="000000"/>
          <w:sz w:val="18"/>
          <w:shd w:fill="FFFFFF" w:val="clear"/>
        </w:rPr>
        <w:t xml:space="preserve">aircraft and </w:t>
      </w:r>
      <w:r>
        <w:rPr>
          <w:rFonts w:ascii="Arial;sans-serif" w:hAnsi="Arial;sans-serif"/>
          <w:b w:val="false"/>
          <w:color w:val="000000"/>
          <w:sz w:val="18"/>
        </w:rPr>
        <w:t>seventeen</w:t>
      </w:r>
      <w:r>
        <w:rPr>
          <w:color w:val="000000"/>
          <w:shd w:fill="FFFFFF" w:val="clear"/>
        </w:rPr>
        <w:t xml:space="preserve"> </w:t>
      </w:r>
      <w:r>
        <w:rPr>
          <w:rFonts w:ascii="Arial;sans-serif" w:hAnsi="Arial;sans-serif"/>
          <w:b w:val="false"/>
          <w:color w:val="000000"/>
          <w:sz w:val="18"/>
        </w:rPr>
        <w:t>engines were still located in Russia. Additionally, we identified certain assets in our leasing equipment portfolio with indicators of impairment. As a result, w</w:t>
      </w:r>
      <w:r>
        <w:rPr>
          <w:rFonts w:ascii="Arial;sans-serif" w:hAnsi="Arial;sans-serif"/>
          <w:b w:val="false"/>
          <w:color w:val="000000"/>
          <w:sz w:val="18"/>
          <w:shd w:fill="FFFFFF" w:val="clear"/>
        </w:rPr>
        <w:t xml:space="preserve">e adjusted the carrying value of these assets to fair value and recognized transactional impairment charges of </w:t>
      </w:r>
      <w:r>
        <w:rPr>
          <w:rFonts w:ascii="Arial;sans-serif" w:hAnsi="Arial;sans-serif"/>
          <w:b w:val="false"/>
          <w:color w:val="000000"/>
          <w:sz w:val="18"/>
        </w:rPr>
        <w:t>$1.2 million, net of redelivery compensation during the nine months ended September 30, 2023.</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Depreciation expense for leasing equipment is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2740"/>
                <wp:effectExtent l="0" t="0" r="0" b="0"/>
                <wp:wrapNone/>
                <wp:docPr id="17" name="Frame1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tbl>
      <w:tblPr>
        <w:tblW w:w="9426" w:type="dxa"/>
        <w:jc w:val="left"/>
        <w:tblInd w:w="0" w:type="dxa"/>
        <w:tblLayout w:type="fixed"/>
        <w:tblCellMar>
          <w:top w:w="28" w:type="dxa"/>
          <w:left w:w="28" w:type="dxa"/>
          <w:bottom w:w="28" w:type="dxa"/>
          <w:right w:w="28" w:type="dxa"/>
        </w:tblCellMar>
      </w:tblPr>
      <w:tblGrid>
        <w:gridCol w:w="1194"/>
        <w:gridCol w:w="1051"/>
        <w:gridCol w:w="1054"/>
        <w:gridCol w:w="255"/>
        <w:gridCol w:w="861"/>
        <w:gridCol w:w="142"/>
        <w:gridCol w:w="142"/>
        <w:gridCol w:w="142"/>
        <w:gridCol w:w="142"/>
        <w:gridCol w:w="255"/>
        <w:gridCol w:w="842"/>
        <w:gridCol w:w="142"/>
        <w:gridCol w:w="109"/>
        <w:gridCol w:w="109"/>
        <w:gridCol w:w="109"/>
        <w:gridCol w:w="228"/>
        <w:gridCol w:w="876"/>
        <w:gridCol w:w="127"/>
        <w:gridCol w:w="127"/>
        <w:gridCol w:w="127"/>
        <w:gridCol w:w="127"/>
        <w:gridCol w:w="228"/>
        <w:gridCol w:w="858"/>
        <w:gridCol w:w="17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expense for leasing equipment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43,765</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34,704 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122,867</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115,074 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5. INVESTMENTS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presents the ownership interests and carrying values of our investments:</w:t>
      </w:r>
    </w:p>
    <w:tbl>
      <w:tblPr>
        <w:tblW w:w="9646" w:type="dxa"/>
        <w:jc w:val="left"/>
        <w:tblInd w:w="0" w:type="dxa"/>
        <w:tblLayout w:type="fixed"/>
        <w:tblCellMar>
          <w:top w:w="28" w:type="dxa"/>
          <w:left w:w="28" w:type="dxa"/>
          <w:bottom w:w="28" w:type="dxa"/>
          <w:right w:w="28" w:type="dxa"/>
        </w:tblCellMar>
      </w:tblPr>
      <w:tblGrid>
        <w:gridCol w:w="858"/>
        <w:gridCol w:w="753"/>
        <w:gridCol w:w="758"/>
        <w:gridCol w:w="379"/>
        <w:gridCol w:w="379"/>
        <w:gridCol w:w="381"/>
        <w:gridCol w:w="109"/>
        <w:gridCol w:w="109"/>
        <w:gridCol w:w="109"/>
        <w:gridCol w:w="634"/>
        <w:gridCol w:w="634"/>
        <w:gridCol w:w="636"/>
        <w:gridCol w:w="109"/>
        <w:gridCol w:w="109"/>
        <w:gridCol w:w="109"/>
        <w:gridCol w:w="331"/>
        <w:gridCol w:w="1119"/>
        <w:gridCol w:w="184"/>
        <w:gridCol w:w="109"/>
        <w:gridCol w:w="109"/>
        <w:gridCol w:w="109"/>
        <w:gridCol w:w="318"/>
        <w:gridCol w:w="1051"/>
        <w:gridCol w:w="250"/>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Ownership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Advanced Engine Repair JV</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21,543</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20,207 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Falcon MSN 177 LLC</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1,588</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Quick Turn Engine Center LLC</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16,737</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39,868</w:t>
            </w:r>
            <w:r>
              <w:rPr>
                <w:color w:val="000000"/>
              </w:rPr>
              <w:t>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22,037 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We did not recognize any other-than-temporary impairments for the three and nine months ended September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proportionate share of equity in (losses) income:</w:t>
      </w:r>
    </w:p>
    <w:tbl>
      <w:tblPr>
        <w:tblW w:w="8494" w:type="dxa"/>
        <w:jc w:val="left"/>
        <w:tblInd w:w="0" w:type="dxa"/>
        <w:tblLayout w:type="fixed"/>
        <w:tblCellMar>
          <w:top w:w="28" w:type="dxa"/>
          <w:left w:w="28" w:type="dxa"/>
          <w:bottom w:w="28" w:type="dxa"/>
          <w:right w:w="28" w:type="dxa"/>
        </w:tblCellMar>
      </w:tblPr>
      <w:tblGrid>
        <w:gridCol w:w="858"/>
        <w:gridCol w:w="753"/>
        <w:gridCol w:w="758"/>
        <w:gridCol w:w="286"/>
        <w:gridCol w:w="833"/>
        <w:gridCol w:w="159"/>
        <w:gridCol w:w="159"/>
        <w:gridCol w:w="159"/>
        <w:gridCol w:w="159"/>
        <w:gridCol w:w="286"/>
        <w:gridCol w:w="724"/>
        <w:gridCol w:w="159"/>
        <w:gridCol w:w="109"/>
        <w:gridCol w:w="109"/>
        <w:gridCol w:w="109"/>
        <w:gridCol w:w="267"/>
        <w:gridCol w:w="861"/>
        <w:gridCol w:w="148"/>
        <w:gridCol w:w="148"/>
        <w:gridCol w:w="148"/>
        <w:gridCol w:w="148"/>
        <w:gridCol w:w="267"/>
        <w:gridCol w:w="677"/>
        <w:gridCol w:w="210"/>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Advanced Engine Repair JV</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1,063</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1,336</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Falcon MSN 177 LLC</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Quick Turn Engine Center LLC</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(2,763)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(1,669)</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Equity Method Investments</w:t>
      </w:r>
    </w:p>
    <w:p>
      <w:pPr>
        <w:pStyle w:val="TextBody"/>
        <w:bidi w:val="0"/>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Advanced Engine Repair JV</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December 2016, we invested $15 million for a 25% interest in an advanced engine repair joint venture. This joint venture is focused on developing new cost savings programs for engine repairs. We exercise significant influence over this investment and account for this investment as an equity method investment. </w:t>
      </w:r>
    </w:p>
    <w:p>
      <w:pPr>
        <w:pStyle w:val="TextBody"/>
        <w:bidi w:val="0"/>
        <w:spacing w:lineRule="auto" w:line="288" w:before="120" w:after="283"/>
        <w:jc w:val="both"/>
        <w:rPr/>
      </w:pPr>
      <w:r>
        <w:rPr>
          <w:rFonts w:ascii="Arial;sans-serif" w:hAnsi="Arial;sans-serif"/>
          <w:b w:val="false"/>
          <w:color w:val="000000"/>
          <w:sz w:val="18"/>
        </w:rPr>
        <w:t xml:space="preserve">In August 2019, we expanded the scope of our joint venture and invested an additional $13.5 million and maintained a 25% </w:t>
      </w:r>
      <w:r>
        <w:rPr>
          <w:rFonts w:ascii="Arial;sans-serif" w:hAnsi="Arial;sans-serif"/>
          <w:b w:val="false"/>
          <w:color w:val="000000"/>
          <w:sz w:val="18"/>
          <w:shd w:fill="FFFFFF" w:val="clear"/>
        </w:rPr>
        <w:t>interest.</w:t>
      </w:r>
    </w:p>
    <w:p>
      <w:pPr>
        <w:pStyle w:val="TextBody"/>
        <w:bidi w:val="0"/>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Falcon MSN 177 LLC</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November 2021, we invested $1.6 million for a 50% interest in Falcon MSN 177 LLC, an entity that consists of one Dassault Falcon 2000 aircraft. Falcon MSN 177 LLC leases the aircraft to charter operators on aircraft, crew, maintenance and insurance contracts. We account for our investment in Falcon as an equity method investment as we have significant influence through our interest.</w:t>
      </w:r>
    </w:p>
    <w:p>
      <w:pPr>
        <w:pStyle w:val="TextBody"/>
        <w:bidi w:val="0"/>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Quick Turn Engine Center LLC</w:t>
      </w:r>
    </w:p>
    <w:p>
      <w:pPr>
        <w:pStyle w:val="TextBody"/>
        <w:bidi w:val="0"/>
        <w:spacing w:lineRule="auto" w:line="288" w:before="120" w:after="283"/>
        <w:jc w:val="both"/>
        <w:rPr/>
      </w:pPr>
      <w:r>
        <w:rPr>
          <w:rFonts w:ascii="Arial;sans-serif" w:hAnsi="Arial;sans-serif"/>
          <w:b w:val="false"/>
          <w:color w:val="000000"/>
          <w:sz w:val="18"/>
        </w:rPr>
        <w:t xml:space="preserve">On January 4, 2023, we invested $19.5 million for a 50% interest in Quick Turn Engine Center LLC or “Quick Turn” (previously iAero Thrust LLC), a hospital maintenance and testing facility dedicated to the CFM56 engine. We account for our investment in </w:t>
      </w:r>
      <w:r>
        <w:rPr>
          <w:rFonts w:ascii="Arial;sans-serif" w:hAnsi="Arial;sans-serif"/>
          <w:b w:val="false"/>
          <w:color w:val="000000"/>
          <w:sz w:val="18"/>
          <w:shd w:fill="FFFFFF" w:val="clear"/>
        </w:rPr>
        <w:t>Quick Turn</w:t>
      </w:r>
      <w:r>
        <w:rPr>
          <w:color w:val="000000"/>
        </w:rPr>
        <w:t xml:space="preserve"> </w:t>
      </w:r>
      <w:r>
        <w:rPr>
          <w:rFonts w:ascii="Arial;sans-serif" w:hAnsi="Arial;sans-serif"/>
          <w:b w:val="false"/>
          <w:color w:val="000000"/>
          <w:sz w:val="18"/>
        </w:rPr>
        <w:t>as an equity method investment as we have significant influence through our interest.</w:t>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2740"/>
                <wp:effectExtent l="0" t="0" r="0" b="0"/>
                <wp:wrapNone/>
                <wp:docPr id="18" name="Frame1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6. INTANGIBLE ASSETS AND LIABILITIES, NET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Intangible assets and liabilities, net are summarized as follows:</w:t>
      </w:r>
    </w:p>
    <w:tbl>
      <w:tblPr>
        <w:tblW w:w="7134" w:type="dxa"/>
        <w:jc w:val="left"/>
        <w:tblInd w:w="0" w:type="dxa"/>
        <w:tblLayout w:type="fixed"/>
        <w:tblCellMar>
          <w:top w:w="28" w:type="dxa"/>
          <w:left w:w="28" w:type="dxa"/>
          <w:bottom w:w="28" w:type="dxa"/>
          <w:right w:w="28" w:type="dxa"/>
        </w:tblCellMar>
      </w:tblPr>
      <w:tblGrid>
        <w:gridCol w:w="1289"/>
        <w:gridCol w:w="1129"/>
        <w:gridCol w:w="1136"/>
        <w:gridCol w:w="331"/>
        <w:gridCol w:w="1119"/>
        <w:gridCol w:w="184"/>
        <w:gridCol w:w="109"/>
        <w:gridCol w:w="109"/>
        <w:gridCol w:w="109"/>
        <w:gridCol w:w="314"/>
        <w:gridCol w:w="1059"/>
        <w:gridCol w:w="246"/>
      </w:tblGrid>
      <w:tr>
        <w:trPr/>
        <w:tc>
          <w:tcPr>
            <w:tcW w:w="128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assets</w:t>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favorable lease intangibles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60,963</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(19,492)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(22,247)</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Acquired favorable lease intangibles, net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41,471</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41,955</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liabilities</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unfavorable lease intangibles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2,918</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(1,232)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Acquired unfavorable lease intangibles, net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1,686</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10,545 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Intangible assets and liabilities are all held within the Aviation Leasing segment. Intangible liabilities relate to unfavorable lease intangibles and are included as a component of Other liabilities in the Consolidated Balance Sheets.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Amortization of intangible assets and liabilities is as follows:</w:t>
      </w:r>
    </w:p>
    <w:tbl>
      <w:tblPr>
        <w:tblW w:w="10205" w:type="dxa"/>
        <w:jc w:val="left"/>
        <w:tblInd w:w="0" w:type="dxa"/>
        <w:tblLayout w:type="fixed"/>
        <w:tblCellMar>
          <w:top w:w="28" w:type="dxa"/>
          <w:left w:w="28" w:type="dxa"/>
          <w:bottom w:w="28" w:type="dxa"/>
          <w:right w:w="28" w:type="dxa"/>
        </w:tblCellMar>
      </w:tblPr>
      <w:tblGrid>
        <w:gridCol w:w="426"/>
        <w:gridCol w:w="374"/>
        <w:gridCol w:w="375"/>
        <w:gridCol w:w="1057"/>
        <w:gridCol w:w="1057"/>
        <w:gridCol w:w="1059"/>
        <w:gridCol w:w="109"/>
        <w:gridCol w:w="109"/>
        <w:gridCol w:w="109"/>
        <w:gridCol w:w="243"/>
        <w:gridCol w:w="710"/>
        <w:gridCol w:w="135"/>
        <w:gridCol w:w="135"/>
        <w:gridCol w:w="135"/>
        <w:gridCol w:w="135"/>
        <w:gridCol w:w="243"/>
        <w:gridCol w:w="692"/>
        <w:gridCol w:w="135"/>
        <w:gridCol w:w="109"/>
        <w:gridCol w:w="109"/>
        <w:gridCol w:w="109"/>
        <w:gridCol w:w="225"/>
        <w:gridCol w:w="760"/>
        <w:gridCol w:w="125"/>
        <w:gridCol w:w="125"/>
        <w:gridCol w:w="125"/>
        <w:gridCol w:w="125"/>
        <w:gridCol w:w="225"/>
        <w:gridCol w:w="743"/>
        <w:gridCol w:w="187"/>
      </w:tblGrid>
      <w:tr>
        <w:trPr/>
        <w:tc>
          <w:tcPr>
            <w:tcW w:w="4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Classification in 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intangibles</w:t>
            </w:r>
          </w:p>
        </w:tc>
        <w:tc>
          <w:tcPr>
            <w:tcW w:w="3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3,726</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11,325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As of September 30, 2023, estimated net annual amortization of intangibles is as follows:</w:t>
      </w:r>
    </w:p>
    <w:tbl>
      <w:tblPr>
        <w:tblW w:w="2496" w:type="dxa"/>
        <w:jc w:val="left"/>
        <w:tblInd w:w="0" w:type="dxa"/>
        <w:tblLayout w:type="fixed"/>
        <w:tblCellMar>
          <w:top w:w="28" w:type="dxa"/>
          <w:left w:w="28" w:type="dxa"/>
          <w:bottom w:w="28" w:type="dxa"/>
          <w:right w:w="28" w:type="dxa"/>
        </w:tblCellMar>
      </w:tblPr>
      <w:tblGrid>
        <w:gridCol w:w="544"/>
        <w:gridCol w:w="476"/>
        <w:gridCol w:w="480"/>
        <w:gridCol w:w="196"/>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2740"/>
                <wp:effectExtent l="0" t="0" r="0" b="0"/>
                <wp:wrapNone/>
                <wp:docPr id="19" name="Frame1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7. DEBT, NET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Our debt, net is summarized as follows: </w:t>
      </w:r>
    </w:p>
    <w:tbl>
      <w:tblPr>
        <w:tblW w:w="10205" w:type="dxa"/>
        <w:jc w:val="left"/>
        <w:tblInd w:w="0" w:type="dxa"/>
        <w:tblLayout w:type="fixed"/>
        <w:tblCellMar>
          <w:top w:w="28" w:type="dxa"/>
          <w:left w:w="28" w:type="dxa"/>
          <w:bottom w:w="28" w:type="dxa"/>
          <w:right w:w="28" w:type="dxa"/>
        </w:tblCellMar>
      </w:tblPr>
      <w:tblGrid>
        <w:gridCol w:w="772"/>
        <w:gridCol w:w="655"/>
        <w:gridCol w:w="660"/>
        <w:gridCol w:w="304"/>
        <w:gridCol w:w="1375"/>
        <w:gridCol w:w="168"/>
        <w:gridCol w:w="109"/>
        <w:gridCol w:w="109"/>
        <w:gridCol w:w="109"/>
        <w:gridCol w:w="782"/>
        <w:gridCol w:w="782"/>
        <w:gridCol w:w="785"/>
        <w:gridCol w:w="109"/>
        <w:gridCol w:w="109"/>
        <w:gridCol w:w="109"/>
        <w:gridCol w:w="348"/>
        <w:gridCol w:w="348"/>
        <w:gridCol w:w="350"/>
        <w:gridCol w:w="109"/>
        <w:gridCol w:w="109"/>
        <w:gridCol w:w="109"/>
        <w:gridCol w:w="303"/>
        <w:gridCol w:w="1348"/>
        <w:gridCol w:w="244"/>
      </w:tblGrid>
      <w:tr>
        <w:trPr/>
        <w:tc>
          <w:tcPr>
            <w:tcW w:w="77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Stated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Borrowings</w:t>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Loans payable</w:t>
            </w:r>
          </w:p>
        </w:tc>
        <w:tc>
          <w:tcPr>
            <w:tcW w:w="1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Revolving Credit Facility </w:t>
            </w:r>
            <w:r>
              <w:rPr>
                <w:rFonts w:ascii="Arial;sans-serif" w:hAnsi="Arial;sans-serif"/>
                <w:b w:val="false"/>
                <w:color w:val="000000"/>
                <w:sz w:val="10"/>
              </w:rPr>
              <w:t>(1)</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250,000</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Base Rate + 1.75%; or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Adjusted Term SOFR Rate + 2.75%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 payable</w:t>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250,000</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Bonds payable</w:t>
            </w:r>
          </w:p>
        </w:tc>
        <w:tc>
          <w:tcPr>
            <w:tcW w:w="1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Senior Notes due 2025 </w:t>
            </w:r>
            <w:r>
              <w:rPr>
                <w:rFonts w:ascii="Arial;sans-serif" w:hAnsi="Arial;sans-serif"/>
                <w:b w:val="false"/>
                <w:color w:val="000000"/>
                <w:sz w:val="10"/>
              </w:rPr>
              <w:t>(2)</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652,297</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653,036 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Senior Notes due 2027</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400,000</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Senior Notes due 2028 </w:t>
            </w:r>
            <w:r>
              <w:rPr>
                <w:rFonts w:ascii="Arial;sans-serif" w:hAnsi="Arial;sans-serif"/>
                <w:b w:val="false"/>
                <w:color w:val="000000"/>
                <w:sz w:val="10"/>
              </w:rPr>
              <w:t>(3)</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1,001,834</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1,002,091 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bonds payable</w:t>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2,054,131</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2,055,127 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Debt</w:t>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2,304,131</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2,205,127 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Debt issuance costs</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(24,801)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(29,400)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 net</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2,279,330</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2,175,727 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 due within one year</w:t>
            </w:r>
          </w:p>
        </w:tc>
        <w:tc>
          <w:tcPr>
            <w:tcW w:w="3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6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Requires a quarterly commitment fee at a rate of 0.50% on the average daily unused portion, as well as customary letter of credit fees and agency fees. </w:t>
      </w:r>
    </w:p>
    <w:p>
      <w:pPr>
        <w:pStyle w:val="TextBody"/>
        <w:bidi w:val="0"/>
        <w:spacing w:lineRule="auto" w:line="288" w:before="60" w:after="283"/>
        <w:ind w:left="0" w:right="0" w:hanging="18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w:t>
      </w:r>
      <w:r>
        <w:rPr>
          <w:rFonts w:ascii="Arial;sans-serif" w:hAnsi="Arial;sans-serif"/>
          <w:b w:val="false"/>
          <w:color w:val="000000"/>
          <w:sz w:val="16"/>
          <w:shd w:fill="FFFFFF" w:val="clear"/>
        </w:rPr>
        <w:t>s an unamortized discount of $</w:t>
      </w:r>
      <w:r>
        <w:rPr>
          <w:rFonts w:ascii="Arial;sans-serif" w:hAnsi="Arial;sans-serif"/>
          <w:b w:val="false"/>
          <w:color w:val="000000"/>
          <w:sz w:val="16"/>
        </w:rPr>
        <w:t>982</w:t>
      </w:r>
      <w:r>
        <w:rPr>
          <w:color w:val="000000"/>
          <w:shd w:fill="FFFFFF" w:val="clear"/>
        </w:rPr>
        <w:t xml:space="preserve"> </w:t>
      </w:r>
      <w:r>
        <w:rPr>
          <w:rFonts w:ascii="Arial;sans-serif" w:hAnsi="Arial;sans-serif"/>
          <w:b w:val="false"/>
          <w:color w:val="000000"/>
          <w:sz w:val="16"/>
          <w:shd w:fill="FFFFFF" w:val="clear"/>
        </w:rPr>
        <w:t>and $1,318 at September 30, 2023 and December 31, 2022, respectively, and an unamortized premium of $</w:t>
      </w:r>
      <w:r>
        <w:rPr>
          <w:rFonts w:ascii="Arial;sans-serif" w:hAnsi="Arial;sans-serif"/>
          <w:b w:val="false"/>
          <w:color w:val="000000"/>
          <w:sz w:val="16"/>
        </w:rPr>
        <w:t>3,279</w:t>
      </w:r>
      <w:r>
        <w:rPr>
          <w:color w:val="000000"/>
          <w:shd w:fill="FFFFFF" w:val="clear"/>
        </w:rPr>
        <w:t xml:space="preserve"> </w:t>
      </w:r>
      <w:r>
        <w:rPr>
          <w:rFonts w:ascii="Arial;sans-serif" w:hAnsi="Arial;sans-serif"/>
          <w:b w:val="false"/>
          <w:color w:val="000000"/>
          <w:sz w:val="16"/>
          <w:shd w:fill="FFFFFF" w:val="clear"/>
        </w:rPr>
        <w:t>and $4,354 at September 30, 2023 and December 31, 2022, respectively.</w:t>
      </w:r>
    </w:p>
    <w:p>
      <w:pPr>
        <w:pStyle w:val="TextBody"/>
        <w:bidi w:val="0"/>
        <w:spacing w:lineRule="auto" w:line="288" w:before="60" w:after="283"/>
        <w:ind w:left="0" w:right="0" w:hanging="180"/>
        <w:jc w:val="both"/>
        <w:rPr/>
      </w:pPr>
      <w:r>
        <w:rPr>
          <w:rFonts w:ascii="Arial;sans-serif" w:hAnsi="Arial;sans-serif"/>
          <w:b w:val="false"/>
          <w:color w:val="000000"/>
          <w:sz w:val="10"/>
          <w:shd w:fill="FFFFFF" w:val="clear"/>
        </w:rPr>
        <w:t>(3)</w:t>
      </w:r>
      <w:r>
        <w:rPr>
          <w:color w:val="000000"/>
          <w:shd w:fill="FFFFFF" w:val="clear"/>
        </w:rPr>
        <w:t xml:space="preserve"> </w:t>
      </w:r>
      <w:r>
        <w:rPr>
          <w:rFonts w:ascii="Arial;sans-serif" w:hAnsi="Arial;sans-serif"/>
          <w:b w:val="false"/>
          <w:color w:val="000000"/>
          <w:sz w:val="16"/>
          <w:shd w:fill="FFFFFF" w:val="clear"/>
        </w:rPr>
        <w:t>Includes an unamortized premium of $</w:t>
      </w:r>
      <w:r>
        <w:rPr>
          <w:rFonts w:ascii="Arial;sans-serif" w:hAnsi="Arial;sans-serif"/>
          <w:b w:val="false"/>
          <w:color w:val="000000"/>
          <w:sz w:val="16"/>
        </w:rPr>
        <w:t>1,834</w:t>
      </w:r>
      <w:r>
        <w:rPr>
          <w:color w:val="000000"/>
          <w:shd w:fill="FFFFFF" w:val="clear"/>
        </w:rPr>
        <w:t xml:space="preserve"> </w:t>
      </w:r>
      <w:r>
        <w:rPr>
          <w:rFonts w:ascii="Arial;sans-serif" w:hAnsi="Arial;sans-serif"/>
          <w:b w:val="false"/>
          <w:color w:val="000000"/>
          <w:sz w:val="16"/>
          <w:shd w:fill="FFFFFF" w:val="clear"/>
        </w:rPr>
        <w:t>and $2,091</w:t>
      </w:r>
      <w:r>
        <w:rPr>
          <w:color w:val="000000"/>
        </w:rPr>
        <w:t xml:space="preserve"> </w:t>
      </w:r>
      <w:r>
        <w:rPr>
          <w:rFonts w:ascii="Arial;sans-serif" w:hAnsi="Arial;sans-serif"/>
          <w:b w:val="false"/>
          <w:color w:val="000000"/>
          <w:sz w:val="16"/>
        </w:rPr>
        <w:t>at September 30, 2023 and December 31, 2022,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were in compliance with all debt covenants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8. FAIR VALUE MEASUREMENTS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Fair value measurements and disclosures require the use of valuation techniques to measure fair value that maximize the use of observable inputs and minimize use of unobservable inputs. These inputs are prioritized as follows: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Level 1: Observable inputs such as quoted prices in active markets for identical assets or liabilities.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Level 2: Inputs other than quoted prices included within Level 1 that are observable, either directly or indirectly, such as quoted prices for similar assets or liabilities or market corroborated inputs.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Level 3: Unobservable inputs for which there is little or no market data and which require us to develop our own assumptions about how market participants price the asset or liability. </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The valuation techniques that may be used to measure fair value are as follows: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Market approach—Uses prices and other relevant information generated by market transactions involving identical or comparable assets or liabilities.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Income approach—Uses valuation techniques to convert future amounts to a single present amount based on current market expectations about those future amounts.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Cost approach—Based on the amount that currently would be required to replace the service capacity of an asset (replacement cost).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Except as discussed below, our financial instruments other than cash and cash equivalents and restricted cash consist principally of accounts receivable, notes receivable, accounts payable and accrued liabilities, loans payable, security deposits, maintenance deposits and management fees payable, whose fair values approximate their carrying values based on an evaluation of pricing data, vendor quotes, and historical trading activity or due to their short maturity profiles.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2740"/>
                <wp:effectExtent l="0" t="0" r="0" b="0"/>
                <wp:wrapNone/>
                <wp:docPr id="20" name="Frame1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value of our bonds payable reported as Debt, net in the Consolidated Balance Sheets are presented in the table below and classified as Level 2 within the fair value hierarchy:</w:t>
      </w:r>
    </w:p>
    <w:tbl>
      <w:tblPr>
        <w:tblW w:w="5364" w:type="dxa"/>
        <w:jc w:val="left"/>
        <w:tblInd w:w="0" w:type="dxa"/>
        <w:tblLayout w:type="fixed"/>
        <w:tblCellMar>
          <w:top w:w="28" w:type="dxa"/>
          <w:left w:w="28" w:type="dxa"/>
          <w:bottom w:w="28" w:type="dxa"/>
          <w:right w:w="28" w:type="dxa"/>
        </w:tblCellMar>
      </w:tblPr>
      <w:tblGrid>
        <w:gridCol w:w="646"/>
        <w:gridCol w:w="566"/>
        <w:gridCol w:w="572"/>
        <w:gridCol w:w="544"/>
        <w:gridCol w:w="544"/>
        <w:gridCol w:w="546"/>
        <w:gridCol w:w="109"/>
        <w:gridCol w:w="109"/>
        <w:gridCol w:w="109"/>
        <w:gridCol w:w="474"/>
        <w:gridCol w:w="474"/>
        <w:gridCol w:w="671"/>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2025</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639,633</w:t>
            </w:r>
            <w:r>
              <w:rPr>
                <w:color w:val="000000"/>
              </w:rPr>
              <w:t>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613,152 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2027</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413,836</w:t>
            </w: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402,032 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2028</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907,380</w:t>
            </w:r>
            <w:r>
              <w:rPr>
                <w:color w:val="000000"/>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853,490 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value of all other items reported as Debt, net in the Consolidated Balance Sheets approximate their carrying values due to their bearing market rates of interest and are classified as Level 2 within the fair value hierarchy.</w:t>
      </w:r>
    </w:p>
    <w:p>
      <w:pPr>
        <w:pStyle w:val="TextBody"/>
        <w:bidi w:val="0"/>
        <w:spacing w:lineRule="auto" w:line="288" w:before="120" w:after="283"/>
        <w:jc w:val="both"/>
        <w:rPr/>
      </w:pPr>
      <w:r>
        <w:rPr>
          <w:rFonts w:ascii="Arial;sans-serif" w:hAnsi="Arial;sans-serif"/>
          <w:b w:val="false"/>
          <w:color w:val="000000"/>
          <w:sz w:val="18"/>
        </w:rPr>
        <w:t xml:space="preserve">The Company has contingent obligations under ASC 460, </w:t>
      </w:r>
      <w:r>
        <w:rPr>
          <w:rFonts w:ascii="Arial;sans-serif" w:hAnsi="Arial;sans-serif"/>
          <w:b w:val="false"/>
          <w:i/>
          <w:color w:val="000000"/>
          <w:sz w:val="18"/>
        </w:rPr>
        <w:t>Guarantees</w:t>
      </w:r>
      <w:r>
        <w:rPr>
          <w:rFonts w:ascii="Arial;sans-serif" w:hAnsi="Arial;sans-serif"/>
          <w:b w:val="false"/>
          <w:color w:val="000000"/>
          <w:sz w:val="18"/>
        </w:rPr>
        <w:t>, in connection with certain sales of aircraft on lease, which are measured at fair value. The guarantees are valued a</w:t>
      </w:r>
      <w:r>
        <w:rPr>
          <w:rFonts w:ascii="Arial;sans-serif" w:hAnsi="Arial;sans-serif"/>
          <w:b w:val="false"/>
          <w:color w:val="000000"/>
          <w:sz w:val="18"/>
          <w:shd w:fill="FFFFFF" w:val="clear"/>
        </w:rPr>
        <w:t>t $7.0 million</w:t>
      </w:r>
      <w:r>
        <w:rPr>
          <w:color w:val="000000"/>
        </w:rPr>
        <w:t xml:space="preserve"> </w:t>
      </w:r>
      <w:r>
        <w:rPr>
          <w:rFonts w:ascii="Arial;sans-serif" w:hAnsi="Arial;sans-serif"/>
          <w:b w:val="false"/>
          <w:color w:val="000000"/>
          <w:sz w:val="18"/>
        </w:rPr>
        <w:t>and $3.8 million as of September 30, 2023 and December 31, 2022, respectively, and are reflected as a component of Other liabilities on the Consolidated Balance Sheets. The fair values of the guarantees are determined based on the estimated condition of the e</w:t>
      </w:r>
      <w:r>
        <w:rPr>
          <w:rFonts w:ascii="Arial;sans-serif" w:hAnsi="Arial;sans-serif"/>
          <w:b w:val="false"/>
          <w:color w:val="000000"/>
          <w:sz w:val="18"/>
          <w:shd w:fill="FFFFFF" w:val="clear"/>
        </w:rPr>
        <w:t>ngines at the end of each lease term, the estimated cost of replacement and applicable discount rates, and are classified as Level 3. During the nine months ended September 30, 2023, the Company recorded a $4.9 million increase in guarantees related to the sale of seven a</w:t>
      </w:r>
      <w:r>
        <w:rPr>
          <w:rFonts w:ascii="Arial;sans-serif" w:hAnsi="Arial;sans-serif"/>
          <w:b w:val="false"/>
          <w:color w:val="000000"/>
          <w:sz w:val="18"/>
        </w:rPr>
        <w:t>ircraft and a</w:t>
      </w:r>
      <w:r>
        <w:rPr>
          <w:color w:val="000000"/>
          <w:shd w:fill="FFFFFF" w:val="clear"/>
        </w:rPr>
        <w:t xml:space="preserve"> </w:t>
      </w:r>
      <w:r>
        <w:rPr>
          <w:rFonts w:ascii="Arial;sans-serif" w:hAnsi="Arial;sans-serif"/>
          <w:b w:val="false"/>
          <w:color w:val="000000"/>
          <w:sz w:val="18"/>
          <w:shd w:fill="FFFFFF" w:val="clear"/>
        </w:rPr>
        <w:t>$1.7 million de</w:t>
      </w:r>
      <w:r>
        <w:rPr>
          <w:rFonts w:ascii="Arial;sans-serif" w:hAnsi="Arial;sans-serif"/>
          <w:b w:val="false"/>
          <w:color w:val="000000"/>
          <w:sz w:val="18"/>
        </w:rPr>
        <w:t>crease related to the change in fair value, which is recorded as Asset sales revenue in the Consolidated Statements of Operations.</w:t>
      </w:r>
    </w:p>
    <w:p>
      <w:pPr>
        <w:pStyle w:val="TextBody"/>
        <w:bidi w:val="0"/>
        <w:spacing w:lineRule="auto" w:line="288" w:before="120" w:after="283"/>
        <w:jc w:val="both"/>
        <w:rPr/>
      </w:pPr>
      <w:r>
        <w:rPr>
          <w:rFonts w:ascii="Arial;sans-serif" w:hAnsi="Arial;sans-serif"/>
          <w:b w:val="false"/>
          <w:color w:val="000000"/>
          <w:sz w:val="18"/>
        </w:rPr>
        <w:t xml:space="preserve">We measure the fair value of certain assets on a non-recurring basis when U.S. GAAP requires the application of fair value, including events or changes in circumstances that indicate that the carrying amounts of assets may not be recoverable. Assets subject to these measurements include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w:t>
      </w:r>
      <w:r>
        <w:rPr>
          <w:rFonts w:ascii="Times New Roman;sans-serif" w:hAnsi="Times New Roman;sans-serif"/>
          <w:b w:val="false"/>
          <w:color w:val="000000"/>
          <w:sz w:val="18"/>
        </w:rPr>
        <w:t>l</w:t>
      </w:r>
      <w:r>
        <w:rPr>
          <w:rFonts w:ascii="Arial;sans-serif" w:hAnsi="Arial;sans-serif"/>
          <w:b w:val="false"/>
          <w:color w:val="000000"/>
          <w:sz w:val="18"/>
        </w:rPr>
        <w:t>easing and eventual sale of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9. EQUITY-BASED COMPENSATION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In 2015, we established a Nonqualified Stock Option and Incentive Award Plan (“Incentive Plan”) which provides for the ability to grant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 </w:t>
      </w:r>
    </w:p>
    <w:p>
      <w:pPr>
        <w:pStyle w:val="TextBody"/>
        <w:bidi w:val="0"/>
        <w:spacing w:lineRule="auto" w:line="288" w:before="120" w:after="283"/>
        <w:jc w:val="both"/>
        <w:rPr/>
      </w:pPr>
      <w:r>
        <w:rPr>
          <w:rFonts w:ascii="Arial;sans-serif" w:hAnsi="Arial;sans-serif"/>
          <w:b w:val="false"/>
          <w:color w:val="000000"/>
          <w:sz w:val="18"/>
        </w:rPr>
        <w:t xml:space="preserve">As of September 30, 2023, the Incentive Plan provides for the issuance of up to 29.8 million shares. We account for equity-based compensation expense in accordance with ASC 718 </w:t>
      </w:r>
      <w:r>
        <w:rPr>
          <w:rFonts w:ascii="Arial;sans-serif" w:hAnsi="Arial;sans-serif"/>
          <w:b w:val="false"/>
          <w:i/>
          <w:color w:val="000000"/>
          <w:sz w:val="18"/>
        </w:rPr>
        <w:t xml:space="preserve">Compensation-Stock Compensation </w:t>
      </w:r>
      <w:r>
        <w:rPr>
          <w:rFonts w:ascii="Arial;sans-serif" w:hAnsi="Arial;sans-serif"/>
          <w:b w:val="false"/>
          <w:color w:val="000000"/>
          <w:sz w:val="18"/>
        </w:rPr>
        <w:t xml:space="preserve">and is reported within operating expenses and general and administrative in the Consolidated Statements of Operations.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Consolidated Statements of Operations includes the following expense related to our stock-based compensation arrangements:</w:t>
      </w:r>
    </w:p>
    <w:tbl>
      <w:tblPr>
        <w:tblW w:w="10205" w:type="dxa"/>
        <w:jc w:val="left"/>
        <w:tblInd w:w="0" w:type="dxa"/>
        <w:tblLayout w:type="fixed"/>
        <w:tblCellMar>
          <w:top w:w="28" w:type="dxa"/>
          <w:left w:w="28" w:type="dxa"/>
          <w:bottom w:w="28" w:type="dxa"/>
          <w:right w:w="28" w:type="dxa"/>
        </w:tblCellMar>
      </w:tblPr>
      <w:tblGrid>
        <w:gridCol w:w="367"/>
        <w:gridCol w:w="323"/>
        <w:gridCol w:w="325"/>
        <w:gridCol w:w="228"/>
        <w:gridCol w:w="507"/>
        <w:gridCol w:w="126"/>
        <w:gridCol w:w="126"/>
        <w:gridCol w:w="126"/>
        <w:gridCol w:w="126"/>
        <w:gridCol w:w="228"/>
        <w:gridCol w:w="472"/>
        <w:gridCol w:w="126"/>
        <w:gridCol w:w="109"/>
        <w:gridCol w:w="109"/>
        <w:gridCol w:w="109"/>
        <w:gridCol w:w="220"/>
        <w:gridCol w:w="641"/>
        <w:gridCol w:w="122"/>
        <w:gridCol w:w="122"/>
        <w:gridCol w:w="122"/>
        <w:gridCol w:w="122"/>
        <w:gridCol w:w="220"/>
        <w:gridCol w:w="455"/>
        <w:gridCol w:w="122"/>
        <w:gridCol w:w="109"/>
        <w:gridCol w:w="109"/>
        <w:gridCol w:w="109"/>
        <w:gridCol w:w="516"/>
        <w:gridCol w:w="1505"/>
        <w:gridCol w:w="288"/>
        <w:gridCol w:w="585"/>
        <w:gridCol w:w="585"/>
        <w:gridCol w:w="846"/>
      </w:tblGrid>
      <w:tr>
        <w:trPr/>
        <w:tc>
          <w:tcPr>
            <w:tcW w:w="3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Expense To Be Recognized, If All Vesting Conditions Are Met</w:t>
            </w:r>
          </w:p>
        </w:tc>
        <w:tc>
          <w:tcPr>
            <w:tcW w:w="20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Term (in years)</w:t>
            </w:r>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vMerge w:val="continue"/>
            <w:tcBorders/>
            <w:tcMar>
              <w:top w:w="0" w:type="dxa"/>
              <w:left w:w="0" w:type="dxa"/>
              <w:bottom w:w="0" w:type="dxa"/>
              <w:right w:w="0" w:type="dxa"/>
            </w:tcMar>
            <w:vAlign w:val="center"/>
          </w:tcPr>
          <w:p>
            <w:pPr>
              <w:pStyle w:val="Normal"/>
              <w:bidi w:val="0"/>
              <w:jc w:val="left"/>
              <w:rPr/>
            </w:pPr>
            <w:r>
              <w:rPr/>
            </w:r>
          </w:p>
        </w:tc>
        <w:tc>
          <w:tcPr>
            <w:tcW w:w="20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1,128</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7,643</w:t>
            </w:r>
            <w:r>
              <w:rPr>
                <w:color w:val="000000"/>
              </w:rPr>
              <w:t>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 years</w:t>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r>
      <w:tr>
        <w:trPr/>
        <w:tc>
          <w:tcPr>
            <w:tcW w:w="10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Options</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connection with our March 2023 offering of preferred shares (see Note 13), we granted options to the Manager related to 248,947 ordinary shares at an exercise price of $26.11, which had a grant date fair value of $2.1 million. The assumptions used in valuing the options were: a 3.471% risk-free rate, a 6.263% dividend yield, a 37.879% volatility and a ten-year term.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nine months ended September 30, 2023, the Manager did not transfer any options to employees.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Restricted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nine months ended September 30, 2023, we issued restricted shares of the Company to select employees of FTAI Aviation LLC (a wholly owned subsidiary of the Company) that had a grant date fair value of $8.8 million and vest over 4.3 years. These awards are subject to continued employment, and the compensation expense is recognized ratably over the vesting periods, with 50% of the units vesting on June 30, 2026 and the remaining units vesting on June 30, 2027. The fair value of these awards were calculated based on the closing price of FTAI Aviation Ltd.’s ordinary shares on grant date of March 13,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2740"/>
                <wp:effectExtent l="0" t="0" r="0" b="0"/>
                <wp:wrapNone/>
                <wp:docPr id="21" name="Frame2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10. INCOME TAXES</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current and deferred components of the income tax provision included in the Consolidated Statements of Operations are as follows: </w:t>
      </w:r>
    </w:p>
    <w:tbl>
      <w:tblPr>
        <w:tblW w:w="8523" w:type="dxa"/>
        <w:jc w:val="left"/>
        <w:tblInd w:w="0" w:type="dxa"/>
        <w:tblLayout w:type="fixed"/>
        <w:tblCellMar>
          <w:top w:w="28" w:type="dxa"/>
          <w:left w:w="28" w:type="dxa"/>
          <w:bottom w:w="28" w:type="dxa"/>
          <w:right w:w="28" w:type="dxa"/>
        </w:tblCellMar>
      </w:tblPr>
      <w:tblGrid>
        <w:gridCol w:w="868"/>
        <w:gridCol w:w="763"/>
        <w:gridCol w:w="769"/>
        <w:gridCol w:w="277"/>
        <w:gridCol w:w="809"/>
        <w:gridCol w:w="154"/>
        <w:gridCol w:w="154"/>
        <w:gridCol w:w="154"/>
        <w:gridCol w:w="154"/>
        <w:gridCol w:w="277"/>
        <w:gridCol w:w="788"/>
        <w:gridCol w:w="154"/>
        <w:gridCol w:w="109"/>
        <w:gridCol w:w="109"/>
        <w:gridCol w:w="109"/>
        <w:gridCol w:w="267"/>
        <w:gridCol w:w="780"/>
        <w:gridCol w:w="148"/>
        <w:gridCol w:w="148"/>
        <w:gridCol w:w="148"/>
        <w:gridCol w:w="148"/>
        <w:gridCol w:w="267"/>
        <w:gridCol w:w="759"/>
        <w:gridCol w:w="210"/>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w:t>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Cayman Islands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provision (benefit)</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1,612</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Cayman Islands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2,344</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3,562</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provision</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2,847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5,974</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Provision for income taxes:</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7,586</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7,586</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Company is an exempted entity domiciled in the Cayman Islands where income taxes are not imposed. The Company is considered a Passive Foreign Investment Company for U.S. income tax purposes and certain income taxes are imposed on our owners. Taxable income or loss generated by our corporate subsidiaries is subject to U.S. federal, state and foreign corporate income tax in locations where they conduct business.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and for the nine months ended September 30, 2023,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2019. We do not believe that it is reasonably possible that the total amount of unrecognized tax benefits will significantly change within 12 months of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11. MANAGEMENT AGREEMENT AND AFFILIATE TRANSACTIONS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spin-off of FTAI Infrastructure on August 1, 2022, we assigned our then-existing management and advisory agreement, dated as of May 20, 2015, with our Manager to FTAI Infrastructure. On July 31, 2022, we entered into a new management and advisory agreement (the “Management Agreement”), by and among FTAI LLC, FTAI Aviation Ltd., and each of the subsidiaries that are party thereto and the Manager, with substantially similar terms and conditions as the existing management and advisory agreement.</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0.01% of FTAI Aviation Holdco Ltd.</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The Manager is entitled to a management fee and reimbursement of certain expenses. The management fee is determined by taking the average value of total equity (excluding non-controlling interests) determined on a consolidated basis in accordance with U.S. GAAP at the end of the two most recently completed months multiplied by an annual rate of 1.50%, and is payable monthly in arrears in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2740"/>
                <wp:effectExtent l="0" t="0" r="0" b="0"/>
                <wp:wrapNone/>
                <wp:docPr id="22" name="Frame2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Master GP is entitled to incentive allocations (comprised of income incentive allocation and capital gains incentive allocation, defined below). 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U.S.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Master GP during the relevant quarter.</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One of our subsidiaries allocates and distributes to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Master GP.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summarizes the management fees, income incentive allocation and capital gains incentive allocation from continuing operations:</w:t>
      </w:r>
    </w:p>
    <w:tbl>
      <w:tblPr>
        <w:tblW w:w="8583" w:type="dxa"/>
        <w:jc w:val="left"/>
        <w:tblInd w:w="0" w:type="dxa"/>
        <w:tblLayout w:type="fixed"/>
        <w:tblCellMar>
          <w:top w:w="28" w:type="dxa"/>
          <w:left w:w="28" w:type="dxa"/>
          <w:bottom w:w="28" w:type="dxa"/>
          <w:right w:w="28" w:type="dxa"/>
        </w:tblCellMar>
      </w:tblPr>
      <w:tblGrid>
        <w:gridCol w:w="890"/>
        <w:gridCol w:w="782"/>
        <w:gridCol w:w="787"/>
        <w:gridCol w:w="327"/>
        <w:gridCol w:w="955"/>
        <w:gridCol w:w="182"/>
        <w:gridCol w:w="182"/>
        <w:gridCol w:w="182"/>
        <w:gridCol w:w="182"/>
        <w:gridCol w:w="327"/>
        <w:gridCol w:w="403"/>
        <w:gridCol w:w="182"/>
        <w:gridCol w:w="109"/>
        <w:gridCol w:w="109"/>
        <w:gridCol w:w="109"/>
        <w:gridCol w:w="299"/>
        <w:gridCol w:w="1010"/>
        <w:gridCol w:w="166"/>
        <w:gridCol w:w="166"/>
        <w:gridCol w:w="166"/>
        <w:gridCol w:w="166"/>
        <w:gridCol w:w="299"/>
        <w:gridCol w:w="368"/>
        <w:gridCol w:w="235"/>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597</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incentive allocation</w:t>
            </w:r>
          </w:p>
        </w:tc>
        <w:tc>
          <w:tcPr>
            <w:tcW w:w="12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4,274</w:t>
            </w: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12,540</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gains incentive allocation</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4,577</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13,137</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by us, costs to obtain liability insurance to indemnify our directors and officers and the compensation and expenses of our transfer agent.</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The following table summarizes our reimbursements to the Manager from continuing operations: </w:t>
      </w:r>
    </w:p>
    <w:tbl>
      <w:tblPr>
        <w:tblW w:w="10205" w:type="dxa"/>
        <w:jc w:val="left"/>
        <w:tblInd w:w="0" w:type="dxa"/>
        <w:tblLayout w:type="fixed"/>
        <w:tblCellMar>
          <w:top w:w="28" w:type="dxa"/>
          <w:left w:w="28" w:type="dxa"/>
          <w:bottom w:w="28" w:type="dxa"/>
          <w:right w:w="28" w:type="dxa"/>
        </w:tblCellMar>
      </w:tblPr>
      <w:tblGrid>
        <w:gridCol w:w="1573"/>
        <w:gridCol w:w="1381"/>
        <w:gridCol w:w="1389"/>
        <w:gridCol w:w="263"/>
        <w:gridCol w:w="770"/>
        <w:gridCol w:w="146"/>
        <w:gridCol w:w="146"/>
        <w:gridCol w:w="146"/>
        <w:gridCol w:w="146"/>
        <w:gridCol w:w="263"/>
        <w:gridCol w:w="750"/>
        <w:gridCol w:w="146"/>
        <w:gridCol w:w="109"/>
        <w:gridCol w:w="109"/>
        <w:gridCol w:w="109"/>
        <w:gridCol w:w="255"/>
        <w:gridCol w:w="746"/>
        <w:gridCol w:w="141"/>
        <w:gridCol w:w="141"/>
        <w:gridCol w:w="141"/>
        <w:gridCol w:w="141"/>
        <w:gridCol w:w="255"/>
        <w:gridCol w:w="726"/>
        <w:gridCol w:w="213"/>
      </w:tblGrid>
      <w:tr>
        <w:trPr/>
        <w:tc>
          <w:tcPr>
            <w:tcW w:w="157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Classification in the Consolidated Statements of Operations:</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1,592</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5,096</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381</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1,764</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5,477</w:t>
            </w: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2740"/>
                <wp:effectExtent l="0" t="0" r="0" b="0"/>
                <wp:wrapNone/>
                <wp:docPr id="23" name="Frame2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Master GP if Master GP is removed due to the termination of the Management Agreement in certain specified circumstances. The Incentive Allocation Fair Value Amount is an amount equal to the Income Incentive Allocation and the Capital Gains Incentive Allocation that would be paid to Master GP if our assets were sold for cash at their then current fair market value (as determined by an appraisal, taking into account, among other things, the expected future value of the underlying investments).</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Upon the successful completion of an offering of our ordinary shares or other equity securities (including securities issued as consideration in an acquisition), we grant the Manager options to purchase ordinary shares in an amount equal to 10% of the number of ordinary shares being sold in the offering (or if the issuance relates to equity securities other than our ordinary shares, options to purchase a number of ordinary shares equal to 10% of the gross capital raised in the equity issuance divided by the fair market value of an ordinary share as of the date of issuance), with an exercise price equal to the offering price per share paid by the public or other ultimate purchaser or attributed to such securities in connection with an acquisition (or the fair market value of an ordinary share as of the date of the equity issuance if it relates to equity securities other than our ordinary shares). Any ultimate purchaser of ordinary shares for which such options are granted may be an affiliate of the Manager.</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summarizes amounts due to the Manager, which are included within accounts payable and accrued liabilities in the Consolidated Balance Sheets:</w:t>
      </w:r>
    </w:p>
    <w:tbl>
      <w:tblPr>
        <w:tblW w:w="5666" w:type="dxa"/>
        <w:jc w:val="left"/>
        <w:tblInd w:w="0" w:type="dxa"/>
        <w:tblLayout w:type="fixed"/>
        <w:tblCellMar>
          <w:top w:w="28" w:type="dxa"/>
          <w:left w:w="28" w:type="dxa"/>
          <w:bottom w:w="28" w:type="dxa"/>
          <w:right w:w="28" w:type="dxa"/>
        </w:tblCellMar>
      </w:tblPr>
      <w:tblGrid>
        <w:gridCol w:w="755"/>
        <w:gridCol w:w="663"/>
        <w:gridCol w:w="667"/>
        <w:gridCol w:w="432"/>
        <w:gridCol w:w="961"/>
        <w:gridCol w:w="241"/>
        <w:gridCol w:w="109"/>
        <w:gridCol w:w="109"/>
        <w:gridCol w:w="109"/>
        <w:gridCol w:w="466"/>
        <w:gridCol w:w="786"/>
        <w:gridCol w:w="368"/>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management fees</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payables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5,354</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4,688 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8"/>
        </w:rPr>
        <w:t>As of September 30, 2023 and December 31, 2022</w:t>
      </w:r>
      <w:r>
        <w:rPr>
          <w:rFonts w:ascii="Arial;sans-serif" w:hAnsi="Arial;sans-serif"/>
          <w:b w:val="false"/>
          <w:color w:val="000000"/>
          <w:sz w:val="18"/>
          <w:shd w:fill="FFFFFF" w:val="clear"/>
        </w:rPr>
        <w:t xml:space="preserve">, there were no receivables from the Manager.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12. SEGMENT INFORMATION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and repairs and sells, through exclusivity arrangements, aftermarket components for aircraft engines.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accounting policies of the segments are the same as those described in the summary of significant accounting policies; however, financial information presented by segment includes the impact of intercompany eliminations. Our Chief Executive Officer is our Chief Operating Decision Maker (“CODM”). Segment information is presented in the same manner that our CODM reviews the operating results in assessing performance and allocating resources. The CODM evaluates performance for each reportable segment primarily based on Adjusted EBITDA. Historically, the CODM’s assessment of segment performance included asset information. The CODM determined that segment asset information is not a key factor in measuring performance or allocating resources. Therefore, segment asset information is not included in the tables below as it is not provided to or reviewed by our CODM.</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 EBITDA.</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We believe that net income (loss) attributable to shareholders from continuing operations, as defined by U.S. GAAP, is the most appropriate earnings measurement with which to reconcile Adjusted EBITDA. Adjusted EBITDA should not be considered as an alternative to net income (loss) attributable to shareholders as determined in accordance with U.S. GAAP. The following tables set forth certain information for each reportable segment: </w:t>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2740"/>
                <wp:effectExtent l="0" t="0" r="0" b="0"/>
                <wp:wrapNone/>
                <wp:docPr id="24" name="Frame2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both"/>
        <w:rPr>
          <w:rFonts w:ascii="Arial;sans-serif" w:hAnsi="Arial;sans-serif"/>
          <w:b/>
          <w:color w:val="00497F"/>
          <w:sz w:val="18"/>
        </w:rPr>
      </w:pPr>
      <w:r>
        <w:rPr>
          <w:rFonts w:ascii="Arial;sans-serif" w:hAnsi="Arial;sans-serif"/>
          <w:b/>
          <w:color w:val="00497F"/>
          <w:sz w:val="18"/>
        </w:rPr>
        <w:t>I. For the Three Months Ended September 30, 2023</w:t>
      </w:r>
    </w:p>
    <w:tbl>
      <w:tblPr>
        <w:tblW w:w="10205" w:type="dxa"/>
        <w:jc w:val="left"/>
        <w:tblInd w:w="0" w:type="dxa"/>
        <w:tblLayout w:type="fixed"/>
        <w:tblCellMar>
          <w:top w:w="28" w:type="dxa"/>
          <w:left w:w="28" w:type="dxa"/>
          <w:bottom w:w="28" w:type="dxa"/>
          <w:right w:w="28" w:type="dxa"/>
        </w:tblCellMar>
      </w:tblPr>
      <w:tblGrid>
        <w:gridCol w:w="1697"/>
        <w:gridCol w:w="1386"/>
        <w:gridCol w:w="1366"/>
        <w:gridCol w:w="237"/>
        <w:gridCol w:w="802"/>
        <w:gridCol w:w="132"/>
        <w:gridCol w:w="109"/>
        <w:gridCol w:w="109"/>
        <w:gridCol w:w="109"/>
        <w:gridCol w:w="261"/>
        <w:gridCol w:w="881"/>
        <w:gridCol w:w="145"/>
        <w:gridCol w:w="109"/>
        <w:gridCol w:w="109"/>
        <w:gridCol w:w="109"/>
        <w:gridCol w:w="255"/>
        <w:gridCol w:w="904"/>
        <w:gridCol w:w="141"/>
        <w:gridCol w:w="109"/>
        <w:gridCol w:w="109"/>
        <w:gridCol w:w="109"/>
        <w:gridCol w:w="196"/>
        <w:gridCol w:w="661"/>
        <w:gridCol w:w="160"/>
      </w:tblGrid>
      <w:tr>
        <w:trPr/>
        <w:tc>
          <w:tcPr>
            <w:tcW w:w="1697"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2023</w:t>
            </w:r>
          </w:p>
        </w:tc>
      </w:tr>
      <w:tr>
        <w:trPr/>
        <w:tc>
          <w:tcPr>
            <w:tcW w:w="4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Lease income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35,981</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9,641</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45,622</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63,925</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63,925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72,990</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72,990</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107,085</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107,085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1,392</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1,474</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172,978</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107,085</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11,033</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291,096</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Cost of sales </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55,398</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61,309</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116,707</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13,944</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5,947</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13,996</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33,887</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3,015</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2,329</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1,822</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4,577</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4,577</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41,141</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2,703</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43,959</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40,185</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40,185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112,812</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67,481</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66,298</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246,591</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income of unconsolidated entities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444</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507</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from continuing operations before income taxes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60,502</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39,758</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(55,248)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45,012</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2,332</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1,131</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58,170</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38,627</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(55,490)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from continuing operations attributable to non-controlling interests in consolidated subsidiaries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58,170</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38,627</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(63,824)</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32,973</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2740"/>
                <wp:effectExtent l="0" t="0" r="0" b="0"/>
                <wp:wrapNone/>
                <wp:docPr id="25" name="Frame2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income attributable to shareholders from continuing operations:</w:t>
      </w:r>
    </w:p>
    <w:tbl>
      <w:tblPr>
        <w:tblW w:w="10205" w:type="dxa"/>
        <w:jc w:val="left"/>
        <w:tblInd w:w="0" w:type="dxa"/>
        <w:tblLayout w:type="fixed"/>
        <w:tblCellMar>
          <w:top w:w="28" w:type="dxa"/>
          <w:left w:w="28" w:type="dxa"/>
          <w:bottom w:w="28" w:type="dxa"/>
          <w:right w:w="28" w:type="dxa"/>
        </w:tblCellMar>
      </w:tblPr>
      <w:tblGrid>
        <w:gridCol w:w="1623"/>
        <w:gridCol w:w="1242"/>
        <w:gridCol w:w="1247"/>
        <w:gridCol w:w="235"/>
        <w:gridCol w:w="902"/>
        <w:gridCol w:w="130"/>
        <w:gridCol w:w="109"/>
        <w:gridCol w:w="109"/>
        <w:gridCol w:w="109"/>
        <w:gridCol w:w="279"/>
        <w:gridCol w:w="942"/>
        <w:gridCol w:w="155"/>
        <w:gridCol w:w="109"/>
        <w:gridCol w:w="109"/>
        <w:gridCol w:w="109"/>
        <w:gridCol w:w="288"/>
        <w:gridCol w:w="915"/>
        <w:gridCol w:w="160"/>
        <w:gridCol w:w="109"/>
        <w:gridCol w:w="109"/>
        <w:gridCol w:w="109"/>
        <w:gridCol w:w="196"/>
        <w:gridCol w:w="751"/>
        <w:gridCol w:w="159"/>
      </w:tblGrid>
      <w:tr>
        <w:trPr/>
        <w:tc>
          <w:tcPr>
            <w:tcW w:w="162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2023</w:t>
            </w:r>
          </w:p>
        </w:tc>
      </w:tr>
      <w:tr>
        <w:trPr/>
        <w:tc>
          <w:tcPr>
            <w:tcW w:w="4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119,561</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40,586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(5,929)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154,218</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earnings of unconsolidated entities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(48,519)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(59,380)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(4,274)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(4,261)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income taxes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shareholders from continuing operations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32,973</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8155" w:type="dxa"/>
        <w:jc w:val="left"/>
        <w:tblInd w:w="0" w:type="dxa"/>
        <w:tblLayout w:type="fixed"/>
        <w:tblCellMar>
          <w:top w:w="28" w:type="dxa"/>
          <w:left w:w="28" w:type="dxa"/>
          <w:bottom w:w="28" w:type="dxa"/>
          <w:right w:w="28" w:type="dxa"/>
        </w:tblCellMar>
      </w:tblPr>
      <w:tblGrid>
        <w:gridCol w:w="428"/>
        <w:gridCol w:w="378"/>
        <w:gridCol w:w="379"/>
        <w:gridCol w:w="267"/>
        <w:gridCol w:w="1024"/>
        <w:gridCol w:w="148"/>
        <w:gridCol w:w="109"/>
        <w:gridCol w:w="109"/>
        <w:gridCol w:w="109"/>
        <w:gridCol w:w="317"/>
        <w:gridCol w:w="1216"/>
        <w:gridCol w:w="176"/>
        <w:gridCol w:w="109"/>
        <w:gridCol w:w="109"/>
        <w:gridCol w:w="109"/>
        <w:gridCol w:w="353"/>
        <w:gridCol w:w="1191"/>
        <w:gridCol w:w="196"/>
        <w:gridCol w:w="109"/>
        <w:gridCol w:w="109"/>
        <w:gridCol w:w="109"/>
        <w:gridCol w:w="196"/>
        <w:gridCol w:w="751"/>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2023</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48,267</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952</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11,033</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60,252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56,679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34,961</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91,640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55,959</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65,623</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121,582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11,919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5,549</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17,468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172,978</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107,085</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11,033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291,096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32740"/>
                <wp:effectExtent l="0" t="0" r="0" b="0"/>
                <wp:wrapNone/>
                <wp:docPr id="26" name="Frame2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18"/>
        </w:rPr>
      </w:pPr>
      <w:r>
        <w:rPr>
          <w:rFonts w:ascii="Arial;sans-serif" w:hAnsi="Arial;sans-serif"/>
          <w:b/>
          <w:color w:val="00497F"/>
          <w:sz w:val="18"/>
        </w:rPr>
        <w:t xml:space="preserve">II. For the Nine Months Ended September 30, 2023 </w:t>
      </w:r>
    </w:p>
    <w:tbl>
      <w:tblPr>
        <w:tblW w:w="10205" w:type="dxa"/>
        <w:jc w:val="left"/>
        <w:tblInd w:w="0" w:type="dxa"/>
        <w:tblLayout w:type="fixed"/>
        <w:tblCellMar>
          <w:top w:w="28" w:type="dxa"/>
          <w:left w:w="28" w:type="dxa"/>
          <w:bottom w:w="28" w:type="dxa"/>
          <w:right w:w="28" w:type="dxa"/>
        </w:tblCellMar>
      </w:tblPr>
      <w:tblGrid>
        <w:gridCol w:w="1555"/>
        <w:gridCol w:w="1277"/>
        <w:gridCol w:w="1262"/>
        <w:gridCol w:w="233"/>
        <w:gridCol w:w="894"/>
        <w:gridCol w:w="129"/>
        <w:gridCol w:w="109"/>
        <w:gridCol w:w="109"/>
        <w:gridCol w:w="109"/>
        <w:gridCol w:w="275"/>
        <w:gridCol w:w="928"/>
        <w:gridCol w:w="153"/>
        <w:gridCol w:w="109"/>
        <w:gridCol w:w="109"/>
        <w:gridCol w:w="109"/>
        <w:gridCol w:w="253"/>
        <w:gridCol w:w="1020"/>
        <w:gridCol w:w="141"/>
        <w:gridCol w:w="109"/>
        <w:gridCol w:w="109"/>
        <w:gridCol w:w="109"/>
        <w:gridCol w:w="196"/>
        <w:gridCol w:w="751"/>
        <w:gridCol w:w="157"/>
      </w:tblGrid>
      <w:tr>
        <w:trPr/>
        <w:tc>
          <w:tcPr>
            <w:tcW w:w="155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2023</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Lease income </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132,978</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28,163</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161,141</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141,131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141,131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283,167</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283,167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260,273</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260,273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6,773</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5,674</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12,447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564,049</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260,273</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33,837</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858,159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217,190</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149,719</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366,909</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28,610</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12,838</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39,770</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81,218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4,960</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1,137</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4,098</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10,195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13,137</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13,137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114,994</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8,107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123,399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117,976</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117,976</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366,974</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163,992</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193,358</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724,324</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(1,427)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860</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(1,427)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197,693</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94,854</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(159,504)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133,043</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4,414</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2,631</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541</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7,586</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193,279</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92,223</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(160,045)</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125,457</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non-controlling interests in consolidated subsidiaries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23,460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23,460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193,279</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92,223</w:t>
            </w: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(183,505)</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101,997</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32740"/>
                <wp:effectExtent l="0" t="0" r="0" b="0"/>
                <wp:wrapNone/>
                <wp:docPr id="27" name="Frame2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loss attributable to shareholders from continuing operations:</w:t>
      </w:r>
    </w:p>
    <w:tbl>
      <w:tblPr>
        <w:tblW w:w="10205" w:type="dxa"/>
        <w:jc w:val="left"/>
        <w:tblInd w:w="0" w:type="dxa"/>
        <w:tblLayout w:type="fixed"/>
        <w:tblCellMar>
          <w:top w:w="28" w:type="dxa"/>
          <w:left w:w="28" w:type="dxa"/>
          <w:bottom w:w="28" w:type="dxa"/>
          <w:right w:w="28" w:type="dxa"/>
        </w:tblCellMar>
      </w:tblPr>
      <w:tblGrid>
        <w:gridCol w:w="1615"/>
        <w:gridCol w:w="1234"/>
        <w:gridCol w:w="1240"/>
        <w:gridCol w:w="235"/>
        <w:gridCol w:w="900"/>
        <w:gridCol w:w="130"/>
        <w:gridCol w:w="109"/>
        <w:gridCol w:w="109"/>
        <w:gridCol w:w="109"/>
        <w:gridCol w:w="278"/>
        <w:gridCol w:w="940"/>
        <w:gridCol w:w="155"/>
        <w:gridCol w:w="109"/>
        <w:gridCol w:w="109"/>
        <w:gridCol w:w="109"/>
        <w:gridCol w:w="270"/>
        <w:gridCol w:w="969"/>
        <w:gridCol w:w="150"/>
        <w:gridCol w:w="109"/>
        <w:gridCol w:w="109"/>
        <w:gridCol w:w="109"/>
        <w:gridCol w:w="196"/>
        <w:gridCol w:w="751"/>
        <w:gridCol w:w="161"/>
      </w:tblGrid>
      <w:tr>
        <w:trPr/>
        <w:tc>
          <w:tcPr>
            <w:tcW w:w="161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2023</w:t>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352,973</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98,020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(16,042)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434,951</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losses of unconsolidated entities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(141,436)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(157,084)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(10,195)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(1,128)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income taxes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(7,586)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shareholders from continuing operations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101,997</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8155" w:type="dxa"/>
        <w:jc w:val="left"/>
        <w:tblInd w:w="0" w:type="dxa"/>
        <w:tblLayout w:type="fixed"/>
        <w:tblCellMar>
          <w:top w:w="28" w:type="dxa"/>
          <w:left w:w="28" w:type="dxa"/>
          <w:bottom w:w="28" w:type="dxa"/>
          <w:right w:w="28" w:type="dxa"/>
        </w:tblCellMar>
      </w:tblPr>
      <w:tblGrid>
        <w:gridCol w:w="428"/>
        <w:gridCol w:w="378"/>
        <w:gridCol w:w="379"/>
        <w:gridCol w:w="267"/>
        <w:gridCol w:w="1024"/>
        <w:gridCol w:w="148"/>
        <w:gridCol w:w="109"/>
        <w:gridCol w:w="109"/>
        <w:gridCol w:w="109"/>
        <w:gridCol w:w="317"/>
        <w:gridCol w:w="1216"/>
        <w:gridCol w:w="176"/>
        <w:gridCol w:w="109"/>
        <w:gridCol w:w="109"/>
        <w:gridCol w:w="109"/>
        <w:gridCol w:w="353"/>
        <w:gridCol w:w="1191"/>
        <w:gridCol w:w="196"/>
        <w:gridCol w:w="109"/>
        <w:gridCol w:w="109"/>
        <w:gridCol w:w="109"/>
        <w:gridCol w:w="196"/>
        <w:gridCol w:w="751"/>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2023</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875</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81,285</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2,737</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33,837</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117,859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192,498</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80,847</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273,345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258,009</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165,819</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423,828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32,103</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9,995</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42,098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564,049</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260,273</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33,837</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858,159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Presented below are the contracted minimum future annual revenues to be received under existing operating leases across as of September 30, 2023:</w:t>
      </w:r>
    </w:p>
    <w:tbl>
      <w:tblPr>
        <w:tblW w:w="3262" w:type="dxa"/>
        <w:jc w:val="left"/>
        <w:tblInd w:w="0" w:type="dxa"/>
        <w:tblLayout w:type="fixed"/>
        <w:tblCellMar>
          <w:top w:w="28" w:type="dxa"/>
          <w:left w:w="28" w:type="dxa"/>
          <w:bottom w:w="28" w:type="dxa"/>
          <w:right w:w="28" w:type="dxa"/>
        </w:tblCellMar>
      </w:tblPr>
      <w:tblGrid>
        <w:gridCol w:w="544"/>
        <w:gridCol w:w="476"/>
        <w:gridCol w:w="480"/>
        <w:gridCol w:w="278"/>
        <w:gridCol w:w="1067"/>
        <w:gridCol w:w="154"/>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2023</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512,342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32740"/>
                <wp:effectExtent l="0" t="0" r="0" b="0"/>
                <wp:wrapNone/>
                <wp:docPr id="28" name="Frame2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III. For the Three Months Ended September 30, 2022 </w:t>
      </w:r>
    </w:p>
    <w:tbl>
      <w:tblPr>
        <w:tblW w:w="10205" w:type="dxa"/>
        <w:jc w:val="left"/>
        <w:tblInd w:w="0" w:type="dxa"/>
        <w:tblLayout w:type="fixed"/>
        <w:tblCellMar>
          <w:top w:w="28" w:type="dxa"/>
          <w:left w:w="28" w:type="dxa"/>
          <w:bottom w:w="28" w:type="dxa"/>
          <w:right w:w="28" w:type="dxa"/>
        </w:tblCellMar>
      </w:tblPr>
      <w:tblGrid>
        <w:gridCol w:w="1686"/>
        <w:gridCol w:w="1394"/>
        <w:gridCol w:w="1363"/>
        <w:gridCol w:w="239"/>
        <w:gridCol w:w="789"/>
        <w:gridCol w:w="133"/>
        <w:gridCol w:w="109"/>
        <w:gridCol w:w="109"/>
        <w:gridCol w:w="109"/>
        <w:gridCol w:w="263"/>
        <w:gridCol w:w="869"/>
        <w:gridCol w:w="146"/>
        <w:gridCol w:w="109"/>
        <w:gridCol w:w="109"/>
        <w:gridCol w:w="109"/>
        <w:gridCol w:w="254"/>
        <w:gridCol w:w="904"/>
        <w:gridCol w:w="141"/>
        <w:gridCol w:w="109"/>
        <w:gridCol w:w="109"/>
        <w:gridCol w:w="109"/>
        <w:gridCol w:w="196"/>
        <w:gridCol w:w="686"/>
        <w:gridCol w:w="161"/>
      </w:tblGrid>
      <w:tr>
        <w:trPr/>
        <w:tc>
          <w:tcPr>
            <w:tcW w:w="16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2022</w:t>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40,392 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164,848 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Management fees and incentive allocation to affiliate </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112,858 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34,676 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61,532 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209,066 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expenses</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(20,941)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from continuing operations before income taxes</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51,987 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(70,357)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51,061 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(71,034)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from continuing operations attributable to non-controlling interests in consolidated subsidiaries</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51,061 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(77,825)</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(10,938)</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32740"/>
                <wp:effectExtent l="0" t="0" r="0" b="0"/>
                <wp:wrapNone/>
                <wp:docPr id="29" name="Frame2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loss attributable to shareholders from continuing operations:</w:t>
      </w:r>
    </w:p>
    <w:tbl>
      <w:tblPr>
        <w:tblW w:w="10205" w:type="dxa"/>
        <w:jc w:val="left"/>
        <w:tblInd w:w="0" w:type="dxa"/>
        <w:tblLayout w:type="fixed"/>
        <w:tblCellMar>
          <w:top w:w="28" w:type="dxa"/>
          <w:left w:w="28" w:type="dxa"/>
          <w:bottom w:w="28" w:type="dxa"/>
          <w:right w:w="28" w:type="dxa"/>
        </w:tblCellMar>
      </w:tblPr>
      <w:tblGrid>
        <w:gridCol w:w="1637"/>
        <w:gridCol w:w="1259"/>
        <w:gridCol w:w="1264"/>
        <w:gridCol w:w="252"/>
        <w:gridCol w:w="832"/>
        <w:gridCol w:w="140"/>
        <w:gridCol w:w="109"/>
        <w:gridCol w:w="109"/>
        <w:gridCol w:w="109"/>
        <w:gridCol w:w="283"/>
        <w:gridCol w:w="936"/>
        <w:gridCol w:w="157"/>
        <w:gridCol w:w="109"/>
        <w:gridCol w:w="109"/>
        <w:gridCol w:w="109"/>
        <w:gridCol w:w="290"/>
        <w:gridCol w:w="920"/>
        <w:gridCol w:w="161"/>
        <w:gridCol w:w="109"/>
        <w:gridCol w:w="109"/>
        <w:gridCol w:w="109"/>
        <w:gridCol w:w="196"/>
        <w:gridCol w:w="736"/>
        <w:gridCol w:w="161"/>
      </w:tblGrid>
      <w:tr>
        <w:trPr/>
        <w:tc>
          <w:tcPr>
            <w:tcW w:w="163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2022</w:t>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95,994 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108,863 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losses of unconsolidated entities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income taxes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shareholders from continuing operations</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(10,938)</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8184" w:type="dxa"/>
        <w:jc w:val="left"/>
        <w:tblInd w:w="0" w:type="dxa"/>
        <w:tblLayout w:type="fixed"/>
        <w:tblCellMar>
          <w:top w:w="28" w:type="dxa"/>
          <w:left w:w="28" w:type="dxa"/>
          <w:bottom w:w="28" w:type="dxa"/>
          <w:right w:w="28" w:type="dxa"/>
        </w:tblCellMar>
      </w:tblPr>
      <w:tblGrid>
        <w:gridCol w:w="428"/>
        <w:gridCol w:w="378"/>
        <w:gridCol w:w="379"/>
        <w:gridCol w:w="271"/>
        <w:gridCol w:w="1018"/>
        <w:gridCol w:w="150"/>
        <w:gridCol w:w="109"/>
        <w:gridCol w:w="109"/>
        <w:gridCol w:w="109"/>
        <w:gridCol w:w="361"/>
        <w:gridCol w:w="1192"/>
        <w:gridCol w:w="201"/>
        <w:gridCol w:w="109"/>
        <w:gridCol w:w="109"/>
        <w:gridCol w:w="109"/>
        <w:gridCol w:w="358"/>
        <w:gridCol w:w="1182"/>
        <w:gridCol w:w="199"/>
        <w:gridCol w:w="109"/>
        <w:gridCol w:w="109"/>
        <w:gridCol w:w="109"/>
        <w:gridCol w:w="196"/>
        <w:gridCol w:w="736"/>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2022</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Aerospace Products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41,869 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36,690 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164,848 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53,401 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32740"/>
                <wp:effectExtent l="0" t="0" r="0" b="0"/>
                <wp:wrapNone/>
                <wp:docPr id="30" name="Frame2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18"/>
        </w:rPr>
      </w:pPr>
      <w:r>
        <w:rPr>
          <w:rFonts w:ascii="Arial;sans-serif" w:hAnsi="Arial;sans-serif"/>
          <w:b/>
          <w:color w:val="00497F"/>
          <w:sz w:val="18"/>
        </w:rPr>
        <w:t xml:space="preserve">IV. For the Nine Months Ended September 30, 2022 </w:t>
      </w:r>
    </w:p>
    <w:tbl>
      <w:tblPr>
        <w:tblW w:w="10205" w:type="dxa"/>
        <w:jc w:val="left"/>
        <w:tblInd w:w="0" w:type="dxa"/>
        <w:tblLayout w:type="fixed"/>
        <w:tblCellMar>
          <w:top w:w="28" w:type="dxa"/>
          <w:left w:w="28" w:type="dxa"/>
          <w:bottom w:w="28" w:type="dxa"/>
          <w:right w:w="28" w:type="dxa"/>
        </w:tblCellMar>
      </w:tblPr>
      <w:tblGrid>
        <w:gridCol w:w="1550"/>
        <w:gridCol w:w="1273"/>
        <w:gridCol w:w="1257"/>
        <w:gridCol w:w="235"/>
        <w:gridCol w:w="883"/>
        <w:gridCol w:w="130"/>
        <w:gridCol w:w="109"/>
        <w:gridCol w:w="109"/>
        <w:gridCol w:w="109"/>
        <w:gridCol w:w="277"/>
        <w:gridCol w:w="915"/>
        <w:gridCol w:w="154"/>
        <w:gridCol w:w="109"/>
        <w:gridCol w:w="109"/>
        <w:gridCol w:w="109"/>
        <w:gridCol w:w="252"/>
        <w:gridCol w:w="1019"/>
        <w:gridCol w:w="140"/>
        <w:gridCol w:w="109"/>
        <w:gridCol w:w="109"/>
        <w:gridCol w:w="109"/>
        <w:gridCol w:w="196"/>
        <w:gridCol w:w="782"/>
        <w:gridCol w:w="161"/>
      </w:tblGrid>
      <w:tr>
        <w:trPr/>
        <w:tc>
          <w:tcPr>
            <w:tcW w:w="155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2022</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Lease income </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Asset sales revenue </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317,994 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434,120 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27,968 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132,197 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374,932 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185,827 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624,330 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income (losses) of unconsolidated entities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62,369 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(19,898)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(183,810)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(130,055)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(183,996)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(137,412)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non-controlling interests in consolidated subsidiaries</w:t>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(204,369)</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(157,785)</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32740"/>
                <wp:effectExtent l="0" t="0" r="0" b="0"/>
                <wp:wrapNone/>
                <wp:docPr id="31" name="Frame3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loss attributable to shareholders from continuing operations:</w:t>
      </w:r>
    </w:p>
    <w:tbl>
      <w:tblPr>
        <w:tblW w:w="10205" w:type="dxa"/>
        <w:jc w:val="left"/>
        <w:tblInd w:w="0" w:type="dxa"/>
        <w:tblLayout w:type="fixed"/>
        <w:tblCellMar>
          <w:top w:w="28" w:type="dxa"/>
          <w:left w:w="28" w:type="dxa"/>
          <w:bottom w:w="28" w:type="dxa"/>
          <w:right w:w="28" w:type="dxa"/>
        </w:tblCellMar>
      </w:tblPr>
      <w:tblGrid>
        <w:gridCol w:w="1611"/>
        <w:gridCol w:w="1230"/>
        <w:gridCol w:w="1235"/>
        <w:gridCol w:w="236"/>
        <w:gridCol w:w="890"/>
        <w:gridCol w:w="131"/>
        <w:gridCol w:w="109"/>
        <w:gridCol w:w="109"/>
        <w:gridCol w:w="109"/>
        <w:gridCol w:w="281"/>
        <w:gridCol w:w="928"/>
        <w:gridCol w:w="156"/>
        <w:gridCol w:w="109"/>
        <w:gridCol w:w="109"/>
        <w:gridCol w:w="109"/>
        <w:gridCol w:w="270"/>
        <w:gridCol w:w="968"/>
        <w:gridCol w:w="149"/>
        <w:gridCol w:w="109"/>
        <w:gridCol w:w="109"/>
        <w:gridCol w:w="109"/>
        <w:gridCol w:w="196"/>
        <w:gridCol w:w="783"/>
        <w:gridCol w:w="160"/>
      </w:tblGrid>
      <w:tr>
        <w:trPr/>
        <w:tc>
          <w:tcPr>
            <w:tcW w:w="161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2022</w:t>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273,788 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(17,915)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304,558 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losses of unconsolidated entities</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(152,570)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(145,754)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(128,171)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income taxes</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shareholders from continuing operations</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(157,785)</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8184" w:type="dxa"/>
        <w:jc w:val="left"/>
        <w:tblInd w:w="0" w:type="dxa"/>
        <w:tblLayout w:type="fixed"/>
        <w:tblCellMar>
          <w:top w:w="28" w:type="dxa"/>
          <w:left w:w="28" w:type="dxa"/>
          <w:bottom w:w="28" w:type="dxa"/>
          <w:right w:w="28" w:type="dxa"/>
        </w:tblCellMar>
      </w:tblPr>
      <w:tblGrid>
        <w:gridCol w:w="428"/>
        <w:gridCol w:w="378"/>
        <w:gridCol w:w="379"/>
        <w:gridCol w:w="271"/>
        <w:gridCol w:w="1018"/>
        <w:gridCol w:w="150"/>
        <w:gridCol w:w="109"/>
        <w:gridCol w:w="109"/>
        <w:gridCol w:w="109"/>
        <w:gridCol w:w="361"/>
        <w:gridCol w:w="1192"/>
        <w:gridCol w:w="201"/>
        <w:gridCol w:w="109"/>
        <w:gridCol w:w="109"/>
        <w:gridCol w:w="109"/>
        <w:gridCol w:w="358"/>
        <w:gridCol w:w="1182"/>
        <w:gridCol w:w="199"/>
        <w:gridCol w:w="109"/>
        <w:gridCol w:w="109"/>
        <w:gridCol w:w="109"/>
        <w:gridCol w:w="196"/>
        <w:gridCol w:w="736"/>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2022</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Aerospace Products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317,994 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94,211 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434,120 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V. Location of Long-Lived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tables sets forth the geographic location of property, plant and equipment and leasing equipment, net:</w:t>
      </w:r>
    </w:p>
    <w:tbl>
      <w:tblPr>
        <w:tblW w:w="8322" w:type="dxa"/>
        <w:jc w:val="left"/>
        <w:tblInd w:w="0" w:type="dxa"/>
        <w:tblLayout w:type="fixed"/>
        <w:tblCellMar>
          <w:top w:w="28" w:type="dxa"/>
          <w:left w:w="28" w:type="dxa"/>
          <w:bottom w:w="28" w:type="dxa"/>
          <w:right w:w="28" w:type="dxa"/>
        </w:tblCellMar>
      </w:tblPr>
      <w:tblGrid>
        <w:gridCol w:w="1718"/>
        <w:gridCol w:w="1509"/>
        <w:gridCol w:w="1513"/>
        <w:gridCol w:w="269"/>
        <w:gridCol w:w="1217"/>
        <w:gridCol w:w="149"/>
        <w:gridCol w:w="109"/>
        <w:gridCol w:w="109"/>
        <w:gridCol w:w="109"/>
        <w:gridCol w:w="260"/>
        <w:gridCol w:w="1156"/>
        <w:gridCol w:w="204"/>
      </w:tblGrid>
      <w:tr>
        <w:trPr/>
        <w:tc>
          <w:tcPr>
            <w:tcW w:w="171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plant and equipment and leasing equipment, net</w:t>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12,565</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441,186</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383,378 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844,603</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821,840 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418,268</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424,617 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221,030</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285,780 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1,937,652</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1,923,567 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13. EARNINGS PER SHARE AND EQUITY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Basic earnings per ordinary share (“EPS”) is calculated by dividing net income (loss) attributable to shareholders by the weighted average number of ordinary shares outstanding, plus any participating securities. Diluted EPS is calculated by dividing net income attributable to shareholders by the weighted average number of ordinary shares outstanding, plus any participating securities and potentially dilutive securities. Potentially dilutive securities are calculated using the treasury stock method.</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The calculation of basic and diluted EPS is presented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32740"/>
                <wp:effectExtent l="0" t="0" r="0" b="0"/>
                <wp:wrapNone/>
                <wp:docPr id="32" name="Frame3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tbl>
      <w:tblPr>
        <w:tblW w:w="10205" w:type="dxa"/>
        <w:jc w:val="left"/>
        <w:tblInd w:w="0" w:type="dxa"/>
        <w:tblLayout w:type="fixed"/>
        <w:tblCellMar>
          <w:top w:w="28" w:type="dxa"/>
          <w:left w:w="28" w:type="dxa"/>
          <w:bottom w:w="28" w:type="dxa"/>
          <w:right w:w="28" w:type="dxa"/>
        </w:tblCellMar>
      </w:tblPr>
      <w:tblGrid>
        <w:gridCol w:w="1614"/>
        <w:gridCol w:w="1338"/>
        <w:gridCol w:w="1347"/>
        <w:gridCol w:w="247"/>
        <w:gridCol w:w="828"/>
        <w:gridCol w:w="126"/>
        <w:gridCol w:w="126"/>
        <w:gridCol w:w="126"/>
        <w:gridCol w:w="126"/>
        <w:gridCol w:w="247"/>
        <w:gridCol w:w="838"/>
        <w:gridCol w:w="126"/>
        <w:gridCol w:w="109"/>
        <w:gridCol w:w="109"/>
        <w:gridCol w:w="109"/>
        <w:gridCol w:w="221"/>
        <w:gridCol w:w="848"/>
        <w:gridCol w:w="117"/>
        <w:gridCol w:w="117"/>
        <w:gridCol w:w="117"/>
        <w:gridCol w:w="117"/>
        <w:gridCol w:w="217"/>
        <w:gridCol w:w="857"/>
        <w:gridCol w:w="178"/>
      </w:tblGrid>
      <w:tr>
        <w:trPr/>
        <w:tc>
          <w:tcPr>
            <w:tcW w:w="161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share and per share data)</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125,457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(137,412)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from discontinued operations, net of income taxes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(101,416)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(loss)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125,457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(238,828)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 in consolidated subsidiaries:</w:t>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8,334</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23,460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shareholders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32,973</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(22,849)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101,997</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(240,384)</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Weighted Average Common Shares Outstanding - Basic </w:t>
            </w:r>
            <w:r>
              <w:rPr>
                <w:rFonts w:ascii="Arial;sans-serif" w:hAnsi="Arial;sans-serif"/>
                <w:b w:val="false"/>
                <w:color w:val="000000"/>
                <w:sz w:val="10"/>
              </w:rPr>
              <w:t>(1)</w:t>
            </w:r>
          </w:p>
        </w:tc>
        <w:tc>
          <w:tcPr>
            <w:tcW w:w="10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99,927,594</w:t>
            </w: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99,378,771 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99,796,736</w:t>
            </w:r>
            <w:r>
              <w:rPr>
                <w:color w:val="000000"/>
              </w:rPr>
              <w:t>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99,372,016 </w:t>
            </w:r>
          </w:p>
        </w:tc>
        <w:tc>
          <w:tcPr>
            <w:tcW w:w="17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Weighted Average Common Shares Outstanding - Diluted </w:t>
            </w:r>
            <w:r>
              <w:rPr>
                <w:rFonts w:ascii="Arial;sans-serif" w:hAnsi="Arial;sans-serif"/>
                <w:b w:val="false"/>
                <w:color w:val="000000"/>
                <w:sz w:val="10"/>
              </w:rPr>
              <w:t>(1)</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100,482,309</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99,378,771 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100,269,203</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99,372,016 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(loss) per share:</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0.33</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0.33</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Three and nine months ended September 30, 2022 include participating securities which can be converted into a fixed amount of our shares.</w:t>
      </w:r>
    </w:p>
    <w:p>
      <w:pPr>
        <w:pStyle w:val="TextBody"/>
        <w:bidi w:val="0"/>
        <w:spacing w:lineRule="auto" w:line="288" w:before="120" w:after="283"/>
        <w:jc w:val="both"/>
        <w:rPr/>
      </w:pPr>
      <w:r>
        <w:rPr>
          <w:rFonts w:ascii="Arial;sans-serif" w:hAnsi="Arial;sans-serif"/>
          <w:b w:val="false"/>
          <w:color w:val="000000"/>
          <w:sz w:val="18"/>
        </w:rPr>
        <w:t>For the three months ended September 30, 2023 and 2022,</w:t>
      </w:r>
      <w:r>
        <w:rPr>
          <w:color w:val="000000"/>
          <w:shd w:fill="FFFFFF" w:val="clear"/>
        </w:rPr>
        <w:t xml:space="preserve"> </w:t>
      </w:r>
      <w:r>
        <w:rPr>
          <w:rFonts w:ascii="Arial;sans-serif" w:hAnsi="Arial;sans-serif"/>
          <w:b w:val="false"/>
          <w:color w:val="000000"/>
          <w:sz w:val="18"/>
        </w:rPr>
        <w:t>0</w:t>
      </w:r>
      <w:r>
        <w:rPr>
          <w:color w:val="000000"/>
          <w:shd w:fill="FFFFFF" w:val="clear"/>
        </w:rPr>
        <w:t xml:space="preserve"> </w:t>
      </w:r>
      <w:r>
        <w:rPr>
          <w:rFonts w:ascii="Arial;sans-serif" w:hAnsi="Arial;sans-serif"/>
          <w:b w:val="false"/>
          <w:color w:val="000000"/>
          <w:sz w:val="18"/>
          <w:shd w:fill="FFFFFF" w:val="clear"/>
        </w:rPr>
        <w:t>a</w:t>
      </w:r>
      <w:r>
        <w:rPr>
          <w:rFonts w:ascii="Arial;sans-serif" w:hAnsi="Arial;sans-serif"/>
          <w:b w:val="false"/>
          <w:color w:val="000000"/>
          <w:sz w:val="18"/>
        </w:rPr>
        <w:t>nd 326,747 shares, respectively, and for the nine months ended September 30, 2023 and 2022</w:t>
      </w:r>
      <w:r>
        <w:rPr>
          <w:rFonts w:ascii="Arial;sans-serif" w:hAnsi="Arial;sans-serif"/>
          <w:b w:val="false"/>
          <w:color w:val="000000"/>
          <w:sz w:val="18"/>
          <w:shd w:fill="FFFFFF" w:val="clear"/>
        </w:rPr>
        <w:t xml:space="preserve">, </w:t>
      </w:r>
      <w:r>
        <w:rPr>
          <w:rFonts w:ascii="Arial;sans-serif" w:hAnsi="Arial;sans-serif"/>
          <w:b w:val="false"/>
          <w:color w:val="000000"/>
          <w:sz w:val="18"/>
        </w:rPr>
        <w:t>0</w:t>
      </w:r>
      <w:r>
        <w:rPr>
          <w:color w:val="000000"/>
          <w:shd w:fill="FFFFFF" w:val="clear"/>
        </w:rPr>
        <w:t xml:space="preserve"> </w:t>
      </w:r>
      <w:r>
        <w:rPr>
          <w:rFonts w:ascii="Arial;sans-serif" w:hAnsi="Arial;sans-serif"/>
          <w:b w:val="false"/>
          <w:color w:val="000000"/>
          <w:sz w:val="18"/>
        </w:rPr>
        <w:t>and 654,693 shares, respectively, have been excluded from the calculation of Diluted EPS because the impact would be anti-dilutive.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nine months ended September 30, 2023 and 2022, we issued 18,457 and 19,811 common shares to certain directors as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14. COMMITMENTS AND CONTINGENCIES </w:t>
      </w:r>
    </w:p>
    <w:p>
      <w:pPr>
        <w:pStyle w:val="TextBody"/>
        <w:bidi w:val="0"/>
        <w:spacing w:lineRule="auto" w:line="288" w:before="120" w:after="283"/>
        <w:jc w:val="both"/>
        <w:rPr/>
      </w:pPr>
      <w:r>
        <w:rPr>
          <w:rFonts w:ascii="Arial;sans-serif" w:hAnsi="Arial;sans-serif"/>
          <w:b w:val="false"/>
          <w:color w:val="000000"/>
          <w:sz w:val="18"/>
        </w:rPr>
        <w:t>In the normal course of business, the Co</w:t>
      </w:r>
      <w:r>
        <w:rPr>
          <w:rFonts w:ascii="Arial;sans-serif" w:hAnsi="Arial;sans-serif"/>
          <w:b w:val="false"/>
          <w:color w:val="000000"/>
          <w:sz w:val="18"/>
          <w:shd w:fill="FFFFFF" w:val="clear"/>
        </w:rPr>
        <w:t xml:space="preserve">mpany and its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 </w:t>
      </w:r>
    </w:p>
    <w:p>
      <w:pPr>
        <w:pStyle w:val="TextBody"/>
        <w:bidi w:val="0"/>
        <w:spacing w:lineRule="auto" w:line="288" w:before="120" w:after="283"/>
        <w:jc w:val="both"/>
        <w:rPr/>
      </w:pPr>
      <w:r>
        <w:rPr>
          <w:rFonts w:ascii="Arial;sans-serif" w:hAnsi="Arial;sans-serif"/>
          <w:b w:val="false"/>
          <w:color w:val="000000"/>
          <w:sz w:val="18"/>
          <w:shd w:fill="FFFFFF" w:val="clear"/>
        </w:rPr>
        <w:t xml:space="preserve">The Company has contingent obligations under ASC 460, </w:t>
      </w:r>
      <w:r>
        <w:rPr>
          <w:rFonts w:ascii="Arial;sans-serif" w:hAnsi="Arial;sans-serif"/>
          <w:b w:val="false"/>
          <w:i/>
          <w:color w:val="000000"/>
          <w:sz w:val="18"/>
          <w:shd w:fill="FFFFFF" w:val="clear"/>
        </w:rPr>
        <w:t>Guarantees</w:t>
      </w:r>
      <w:r>
        <w:rPr>
          <w:rFonts w:ascii="Arial;sans-serif" w:hAnsi="Arial;sans-serif"/>
          <w:b w:val="false"/>
          <w:color w:val="000000"/>
          <w:sz w:val="18"/>
          <w:shd w:fill="FFFFFF" w:val="clear"/>
        </w:rPr>
        <w:t>, in connection with certain sales of aircraft on lease. Under the agreements, we provide certain guarantees at the end of the lease term for the condition of the aircraft engines that were sold to the buyer.</w:t>
      </w:r>
      <w:r>
        <w:rPr>
          <w:color w:val="000000"/>
          <w:shd w:fill="FFFFFF" w:val="clear"/>
        </w:rPr>
        <w:t xml:space="preserve"> </w:t>
      </w:r>
      <w:r>
        <w:rPr>
          <w:rFonts w:ascii="Arial;sans-serif" w:hAnsi="Arial;sans-serif"/>
          <w:b w:val="false"/>
          <w:color w:val="000000"/>
          <w:sz w:val="18"/>
          <w:shd w:fill="FFFFFF" w:val="clear"/>
        </w:rPr>
        <w:t>The guarantees are valued at $7.0 million and $3.8 million as of September 30, 2023 and December 31, 2022, respectively, and are reflected as a component of Other liabilities on the Consolidated Balance Sheets.</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Given variability in the condition of the engines at the end of the lease terms, which range from 4 to 9 years, the maximum potential amount of undiscounted future payments that could be required under the guarantees at September 30, 2023 was $34.7 million, which is not reasonably expected.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15. SUBSEQUENT EVENTS </w:t>
      </w:r>
    </w:p>
    <w:p>
      <w:pPr>
        <w:pStyle w:val="TextBody"/>
        <w:bidi w:val="0"/>
        <w:spacing w:lineRule="auto" w:line="288" w:before="120" w:after="283"/>
        <w:jc w:val="both"/>
        <w:rPr>
          <w:rFonts w:ascii="Arial;sans-serif" w:hAnsi="Arial;sans-serif"/>
          <w:b/>
          <w:color w:val="00497F"/>
          <w:sz w:val="18"/>
          <w:shd w:fill="FFFFFF" w:val="clear"/>
        </w:rPr>
      </w:pPr>
      <w:r>
        <w:rPr>
          <w:rFonts w:ascii="Arial;sans-serif" w:hAnsi="Arial;sans-serif"/>
          <w:b/>
          <w:color w:val="00497F"/>
          <w:sz w:val="18"/>
          <w:shd w:fill="FFFFFF" w:val="clear"/>
        </w:rPr>
        <w:t>Dividends</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On October 25, 2023, our Board of Directors declared a cash dividend on our ordinary shares and eligible participating securities of $0.30 per share for the quarter ended September 30, 2023, payable on November 28, 2023 to the holders of record on November 14,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32740"/>
                <wp:effectExtent l="0" t="0" r="0" b="0"/>
                <wp:wrapNone/>
                <wp:docPr id="33" name="Frame3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Additionally, on October 25, 2023, our Board of Directors also declared cash dividends on the Series A Preferred Shares, Series B Preferred Shares, Series C Preferred Shares and Series D Preferred Shares of $0.52, $0.50, $0.52 and $0.59 per share, respectively, payable on December 15, 2023 to the holders of record on December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32740"/>
                <wp:effectExtent l="0" t="0" r="0" b="0"/>
                <wp:wrapNone/>
                <wp:docPr id="34" name="Frame3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2. Management’s Discussion and Analysis of Financial Condition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Management’s Discussion and Analysis of Financial Condition and Results of Operations (“MD&amp;A”) is intended to help you understand FTAI Aviation Ltd. (the “Company,” “we,” “our” or “us”). Our MD&amp;A should be read in conjunction with our unaudited consolidated financial statements and the accompanying notes, and with Part II, Item 1A, “Risk Factors” included elsewhere in this Quarterly Report on Form 10-Q.</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Overview </w:t>
      </w:r>
    </w:p>
    <w:p>
      <w:pPr>
        <w:pStyle w:val="TextBody"/>
        <w:bidi w:val="0"/>
        <w:spacing w:lineRule="auto" w:line="288" w:before="120" w:after="283"/>
        <w:jc w:val="both"/>
        <w:rPr/>
      </w:pPr>
      <w:r>
        <w:rPr>
          <w:rFonts w:ascii="Arial;sans-serif" w:hAnsi="Arial;sans-serif"/>
          <w:b w:val="false"/>
          <w:color w:val="000000"/>
          <w:sz w:val="18"/>
        </w:rPr>
        <w:t>We own, lease and sell aviation equipment. We also develop and manufacture through a joint venture, and repair and sell, through exclusivity arrangements, aftermarket components for aircraft engines. Additionally, we own and lease offshore energy equipment.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assets since 2002. As of September 30, 2023, we had total consolidated assets o</w:t>
      </w:r>
      <w:r>
        <w:rPr>
          <w:rFonts w:ascii="Arial;sans-serif" w:hAnsi="Arial;sans-serif"/>
          <w:b w:val="false"/>
          <w:color w:val="000000"/>
          <w:sz w:val="18"/>
          <w:shd w:fill="FFFFFF" w:val="clear"/>
        </w:rPr>
        <w:t>f $2.6 billion and total equity of $95.1 million.</w:t>
      </w:r>
    </w:p>
    <w:p>
      <w:pPr>
        <w:pStyle w:val="TextBody"/>
        <w:bidi w:val="0"/>
        <w:spacing w:lineRule="auto" w:line="288" w:before="120" w:after="283"/>
        <w:jc w:val="both"/>
        <w:rPr>
          <w:rFonts w:ascii="Arial;sans-serif" w:hAnsi="Arial;sans-serif"/>
          <w:b/>
          <w:color w:val="00497F"/>
          <w:sz w:val="18"/>
          <w:shd w:fill="FFFFFF" w:val="clear"/>
        </w:rPr>
      </w:pPr>
      <w:r>
        <w:rPr>
          <w:rFonts w:ascii="Arial;sans-serif" w:hAnsi="Arial;sans-serif"/>
          <w:b/>
          <w:color w:val="00497F"/>
          <w:sz w:val="18"/>
          <w:shd w:fill="FFFFFF" w:val="clear"/>
        </w:rPr>
        <w:t>Impact of Russia’s Invasion of Ukraine</w:t>
      </w:r>
    </w:p>
    <w:p>
      <w:pPr>
        <w:pStyle w:val="TextBody"/>
        <w:bidi w:val="0"/>
        <w:spacing w:lineRule="auto" w:line="288" w:before="120" w:after="283"/>
        <w:jc w:val="both"/>
        <w:rPr/>
      </w:pPr>
      <w:r>
        <w:rPr>
          <w:rFonts w:ascii="Arial;sans-serif" w:hAnsi="Arial;sans-serif"/>
          <w:b w:val="false"/>
          <w:color w:val="000000"/>
          <w:sz w:val="18"/>
          <w:shd w:fill="FFFFFF" w:val="clear"/>
        </w:rPr>
        <w:t xml:space="preserve">Economic sanctions and export controls against Russia and Russia’s aviation industry were imposed due to its invasion of Ukraine during the three months ended March 31, 2022. As a result of the sanctions imposed on Russian airlines, we terminated all lease agreements with Russian airlines. </w:t>
      </w:r>
      <w:r>
        <w:rPr>
          <w:rFonts w:ascii="Arial;sans-serif" w:hAnsi="Arial;sans-serif"/>
          <w:b w:val="false"/>
          <w:color w:val="000000"/>
          <w:sz w:val="18"/>
        </w:rPr>
        <w:t xml:space="preserve">We determined that it is unlikely that we will regain possession of the aircraft and engines that had not yet been recovered from Ukraine and Russia. As a result, during the six months ended June 30, 2022, we recognized an impairment charge totaling $120.0 million, net of maintenance deposits, to write-off the entire carrying value of leasing equipment assets that we did not expect to recover from Ukraine and Russia. </w:t>
      </w:r>
      <w:r>
        <w:rPr>
          <w:rFonts w:ascii="Arial;sans-serif" w:hAnsi="Arial;sans-serif"/>
          <w:b w:val="false"/>
          <w:color w:val="000000"/>
          <w:sz w:val="18"/>
          <w:shd w:fill="FFFFFF" w:val="clear"/>
        </w:rPr>
        <w:t xml:space="preserve">As of September 30, 2023, four aircraft were still located in Ukraine and eight aircraft and seventeen engines were still located in Russia. </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lessees are required to provide insurance coverage with respect to leased aircraft and engines, and we are named as insureds under those policies in the event of a total loss of an aircraft or engine. We also purchase insurance which provides us with coverage when our aircraft or engines are not subject to a lease or where a lessee’s policy fails to indemnify us. The insured value of the aircraft and engines that remain in Ukraine and Russia is approximately $243.0 million. We intend to pursue all our claims under these policies. However, the timing and amount of any recoveries under these policies are uncertain.</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extent of the impact of Russia’s invasion of Ukraine and the related sanctions on our operational and financial performance, including the ability for us to recover our leasing equipment in the region, will depend on future developments, including the duration of the conflict, sanctions and restrictions imposed by Russian and international governments, all of which remain uncertain.</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Spin-Off of FTAI Infrastructure Inc. (“FTAI Infrastructure”)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August 1, 2022, we effected a spin-off of our infrastructure business held by FTAI Infrastructure (a wholly-owned subsidiary of the Company) as a distribution of all of the shares owned by the Company of common stock of FTAI Infrastructure to the holders of the Company’s ordinary shares as of July 21,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entities. In connection with the spin-off,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Fortress Transportation and Infrastructure Investors LLC (“FTAI LLC”) retained the aviation business and certain other assets, and FTAI LLC’s remaining outstanding corporate indebtedness.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connection with the spin-off, the Company and the Manager assigned the Company’s then-existing management agreement to FTAI Infrastructure, and FTAI Infrastructure and the Manager executed an amended and restated agreement. The Company and certain of its subsidiaries executed a new management agreement with the Manager. The new management agreement has an initial term of six years. The Manager is entitled to a management fee and reimbursement of certain expenses on substantially similar terms as the previous arrangements with the Manager, which were assigned to FTAI Infrastructure. Prior to the Merger described below, our Manager remained entitled to incentive allocations (comprised of income incentive allocation and capital gains incentive allocation) on the same terms as they existed prior to spin-off. Following the Merger, the Company entered into a Services and Profit Sharing Agreement (the “Services and Profit Sharing Agreement”), with a subsidiary of the Company and Fortress Worldwide Transportation and Infrastructure Master GP LLC (“Master GP”), pursuant to which Master GP is entitled to incentive payments on substantially similar terms as the previous arrangements.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On November 10, 2022, the Company completed the transactions set forth in the Agreement and Plan of Merger (the “Merger”) between FTAI LLC and FTAI Aviation Ltd. and certain other parties, with FTAI LLC becoming a subsidiary of the company. As a result of the merger, FTAI Aviation Ltd. became a Cayman Islands exempted company. Upon merger completion, FTAI LLC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32740"/>
                <wp:effectExtent l="0" t="0" r="0" b="0"/>
                <wp:wrapNone/>
                <wp:docPr id="35" name="Frame3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public common shareholders’ shares of the Company were exchanged automatically for shares of FTAI Aviation Ltd. without any further action from the shareholders.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 xml:space="preserve">Operating Segments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and repairs and sells, through exclusivity arrangements, aircraft engines and aftermarket components for aircraft engines.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pStyle w:val="TextBody"/>
        <w:bidi w:val="0"/>
        <w:spacing w:lineRule="auto" w:line="268" w:before="120" w:after="283"/>
        <w:jc w:val="both"/>
        <w:rPr>
          <w:rFonts w:ascii="Arial;sans-serif" w:hAnsi="Arial;sans-serif"/>
          <w:b/>
          <w:color w:val="00497F"/>
          <w:sz w:val="18"/>
        </w:rPr>
      </w:pPr>
      <w:r>
        <w:rPr>
          <w:rFonts w:ascii="Arial;sans-serif" w:hAnsi="Arial;sans-serif"/>
          <w:b/>
          <w:color w:val="00497F"/>
          <w:sz w:val="18"/>
        </w:rPr>
        <w:t>Our Manager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On May 22, 2023, Fortress and Mubadala Investment Company, through its wholly owned asset management subsidiary Mubadala Capital (“Mubadala”), announced that they have entered into definitive agreements pursuant to which, among other things, certain members of Fortress management and affiliates of Mubadala will acquire 100% of the equity of Fortress that is currently indirectly held by SoftBank Group Corp. (“SoftBank”). After the closing of the transaction, Fortress will continue to operate as an independent investment manager under the Fortress brand, with autonomy over investment processes and decision making, personnel and operations.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 xml:space="preserve">Results of Operations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chief operating decision maker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During the third quarter of 2022, the Company updated its measure of segment profit to include the add back of dividends on preferred shares in Adjusted EBITDA. 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 EBITDA.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32740"/>
                <wp:effectExtent l="0" t="0" r="0" b="0"/>
                <wp:wrapNone/>
                <wp:docPr id="36" name="Frame3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Comparison of the three and nine months ended September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consolidated results of operations:</w:t>
      </w:r>
    </w:p>
    <w:tbl>
      <w:tblPr>
        <w:tblW w:w="10205" w:type="dxa"/>
        <w:jc w:val="left"/>
        <w:tblInd w:w="0" w:type="dxa"/>
        <w:tblLayout w:type="fixed"/>
        <w:tblCellMar>
          <w:top w:w="28" w:type="dxa"/>
          <w:left w:w="28" w:type="dxa"/>
          <w:bottom w:w="28" w:type="dxa"/>
          <w:right w:w="28" w:type="dxa"/>
        </w:tblCellMar>
      </w:tblPr>
      <w:tblGrid>
        <w:gridCol w:w="955"/>
        <w:gridCol w:w="705"/>
        <w:gridCol w:w="660"/>
        <w:gridCol w:w="207"/>
        <w:gridCol w:w="700"/>
        <w:gridCol w:w="115"/>
        <w:gridCol w:w="115"/>
        <w:gridCol w:w="115"/>
        <w:gridCol w:w="115"/>
        <w:gridCol w:w="207"/>
        <w:gridCol w:w="718"/>
        <w:gridCol w:w="115"/>
        <w:gridCol w:w="109"/>
        <w:gridCol w:w="109"/>
        <w:gridCol w:w="109"/>
        <w:gridCol w:w="196"/>
        <w:gridCol w:w="646"/>
        <w:gridCol w:w="109"/>
        <w:gridCol w:w="109"/>
        <w:gridCol w:w="109"/>
        <w:gridCol w:w="109"/>
        <w:gridCol w:w="196"/>
        <w:gridCol w:w="751"/>
        <w:gridCol w:w="109"/>
        <w:gridCol w:w="109"/>
        <w:gridCol w:w="109"/>
        <w:gridCol w:w="109"/>
        <w:gridCol w:w="196"/>
        <w:gridCol w:w="764"/>
        <w:gridCol w:w="109"/>
        <w:gridCol w:w="109"/>
        <w:gridCol w:w="109"/>
        <w:gridCol w:w="109"/>
        <w:gridCol w:w="196"/>
        <w:gridCol w:w="736"/>
        <w:gridCol w:w="162"/>
      </w:tblGrid>
      <w:tr>
        <w:trPr/>
        <w:tc>
          <w:tcPr>
            <w:tcW w:w="9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45,622</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161,141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63,925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72,990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197,679 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107,085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260,273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291,096</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858,159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424,039 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116,707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366,909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33,887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(26,979)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3,015</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43,959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123,399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(126,951)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40,185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117,976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246,591</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209,066 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724,324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99,994 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earnings (losses) of unconsolidated entities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Loss on extinguishment of debt </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other income (expense) </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(60,947)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45,012</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133,043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263,098 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continued operations</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262,869 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from discontinued operations, net of income taxes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41,307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(238,828)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364,285 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Continued operations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32,973</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(22,849)</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101,997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(240,384)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342,381 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32740"/>
                <wp:effectExtent l="0" t="0" r="0" b="0"/>
                <wp:wrapNone/>
                <wp:docPr id="37" name="Frame3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income (loss) attributable to shareholders from continuing operations to Adjusted EBITDA:</w:t>
      </w:r>
    </w:p>
    <w:tbl>
      <w:tblPr>
        <w:tblW w:w="10205" w:type="dxa"/>
        <w:jc w:val="left"/>
        <w:tblInd w:w="0" w:type="dxa"/>
        <w:tblLayout w:type="fixed"/>
        <w:tblCellMar>
          <w:top w:w="28" w:type="dxa"/>
          <w:left w:w="28" w:type="dxa"/>
          <w:bottom w:w="28" w:type="dxa"/>
          <w:right w:w="28" w:type="dxa"/>
        </w:tblCellMar>
      </w:tblPr>
      <w:tblGrid>
        <w:gridCol w:w="837"/>
        <w:gridCol w:w="692"/>
        <w:gridCol w:w="685"/>
        <w:gridCol w:w="203"/>
        <w:gridCol w:w="781"/>
        <w:gridCol w:w="113"/>
        <w:gridCol w:w="113"/>
        <w:gridCol w:w="113"/>
        <w:gridCol w:w="113"/>
        <w:gridCol w:w="203"/>
        <w:gridCol w:w="765"/>
        <w:gridCol w:w="113"/>
        <w:gridCol w:w="109"/>
        <w:gridCol w:w="109"/>
        <w:gridCol w:w="109"/>
        <w:gridCol w:w="196"/>
        <w:gridCol w:w="646"/>
        <w:gridCol w:w="109"/>
        <w:gridCol w:w="109"/>
        <w:gridCol w:w="109"/>
        <w:gridCol w:w="109"/>
        <w:gridCol w:w="196"/>
        <w:gridCol w:w="751"/>
        <w:gridCol w:w="109"/>
        <w:gridCol w:w="109"/>
        <w:gridCol w:w="109"/>
        <w:gridCol w:w="109"/>
        <w:gridCol w:w="196"/>
        <w:gridCol w:w="762"/>
        <w:gridCol w:w="109"/>
        <w:gridCol w:w="109"/>
        <w:gridCol w:w="109"/>
        <w:gridCol w:w="109"/>
        <w:gridCol w:w="196"/>
        <w:gridCol w:w="736"/>
        <w:gridCol w:w="160"/>
      </w:tblGrid>
      <w:tr>
        <w:trPr/>
        <w:tc>
          <w:tcPr>
            <w:tcW w:w="8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32,973</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101,997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259,782 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(126,951)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59,380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157,084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48,519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141,436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(2)</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(earnings) losses of unconsolidated entities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154,218</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108,863 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434,951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304,558 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130,393 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w:t>
      </w:r>
      <w:r>
        <w:rPr>
          <w:rFonts w:ascii="Arial;sans-serif" w:hAnsi="Arial;sans-serif"/>
          <w:b w:val="false"/>
          <w:color w:val="000000"/>
          <w:sz w:val="10"/>
          <w:shd w:fill="FFFFFF" w:val="clear"/>
        </w:rPr>
        <w:t xml:space="preserve">1) </w:t>
      </w:r>
      <w:r>
        <w:rPr>
          <w:rFonts w:ascii="Arial;sans-serif" w:hAnsi="Arial;sans-serif"/>
          <w:b w:val="false"/>
          <w:color w:val="000000"/>
          <w:sz w:val="16"/>
          <w:shd w:fill="FFFFFF" w:val="clear"/>
        </w:rPr>
        <w:t>Includes the following items for the three months ended September 30, 2023 and 2022: (i) depreciation and amortization expense of $43,959 and $34,853, (ii) lease intangible amortization of $3,726 and $3,291 and (iii) amortization for lease incentives of $11,695 and $3,185, respectively. Includes the following items for the nine months ended September 30, 2023 and 2022: (i) depreciation and amortization expense of $123,399 and $115,461, (ii) lease intangible amortization of $11,325 and $10,259 and (iii) amortization for lease incentives of $22,360 and $20,034, respectively.</w:t>
      </w:r>
    </w:p>
    <w:p>
      <w:pPr>
        <w:pStyle w:val="TextBody"/>
        <w:bidi w:val="0"/>
        <w:spacing w:lineRule="auto" w:line="288" w:before="120" w:after="283"/>
        <w:ind w:left="0" w:right="0" w:hanging="180"/>
        <w:jc w:val="both"/>
        <w:rPr/>
      </w:pPr>
      <w:r>
        <w:rPr>
          <w:rFonts w:ascii="Arial;sans-serif" w:hAnsi="Arial;sans-serif"/>
          <w:b w:val="false"/>
          <w:color w:val="000000"/>
          <w:sz w:val="10"/>
          <w:shd w:fill="FFFFFF" w:val="clear"/>
        </w:rPr>
        <w:t xml:space="preserve">(2) </w:t>
      </w:r>
      <w:r>
        <w:rPr>
          <w:rFonts w:ascii="Arial;sans-serif" w:hAnsi="Arial;sans-serif"/>
          <w:b w:val="false"/>
          <w:color w:val="000000"/>
          <w:sz w:val="16"/>
          <w:shd w:fill="FFFFFF" w:val="clear"/>
        </w:rPr>
        <w:t xml:space="preserve">Includes the following items for the three months ended September 30, 2023 and 2022: (i) net income (loss) of $46 and $(358), (ii) depreciation and amortization expense of $367 and $117 and (iii) acquisition and transaction expense of $229 and $0, respectively. Includes the following items for the nine months ended September 30, 2023 and 2022: (i) net loss of $1,669 and $125, (ii) depreciation and amortization expense of $1,202 and $290 and (iii) acquisition and transaction expense of $563 and $0, respectively. </w:t>
      </w:r>
    </w:p>
    <w:p>
      <w:pPr>
        <w:pStyle w:val="TextBody"/>
        <w:bidi w:val="0"/>
        <w:spacing w:lineRule="auto" w:line="288" w:before="120" w:after="283"/>
        <w:ind w:left="0" w:right="0" w:hanging="180"/>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56" w:before="180" w:after="283"/>
        <w:ind w:left="0" w:right="0" w:hanging="180"/>
        <w:jc w:val="both"/>
        <w:rPr>
          <w:rFonts w:ascii="Arial;sans-serif" w:hAnsi="Arial;sans-serif"/>
          <w:b/>
          <w:color w:val="00497F"/>
          <w:sz w:val="18"/>
          <w:shd w:fill="FFFFFF" w:val="clear"/>
        </w:rPr>
      </w:pPr>
      <w:r>
        <w:rPr>
          <w:rFonts w:ascii="Arial;sans-serif" w:hAnsi="Arial;sans-serif"/>
          <w:b/>
          <w:color w:val="00497F"/>
          <w:sz w:val="18"/>
          <w:shd w:fill="FFFFFF" w:val="clear"/>
        </w:rPr>
        <w:t>Presentation of assets sales</w:t>
      </w:r>
    </w:p>
    <w:p>
      <w:pPr>
        <w:pStyle w:val="TextBody"/>
        <w:bidi w:val="0"/>
        <w:spacing w:lineRule="auto" w:line="288" w:before="120" w:after="283"/>
        <w:jc w:val="both"/>
        <w:rPr/>
      </w:pPr>
      <w:r>
        <w:rPr>
          <w:rFonts w:ascii="Arial;sans-serif" w:hAnsi="Arial;sans-serif"/>
          <w:b w:val="false"/>
          <w:color w:val="000000"/>
          <w:sz w:val="18"/>
        </w:rPr>
        <w:t xml:space="preserve">During the third quarter of 2022, we updated our corporate strategy based on the opportunities available in the market such that the sale of aircraft and engines is now an output of our recurring, ordinary activities. As a result of this update, the transaction price allocated to the sale of assets is included in Revenues in the Consolidated Statement of Operations beginning in the third quarter of 2022 and are accounted for in accordance with ASC 606. The corresponding net book values of the assets sold are recorded in Cost of sales in the Consolidated Statement of Operations beginning in the third quarter of 2022. Sales transactions of aircraft and engines prior to the third quarter of 2022 were accounted for in accordance with ASC 610-20, </w:t>
      </w:r>
      <w:r>
        <w:rPr>
          <w:rFonts w:ascii="Arial;sans-serif" w:hAnsi="Arial;sans-serif"/>
          <w:b w:val="false"/>
          <w:i/>
          <w:color w:val="000000"/>
          <w:sz w:val="18"/>
        </w:rPr>
        <w:t>Gains and losses from the derecognition of nonfinancial assets</w:t>
      </w:r>
      <w:r>
        <w:rPr>
          <w:color w:val="000000"/>
        </w:rPr>
        <w:t xml:space="preserve"> </w:t>
      </w:r>
      <w:r>
        <w:rPr>
          <w:rFonts w:ascii="Arial;sans-serif" w:hAnsi="Arial;sans-serif"/>
          <w:b w:val="false"/>
          <w:color w:val="000000"/>
          <w:sz w:val="18"/>
        </w:rPr>
        <w:t>and were included in Gain (loss) on sale of assets, net on the Consolidated Statement of Operations, as we were previously only occasionally selling these assets. Generally, assets sold were included in Leasing equipment, net, on the Consolidated Balance Sheets.</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three months ended September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revenues increased $60.7 million primarily due to an increase in Aerospace products revenue and Maintenance revenue, partially offset by a decrease in Asset sales revenue.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Aerospace products revenue increased $53.7 million primarily driven by an increase in sales relating to the CFM56-7B and CFM56-5B engines, engine modules, spare parts and used material inventory as operations continued to ramp-up in 2023.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Maintenance revenue increased $28.4 million primarily due to the recognition of maintenance deposits due to the early redelivery of four aircraft, an increase in the number of aircraft and engines placed on lease, higher aircraft and engine utilization and higher end-of-lease return compensation.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Asset sales revenue decreased $12.5 million primarily due to a decrease in the sale of commercial aircraft and engines.</w:t>
      </w:r>
    </w:p>
    <w:p>
      <w:pPr>
        <w:pStyle w:val="TextBody"/>
        <w:bidi w:val="0"/>
        <w:spacing w:before="120" w:after="283"/>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32740"/>
                <wp:effectExtent l="0" t="0" r="0" b="0"/>
                <wp:wrapNone/>
                <wp:docPr id="38" name="Frame3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nine months ended September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revenues increased $424.0 million primarily due to an increase in Asset sales revenue, Aerospace products revenue, Lease income and Maintenance revenue</w:t>
      </w:r>
    </w:p>
    <w:p>
      <w:pPr>
        <w:pStyle w:val="TextBody"/>
        <w:bidi w:val="0"/>
        <w:spacing w:lineRule="auto" w:line="288" w:before="120" w:after="283"/>
        <w:jc w:val="both"/>
        <w:rPr/>
      </w:pPr>
      <w:r>
        <w:rPr>
          <w:rFonts w:ascii="Arial;sans-serif" w:hAnsi="Arial;sans-serif"/>
          <w:b w:val="false"/>
          <w:color w:val="000000"/>
          <w:sz w:val="18"/>
        </w:rPr>
        <w:t>Asset sales reven</w:t>
      </w:r>
      <w:r>
        <w:rPr>
          <w:rFonts w:ascii="Arial;sans-serif" w:hAnsi="Arial;sans-serif"/>
          <w:b w:val="false"/>
          <w:color w:val="000000"/>
          <w:sz w:val="18"/>
          <w:shd w:fill="FFFFFF" w:val="clear"/>
        </w:rPr>
        <w:t>ue</w:t>
      </w:r>
      <w:r>
        <w:rPr>
          <w:color w:val="000000"/>
        </w:rPr>
        <w:t xml:space="preserve"> </w:t>
      </w:r>
      <w:r>
        <w:rPr>
          <w:rFonts w:ascii="Arial;sans-serif" w:hAnsi="Arial;sans-serif"/>
          <w:b w:val="false"/>
          <w:color w:val="000000"/>
          <w:sz w:val="18"/>
        </w:rPr>
        <w:t>increased $197.7 million primarily due to an increase in the sale of commercial aircraft and engines. See above discussion regarding presentation of asset sales.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Aerospace products revenue increased $166.1 million primarily driven by an increase in sales relating to the CFM56-7B and CFM56-5B engines, engine modules, spare parts and used material inventory as operations continued to ramp-up in 2023.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Lease income increased $32.0 million primarily due to an increase in the number of aircraft and engines placed on lease and an increase in the Offshore Energy business driven by increased number of days on-hire for one of our vessels.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Maintenance revenue increased $29.0 million primarily due to the recognition of maintenance deposits due to the early redelivery of four aircraft, an increase in the number of aircraft and engines placed on lease, higher aircraft and engine utilization and higher end-of-lease return compensation.</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three months ended September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$37.5 million, primarily due to higher (i) Cost of sales, (ii) Operating expenses and (iii) Depreciation and amortization.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Cost of sales increased $20.8 million primarily as a result of an increase in Aerospace product sales, partially offset by a decrease in the sale of commercial aircraft and engines.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Operating expenses increased $6.5 million, driven by an increase in commission expenses due to the increase in sales from the used material program and an increase in provision for credit losses, partially offset by a decrease in insurance expense, shipping and storage fees and other operating expenses.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Depreciation and amortization increased $9.1 million driven by an increase in the number of assets owned and on lease, partially offset by an increase in the number of aircraft redelivered and parted out into our engine leasing pool.</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nine months ended September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$100.0 million, primarily due to higher (i) Cost of sales and (ii) Management fees and incentive allocation to affiliate, partially offset by lower (iii) Asset impairment, and (iv) Operating expenses.</w:t>
      </w:r>
    </w:p>
    <w:p>
      <w:pPr>
        <w:pStyle w:val="TextBody"/>
        <w:bidi w:val="0"/>
        <w:spacing w:lineRule="auto" w:line="288" w:before="120" w:after="283"/>
        <w:jc w:val="both"/>
        <w:rPr/>
      </w:pPr>
      <w:r>
        <w:rPr>
          <w:rFonts w:ascii="Arial;sans-serif" w:hAnsi="Arial;sans-serif"/>
          <w:b w:val="false"/>
          <w:color w:val="000000"/>
          <w:sz w:val="18"/>
        </w:rPr>
        <w:t xml:space="preserve">Cost of </w:t>
      </w:r>
      <w:r>
        <w:rPr>
          <w:rFonts w:ascii="Arial;sans-serif" w:hAnsi="Arial;sans-serif"/>
          <w:b w:val="false"/>
          <w:color w:val="000000"/>
          <w:sz w:val="18"/>
          <w:shd w:fill="FFFFFF" w:val="clear"/>
        </w:rPr>
        <w:t>sales</w:t>
      </w:r>
      <w:r>
        <w:rPr>
          <w:color w:val="000000"/>
        </w:rPr>
        <w:t xml:space="preserve"> </w:t>
      </w:r>
      <w:r>
        <w:rPr>
          <w:rFonts w:ascii="Arial;sans-serif" w:hAnsi="Arial;sans-serif"/>
          <w:b w:val="false"/>
          <w:color w:val="000000"/>
          <w:sz w:val="18"/>
        </w:rPr>
        <w:t>increased $246.8 million primarily as a result of an increase in asset sales and Aerospace Products sales and the gross presentation of Asset sales revenue and Aerospace products revenue as described above.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Management fees and incentive allocation to affiliate increased $13.1 million primarily due to an increase in incentive fee due to the Manager.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Asset impairment decreased $127.0 million primarily due to the write down in 2022 of aircraft and engines located in Ukraine and Russia that may not be recoverable. See Note 4 to the consolidated financial statements for additional information.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Operating expenses decreased $27.0 million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decrease of $43.5 million in the Aviation Leasing segment primarily as a result of decreases in provision for credit losses and other expenses as a result of the sanctions imposed on Russian airlines in 2022.</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rPr>
        <w:t>an increase of $11.8 million in the Offshore Energy business which reflects increases in offshore crew expenses, project costs and other operating expenses for one of our vessels driven by increased cost of operations based on the operating location of the vessel as well as increased number of days on-hire.</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 xml:space="preserve">an </w:t>
      </w:r>
      <w:r>
        <w:rPr>
          <w:rFonts w:ascii="Arial;sans-serif" w:hAnsi="Arial;sans-serif"/>
          <w:b w:val="false"/>
          <w:color w:val="000000"/>
          <w:sz w:val="18"/>
        </w:rPr>
        <w:t xml:space="preserve">increase of $4.7 million in the Aerospace Products segment primarily due to an increase in commission expenses due to the increase in sales from the used material program.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income (expense)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decreased $21.8 million during the three months ended September 30, 2023 which primarily reflects a Loss on extinguishment of debt of $19.9 million recognized during the three months ended September 30, 2022 related to the pay-down of the 2021 Bridge Loan issued in December 2021 and February 2022 and the partial redemption of the Senior Notes due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income decreased $60.9 million during nine months ended September 30, 2023 which primarily reflects (i) a decrease of $79.9 million in Gain on sale of assets, net in the Aviation Leasing and Aerospace Products segments due to the change in presentation of asset sales as described above and (ii) Loss on extinguishment of debt of $19.9 million recognized during the three months ended September 30, 2022 related to the pay-down of the 2021 Bridge Loan issued in December 2021 and February 2022 and the partial redemption of the Senior Notes due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2740"/>
                <wp:effectExtent l="0" t="0" r="0" b="0"/>
                <wp:wrapNone/>
                <wp:docPr id="39" name="Frame3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497F"/>
          <w:sz w:val="18"/>
          <w:shd w:fill="FFFFFF" w:val="clear"/>
        </w:rPr>
      </w:pPr>
      <w:r>
        <w:rPr>
          <w:rFonts w:ascii="Arial;sans-serif" w:hAnsi="Arial;sans-serif"/>
          <w:b/>
          <w:i/>
          <w:color w:val="00497F"/>
          <w:sz w:val="18"/>
          <w:shd w:fill="FFFFFF" w:val="clear"/>
        </w:rPr>
        <w:t xml:space="preserve">Net income from continuing operations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income from continuing operations increased $45.5 million and $262.9 million for the three and nine months ended September 30, 2023, respectively, as compared to prior years primarily due to the changes noted above.</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Net loss from discontinued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Net loss from discontinued operations decreased $14.8 million and $101.4 million for the three and nine months ended September 30, 2023, respectively, compared to the prior year as these businesses have spun off and there is no corresponding activity in the current period.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increased $45.4 million and $130.4 million during the three and nine months ended September 30, 2023, respectively,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Aviation Leasing Segment </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18"/>
        </w:rPr>
        <w:t>As of September 30, 2023, in our Aviation Leasing segment, we own and manage 351 aviation assets, consisting of 92 commercial aircraft</w:t>
      </w:r>
      <w:r>
        <w:rPr>
          <w:color w:val="000000"/>
        </w:rPr>
        <w:t xml:space="preserve"> </w:t>
      </w:r>
      <w:r>
        <w:rPr>
          <w:rFonts w:ascii="Arial;sans-serif" w:hAnsi="Arial;sans-serif"/>
          <w:b w:val="false"/>
          <w:color w:val="000000"/>
          <w:sz w:val="18"/>
        </w:rPr>
        <w:t>and 259 engines, including four aircraft that were still located in Ukraine and eight aircraft and seventeen engines that were still located in Russia.</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of September 30, 2023, 73 of our commercial aircraft and 163 of our engines were leased to operators or other third parties. Aviation assets currently off lease are either undergoing repair and/or maintenance, being prepared to go on lease or held in short term storage awaiting a future lease. Our aviation equipment was approximately 77% utilized during the three months ended September 30, 2023, based on the percent of days on-lease in the quarter weighted by the monthly average equity value of our aviation leasing equipment, excluding airframes. Our aircraft currently have a weighted average remaining lease term of 47 months, and our engines currently on-lease have an average remaining lease term of 14 months. The table below provides additional information on the assets in our Aviation Leasing segment: </w:t>
      </w:r>
    </w:p>
    <w:tbl>
      <w:tblPr>
        <w:tblW w:w="5733" w:type="dxa"/>
        <w:jc w:val="left"/>
        <w:tblInd w:w="0" w:type="dxa"/>
        <w:tblLayout w:type="fixed"/>
        <w:tblCellMar>
          <w:top w:w="28" w:type="dxa"/>
          <w:left w:w="28" w:type="dxa"/>
          <w:bottom w:w="28" w:type="dxa"/>
          <w:right w:w="28" w:type="dxa"/>
        </w:tblCellMar>
      </w:tblPr>
      <w:tblGrid>
        <w:gridCol w:w="880"/>
        <w:gridCol w:w="771"/>
        <w:gridCol w:w="778"/>
        <w:gridCol w:w="300"/>
        <w:gridCol w:w="300"/>
        <w:gridCol w:w="301"/>
        <w:gridCol w:w="109"/>
        <w:gridCol w:w="109"/>
        <w:gridCol w:w="109"/>
        <w:gridCol w:w="360"/>
        <w:gridCol w:w="360"/>
        <w:gridCol w:w="361"/>
        <w:gridCol w:w="109"/>
        <w:gridCol w:w="109"/>
        <w:gridCol w:w="109"/>
        <w:gridCol w:w="218"/>
        <w:gridCol w:w="218"/>
        <w:gridCol w:w="232"/>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Aviation Assets</w:t>
            </w:r>
          </w:p>
        </w:tc>
        <w:tc>
          <w:tcPr>
            <w:tcW w:w="901"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Widebody</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Narrowbody</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Aircraft</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January 1, 2023</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September 30, 2023</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Engines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January 1, 2023</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w:t>
            </w: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September 30, 2023</w:t>
            </w:r>
          </w:p>
        </w:tc>
        <w:tc>
          <w:tcPr>
            <w:tcW w:w="6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w:t>
            </w:r>
            <w:r>
              <w:rPr>
                <w:color w:val="000000"/>
              </w:rPr>
              <w:t> </w:t>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w:t>
            </w:r>
            <w:r>
              <w:rPr>
                <w:color w:val="000000"/>
              </w:rPr>
              <w:t> </w:t>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2740"/>
                <wp:effectExtent l="0" t="0" r="0" b="0"/>
                <wp:wrapNone/>
                <wp:docPr id="40" name="Frame3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following table presents our results of operations for our Aviation Leasing segment: </w:t>
      </w:r>
    </w:p>
    <w:tbl>
      <w:tblPr>
        <w:tblW w:w="10205" w:type="dxa"/>
        <w:jc w:val="left"/>
        <w:tblInd w:w="0" w:type="dxa"/>
        <w:tblLayout w:type="fixed"/>
        <w:tblCellMar>
          <w:top w:w="28" w:type="dxa"/>
          <w:left w:w="28" w:type="dxa"/>
          <w:bottom w:w="28" w:type="dxa"/>
          <w:right w:w="28" w:type="dxa"/>
        </w:tblCellMar>
      </w:tblPr>
      <w:tblGrid>
        <w:gridCol w:w="983"/>
        <w:gridCol w:w="733"/>
        <w:gridCol w:w="690"/>
        <w:gridCol w:w="210"/>
        <w:gridCol w:w="711"/>
        <w:gridCol w:w="117"/>
        <w:gridCol w:w="117"/>
        <w:gridCol w:w="117"/>
        <w:gridCol w:w="117"/>
        <w:gridCol w:w="210"/>
        <w:gridCol w:w="695"/>
        <w:gridCol w:w="117"/>
        <w:gridCol w:w="109"/>
        <w:gridCol w:w="109"/>
        <w:gridCol w:w="109"/>
        <w:gridCol w:w="196"/>
        <w:gridCol w:w="586"/>
        <w:gridCol w:w="109"/>
        <w:gridCol w:w="109"/>
        <w:gridCol w:w="109"/>
        <w:gridCol w:w="109"/>
        <w:gridCol w:w="196"/>
        <w:gridCol w:w="751"/>
        <w:gridCol w:w="109"/>
        <w:gridCol w:w="109"/>
        <w:gridCol w:w="109"/>
        <w:gridCol w:w="109"/>
        <w:gridCol w:w="196"/>
        <w:gridCol w:w="736"/>
        <w:gridCol w:w="109"/>
        <w:gridCol w:w="109"/>
        <w:gridCol w:w="109"/>
        <w:gridCol w:w="109"/>
        <w:gridCol w:w="196"/>
        <w:gridCol w:w="736"/>
        <w:gridCol w:w="160"/>
      </w:tblGrid>
      <w:tr>
        <w:trPr/>
        <w:tc>
          <w:tcPr>
            <w:tcW w:w="98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35,981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132,978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63,925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72,990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197,679 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172,978</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564,049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246,055 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55,398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13,944</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2,329</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41,141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(126,951)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112,812</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112,858 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366,974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(61,371)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income (expense)</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(61,751)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60,502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197,693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192,262 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58,170</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193,279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189,964 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 from continuing operations</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58,170</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51,061 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193,279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189,964 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32740"/>
                <wp:effectExtent l="0" t="0" r="0" b="0"/>
                <wp:wrapNone/>
                <wp:docPr id="41" name="Frame4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income attributable to shareholders from continuing operations to Adjusted EBITDA:</w:t>
      </w:r>
    </w:p>
    <w:tbl>
      <w:tblPr>
        <w:tblW w:w="10205" w:type="dxa"/>
        <w:jc w:val="left"/>
        <w:tblInd w:w="0" w:type="dxa"/>
        <w:tblLayout w:type="fixed"/>
        <w:tblCellMar>
          <w:top w:w="28" w:type="dxa"/>
          <w:left w:w="28" w:type="dxa"/>
          <w:bottom w:w="28" w:type="dxa"/>
          <w:right w:w="28" w:type="dxa"/>
        </w:tblCellMar>
      </w:tblPr>
      <w:tblGrid>
        <w:gridCol w:w="869"/>
        <w:gridCol w:w="721"/>
        <w:gridCol w:w="714"/>
        <w:gridCol w:w="206"/>
        <w:gridCol w:w="791"/>
        <w:gridCol w:w="114"/>
        <w:gridCol w:w="114"/>
        <w:gridCol w:w="114"/>
        <w:gridCol w:w="114"/>
        <w:gridCol w:w="206"/>
        <w:gridCol w:w="680"/>
        <w:gridCol w:w="114"/>
        <w:gridCol w:w="109"/>
        <w:gridCol w:w="109"/>
        <w:gridCol w:w="109"/>
        <w:gridCol w:w="196"/>
        <w:gridCol w:w="646"/>
        <w:gridCol w:w="109"/>
        <w:gridCol w:w="109"/>
        <w:gridCol w:w="109"/>
        <w:gridCol w:w="109"/>
        <w:gridCol w:w="196"/>
        <w:gridCol w:w="751"/>
        <w:gridCol w:w="109"/>
        <w:gridCol w:w="109"/>
        <w:gridCol w:w="109"/>
        <w:gridCol w:w="109"/>
        <w:gridCol w:w="196"/>
        <w:gridCol w:w="736"/>
        <w:gridCol w:w="109"/>
        <w:gridCol w:w="109"/>
        <w:gridCol w:w="109"/>
        <w:gridCol w:w="109"/>
        <w:gridCol w:w="196"/>
        <w:gridCol w:w="736"/>
        <w:gridCol w:w="160"/>
      </w:tblGrid>
      <w:tr>
        <w:trPr/>
        <w:tc>
          <w:tcPr>
            <w:tcW w:w="86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 from continuing operations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58,170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193,279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189,964 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(126,951)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56,562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(2)</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(earnings) of unconsolidated entities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119,561</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95,994 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352,973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79,185 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shd w:fill="FFFFFF" w:val="clear"/>
        </w:rPr>
        <w:t xml:space="preserve">(1) </w:t>
      </w:r>
      <w:r>
        <w:rPr>
          <w:rFonts w:ascii="Arial;sans-serif" w:hAnsi="Arial;sans-serif"/>
          <w:b w:val="false"/>
          <w:color w:val="000000"/>
          <w:sz w:val="16"/>
          <w:shd w:fill="FFFFFF" w:val="clear"/>
        </w:rPr>
        <w:t xml:space="preserve">Includes the following items for the three months ended September 30, 2023 and 2022: (i) depreciation expense of $41,141 and $32,728, (ii) lease intangible amortization of $3,726 and $3,291 and (iii) amortization for lease incentives of $11,695 and $3,185, respectively. Includes the following items for the nine months ended September 30, 2023 and 2022: (i) depreciation expense of $114,994 and $109,147, (ii) lease intangible amortization of $11,325 and $10,259 and (iii) amortization for lease incentives of $22,360 and $20,034, respectively. </w:t>
      </w:r>
    </w:p>
    <w:p>
      <w:pPr>
        <w:pStyle w:val="TextBody"/>
        <w:bidi w:val="0"/>
        <w:spacing w:lineRule="auto" w:line="288" w:before="120" w:after="283"/>
        <w:ind w:left="0" w:right="0" w:hanging="180"/>
        <w:jc w:val="both"/>
        <w:rPr/>
      </w:pPr>
      <w:r>
        <w:rPr>
          <w:rFonts w:ascii="Arial;sans-serif" w:hAnsi="Arial;sans-serif"/>
          <w:b w:val="false"/>
          <w:color w:val="000000"/>
          <w:sz w:val="10"/>
          <w:shd w:fill="FFFFFF" w:val="clear"/>
        </w:rPr>
        <w:t xml:space="preserve">(2) </w:t>
      </w:r>
      <w:r>
        <w:rPr>
          <w:rFonts w:ascii="Arial;sans-serif" w:hAnsi="Arial;sans-serif"/>
          <w:b w:val="false"/>
          <w:color w:val="000000"/>
          <w:sz w:val="16"/>
          <w:shd w:fill="FFFFFF" w:val="clear"/>
        </w:rPr>
        <w:t xml:space="preserve">Includes the following items for the three months ended September 30, 2023 and 2022: (i) net loss of $108 and $45 and (ii) depreciation and amortization of $63 and $61, respectively. Includes the following items for the nine months ended September 30, 2023 and 2022: (i) net (loss) income of $(242) and $753 and (ii) depreciation and amortization of $189 and $122, respectively. </w:t>
      </w:r>
    </w:p>
    <w:p>
      <w:pPr>
        <w:pStyle w:val="TextBody"/>
        <w:bidi w:val="0"/>
        <w:spacing w:lineRule="auto" w:line="288" w:before="120" w:after="283"/>
        <w:ind w:left="0" w:right="0" w:hanging="540"/>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three months ended September 30, 2023 and 2022</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Total revenue increased $8.1 million driven by an increase in Maintenance revenue, partially offset by a decrease in Asset sales revenue, Lease income and Other revenue.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Maintenance revenue increased $28.4 million primarily due to the recognition of maintenance deposits due to the early redelivery of four aircraft, an increase in the number of aircraft and engines placed on lease, higher aircraft and engine utilization and higher end-of-lease return compensation.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Asset sales revenue decreased $12.5 million primarily due to a decrease in the sale of commercial aircraft and engines.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Lease income decreased $4.4 million primarily due to an increase in the number of aircraft and engines redelivered, partially offset by additional aircraft and engines placed on lease.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Other revenue decreased $3.4 million primarily due to lower end-of-lease redelivery compensation.</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nine months ended September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 increased $246.1 million driven by an increase in Asset sales revenue, Maintenance revenue and Lease income, partially offset by Other revenue.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Asset sales revenue increased $197.7 million primarily due to an increase in the sale of commercial aircraft and e</w:t>
      </w:r>
      <w:r>
        <w:rPr>
          <w:rFonts w:ascii="Arial;sans-serif" w:hAnsi="Arial;sans-serif"/>
          <w:b w:val="false"/>
          <w:color w:val="000000"/>
          <w:sz w:val="18"/>
          <w:shd w:fill="FFFFFF" w:val="clear"/>
        </w:rPr>
        <w:t>ngines. See above discussion regarding presentation of asset sales.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Lease income increased $21.3 million primarily due to an increase in the number of aircraft and engines placed on lease.</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Maintenance revenue increased $29.0 million primarily due to the recognition of maintenance deposits due to the early redelivery of four aircraft, an increase in the number of aircraft and engines placed on lease, higher aircraft and engine utilization and higher end-of-lease return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32740"/>
                <wp:effectExtent l="0" t="0" r="0" b="0"/>
                <wp:wrapNone/>
                <wp:docPr id="42" name="Frame4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Other revenue decreased $1.9 million primarily due to a decrease in end-of-lease redelivery compensation.</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three months ended September 30, 2023 and 2022</w:t>
      </w:r>
    </w:p>
    <w:p>
      <w:pPr>
        <w:pStyle w:val="TextBody"/>
        <w:bidi w:val="0"/>
        <w:spacing w:lineRule="auto" w:line="288" w:before="120" w:after="283"/>
        <w:jc w:val="both"/>
        <w:rPr/>
      </w:pPr>
      <w:r>
        <w:rPr>
          <w:rFonts w:ascii="Arial;sans-serif" w:hAnsi="Arial;sans-serif"/>
          <w:b w:val="false"/>
          <w:color w:val="000000"/>
          <w:sz w:val="18"/>
        </w:rPr>
        <w:t>Total expenses decrea</w:t>
      </w:r>
      <w:r>
        <w:rPr>
          <w:rFonts w:ascii="Arial;sans-serif" w:hAnsi="Arial;sans-serif"/>
          <w:b w:val="false"/>
          <w:color w:val="000000"/>
          <w:sz w:val="18"/>
          <w:shd w:fill="FFFFFF" w:val="clear"/>
        </w:rPr>
        <w:t xml:space="preserve">sed $0.1 million primarily driven by a decrease in Cost of sales and Asset impairment, partially offset by an increase in Depreciation and amortization, Operating expenses and Acquisition and transaction expenses. </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Cost of sales decreased $9.5 million primarily as a result of a decrease in the sale of commercial aircraft and engines.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Asset impairment decreased $4.5 million primarily due to the adjustment of the carrying value of leasing equipment to fair value in 2022.</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Depreciation and amortization expense increased $8.4 million driven by an increase in the number of assets owned and on lease, partially offset by an increase in the number of aircraft redelivered and parted out into our engine leasing pool.</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 xml:space="preserve">Operating expenses increased $3.4 million driven by an increase in provision for credit losses, partially offset by a decrease in insurance expense, shipping and storage fees and other operating expenses. </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Acquisition and transaction expenses increased $2.1 million driven by higher compensation and related costs associated with the acquisition of aviation leasing equipment.</w:t>
      </w:r>
    </w:p>
    <w:p>
      <w:pPr>
        <w:pStyle w:val="TextBody"/>
        <w:bidi w:val="0"/>
        <w:spacing w:lineRule="auto" w:line="288" w:before="120" w:after="283"/>
        <w:ind w:left="0" w:right="0" w:hanging="180"/>
        <w:jc w:val="both"/>
        <w:rPr>
          <w:rFonts w:ascii="Arial;sans-serif" w:hAnsi="Arial;sans-serif"/>
          <w:b/>
          <w:color w:val="00497F"/>
          <w:sz w:val="18"/>
          <w:shd w:fill="FFFFFF" w:val="clear"/>
        </w:rPr>
      </w:pPr>
      <w:r>
        <w:rPr>
          <w:rFonts w:ascii="Arial;sans-serif" w:hAnsi="Arial;sans-serif"/>
          <w:b/>
          <w:color w:val="00497F"/>
          <w:sz w:val="18"/>
          <w:shd w:fill="FFFFFF" w:val="clear"/>
        </w:rPr>
        <w:t>Comparison of the nine months ended September 30, 2023 and 2022</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Total expenses decreased $8.0 million primarily driven by a decrease in Asset impairment and Operating expenses, partially offset by an increase in Cost of sales.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Asset impairment decreased $127.0 million primarily due to the write down in 2022 of aircraft and engines located in Ukraine and Russia that may not be recoverable. See Note 4 to the consolidated financial statements for additional information.</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Operating expenses decreased $43.5 million primarily as a result of decreases in provision for credit losses and other expenses as a result of the sanctions imposed on Russian airlines in 2022.</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Cost of sales increased $152.3 million as a result of an increase in assets sales and the gross presentation of Asset sales revenues and related costs of sales as described above.</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Depreciation and amortization expense increased $5.8 million driven by an increase in the number of assets owned and on lease, partially offset by an increase in the number of aircraft redelivered and parted out into our engine leasing pool.</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Acquisition and transaction expenses increased $4.3 million driven by higher compensation and related costs associated with the acquisition of aviation leasing equipment.</w:t>
      </w:r>
    </w:p>
    <w:p>
      <w:pPr>
        <w:pStyle w:val="TextBody"/>
        <w:bidi w:val="0"/>
        <w:spacing w:lineRule="auto" w:line="288" w:before="120" w:after="283"/>
        <w:ind w:left="0" w:right="0" w:hanging="540"/>
        <w:jc w:val="both"/>
        <w:rPr>
          <w:rFonts w:ascii="Arial;sans-serif" w:hAnsi="Arial;sans-serif"/>
          <w:b/>
          <w:i/>
          <w:color w:val="00497F"/>
          <w:sz w:val="18"/>
          <w:shd w:fill="FFFFFF" w:val="clear"/>
        </w:rPr>
      </w:pPr>
      <w:r>
        <w:rPr>
          <w:rFonts w:ascii="Arial;sans-serif" w:hAnsi="Arial;sans-serif"/>
          <w:b/>
          <w:i/>
          <w:color w:val="00497F"/>
          <w:sz w:val="18"/>
          <w:shd w:fill="FFFFFF" w:val="clear"/>
        </w:rPr>
        <w:t>Other income (expense)</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Total other income increased $0.3 million during the three months ended September 30, 2023 primarily due to an increase of $0.4 million in interest income.</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Total other income decreased $61.8 million during the nine months ended September 30, 2023 primarily due to a decrease of $61.4 million in Gain on sale of assets, net in 2022 due to the change in presentation of asset sales. </w:t>
      </w:r>
    </w:p>
    <w:p>
      <w:pPr>
        <w:pStyle w:val="TextBody"/>
        <w:bidi w:val="0"/>
        <w:spacing w:lineRule="auto" w:line="288" w:before="120" w:after="283"/>
        <w:ind w:left="0" w:right="0" w:hanging="540"/>
        <w:jc w:val="both"/>
        <w:rPr>
          <w:rFonts w:ascii="Arial;sans-serif" w:hAnsi="Arial;sans-serif"/>
          <w:b/>
          <w:i/>
          <w:color w:val="00497F"/>
          <w:sz w:val="18"/>
          <w:shd w:fill="FFFFFF" w:val="clear"/>
        </w:rPr>
      </w:pPr>
      <w:r>
        <w:rPr>
          <w:rFonts w:ascii="Arial;sans-serif" w:hAnsi="Arial;sans-serif"/>
          <w:b/>
          <w:i/>
          <w:color w:val="00497F"/>
          <w:sz w:val="18"/>
          <w:shd w:fill="FFFFFF" w:val="clear"/>
        </w:rPr>
        <w:t>Adjusted EBITDA (Non-GAAP)</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Adjusted EBITDA increased $23.6 million and $79.2 million during the three and nine months ended September 30, 2023, respectively, primarily due to the changes noted above.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Aerospace Products Segment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Aerospace Products segment develops and manufactures through a joint venture, and repairs and sells, through exclusivity arrangements, aircraft engines and aftermarket components primarily for the CFM56-7B and CFM56-5B commercial aircraft engines. Our engine and module sales are facilitated through The Module Factory, a dedicated commercial maintenance program, designed to focus on modular repair and refurbishment of CFM56-7B and CFM56-5B engines, performed by a third party. Used serviceable material is sold through our exclusive partnership with AAR Corp, who is responsible for the teardown, repair, marketing and sales of spare parts from our CFM56 engine pool. We also hold a 25% interest in the Advanced Engine Repair JV which focuses on developing new cost savings programs for engine repairs and a 50% interest in Quick Turn Engine Center LLC or “Quick Turn” (previously iAero Thrust LLC), a hospital maintenance and testing facility dedicated to the CFM56 engine.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32740"/>
                <wp:effectExtent l="0" t="0" r="0" b="0"/>
                <wp:wrapNone/>
                <wp:docPr id="43" name="Frame4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1019"/>
        <w:gridCol w:w="676"/>
        <w:gridCol w:w="679"/>
        <w:gridCol w:w="208"/>
        <w:gridCol w:w="797"/>
        <w:gridCol w:w="115"/>
        <w:gridCol w:w="115"/>
        <w:gridCol w:w="115"/>
        <w:gridCol w:w="115"/>
        <w:gridCol w:w="208"/>
        <w:gridCol w:w="686"/>
        <w:gridCol w:w="115"/>
        <w:gridCol w:w="109"/>
        <w:gridCol w:w="109"/>
        <w:gridCol w:w="109"/>
        <w:gridCol w:w="196"/>
        <w:gridCol w:w="646"/>
        <w:gridCol w:w="109"/>
        <w:gridCol w:w="109"/>
        <w:gridCol w:w="109"/>
        <w:gridCol w:w="109"/>
        <w:gridCol w:w="196"/>
        <w:gridCol w:w="751"/>
        <w:gridCol w:w="109"/>
        <w:gridCol w:w="109"/>
        <w:gridCol w:w="109"/>
        <w:gridCol w:w="109"/>
        <w:gridCol w:w="196"/>
        <w:gridCol w:w="646"/>
        <w:gridCol w:w="109"/>
        <w:gridCol w:w="109"/>
        <w:gridCol w:w="109"/>
        <w:gridCol w:w="109"/>
        <w:gridCol w:w="196"/>
        <w:gridCol w:w="736"/>
        <w:gridCol w:w="159"/>
      </w:tblGrid>
      <w:tr>
        <w:trPr/>
        <w:tc>
          <w:tcPr>
            <w:tcW w:w="101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Aerospace products revenue</w:t>
            </w:r>
          </w:p>
        </w:tc>
        <w:tc>
          <w:tcPr>
            <w:tcW w:w="2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107,085</w:t>
            </w:r>
            <w:r>
              <w:rPr>
                <w:color w:val="000000"/>
              </w:rPr>
              <w:t>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53,401 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53,684 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260,273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94,211 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166,062 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61,309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149,719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5,947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67,481</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34,676 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163,992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100,421 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earnings (losses) of unconsolidated entities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(18,562)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income (expense)</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39,758</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18,412 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94,854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46,530 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38,627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92,223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48,954 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 from continuing operations</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38,627</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92,223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48,954 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32740"/>
                <wp:effectExtent l="0" t="0" r="0" b="0"/>
                <wp:wrapNone/>
                <wp:docPr id="44" name="Frame4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following table sets forth a reconciliation of net income attributable to shareholders from continuing operations to Adjusted EBITDA: </w:t>
      </w:r>
    </w:p>
    <w:tbl>
      <w:tblPr>
        <w:tblW w:w="10205" w:type="dxa"/>
        <w:jc w:val="left"/>
        <w:tblInd w:w="0" w:type="dxa"/>
        <w:tblLayout w:type="fixed"/>
        <w:tblCellMar>
          <w:top w:w="28" w:type="dxa"/>
          <w:left w:w="28" w:type="dxa"/>
          <w:bottom w:w="28" w:type="dxa"/>
          <w:right w:w="28" w:type="dxa"/>
        </w:tblCellMar>
      </w:tblPr>
      <w:tblGrid>
        <w:gridCol w:w="976"/>
        <w:gridCol w:w="817"/>
        <w:gridCol w:w="812"/>
        <w:gridCol w:w="211"/>
        <w:gridCol w:w="714"/>
        <w:gridCol w:w="117"/>
        <w:gridCol w:w="117"/>
        <w:gridCol w:w="117"/>
        <w:gridCol w:w="117"/>
        <w:gridCol w:w="211"/>
        <w:gridCol w:w="698"/>
        <w:gridCol w:w="117"/>
        <w:gridCol w:w="109"/>
        <w:gridCol w:w="109"/>
        <w:gridCol w:w="109"/>
        <w:gridCol w:w="196"/>
        <w:gridCol w:w="646"/>
        <w:gridCol w:w="109"/>
        <w:gridCol w:w="109"/>
        <w:gridCol w:w="109"/>
        <w:gridCol w:w="109"/>
        <w:gridCol w:w="196"/>
        <w:gridCol w:w="661"/>
        <w:gridCol w:w="109"/>
        <w:gridCol w:w="109"/>
        <w:gridCol w:w="109"/>
        <w:gridCol w:w="109"/>
        <w:gridCol w:w="196"/>
        <w:gridCol w:w="646"/>
        <w:gridCol w:w="109"/>
        <w:gridCol w:w="109"/>
        <w:gridCol w:w="109"/>
        <w:gridCol w:w="109"/>
        <w:gridCol w:w="196"/>
        <w:gridCol w:w="646"/>
        <w:gridCol w:w="163"/>
      </w:tblGrid>
      <w:tr>
        <w:trPr/>
        <w:tc>
          <w:tcPr>
            <w:tcW w:w="97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38,627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92,223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48,954 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(1)</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687</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(earnings) losses of unconsolidated entities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40,586</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18,560 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98,020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49,335 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shd w:fill="FFFFFF" w:val="clear"/>
        </w:rPr>
        <w:t>(1)</w:t>
      </w:r>
      <w:r>
        <w:rPr>
          <w:color w:val="000000"/>
          <w:shd w:fill="FFFFFF" w:val="clear"/>
        </w:rPr>
        <w:t xml:space="preserve"> </w:t>
      </w:r>
      <w:r>
        <w:rPr>
          <w:rFonts w:ascii="Arial;sans-serif" w:hAnsi="Arial;sans-serif"/>
          <w:b w:val="false"/>
          <w:color w:val="000000"/>
          <w:sz w:val="16"/>
          <w:shd w:fill="FFFFFF" w:val="clear"/>
        </w:rPr>
        <w:t>Includes the following items for the three months ended September 30, 2023 and 2022: (i) net income (loss) of $154 and $(313), (ii) depreciation and amortization expense of $304 and $56 and (iii) acquisition and transaction expense of $229 and $0, respectively. Includes the following items for the nine months ended September 30, 2023 and 2022: (i) net losses of $1,427 and $878, (ii) depreciation and amortization expense of $1,013 and $168 and (iii) acquisition and transaction expense of $563 and $0, respectively.</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Aerospace products revenue increased $53.7 million and $166.1 million during the three and nine months ended September 30, 2023 primarily driven by an increase in sales relating to the CFM56-7B and CFM56-5B engines, engine modules, spare parts and used material inventory as operations continued to ramp-up in 2023.</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Total expenses increased $32.8 million primarily due to an increase in Cost of sales and Operating expenses during the three months ended September 30, 2023.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increased $30.2 million as a result of an increase in Aerospace product sales.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increased $2.5 million primarily due to an increase in commission expenses due to the increase in sales from the used material program.</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Total expenses increased $100.4 million primarily due to an increase in Cost of sales and Operating expenses during the nine months ended September 30, 2023.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increased $94.4 million primarily as a result of an increase in Aerospace products sales and the gross presentation described above.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Operating expenses increased $4.7 million primarily due to an increase in commission expenses due to the increase in sales from the used material program.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income (expense)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income increased $0.5 million primarily due to an increase of in our proportionate share on unconsolidated entities’ net income during the three months ended September 30, 2023.</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income decreased $19.1 million primarily due to a decrease of $18.6 million in Gain on sale of assets, net and an increase of $0.5 million in our proportionate share of unconsolidated entities’ net loss during the nine months ended September 30, 2023. See above discussion regarding presentation of asset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32740"/>
                <wp:effectExtent l="0" t="0" r="0" b="0"/>
                <wp:wrapNone/>
                <wp:docPr id="45" name="Frame4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pPr>
      <w:r>
        <w:rPr>
          <w:rFonts w:ascii="Arial;sans-serif" w:hAnsi="Arial;sans-serif"/>
          <w:b w:val="false"/>
          <w:color w:val="000000"/>
          <w:sz w:val="18"/>
          <w:shd w:fill="FFFFFF" w:val="clear"/>
        </w:rPr>
        <w:t>Adjusted EBITDA increased $22.0 million and $49.3 million during the three and nine months ended</w:t>
      </w:r>
      <w:r>
        <w:rPr>
          <w:color w:val="000000"/>
          <w:shd w:fill="FFFFFF" w:val="clear"/>
        </w:rPr>
        <w:t xml:space="preserve"> </w:t>
      </w:r>
      <w:r>
        <w:rPr>
          <w:rFonts w:ascii="Arial;sans-serif" w:hAnsi="Arial;sans-serif"/>
          <w:b w:val="false"/>
          <w:color w:val="000000"/>
          <w:sz w:val="18"/>
          <w:shd w:fill="FFFFFF" w:val="clear"/>
        </w:rPr>
        <w:t>September 30, 2023, respectively,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Corporate and Other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1022"/>
        <w:gridCol w:w="679"/>
        <w:gridCol w:w="682"/>
        <w:gridCol w:w="207"/>
        <w:gridCol w:w="716"/>
        <w:gridCol w:w="115"/>
        <w:gridCol w:w="115"/>
        <w:gridCol w:w="115"/>
        <w:gridCol w:w="115"/>
        <w:gridCol w:w="207"/>
        <w:gridCol w:w="716"/>
        <w:gridCol w:w="115"/>
        <w:gridCol w:w="109"/>
        <w:gridCol w:w="109"/>
        <w:gridCol w:w="109"/>
        <w:gridCol w:w="196"/>
        <w:gridCol w:w="646"/>
        <w:gridCol w:w="109"/>
        <w:gridCol w:w="109"/>
        <w:gridCol w:w="109"/>
        <w:gridCol w:w="109"/>
        <w:gridCol w:w="196"/>
        <w:gridCol w:w="765"/>
        <w:gridCol w:w="109"/>
        <w:gridCol w:w="109"/>
        <w:gridCol w:w="109"/>
        <w:gridCol w:w="109"/>
        <w:gridCol w:w="196"/>
        <w:gridCol w:w="765"/>
        <w:gridCol w:w="109"/>
        <w:gridCol w:w="109"/>
        <w:gridCol w:w="109"/>
        <w:gridCol w:w="109"/>
        <w:gridCol w:w="196"/>
        <w:gridCol w:w="646"/>
        <w:gridCol w:w="160"/>
      </w:tblGrid>
      <w:tr>
        <w:trPr/>
        <w:tc>
          <w:tcPr>
            <w:tcW w:w="102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9,641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11,033</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13,996</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39,770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3,015</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40,185</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117,976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66,298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61,532 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193,358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income (expense)</w:t>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(20,941)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19,915 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before income taxes</w:t>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(55,248)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(70,357)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(159,504)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24,306 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(55,490)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(71,034)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23,951 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shareholders from continuing operations</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(63,824)</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(77,825)</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(183,505)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(204,369)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20,864 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32740"/>
                <wp:effectExtent l="0" t="0" r="0" b="0"/>
                <wp:wrapNone/>
                <wp:docPr id="46" name="Frame4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following table sets forth a reconciliation of net loss attributable to shareholders from continuing operations to Adjusted EBITDA:</w:t>
      </w:r>
    </w:p>
    <w:tbl>
      <w:tblPr>
        <w:tblW w:w="10205" w:type="dxa"/>
        <w:jc w:val="left"/>
        <w:tblInd w:w="0" w:type="dxa"/>
        <w:tblLayout w:type="fixed"/>
        <w:tblCellMar>
          <w:top w:w="28" w:type="dxa"/>
          <w:left w:w="28" w:type="dxa"/>
          <w:bottom w:w="28" w:type="dxa"/>
          <w:right w:w="28" w:type="dxa"/>
        </w:tblCellMar>
      </w:tblPr>
      <w:tblGrid>
        <w:gridCol w:w="902"/>
        <w:gridCol w:w="751"/>
        <w:gridCol w:w="744"/>
        <w:gridCol w:w="206"/>
        <w:gridCol w:w="712"/>
        <w:gridCol w:w="114"/>
        <w:gridCol w:w="114"/>
        <w:gridCol w:w="114"/>
        <w:gridCol w:w="114"/>
        <w:gridCol w:w="206"/>
        <w:gridCol w:w="712"/>
        <w:gridCol w:w="114"/>
        <w:gridCol w:w="109"/>
        <w:gridCol w:w="109"/>
        <w:gridCol w:w="109"/>
        <w:gridCol w:w="196"/>
        <w:gridCol w:w="646"/>
        <w:gridCol w:w="109"/>
        <w:gridCol w:w="109"/>
        <w:gridCol w:w="109"/>
        <w:gridCol w:w="109"/>
        <w:gridCol w:w="196"/>
        <w:gridCol w:w="764"/>
        <w:gridCol w:w="109"/>
        <w:gridCol w:w="109"/>
        <w:gridCol w:w="109"/>
        <w:gridCol w:w="109"/>
        <w:gridCol w:w="196"/>
        <w:gridCol w:w="764"/>
        <w:gridCol w:w="109"/>
        <w:gridCol w:w="109"/>
        <w:gridCol w:w="109"/>
        <w:gridCol w:w="109"/>
        <w:gridCol w:w="196"/>
        <w:gridCol w:w="646"/>
        <w:gridCol w:w="163"/>
      </w:tblGrid>
      <w:tr>
        <w:trPr/>
        <w:tc>
          <w:tcPr>
            <w:tcW w:w="90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shareholders from continuing operations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(63,824)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(77,825)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20,864 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2,703</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48,519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141,436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Pro-rata share of Adjusted EBITDA from unconsolidated entities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(earnings) losses of unconsolidated entities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(5,929)</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(5,691)</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revenues decreased $1.1 million during the three months ended September 30, 2023 primarily due to a crane repair on one of our vessels. Total revenues increased $11.9 million during the nine months ended September 30, 2023 primarily due to an increase in the Offshore Energy business driven by increased number of days on-hire for one of our vessels.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three months ended September 30, 2023 and 2022</w:t>
      </w:r>
    </w:p>
    <w:p>
      <w:pPr>
        <w:pStyle w:val="TextBody"/>
        <w:bidi w:val="0"/>
        <w:spacing w:lineRule="auto" w:line="288" w:before="120" w:after="283"/>
        <w:jc w:val="both"/>
        <w:rPr/>
      </w:pPr>
      <w:r>
        <w:rPr>
          <w:rFonts w:ascii="Arial;sans-serif" w:hAnsi="Arial;sans-serif"/>
          <w:b w:val="false"/>
          <w:color w:val="000000"/>
          <w:sz w:val="18"/>
        </w:rPr>
        <w:t xml:space="preserve">Total expenses increased </w:t>
      </w:r>
      <w:r>
        <w:rPr>
          <w:rFonts w:ascii="Arial;sans-serif" w:hAnsi="Arial;sans-serif"/>
          <w:b w:val="false"/>
          <w:color w:val="000000"/>
          <w:sz w:val="18"/>
          <w:shd w:fill="FFFFFF" w:val="clear"/>
        </w:rPr>
        <w:t>$4.8 million primarily due to highe</w:t>
      </w:r>
      <w:r>
        <w:rPr>
          <w:rFonts w:ascii="Arial;sans-serif" w:hAnsi="Arial;sans-serif"/>
          <w:b w:val="false"/>
          <w:color w:val="000000"/>
          <w:sz w:val="18"/>
        </w:rPr>
        <w:t>r Management fees and incentive allocation to affiliate.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Management fees and incentive allocation to affiliate increased $4.6 million primarily due to an increase in incentive fee due to the Manager.</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nine months ended September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$7.5 million primarily due to higher Management fees and incentive allocation to affiliate, partially offset by lower Interest expense and Acquisition and transaction expenses.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Management fees and incentive allocation to affiliate increased $13.1 million primarily due to an increase in incentive fee due to the Manager.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increased $11.8 million which reflects increases in offshore crew expenses, project costs and other operating expenses for one of our vessels driven by increased cost of operations based on the operating location of the vessel as well as increased number of days on-hire.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Interest expense decreased $14.2 million, which reflects a decrease in the average outstanding debt of approximately $349.5 million due to decreases in (i) the 2021 Bridge Loans of $237.7 million and (ii) the Senior Notes due 2025 of $155.2 million, which were partially redeemed in August 2022, partially offset by an increase in (iii) the Revolving Credit Facility of $43.8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Acquisition and transaction expense decreased $3.6 million primarily due to lower professional fees related to strategic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32740"/>
                <wp:effectExtent l="0" t="0" r="0" b="0"/>
                <wp:wrapNone/>
                <wp:docPr id="47" name="Frame4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income (expense)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decreased $21.0 million and $19.9 million during the three and nine months ended September 30, 2023 which primarily reflects a Loss on extinguishment of debt of $19.9 million recognized during 2022 related to the pay-down of the 2021 Bridge Loan issued in December 2021 and February 2022 and the partial redemption of the Senior Notes due 2025.</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pPr>
      <w:r>
        <w:rPr>
          <w:rFonts w:ascii="Arial;sans-serif" w:hAnsi="Arial;sans-serif"/>
          <w:b w:val="false"/>
          <w:color w:val="000000"/>
          <w:sz w:val="18"/>
        </w:rPr>
        <w:t>Adjusted EBITDA decreased $0.2 million and increased $1.9 million during the three and nine months ended</w:t>
      </w:r>
      <w:r>
        <w:rPr>
          <w:color w:val="000000"/>
        </w:rPr>
        <w:t xml:space="preserve"> </w:t>
      </w:r>
      <w:r>
        <w:rPr>
          <w:rFonts w:ascii="Arial;sans-serif" w:hAnsi="Arial;sans-serif"/>
          <w:b w:val="false"/>
          <w:color w:val="000000"/>
          <w:sz w:val="18"/>
        </w:rPr>
        <w:t>September 30, 2023, respectively,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 xml:space="preserve">Liquidity and Capital Resources </w:t>
      </w:r>
    </w:p>
    <w:p>
      <w:pPr>
        <w:pStyle w:val="TextBody"/>
        <w:bidi w:val="0"/>
        <w:spacing w:lineRule="auto" w:line="288" w:before="120" w:after="283"/>
        <w:jc w:val="both"/>
        <w:rPr/>
      </w:pPr>
      <w:r>
        <w:rPr>
          <w:rFonts w:ascii="Arial;sans-serif" w:hAnsi="Arial;sans-serif"/>
          <w:b w:val="false"/>
          <w:color w:val="000000"/>
          <w:sz w:val="18"/>
        </w:rPr>
        <w:t xml:space="preserve">We believe we have sufficient liquidity to satisfy our cash needs, however, we continue to evaluate and take action, as necessary, to preserve adequate liquidity and ensure that our business can continue to operate during these uncertain times. </w:t>
      </w:r>
      <w:r>
        <w:rPr>
          <w:rFonts w:ascii="Arial;sans-serif" w:hAnsi="Arial;sans-serif"/>
          <w:b w:val="false"/>
          <w:color w:val="000000"/>
          <w:sz w:val="18"/>
          <w:shd w:fill="FFFFFF" w:val="clear"/>
        </w:rPr>
        <w:t>This includes limiting discretionary spending across the organization and re-prioritizing our investments amid market volatility.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principal uses of liquidity have been and continue to be (i) acquisitions of aircraft and engines, (ii) dividends to our ordinary and preferred shareholders, (iii) expenses associated with our operating activities, and (iv) debt service obligations associated with our investments.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Cash used for the purpose of making investments was $562.8 million</w:t>
      </w:r>
      <w:r>
        <w:rPr>
          <w:color w:val="000000"/>
          <w:shd w:fill="FFFFFF" w:val="clear"/>
        </w:rPr>
        <w:t xml:space="preserve"> </w:t>
      </w:r>
      <w:r>
        <w:rPr>
          <w:rFonts w:ascii="Arial;sans-serif" w:hAnsi="Arial;sans-serif"/>
          <w:b w:val="false"/>
          <w:color w:val="000000"/>
          <w:sz w:val="18"/>
          <w:shd w:fill="FFFFFF" w:val="clear"/>
        </w:rPr>
        <w:t xml:space="preserve">and $545.7 million during the nine months ended September 30, 2023 and 2022, respectively.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Dividends to shareholders and holders of eligible participating securities were $113.2 million</w:t>
      </w:r>
      <w:r>
        <w:rPr>
          <w:color w:val="000000"/>
          <w:shd w:fill="FFFFFF" w:val="clear"/>
        </w:rPr>
        <w:t xml:space="preserve"> </w:t>
      </w:r>
      <w:r>
        <w:rPr>
          <w:rFonts w:ascii="Arial;sans-serif" w:hAnsi="Arial;sans-serif"/>
          <w:b w:val="false"/>
          <w:color w:val="000000"/>
          <w:sz w:val="18"/>
          <w:shd w:fill="FFFFFF" w:val="clear"/>
        </w:rPr>
        <w:t xml:space="preserve">and $119.0 million during the nine months ended September 30, 2023 and 2022, respectively.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Uses of liquidity associated with our operating expenses are captured on a net basis in our cash flows from operating activities. Uses of liquidity associated with our debt obligations are captured in our cash flows from financing activities.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principal sources of liquidity to fund these uses have been and continue to be (i) revenues from our aviation assets (including finance lease collections and maintenance reserve collections) net of operating expenses, (ii) proceeds from borrowings or the issuance of securities and (iii) proceeds from asset sales.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rPr>
        <w:t>Cash flows provided by operating activities, plus the principal collections on finance leases and maintenance reserve collectio</w:t>
      </w:r>
      <w:r>
        <w:rPr>
          <w:rFonts w:ascii="Arial;sans-serif" w:hAnsi="Arial;sans-serif"/>
          <w:b w:val="false"/>
          <w:color w:val="000000"/>
          <w:sz w:val="18"/>
          <w:shd w:fill="FFFFFF" w:val="clear"/>
        </w:rPr>
        <w:t xml:space="preserve">ns were </w:t>
      </w:r>
      <w:r>
        <w:rPr>
          <w:rFonts w:ascii="Arial;sans-serif" w:hAnsi="Arial;sans-serif"/>
          <w:b w:val="false"/>
          <w:color w:val="000000"/>
          <w:sz w:val="18"/>
        </w:rPr>
        <w:t>$143.1 million</w:t>
      </w:r>
      <w:r>
        <w:rPr>
          <w:color w:val="000000"/>
          <w:shd w:fill="FFFFFF" w:val="clear"/>
        </w:rPr>
        <w:t xml:space="preserve"> </w:t>
      </w:r>
      <w:r>
        <w:rPr>
          <w:rFonts w:ascii="Arial;sans-serif" w:hAnsi="Arial;sans-serif"/>
          <w:b w:val="false"/>
          <w:color w:val="000000"/>
          <w:sz w:val="18"/>
          <w:shd w:fill="FFFFFF" w:val="clear"/>
        </w:rPr>
        <w:t xml:space="preserve">and $18.5 million during the nine months ended </w:t>
      </w:r>
      <w:r>
        <w:rPr>
          <w:rFonts w:ascii="Arial;sans-serif" w:hAnsi="Arial;sans-serif"/>
          <w:b w:val="false"/>
          <w:color w:val="000000"/>
          <w:sz w:val="18"/>
        </w:rPr>
        <w:t>September 30, 2023 and 2022, respectively.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During the nine months ended September 30, 2023, additional borrowings and total principal repayments in connection with the Revolving Credit Facility were $430.0 million and $330.0 million, respectively. During the nine months ended September 30, 2022, additional borrowings were obtained in connection with the (i) 2021 Bridge Loans</w:t>
      </w:r>
      <w:r>
        <w:rPr>
          <w:color w:val="000000"/>
          <w:shd w:fill="FFFFFF" w:val="clear"/>
        </w:rPr>
        <w:t xml:space="preserve"> </w:t>
      </w:r>
      <w:r>
        <w:rPr>
          <w:rFonts w:ascii="Arial;sans-serif" w:hAnsi="Arial;sans-serif"/>
          <w:b w:val="false"/>
          <w:color w:val="000000"/>
          <w:sz w:val="18"/>
          <w:shd w:fill="FFFFFF" w:val="clear"/>
        </w:rPr>
        <w:t>of $239.5 million (ii) Revolving Credit Facility of $255.0 million and (iii) EB-5 Loan Agreement of $9.5 million. We made total principal repayments of (i) $444.5 million relating to the Revolving Credit Facility, (ii) $340.0 million related to the 2021 Bridge Loans and (iii) $200.0 million related to the Senior Notes due 2025.</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Proceeds from the sale of assets were $366.1 million and $267.4 million</w:t>
      </w:r>
      <w:r>
        <w:rPr>
          <w:color w:val="000000"/>
          <w:shd w:fill="FFFFFF" w:val="clear"/>
        </w:rPr>
        <w:t xml:space="preserve"> </w:t>
      </w:r>
      <w:r>
        <w:rPr>
          <w:rFonts w:ascii="Arial;sans-serif" w:hAnsi="Arial;sans-serif"/>
          <w:b w:val="false"/>
          <w:color w:val="000000"/>
          <w:sz w:val="18"/>
          <w:shd w:fill="FFFFFF" w:val="clear"/>
        </w:rPr>
        <w:t>d</w:t>
      </w:r>
      <w:r>
        <w:rPr>
          <w:rFonts w:ascii="Arial;sans-serif" w:hAnsi="Arial;sans-serif"/>
          <w:b w:val="false"/>
          <w:color w:val="000000"/>
          <w:sz w:val="18"/>
        </w:rPr>
        <w:t xml:space="preserve">uring the nine months ended September 30, 2023 and 2022, respectively. </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rPr>
        <w:t xml:space="preserve">Proceeds from the issuance of preferred shares, net of underwriter’s discount and issuance costs were </w:t>
      </w:r>
      <w:r>
        <w:rPr>
          <w:rFonts w:ascii="Arial;sans-serif" w:hAnsi="Arial;sans-serif"/>
          <w:b w:val="false"/>
          <w:color w:val="000000"/>
          <w:sz w:val="18"/>
          <w:shd w:fill="FFFFFF" w:val="clear"/>
        </w:rPr>
        <w:t>$61.7 million</w:t>
      </w:r>
      <w:r>
        <w:rPr>
          <w:color w:val="000000"/>
        </w:rPr>
        <w:t xml:space="preserve"> </w:t>
      </w:r>
      <w:r>
        <w:rPr>
          <w:rFonts w:ascii="Arial;sans-serif" w:hAnsi="Arial;sans-serif"/>
          <w:b w:val="false"/>
          <w:color w:val="000000"/>
          <w:sz w:val="18"/>
        </w:rPr>
        <w:t xml:space="preserve">and </w:t>
      </w:r>
      <w:r>
        <w:rPr>
          <w:rFonts w:ascii="Arial;sans-serif" w:hAnsi="Arial;sans-serif"/>
          <w:b w:val="false"/>
          <w:color w:val="000000"/>
          <w:sz w:val="18"/>
          <w:shd w:fill="FFFFFF" w:val="clear"/>
        </w:rPr>
        <w:t xml:space="preserve">$0.0 million </w:t>
      </w:r>
      <w:r>
        <w:rPr>
          <w:rFonts w:ascii="Arial;sans-serif" w:hAnsi="Arial;sans-serif"/>
          <w:b w:val="false"/>
          <w:color w:val="000000"/>
          <w:sz w:val="18"/>
        </w:rPr>
        <w:t>during the nine months ended September 30, 2023 and 2022,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currently evaluating several potential transactions and related financings, including, but not limited to, certain additional debt and equity financings, which could occur within the next 12 months. None of these potential transactions, negotiations, or financings are definitive or included within our planned liquidity needs. We cannot assure if or when any such transaction will be consummated or the terms of any such transaction or related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32740"/>
                <wp:effectExtent l="0" t="0" r="0" b="0"/>
                <wp:wrapNone/>
                <wp:docPr id="48" name="Frame4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 xml:space="preserve">Historical Cash Flow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Comparison of the nine months ended September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compares the historical cash flow from continuing and discontinued operations for the nine months ended September 30, 2023 and 2022:</w:t>
      </w:r>
    </w:p>
    <w:tbl>
      <w:tblPr>
        <w:tblW w:w="6640" w:type="dxa"/>
        <w:jc w:val="left"/>
        <w:tblInd w:w="0" w:type="dxa"/>
        <w:tblLayout w:type="fixed"/>
        <w:tblCellMar>
          <w:top w:w="28" w:type="dxa"/>
          <w:left w:w="28" w:type="dxa"/>
          <w:bottom w:w="28" w:type="dxa"/>
          <w:right w:w="28" w:type="dxa"/>
        </w:tblCellMar>
      </w:tblPr>
      <w:tblGrid>
        <w:gridCol w:w="1364"/>
        <w:gridCol w:w="1198"/>
        <w:gridCol w:w="1203"/>
        <w:gridCol w:w="230"/>
        <w:gridCol w:w="881"/>
        <w:gridCol w:w="127"/>
        <w:gridCol w:w="127"/>
        <w:gridCol w:w="127"/>
        <w:gridCol w:w="127"/>
        <w:gridCol w:w="230"/>
        <w:gridCol w:w="846"/>
        <w:gridCol w:w="180"/>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 Data:</w:t>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116,766</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(21,299)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(191,092)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(268,367)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74,140</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(77,653)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Net cash provided by operating activities increased $138.1 million, which primarily reflects (i) an increase in Net income of $364.3 million and (ii) Changes in working capital of $63.9 million, partially offset by certain adjustments to reconcile net income to Cash provided by operating activities including, (iii) Asset impairment of $127.0 million, (iv) Provision for credit losses of $40.6 million, (v) Equity in losses of unconsolidated entities of $45.1 million, (vi) Depreciation and amortization of $32.4 million, (vii) Loss on extinguishment of debt of $19.9 million, and (viii) amortization of deferred financing costs of $10.7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cash used in investing activities decreased $77.3 million, primarily due to (i) a decrease in Acquisitions of property, plant and equipment of $134.8 million, (ii) higher Proceeds from the sale of leasing equipment of $104.0 million and partially offset by (iii) an increase in Acquisitions of leasing equipment of $146.3 million and (iv) an increase in Investment in unconsolidated entities of $12.2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cash provided by financing activities increased $151.8 million, primarily due to (i) an decrease in Repayments of debt of $654.5 million partially offset by (ii) a decrease in Dividend from spin-off of FTAI Infrastructure, net of cash transferred of $500.6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also have current availability for borrowing of up to $50.0 million. </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Cash Flow of Discontinued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cash flows related to discontinued operations have not been segregated and are included in the Consolidated Statements of Cash Flows for all periods presented.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absence of cash flows from discontinued operations is not expected to adversely affect our liquidity or our ability to fund capital expenditures or working capital needs. The discontinued operations historically generated negative operating and investing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Contractual Obligations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material cash requirements include the following contractual and other obligations:</w:t>
      </w:r>
    </w:p>
    <w:p>
      <w:pPr>
        <w:pStyle w:val="TextBody"/>
        <w:bidi w:val="0"/>
        <w:spacing w:lineRule="auto" w:line="288" w:before="120" w:after="283"/>
        <w:jc w:val="both"/>
        <w:rPr/>
      </w:pPr>
      <w:r>
        <w:rPr>
          <w:rFonts w:ascii="Arial;sans-serif" w:hAnsi="Arial;sans-serif"/>
          <w:b/>
          <w:i/>
          <w:color w:val="00497F"/>
          <w:sz w:val="18"/>
        </w:rPr>
        <w:t>Debt Obligations</w:t>
      </w:r>
      <w:r>
        <w:rPr>
          <w:color w:val="00497F"/>
        </w:rPr>
        <w:t>—</w:t>
      </w:r>
      <w:r>
        <w:rPr>
          <w:rFonts w:ascii="Arial;sans-serif" w:hAnsi="Arial;sans-serif"/>
          <w:b w:val="false"/>
          <w:color w:val="000000"/>
          <w:sz w:val="18"/>
        </w:rPr>
        <w:t>As of September 30, 2023, we had outstanding principal and interest payment obligations of $2.3 billion</w:t>
      </w:r>
      <w:r>
        <w:rPr>
          <w:color w:val="000000"/>
          <w:shd w:fill="FFFFFF" w:val="clear"/>
        </w:rPr>
        <w:t xml:space="preserve"> </w:t>
      </w:r>
      <w:r>
        <w:rPr>
          <w:rFonts w:ascii="Arial;sans-serif" w:hAnsi="Arial;sans-serif"/>
          <w:b w:val="false"/>
          <w:color w:val="000000"/>
          <w:sz w:val="18"/>
          <w:shd w:fill="FFFFFF" w:val="clear"/>
        </w:rPr>
        <w:t xml:space="preserve">and </w:t>
      </w:r>
      <w:r>
        <w:rPr>
          <w:rFonts w:ascii="Arial;sans-serif" w:hAnsi="Arial;sans-serif"/>
          <w:b w:val="false"/>
          <w:color w:val="000000"/>
          <w:sz w:val="18"/>
        </w:rPr>
        <w:t>$0.5 billion, respectively, of which only interest payments of $164.2 million are due in the next twelve months. See Note 7 to the consolidated financial statements for additional information about our debt obligations.</w:t>
      </w:r>
    </w:p>
    <w:p>
      <w:pPr>
        <w:pStyle w:val="TextBody"/>
        <w:bidi w:val="0"/>
        <w:spacing w:lineRule="auto" w:line="288" w:before="120" w:after="283"/>
        <w:jc w:val="both"/>
        <w:rPr/>
      </w:pPr>
      <w:r>
        <w:rPr>
          <w:rFonts w:ascii="Arial;sans-serif" w:hAnsi="Arial;sans-serif"/>
          <w:b/>
          <w:i/>
          <w:color w:val="00497F"/>
          <w:sz w:val="18"/>
        </w:rPr>
        <w:t>Lease Obligations</w:t>
      </w:r>
      <w:r>
        <w:rPr>
          <w:color w:val="000000"/>
        </w:rPr>
        <w:t>—</w:t>
      </w:r>
      <w:r>
        <w:rPr>
          <w:rFonts w:ascii="Arial;sans-serif" w:hAnsi="Arial;sans-serif"/>
          <w:b w:val="false"/>
          <w:color w:val="000000"/>
          <w:sz w:val="18"/>
        </w:rPr>
        <w:t>As of September 30, 2023, we had outstanding operating and finance lease obligations of $2.3 million, of which $0.9 million is due in the next twelve months.</w:t>
      </w:r>
    </w:p>
    <w:p>
      <w:pPr>
        <w:pStyle w:val="TextBody"/>
        <w:bidi w:val="0"/>
        <w:spacing w:lineRule="auto" w:line="288" w:before="120" w:after="283"/>
        <w:jc w:val="both"/>
        <w:rPr/>
      </w:pPr>
      <w:r>
        <w:rPr>
          <w:rFonts w:ascii="Arial;sans-serif" w:hAnsi="Arial;sans-serif"/>
          <w:b/>
          <w:i/>
          <w:color w:val="00497F"/>
          <w:sz w:val="18"/>
        </w:rPr>
        <w:t>Other Cash Requirements</w:t>
      </w:r>
      <w:r>
        <w:rPr>
          <w:color w:val="000000"/>
        </w:rPr>
        <w:t>—</w:t>
      </w:r>
      <w:r>
        <w:rPr>
          <w:rFonts w:ascii="Arial;sans-serif" w:hAnsi="Arial;sans-serif"/>
          <w:b w:val="false"/>
          <w:color w:val="000000"/>
          <w:sz w:val="18"/>
        </w:rPr>
        <w:t>In addition to our contractual obligations, we pay quarterly cash dividends on our ordinary shares and preferred shares, which are subject to change at the discretion of our Board of Directors. During the last twelve months, we declared cash dividends of $119.7 million and $30.3 million on our ordinary shares and preferred shares,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Critical Accounting Estimates and Policies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were no material changes to our critical accounting estimates described in our Annual Report on Form 10-K for the year ended December 31, 2022.</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Recent Accounting Pronouncements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See Note 2 to our Consolidated Financial Statements for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32740"/>
                <wp:effectExtent l="0" t="0" r="0" b="0"/>
                <wp:wrapNone/>
                <wp:docPr id="49" name="Frame4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 xml:space="preserve">Item 3. Quantitative and Qualitative Disclosures About Market Risk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 xml:space="preserve">Interest Rate Risk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 </w:t>
      </w:r>
    </w:p>
    <w:p>
      <w:pPr>
        <w:pStyle w:val="TextBody"/>
        <w:bidi w:val="0"/>
        <w:spacing w:lineRule="auto" w:line="288" w:before="120" w:after="283"/>
        <w:jc w:val="both"/>
        <w:rPr/>
      </w:pPr>
      <w:r>
        <w:rPr>
          <w:rFonts w:ascii="Arial;sans-serif" w:hAnsi="Arial;sans-serif"/>
          <w:b w:val="false"/>
          <w:color w:val="000000"/>
          <w:sz w:val="18"/>
          <w:shd w:fill="FFFFFF" w:val="clear"/>
        </w:rPr>
        <w:t xml:space="preserve">LIBOR and other indices which are deemed “benchmarks” are the subject of recent national, international, and other regulatory guidance and proposals for reform. The ICE Benchmark Administration ceased publication of one-week and two-month USD LIBOR settings after December 31, 2021 and the remaining USD LIBOR settings after June 30, 2023, other than certain USD LIBOR settings that are expected to continue to be published under a synthetic methodology until September 2024. In </w:t>
      </w:r>
      <w:r>
        <w:rPr>
          <w:rFonts w:ascii="Arial;sans-serif" w:hAnsi="Arial;sans-serif"/>
          <w:b w:val="false"/>
          <w:color w:val="000000"/>
          <w:sz w:val="18"/>
        </w:rPr>
        <w:t>anticipation of LIBOR’s phase out, we amended our revolving credit facility to incorporate SOFR as the successor rate to LIBOR. We continue to monitor related reform proposals and evaluate the related risks; however, it is not possible to predict the effects of any of these developments, and any future initiatives to regulate, reform or change the manner of administration of LIBOR, SOFR or other benchmark indices could result in adverse consequences to the rate of interest payable and receivable on, market value of and market liquidity for financial instruments tied to variable interest rate indices.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borrowing agreements generally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 In addition, the following discussion does not take into account our Series A and Series B preferred shares, on which distributions currently accrue interest at a fixed rate but will accrue interest at a floating rate based on a certain variable interest rate index plus a spread from and after September 15, 2024.</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of September 30, 2023, assuming we do not hedge our exposure to interest rate fluctuations related to our outstanding floating rate debt, a hypothetical 100-basis point increase/decrease in our variable interest rate on our borrowings would result in an increase of approximately $2.5 million or a decrease of approximately $2.5 million in interest expense over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4. Controls and Procedures</w:t>
      </w:r>
    </w:p>
    <w:p>
      <w:pPr>
        <w:pStyle w:val="TextBody"/>
        <w:bidi w:val="0"/>
        <w:spacing w:lineRule="auto" w:line="288" w:before="120" w:after="283"/>
        <w:jc w:val="left"/>
        <w:rPr>
          <w:rFonts w:ascii="Arial;sans-serif" w:hAnsi="Arial;sans-serif"/>
          <w:b/>
          <w:i/>
          <w:color w:val="00497F"/>
          <w:sz w:val="18"/>
        </w:rPr>
      </w:pPr>
      <w:r>
        <w:rPr>
          <w:rFonts w:ascii="Arial;sans-serif" w:hAnsi="Arial;sans-serif"/>
          <w:b/>
          <w:i/>
          <w:color w:val="00497F"/>
          <w:sz w:val="18"/>
        </w:rPr>
        <w:t>Disclosure Controls and Procedures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Internal Control over Financial Reporting</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have been no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32740"/>
                <wp:effectExtent l="0" t="0" r="0" b="0"/>
                <wp:wrapNone/>
                <wp:docPr id="50" name="Frame4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center"/>
        <w:rPr>
          <w:rFonts w:ascii="Arial;sans-serif" w:hAnsi="Arial;sans-serif"/>
          <w:b/>
          <w:color w:val="006EBF"/>
          <w:sz w:val="20"/>
        </w:rPr>
      </w:pPr>
      <w:r>
        <w:rPr>
          <w:rFonts w:ascii="Arial;sans-serif" w:hAnsi="Arial;sans-serif"/>
          <w:b/>
          <w:color w:val="006EBF"/>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 xml:space="preserve">Item 1. Legal Proceedings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6EBF"/>
          <w:sz w:val="20"/>
        </w:rPr>
        <w:t>Item 1A. Risk Factors</w:t>
      </w:r>
      <w:r>
        <w:rPr>
          <w:color w:val="000000"/>
        </w:rPr>
        <w:t xml:space="preserve"> </w:t>
      </w:r>
    </w:p>
    <w:p>
      <w:pPr>
        <w:pStyle w:val="TextBody"/>
        <w:bidi w:val="0"/>
        <w:spacing w:lineRule="auto" w:line="288" w:before="120" w:after="283"/>
        <w:jc w:val="both"/>
        <w:rPr>
          <w:rFonts w:ascii="Arial;sans-serif" w:hAnsi="Arial;sans-serif"/>
          <w:b w:val="false"/>
          <w:i/>
          <w:color w:val="000000"/>
          <w:sz w:val="18"/>
        </w:rPr>
      </w:pPr>
      <w:r>
        <w:rPr>
          <w:rFonts w:ascii="Arial;sans-serif" w:hAnsi="Arial;sans-serif"/>
          <w:b w:val="false"/>
          <w:i/>
          <w:color w:val="000000"/>
          <w:sz w:val="18"/>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the Company’s shares. However, these categories do overlap and should not be considered exclusive.</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Business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industries.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have in the past been exposed to increased credit risk from our customers and third parties who have obligations to us, which resulted in non-performance of contracts by our lessees and adversely impacted our business, financial condition, results of operations and cash flows. We cannot assure you that similar loss events may not occur in the future.</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Instability in geographies where we have assets or where we derive revenue could have a material adverse effect on our business, customers, operations and financial results.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Economic, civil, military and political uncertainty exists and may increase in regions where we operate and derive our revenue. Various countries in which we operate are experiencing and may continue to experience military action and civil and political unrest. We have assets in the emerging market economies of Eastern Europe, including some assets in Russia and Ukraine. In late February 2022, Russian military forces launched significant military action against Ukraine. Sustained conflict and disruption in the region is likely. The impact to Russia and Ukraine, as well as actions taken by other countries, including new and stricter export controls and sanctions by Canada, the United Kingdom, the European Union, the U.S. and other countries and organizations against officials, individuals, regions, and industries in Russia and Ukraine, and each country’s potential response to such sanctions, tensions and military actions, could have a material adverse effect on our business and delay or prevent us from accessing certain of our assets. We are actively monitoring the security of our remaining assets in the region.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aviation industry has experienced periods of oversupply during which lease rates and asset values have declined, particularly during the most recent economic downturn, and any future oversupply could materially adversely affect our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general demand for the type of assets that we purchase;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general macroeconomic conditions, including market prices for commodities that our assets may 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32740"/>
                <wp:effectExtent l="0" t="0" r="0" b="0"/>
                <wp:wrapNone/>
                <wp:docPr id="51" name="Frame5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geopolitical events, including war, prolonged armed conflict and acts of terrorism;</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outbreaks of communicable diseases and natural disasters;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governmental regulation;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interest rates;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availability of credit;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potential reduced cash flows and financial condition, including potential liquidity restraints;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restructurings and bankruptcies of companies in the industries in which we operate, including our customers;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manufacturer production levels and technological innovation;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manufacturers merging or exiting the industry or ceasing to produce certain asset types;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retirement and obsolescence of the assets that we own;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increases in supply levels of assets in the market due to the sale or merging of operating lessors;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reintroduction of previously unused or dormant assets into the industries in which we operate.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aviation lessees may redeliver our assets to locations where there is oversupply, which may lead to additional repositioning costs for us if we move them to areas with higher demand. Positioning expenses vary depending on geographic location, distance,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airline industry is heavily regulated, and if we fail to comply with applicable requirements, our results of operations could suffer.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Federal Aviation Administration (“FAA”) and equivalent regulatory agencies have increasingly focused on the need to assure that airline industry products are designed with sufficient cybersecurity controls to protect against unauthorized access or other unwanted compromise. A failure to meet these evolving expectations could negatively impact sales into the industry and expose us to legal or contractual liability.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Governmental agencies throughout the world, including the FAA, prescribe standards and qualification requirements for aircraft components, including virtually all commercial airline and general aviation products. Specific regulations vary from country to country, although compliance with FAA requirements generally satisfies regulatory requirements in other countries. If any material authorization or approval qualifying us to supply our products is revoked or suspended, then sale of the product would be prohibited by law, which would have an adverse effect on our business, financial condition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From time to time, the FAA or equivalent regulatory agencies in other countries propose new regulations or changes to existing regulations, which often are more stringent than existing regulations. If such proposals are adopted and enacted, we may incur significant additional costs to achieve compliance, which could have a material adverse effect on our business, financial condition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Recent trends by China’s aviation authority to relax restrictions on airspace may be reversed, and anticipated new regulations loosening airspace restrictions may not materialize, which could impact sales prospects in China for our commercial aerospace businesses.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retirement or prolonged grounding of commercial aircraft could reduce our revenues and the value of any related inventory.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sell aircraft components and replacement parts. If aircraft or engines for which we offer aircraft components and replacement parts are retired or grounded for prolonged periods of time and there are fewer aircraft that require these components or parts, our revenues may decline as well as the value of any related inventory.</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Contractual defaults may adversely affect our business, prospects, financial condition, results of operations and cash flows by decreasing revenues and increasing storage, positioning, collection, recovery and lost equipment expenses.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32740"/>
                <wp:effectExtent l="0" t="0" r="0" b="0"/>
                <wp:wrapNone/>
                <wp:docPr id="52" name="Frame5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acquire a high concentration of a particular type of asset, or concentrate our investments in a particular sector, and our business, prospects, financial condition, results of operations and cash flows could be adversely affected by changes in market demand or problems specific to that asset or sector.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we acquire a high concentration of a particular asset, or concentrate our investments in a particular sector, and our business and financial results could be adversely affected by sector-specific or asset-specific factors. If the market demand for a particular asset declines, it is redesigned or replaced by its manufacturer or it experiences design or technical problems, the value and rates relating to such asset may decline, and we may be unable to lease such asset on favorable terms, if at all. Any decrease in the value and rates of our assets may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operate in highly competitive markets.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business of acquiring aviation assets is highly competitive. Market competition for opportunities includes traditional transportation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Certain liens may arise on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values of our assets may fluctuate due to various factors.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32740"/>
                <wp:effectExtent l="0" t="0" r="0" b="0"/>
                <wp:wrapNone/>
                <wp:docPr id="53" name="Frame5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not generate a sufficient amount of cash or generate sufficient free cash flow to fund our operations or repay our indebtedness.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use of joint ventures or partnerships, and our Manager’s outsourcing of certain functions, may present unforeseen obstacles or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subject to the risks and costs of obsolescence of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Technological and other improvements expose us to the risk that certain of our assets may become technologically or commercially obsolete. For example,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inability to obtain certain components from suppliers could harm our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business is affected by the availability and price of the component parts that we use to maintain our products or to manufacture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Transitions to new suppliers may result in significant costs 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revenues and profits, contract penalties or terminations, and damage to customer relationships. Further, increased costs of such components could reduce our profits if we were unable to pass along such price in-creases to our customers.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could be negatively impacted by environmental, social, and governance (ESG) and sustainability-related matters.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Governments, investors, customers,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32740"/>
                <wp:effectExtent l="0" t="0" r="0" b="0"/>
                <wp:wrapNone/>
                <wp:docPr id="54" name="Frame5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be affected by fluctuating prices for fuel and energy.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Volatility in energy prices could have a significant effect on a variety of items including, but not limited to, the economy and demand for transportation services.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International, political, and economic factors, events and conditions, including current sanctions against Russia related to its invasion of Ukraine,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assets generally require routine maintenance, and we may be exposed to unforeseen maintenance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Some of our customers operate in highly regulated industries and changes in laws or regulations, including laws with respect to international trade, may adversely affect our ability to lease, charter or sell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Certain of our assets are subject to purchase options held by the charterer or lessee of the asset which, if exercised, could reduce the size of our asset base and our future 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32740"/>
                <wp:effectExtent l="0" t="0" r="0" b="0"/>
                <wp:wrapNone/>
                <wp:docPr id="55" name="Frame5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profitability of our offshore energy assets may be impacted by the profitability of the offshore oil and gas industry generally, which is significantly affected by, among other things, volatile oil and gas prices.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not be able to renew or obtain new or favorable charters or leases, which could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Litigation to enforce our contracts and recover our assets has inherent uncertainties that are increased by the location of our assets in jurisdictions that have less developed legal systems.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aviation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international operations involve additional risks, which could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and our customers operate in various regions throughout the world. As a result, we may, directly or indirectly, be exposed to political and other uncertainties, including risks of:</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terrorist acts, armed hostilities, war and civil disturbances;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acts of piracy;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potential cybersecurity attacks;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significant governmental influence over many aspects of local economies;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seizure, nationalization or expropriation of property or equipment;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repudiation, nullification, modification or renegotiation of contracts;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limitations on insurance coverage, such as war risk coverage, in certain areas;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political unrest;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32740"/>
                <wp:effectExtent l="0" t="0" r="0" b="0"/>
                <wp:wrapNone/>
                <wp:docPr id="56" name="Frame5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foreign and U.S. monetary policy and foreign currency fluctuations and devaluations;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inability to repatriate income or capital;</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complications associated with repairing and replacing equipment in remote locations;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import-export quotas, wage and price controls, imposition of trade barriers;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U.S. and foreign sanctions or trade embargoes;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restrictions on the transfer of funds into or out of countries in which we operate;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compliance with U.S. Treasury sanctions regulations restricting doing business with certain nations or specially designated nationals;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regulatory or financial requirements to comply with foreign bureaucratic actions;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compliance with applicable anti-corruption laws and regulations;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changing taxation policies, including confiscatory taxation;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other forms of government regulation and economic conditions that are beyond our control;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governmental corruption.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Any of these or other risks could adversely impact our customers’ international operations which could materially adversely impact our operating results and growth opportunities.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we have and may continue to acquire assets located in emerging markets throughout the world, we may be exposed to any one or a combination of these risks, which could adversely affect our operating results.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actively evaluating potential acquisitions of assets and operating companies in other aviation sectors which could result in additional risks and uncertainties for our business and unexpected regulatory compliance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While our existing portfolio primarily consists of assets in the aviation sector, we are actively evaluating potential acquisitions of assets and operating companies in sectors of the aviation market in which we do not currently operate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aviation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32740"/>
                <wp:effectExtent l="0" t="0" r="0" b="0"/>
                <wp:wrapNone/>
                <wp:docPr id="57" name="Frame5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agreements governing our indebtedness place restrictions on us and our subsidiaries, reducing operational flexibility and creating default risks.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agreements governing our indebtedness, including, but not limited to, the indentures governing our Senior Notes and the second amended and restated revolving credit facility entered into on September 20, 2022, as amended by Amendment No. 1, dated as of November 22, 2022 (the “Revolving Credit Facility”), contain covenants that place restrictions on us and our subsidiaries. The indentures governing our Senior Notes and the Revolving Credit Facility restrict among other things, our and certain of our subsidiaries’ ability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merge, consolidate or transfer all, or substantially all, of our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incur additional debt or issue preferred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make certain investments or acquisitions;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create liens on our or our subsidiaries’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sell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make distributions on or repurchase our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enter into transactions with affiliates;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create dividend restrictions and other payment restrictions that affect our subsidiaries.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These covenants could impair our ability to grow our business, take advantage of attractive business opportunities, pay dividends on our ordinary shares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Terrorist attacks or other hostilities could negatively impact our operations and our profitability and may expose us to liability and reputational damage.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leases and charters typically require payments in U.S. dollars, but many of our customers operate in other currencies; if foreign currencies devalue against the U.S. dollar, our lessees or charterers may be unable to meet their payment obligations to us in a timely manner.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current leases and charters typically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inability to obtain sufficient capital would constrain our ability to grow our portfolio and to increase our 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meet the terms and maturities of our existing and future debt facilities;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purchase new assets or refinance existing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fund our working capital needs and maintain adequate liquidity;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finance other growth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32740"/>
                <wp:effectExtent l="0" t="0" r="0" b="0"/>
                <wp:wrapNone/>
                <wp:docPr id="58" name="Frame5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effects of various environmental regulations may negatively affect the industries in which we operate which could have a material adverse effect on our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Legislative and regulatory measures currently under consideration or being implemented by government authorities to address climate change could require reductions in our greenhouse gas or other emissions, establish a carbon tax or increase fuel or energy taxes. These legal requirements are expected to result in increased capital expenditures and compliance costs, and could result in higher costs and may require us to acquire emission credits or carbon offsets. These costs and restrictions could harm our business and results of operations by increasing our expenses or requiring us to alter our operations. The inconsistent international, regional and/or national requirements associated with climate change regulations also create economic and regulatory uncertainty.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pStyle w:val="TextBody"/>
        <w:bidi w:val="0"/>
        <w:spacing w:lineRule="auto" w:line="288" w:before="120" w:after="283"/>
        <w:jc w:val="both"/>
        <w:rPr>
          <w:rFonts w:ascii="Arial;sans-serif" w:hAnsi="Arial;sans-serif"/>
          <w:b/>
          <w:i/>
          <w:color w:val="000000"/>
          <w:sz w:val="18"/>
          <w:shd w:fill="FFFFFF" w:val="clear"/>
        </w:rPr>
      </w:pPr>
      <w:r>
        <w:rPr>
          <w:rFonts w:ascii="Arial;sans-serif" w:hAnsi="Arial;sans-serif"/>
          <w:b/>
          <w:i/>
          <w:color w:val="000000"/>
          <w:sz w:val="18"/>
          <w:shd w:fill="FFFFFF" w:val="clear"/>
        </w:rPr>
        <w:t>The discontinuation of the LIBOR benchmark interest rate may have an impact on our business.</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On July 27, 2017, the U.K. Financial Conduct Authority (the "FCA"), which regulates LIBOR, announced that it will no longer persuade or compel banks to submit rates for the calculation of LIBOR rates after 2021.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The IBA ceased publication of one-week and two-month USD LIBOR settings after December 31, 2021, and the remaining USD LIBOR settings after June 30, 2023, other than certain USD LIBOR settings that are expected to continue to be published under a synthetic methodology until September 2024.</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32740"/>
                <wp:effectExtent l="0" t="0" r="0" b="0"/>
                <wp:wrapNone/>
                <wp:docPr id="59" name="Frame5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we are deemed an “investment company” under the Investment Company Act, it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Because we are incorporated under the laws of the Cayman Islands, you may face difficulties in protecting your interests, and your ability to protect your rights through the U.S. federal courts may be limited.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Our corporate affairs are governed by our Articles, the Companies Act (As Revised) of the Cayman Islands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32740"/>
                <wp:effectExtent l="0" t="0" r="0" b="0"/>
                <wp:wrapNone/>
                <wp:docPr id="60" name="Frame5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a result of all of the above, public shareholders may have more difficulty in protecting their interests in the face of actions taken by management, members of the board of directors or controlling shareholders than they would as public shareholders of a United States company. </w:t>
      </w:r>
    </w:p>
    <w:p>
      <w:pPr>
        <w:pStyle w:val="TextBody"/>
        <w:bidi w:val="0"/>
        <w:spacing w:lineRule="auto" w:line="288" w:before="120" w:after="283"/>
        <w:jc w:val="both"/>
        <w:rPr>
          <w:rFonts w:ascii="Arial;sans-serif" w:hAnsi="Arial;sans-serif"/>
          <w:b/>
          <w:i/>
          <w:color w:val="000000"/>
          <w:sz w:val="18"/>
          <w:shd w:fill="FFFFFF" w:val="clear"/>
        </w:rPr>
      </w:pPr>
      <w:r>
        <w:rPr>
          <w:rFonts w:ascii="Arial;sans-serif" w:hAnsi="Arial;sans-serif"/>
          <w:b/>
          <w:i/>
          <w:color w:val="000000"/>
          <w:sz w:val="18"/>
          <w:shd w:fill="FFFFFF" w:val="clear"/>
        </w:rPr>
        <w:t xml:space="preserve">The Financial Action Task Force has increased monitoring of the Cayman Islands. </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 February 2021, the Cayman Islands was added to the Financial Action Task Force (‘‘FATF’’) list of jurisdictions whose anti-money laundering/counter-terrorist and proliferation financing practices are under increased monitoring, commonly referred to as the ‘‘FATF grey list.’’ The FATF was established in July 1989 by a Group of Seven (G-7) Summit and is a task force composed of member governments who agree to fund the FATF on temporary basis with specific goals and projects– it is an international policy-making body that sets international anti-money laundering standards and counter-terrorist financing measures. The FATF monitors countries to ensure they implement the FATF Standards fully and effectively and holds countries to account that do not comply. When the FATF places a jurisdiction under increased monitoring, it means the country has committed to resolve swiftly the identified strategic deficiencies within agreed timeframes and is subject to increased monitoring during that timeframe. In June 2023, the FATF confirmed that the Cayman Islands had satisfied all FATF recommended actions, recognizing that the jurisdiction has a robust and effective anti-money laundering / counter-terrorist financing regime. Following successful completion of an on-site inspection by the FATF, the Cayman Islands will be eligible to be removed from the FATF grey list at the FATF's October 2023 plenary.</w:t>
      </w:r>
    </w:p>
    <w:p>
      <w:pPr>
        <w:pStyle w:val="TextBody"/>
        <w:bidi w:val="0"/>
        <w:spacing w:lineRule="auto" w:line="288" w:before="120" w:after="283"/>
        <w:jc w:val="both"/>
        <w:rPr>
          <w:rFonts w:ascii="Arial;sans-serif" w:hAnsi="Arial;sans-serif"/>
          <w:b/>
          <w:i/>
          <w:color w:val="000000"/>
          <w:sz w:val="18"/>
          <w:shd w:fill="FFFFFF" w:val="clear"/>
        </w:rPr>
      </w:pPr>
      <w:r>
        <w:rPr>
          <w:rFonts w:ascii="Arial;sans-serif" w:hAnsi="Arial;sans-serif"/>
          <w:b/>
          <w:i/>
          <w:color w:val="000000"/>
          <w:sz w:val="18"/>
          <w:shd w:fill="FFFFFF" w:val="clear"/>
        </w:rPr>
        <w:t>The Cayman Islands are included in the EU AML High-Risk Third Countries List.</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On March 13, 2022, the European Commission (‘‘EC’’) updated its list of ’high-risk third countries’ (‘‘EU AML List’’) identified as having strategic deficiencies in their anti-money laundering/counter-terrorist financing regimes to add nine countries, including the Cayman Islands. The EC has noted it is committed to there being a greater alignment between the EU AML List and the FATF listing process. The addition of the Cayman Islands to the EU AML List is a direct result of the inclusion of the Cayman Islands on the FATF grey list in February 2021. It is unclear how long this designation will remain in place and what ramifications, if any, the designation will have for the Company. Our assets are exposed to unplanned interruptions caused by events outside of our control which may disrupt our business and cause damage or losses that may not be adequately covered by insurance. </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Projects in the aerospace products and services sector are exposed to a variety of unplanned interruptions which could cause our results of operations to suffer.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Projects in the aerospace products and services sector are exposed to unplanned interruptions caused by breakdown or failure of equipment, aging infrastructure, employee error or contractor or subcontractor failure, limitations that may be imposed by equipment conditions or environmental, safety or other regulatory requirements, fuel supply or fuel transportation reductions or interruptions, labor disputes, difficulties with the implementation or operation of information systems,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Manager</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dependent on our Manager and other key personnel at Fortress and may not find suitable replacements if our Manager terminates the Management Agreement or if other key personnel depart.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officers and other individuals who perform services for us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payments distributed to Master GP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our Manager may assign our Management Agreement to an entity whose business and operations are managed or supervised by Mr. Wesley R. Edens, who is a principal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32740"/>
                <wp:effectExtent l="0" t="0" r="0" b="0"/>
                <wp:wrapNone/>
                <wp:docPr id="61" name="Frame6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May 22, 2023, Fortress and Mubadala announced that they have entered into definitive agreements pursuant to which, among other things, certain members of Fortress management and affiliates of Mubadala will acquire 100% of the equity of Fortress that is currently indirectly held by SoftBank. While Fortress’s senior investment professionals are expected to remain at Fortress, including those individuals who perform services for us, there can be no assurance that the transaction will not have an impact on us or our relationship with our Manager.</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There are conflicts of interest in our relationship with our Manager.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Management Agreement and the Services and Profit Sharing Agreement and our Articles were negotiated among affiliated parties, and their terms, including fees and other amounts payable, may not be as favorable to us as if they had been negotiated with an unaffiliated third-party.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are conflicts of interest inherent in our relationship with our Manager insofar as our Manager and its affiliates invest in aviation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some of our directors and officers are also directors or officers of FTAI Infrastructure, Inc. (“FTAI Infrastructure”). Although we have the same Manager, we may compete with entities affiliated with our Manager or Fortress for certain target assets. From time to time, entities affiliated with or managed by our Manager or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aviation assets. Fortress funds generally have a fee structure similar to ours, but the fees actually paid will vary depending on the size, terms and performance of each fund.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Management Agreement generally does not limit or restrict our Manager or its affiliates from engaging in any business or managing other operating companies similar to us or pooled investment vehicles that invest in assets that meet our asset acquisition objectives. Our Manager has also engaged in additional transportation and infrastructure related management with FTAI Infrastructure in our recent spin-off of our infrastructure assets, and may be involved in other investment opportunities in the future, any of which may compete with us for investments or result in a change in our current investment strategy. In addition, our Articles provide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Aviation Ltd.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structure of our Manager’s and Master GP’s compensation arrangements may have unintended consequences for us. We have agreed to pay our Manager a management fee and Master GP is entitled to receive incentive payments from the Company or its subsidiaries that are each based on different measures of performance. Consequently, there may be conflicts in the incentives of our Manager to generate attractive risk-adjusted returns for us. In addition, because Master GP and our Manager are both affiliates of Fortress, the income incentive payment paid to Master GP may cause our Manager to place undue emphasis on the maximization of earnings, including through the use of leverage, at the expense of other objectives, such as preservation of capital, to achieve higher incentive payments. Investments with higher yield potential are generally riskier or more speculative than investments with lower yield potential. This could result in increased risk to the value of our portfolio of assets and our ordinary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32740"/>
                <wp:effectExtent l="0" t="0" r="0" b="0"/>
                <wp:wrapNone/>
                <wp:docPr id="62" name="Frame6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directors have approved a broad asset acquisition strategy for our Manager and will not approve each acquisition we make at the direction of our Manager. In addition, we may change our strategy without a shareholder vote, which may result in our acquiring assets that are different, riskier or less profitable than our current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will not review or pre-approve each proposed acquisition or our related financing arrangements. In addition, in conducting periodic reviews, the directors will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ordinary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Manager will not be liable to us for any acts or omissions performed in accordance with the Management Agreement, including with respect to the performance of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Manager’s due diligence of potential asset acquisitions or other transactions may not identify all pertinent risks, which could materially affect our business, financial condition, liquidity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32740"/>
                <wp:effectExtent l="0" t="0" r="0" b="0"/>
                <wp:wrapNone/>
                <wp:docPr id="63" name="Frame6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Taxation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expect the Company to be a passive foreign investment company (“PFIC”) and it could be a controlled foreign corporation (“CFC”) for U.S. federal income tax purposes, which may result in adverse tax considerations for U.S. shareholders.</w:t>
      </w:r>
    </w:p>
    <w:p>
      <w:pPr>
        <w:pStyle w:val="TextBody"/>
        <w:bidi w:val="0"/>
        <w:spacing w:lineRule="auto" w:line="288" w:before="120" w:after="283"/>
        <w:jc w:val="both"/>
        <w:rPr/>
      </w:pPr>
      <w:r>
        <w:rPr>
          <w:rFonts w:ascii="Arial;sans-serif" w:hAnsi="Arial;sans-serif"/>
          <w:b w:val="false"/>
          <w:color w:val="000000"/>
          <w:sz w:val="18"/>
        </w:rPr>
        <w:t>We expect the Company to be treated as a PFIC and it could be treated as a CFC for U.S. federal income tax purposes. If you are a U.S. person and do not make a valid qualified electing fund (“QEF”) election with respect to us and each of our PFIC subsidiaries, then, unless we are a CFC and you own 10% or more of our shares (by vote or value), you would generally be subject to special deferred tax with respect to certain distributions on our shares, any gain realized on a disposition of our shares, and certain other events. The effect of this deferred tax could be materially adverse to you. Alternatively, if you are such a shareholder and make a valid QEF election for us and each of our PFIC subsidiaries, or if we are a CFC and you own 10% or more of our shares (by vote or value), you will generally not be subject to those taxes, but could recognize taxable income in a taxable year with respect to our shares in excess of any distributions that we make to you in that year, thus giving rise to so called “phantom income” and to a potential out-of-pocket tax liability. No assurances can be given that any given shareholder will be able to make a valid QEF election with respect to us or our PFIC subsidiaries. See</w:t>
      </w:r>
      <w:r>
        <w:rPr>
          <w:color w:val="000000"/>
        </w:rPr>
        <w:t xml:space="preserve"> “</w:t>
      </w:r>
      <w:r>
        <w:rPr>
          <w:rFonts w:ascii="Arial;sans-serif" w:hAnsi="Arial;sans-serif"/>
          <w:b w:val="false"/>
          <w:i/>
          <w:color w:val="000000"/>
          <w:sz w:val="18"/>
        </w:rPr>
        <w:t>U.S. Federal Income Tax Considerations —Considerations for U.S. Holders—PFIC Status and Related Tax Considerations.”</w:t>
      </w:r>
      <w:r>
        <w:rPr>
          <w:color w:val="000000"/>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Assuming we are a PFIC, distributions made by us to a U.S. person will generally not be eligible for taxation at reduced tax rates generally applicable to “qualified dividends” paid by certain U.S. corporations and “qualified foreign corporations” to individuals. The more favorable rates applicable to other corporate dividends could cause individuals to perceive investment in our shares to be relatively less attractive than investment in the shares of other corporations, which could adversely affect the value of our shares.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Investors should consult their tax advisors regarding the potential impact of these rules on their investment in us.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To the extent we recognize income treated as effectively connected with a trade or business in the United States, we would be subject to U.S. federal income taxation on a net income basis, which could adversely affect our business and result in decreased cash available for distribution to our shareholders.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If we are treated as engaged in a trade or business in the United States, the portion of our net income, if any, that is “effectively connected” with such trade or business would be subject to U.S. federal income taxation at maximum corporate rates, currently 21%. In addition, we may be subject to an additional U.S. federal branch profits tax on our effectively connected earnings and profits at a rate of 30%. The imposition of such taxes could adversely affect our business and would result in decreased cash available for distribution to our shareholders. Although we (or one or more of our non-U.S. corporate subsidiaries) are expected to be treated as engaged in a U.S. trade or business, it is currently expected that only a small portion of our taxable income will be treated as effectively connected with such U.S. trade or business. However, no assurance can be given that the amount of effectively connected income will not be greater than currently expected, whether due to a change in our operations or otherwise. </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there is not sufficient trading in our shares, or if 50% of our shares are held by certain 5% shareholders, we could lose our eligibility for an exemption from U.S. federal income taxation on rental income from our aircraft or ships used in “international traffic” and could be subject to U.S. federal income taxation which would adversely affect our business and result in decreased cash available for distribution to our shareholders.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expect that we will be eligible for an exemption under Section 883 of the Internal Revenue Code of 1986, as amended (the “Code”), which provides an exemption from U.S. federal income taxation with respect to rental income derived from aircraft and ships used in international traffic by certain foreign corporations. No assurances can be given that we will continue to be eligible for this exemption as changes in our ownership or the amount of our shares that are traded could cause us to cease to be eligible for such exemption. To qualify for this exemption in respect of rental income, the lessor of the aircraft or ships must be organized in a country that grants a comparable exemption to U.S. lessors. The Cayman Islands and the Marshall Islands grant such exemptions. Additionally, certain other requirements must be satisfied. We can satisfy these requirements in any year if, for more than half the days of such year, our shares are primarily and regularly traded on a recognized exchange and certain shareholders, each of whom owns 5% or more of our shares (applying certain attribution rules), do not collectively own more than 50% of our shares. Our shares will be considered to be primarily and regularly traded on a recognized exchange in any year if: (i) the number of trades in our shares effected on such recognized stock exchanges exceed the number of our shares (or direct interests in our shares) that are traded during the year on all securities markets; (ii) trades in our shares are effected on such stock exchanges in more than de minimis quantities on at least 60 days during every calendar quarter in the year; and (iii) the aggregate number of our shares traded on such stock exchanges during the taxable year is at least 10% of the average number of our shares outstanding in that class during that year. If we were not eligible for the exemption under Section 883 of the Code, we expect that our U.S. source rental income would generally be subject to U.S. federal taxation, on a gross income basis, at a rate of not in excess of 4% as provided in Section 887 of the Code. If, contrary to expectations, we or certain of our non-U.S. subsidiaries did not comply with certain administrative guidelines of the U.S. Internal Revenue Service (the “IRS”), such that 90% or more of the U.S. source rental income of the Company or any of such subsidiaries were attributable to the activities of personnel based in the United States (in the case of bareboat leases), or from “regularly scheduled transportation” as defined in such administrative guidelines (in the case of time charter leases), our, or such subsidiary’s, U.S. source rental income would be treated as income effectively connected with the conduct of a trade or business in the United States. In such case, such U.S. source rental income would be subject to U.S. federal income taxation at the maximum corporate rate as well as state and local taxation. In addition, the Company or such subsidiary would be subject to the U.S. federal branch profits tax on its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32740"/>
                <wp:effectExtent l="0" t="0" r="0" b="0"/>
                <wp:wrapNone/>
                <wp:docPr id="64" name="Frame6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connected earnings and profits at a rate of 30%. The imposition of such taxes could adversely affect our business and would result in decreased cash available for distribution to our shareholders.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or our subsidiaries may become subject to unanticipated tax liabilities that may have a material adverse effect on our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we or our subsidiaries are subject to greater taxation than we currently anticipate. Further, the Organisation for Economic Co-operation and Development (the “OECD”) is conducting a project focused on base erosion and profit shifting in international structures, which seeks to establish certain international standards for taxing the worldwide income of multinational companies. In addition, the OECD is working on a “BEPS 2.0” initiative, which is aimed at (i) shifting taxing rights to the jurisdiction of the consumer and (ii) ensuring all companies pay a global minimum tax. On October 8, 2021, the OECD announced an agreement among over 140 countries delineating an implementation plan, on December 20, 2021, the OECD released model rules for the domestic implementation of a 15% global minimum tax, on December 15, 2022, the member states of the European Union unanimously voted to adopt the OECD’s minimum tax rules and phase them into national law, and on February 2, 2023 the OECD released technical guidance on the global minimum tax which was agreed by consensus of the BEPS 2.0 signatory jurisdictions. Legislatures in multiple countries outside of the EU have also drafted legislation consistent with the OECD’s minimum tax proposal.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 In addition, a portion of certain of our or our non-U.S. corporate subsidiaries’ income is treated as effectively connected with a U.S. trade or business and is accordingly subject to U.S. federal income tax or may be subject to gross-basis U.S. withholding tax. It is possible that the IRS could assert that a greater portion of our or any such non-U.S. subsidiaries’ income is effectively connected income that should be subject to U.S. federal income tax or subject to withholding tax.</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Shares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market price and trading volume of our ordinary and preferred shares may be volatile, which could result in rapid and substantial losses for our shareholders.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market price of our ordinary and preferred shares may be highly volatile and could be subject to wide fluctuations. In addition, the trading volume in our ordinary and preferred shares may fluctuate and cause significant price variations to occur. If the market price of our ordinary or preferred shares declines significantly, you may be unable to resell your shares at or above your purchase price, if at all. The market price of our ordinary and preferred shares may fluctuate or decline significantly in the future. Some of the factors that could negatively affect our share price or result in fluctuations in the price or trading volume of our shares include: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shift in our investor base;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quarterly or annual earnings, or those of other comparable companies;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actual or anticipated fluctuations in our operating results;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changes in accounting standards, policies, guidance, interpretations or principles;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announcements by us or our competitors of significant investments, acquisitions or dispositions;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failure of securities analysts to cover our ordinary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changes in earnings estimates by securities analysts or our ability to meet those estimates;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operating and share price performance of other comparable companies;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prevailing interest rates or rates of return being paid by other comparable companies and the market for securities similar to our preferred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additional issuances of preferred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whether we declare distributions on our preferred shares;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overall market fluctuations;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general economic conditions;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developments in the markets and market sectors in which we participate.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ordinary and preferred shares.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An increase in market interest rates may have an adverse effect on the market price of our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32740"/>
                <wp:effectExtent l="0" t="0" r="0" b="0"/>
                <wp:wrapNone/>
                <wp:docPr id="65" name="Frame6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required by Section 404 of the Sarbanes-Oxley Act to evaluate the effectiveness of our internal controls, and the outcome of that effort may adversely affect our results of operations, financial condition and liquidity.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Your percentage ownership in us may be diluted in the future.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Your percentage ownership in FTAI Aviation Ltd. may be diluted in the future because of equity awards granted and may be granted to our Manager pursuant to the Management Agreement and the Incentive Plan. Since 2015, we granted our Manager an option to acquire 3,903,010 ordinary shares in connection with equity offerings. In the future, upon the successful completion of additional offerings of our ordinary shares or other equity securities (including securities issued as consideration in an acquisition), we will grant to our Manager options to purchase ordinary shares in an amount equal to 10% of the number of ordinary shares being sold in such offerings (or if the issuance relates to equity securities other than our ordinary shares, options to purchase a number of ordinary shares equal to 10% of the gross capital raised in the equity issuance divided by the fair market value of an ordinary share as of the date of the issuance), with an exercise price equal to the offering price per share paid by the public or other ultimate purchaser or attributed to such securities in connection with an acquisition (or the fair market value of an ordinary share as of the date of the equity issuance if it relates to equity securities other than our ordinary shares), and any such offering or the exercise of the option in connection with such offering would cause dilution.</w:t>
      </w:r>
    </w:p>
    <w:p>
      <w:pPr>
        <w:pStyle w:val="TextBody"/>
        <w:bidi w:val="0"/>
        <w:spacing w:lineRule="auto" w:line="288" w:before="120" w:after="283"/>
        <w:jc w:val="both"/>
        <w:rPr/>
      </w:pPr>
      <w:r>
        <w:rPr>
          <w:rFonts w:ascii="Arial;sans-serif" w:hAnsi="Arial;sans-serif"/>
          <w:b w:val="false"/>
          <w:color w:val="000000"/>
          <w:sz w:val="18"/>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ordinary shares for issuance under the Incentive Plan.</w:t>
      </w:r>
      <w:r>
        <w:rPr>
          <w:color w:val="000000"/>
          <w:shd w:fill="FFFFFF" w:val="clear"/>
        </w:rPr>
        <w:t xml:space="preserve"> </w:t>
      </w:r>
      <w:r>
        <w:rPr>
          <w:rFonts w:ascii="Arial;sans-serif" w:hAnsi="Arial;sans-serif"/>
          <w:b w:val="false"/>
          <w:color w:val="000000"/>
          <w:sz w:val="18"/>
          <w:shd w:fill="FFFFFF" w:val="clear"/>
        </w:rPr>
        <w:t xml:space="preserve">As of September 30, 2023, rights relating to </w:t>
      </w:r>
      <w:r>
        <w:rPr>
          <w:rFonts w:ascii="Arial;sans-serif" w:hAnsi="Arial;sans-serif"/>
          <w:b w:val="false"/>
          <w:color w:val="000000"/>
          <w:sz w:val="18"/>
        </w:rPr>
        <w:t>616,177</w:t>
      </w:r>
      <w:r>
        <w:rPr>
          <w:color w:val="000000"/>
          <w:shd w:fill="FFFFFF" w:val="clear"/>
        </w:rPr>
        <w:t xml:space="preserve"> </w:t>
      </w:r>
      <w:r>
        <w:rPr>
          <w:rFonts w:ascii="Arial;sans-serif" w:hAnsi="Arial;sans-serif"/>
          <w:b w:val="false"/>
          <w:color w:val="000000"/>
          <w:sz w:val="18"/>
          <w:shd w:fill="FFFFFF" w:val="clear"/>
        </w:rPr>
        <w:t>of our ordinary shares were outstanding under the Incentive Plan. In</w:t>
      </w:r>
      <w:r>
        <w:rPr>
          <w:color w:val="000000"/>
        </w:rPr>
        <w:t xml:space="preserve"> </w:t>
      </w:r>
      <w:r>
        <w:rPr>
          <w:rFonts w:ascii="Arial;sans-serif" w:hAnsi="Arial;sans-serif"/>
          <w:b w:val="false"/>
          <w:color w:val="000000"/>
          <w:sz w:val="18"/>
        </w:rPr>
        <w:t>the future on the date of any equity issuance by us during the remaining portion of the ten-year term of the Incentive Plan (including in respect of securities issued as consideration in an acquisition), the maximum number of shares available for issuance under the Plan will be increased to include an additional number of ordinary shares equal to ten percent (10%) of either (i) the total number of ordinary shares newly issued by us in such equity issuance or (ii) if such equity issuance relates to equity securities other than our ordinary shares, a number of our ordinary shares equal to 10% of (A) the gross capital raised in an equity issuance of equity securities other than ordinary shares during the ten-year term of the Incentive Plan, divided by (B) the fair market value of an ordinary share as of the date of such equity issuance.</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Sales or issuances of our ordinary shares could adversely affect the market price of our ordinary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Sales of substantial amounts of our ordinary shares in the public market, or the perception that such sales might occur, could adversely affect the market price of our ordinary shares. The issuance of our ordinary shares in connection with property, portfolio or business acquisitions or the exercise of outstanding options or otherwise could also have an adverse effect on the market price of our ordinary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32740"/>
                <wp:effectExtent l="0" t="0" r="0" b="0"/>
                <wp:wrapNone/>
                <wp:docPr id="66" name="Frame6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incurrence or issuance of debt, which ranks senior to our ordinary shares upon our liquidation, and future issuances of equity or equity-related securities, which would dilute the holdings of our existing ordinary shareholders and may be senior to our ordinary shares for the purposes of making distributions, periodically or upon liquidation, may negatively affect the market price of our ordinary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ordinary shareholders. Any future incurrence or issuance of debt would increase our interest cost and could adversely affect our results of operations and cash flows. We are not required to offer any additional equity securities to existing ordinary shareholders on a preemptive basis. Therefore, additional issuances of ordinary shares, directly or through convertible or exchangeable securities warrants or options, will dilute the holdings of our existing ordinary shareholders and such issuances, or the perception of such issuances, may reduce the market price of our ordinary shares. Any preferred shares issued by us would likely have a preference on distribution payments, periodically or upon liquidation, which could eliminate or otherwise limit our ability to make distributions to ordinary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ordinary shareholders bear the risk that our future incurrence or issuance of debt or issuance of equity or equity-related securities will adversely affect the market price of our ordinary shares.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determination of how much leverage to use to finance our acquisitions may adversely affect our return on our assets and may reduce funds available for distribution.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While we currently intend to pay regular quarterly dividends to our shareholders, we may change our dividend policy at any time.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 to holders of our ordinary shares are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Our indirect intermediate holding company subsidiary FTAI LLC is currently, and may in the future be, subject to certain covenants included in its financing agreements that limit its ability to make distributions to us. In addition, our existing indebtedness does, and our future indebtedness may, limit our ability to pay dividends on our ordinary and preferred shares. Moreover, pursuant to the Services and Profit Sharing Agreement, Master GP is entitled to receive incentive payments before any amounts are distributed by us based both on our consolidated net income and capital gains income in each fiscal quarter and for each fiscal year, respectively. Furthermore, the terms of our preferred shares generally prevent us from declaring or paying dividends on or repurchasing our ordinary shares or other junior capital unless all accrued distributions on such preferred shares have been paid in full.</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Anti-takeover provisions in our Articles could delay or prevent a change in control.</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Provisions in our Articles may make it more difficult and expensive for a third party to acquire control of us even if a change of control would be beneficial to the interests of our shareholders. For example, our Articles provides for a staggered board, requires advance notice for proposals by shareholders and nominations, places limitations on convening shareholder meetings, and authorizes the issuance of preferred shares that could be issued by our board of directors to thwart a takeover attempt. The market price of our shares could be adversely affected to the extent that provisions of our operating agreement discourage potential takeover attempts that our shareholders may favor.</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securities or industry analysts do not publish research or reports about our business, or if they downgrade their recommendations regarding our ordinary shares, our share price and trading volume could decline.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trading market for our ordinary shares are influenced by the research and reports that industry or securities analysts publish about us or our business. If any of the analysts who cover us downgrades our ordinary units or publishes inaccurate or unfavorable research about our business, our ordinary share price may decline. If analysts cease coverage of us or fail to regularly publish reports on us, we could lose visibility in the financial markets, which in turn could cause our ordinary share price or trading volume to decline and our ordinary shares to be less liquid.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32740"/>
                <wp:effectExtent l="0" t="0" r="0" b="0"/>
                <wp:wrapNone/>
                <wp:docPr id="67" name="Frame6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3. Defaults Upon Senior Securities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4. Mine Safety Disclosures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5. Other Information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32740"/>
                <wp:effectExtent l="0" t="0" r="0" b="0"/>
                <wp:wrapNone/>
                <wp:docPr id="68" name="Frame6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6EBF"/>
          <w:sz w:val="20"/>
        </w:rPr>
      </w:pPr>
      <w:r>
        <w:rPr>
          <w:rFonts w:ascii="Arial;sans-serif" w:hAnsi="Arial;sans-serif"/>
          <w:b/>
          <w:color w:val="006EBF"/>
          <w:sz w:val="20"/>
        </w:rPr>
        <w:t>Item 6.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5"/>
        <w:gridCol w:w="325"/>
        <w:gridCol w:w="326"/>
        <w:gridCol w:w="109"/>
        <w:gridCol w:w="109"/>
        <w:gridCol w:w="109"/>
        <w:gridCol w:w="2544"/>
        <w:gridCol w:w="2482"/>
        <w:gridCol w:w="35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fldChar w:fldCharType="begin"/>
            </w:r>
            <w:r>
              <w:rPr>
                <w:rStyle w:val="InternetLink"/>
                <w:sz w:val="16"/>
                <w:u w:val="single"/>
                <w:b w:val="false"/>
                <w:rFonts w:ascii="Arial;sans-serif" w:hAnsi="Arial;sans-serif"/>
                <w:color w:val="0000FF"/>
              </w:rPr>
              <w:instrText xml:space="preserve"> HYPERLINK "https://www.sec.gov/Archives/edgar/data/1590364/000114036122036824/ny20005522x1_defm14a.htm" \l "tANNEXA"</w:instrText>
            </w:r>
            <w:r>
              <w:rPr>
                <w:rStyle w:val="InternetLink"/>
                <w:sz w:val="16"/>
                <w:u w:val="single"/>
                <w:b w:val="false"/>
                <w:rFonts w:ascii="Arial;sans-serif" w:hAnsi="Arial;sans-serif"/>
                <w:color w:val="0000FF"/>
              </w:rPr>
              <w:fldChar w:fldCharType="separate"/>
            </w:r>
            <w:r>
              <w:rPr>
                <w:rStyle w:val="InternetLink"/>
                <w:rFonts w:ascii="Arial;sans-serif" w:hAnsi="Arial;sans-serif"/>
                <w:b w:val="false"/>
                <w:color w:val="0000FF"/>
                <w:sz w:val="16"/>
                <w:u w:val="single"/>
              </w:rPr>
              <w:t>2.1</w:t>
            </w:r>
            <w:r>
              <w:rPr>
                <w:rStyle w:val="InternetLink"/>
                <w:sz w:val="16"/>
                <w:u w:val="single"/>
                <w:b w:val="false"/>
                <w:rFonts w:ascii="Arial;sans-serif" w:hAnsi="Arial;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Agreement and Plan of Merger, dated as of August 12, 2022, by and among, FTAI, the Company and FTAI Aviation Merger Sub LLC (incorporated by reference to Annex A to FTAI’s Registration Statement on Form S-4, filed on October 11,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Arial;sans-serif" w:hAnsi="Arial;sans-serif"/>
                  <w:b w:val="false"/>
                  <w:color w:val="0000FF"/>
                  <w:sz w:val="16"/>
                  <w:u w:val="single"/>
                </w:rPr>
                <w:t>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Separation and Distribution Agreement, dated as of August 1, 2022, between FTAI Infrastructure Inc. and the Company (incorporated by reference to Exhibit 2.1 of the Company’s Current Report on Form 8-K, filed on August 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Arial;sans-serif" w:hAnsi="Arial;sans-serif"/>
                  <w:b w:val="false"/>
                  <w:color w:val="0000FF"/>
                  <w:sz w:val="16"/>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and Restated Memorandum and Articles of Association of the Company (incorporated by reference to Exhibit 3.1 of the Company’s Current Report on Form 8-K, filed on November 14,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Arial;sans-serif" w:hAnsi="Arial;sans-serif"/>
                  <w:b w:val="false"/>
                  <w:color w:val="0000FF"/>
                  <w:sz w:val="16"/>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8.25% Fixed-to-Floating Series A Cumulative Perpetual Redeemable Preferred Shares (included as part of Exhibit 3.1 hereto).</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Arial;sans-serif" w:hAnsi="Arial;sans-serif"/>
                  <w:b w:val="false"/>
                  <w:color w:val="0000FF"/>
                  <w:sz w:val="16"/>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8.00% Fixed-to-Floating Series B Cumulative Perpetual Redeemable Preferred Shares (included as part of Exhibit 3.1 hereto).</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Arial;sans-serif" w:hAnsi="Arial;sans-serif"/>
                  <w:b w:val="false"/>
                  <w:color w:val="0000FF"/>
                  <w:sz w:val="16"/>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8.25% Fixed-Rate Reset Series C Cumulative Perpetual Redeemable Preferred Shares (included as part of Exhibit 3.1 hereto).</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8">
              <w:r>
                <w:rPr>
                  <w:rStyle w:val="InternetLink"/>
                  <w:rFonts w:ascii="Arial;sans-serif" w:hAnsi="Arial;sans-serif"/>
                  <w:b w:val="false"/>
                  <w:color w:val="0000FF"/>
                  <w:sz w:val="16"/>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9.500% Fixed-Rate Reset Series D Cumulative Perpetual Redeemable Preferred Shares of FTAI Aviation Ltd. (incorporated by reference to Exhibit 4.1 of the Company’s Registration Statement on Form 8-A, filed on March 15, 2023).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9">
              <w:r>
                <w:rPr>
                  <w:rStyle w:val="InternetLink"/>
                  <w:rFonts w:ascii="Arial;sans-serif" w:hAnsi="Arial;sans-serif"/>
                  <w:b w:val="false"/>
                  <w:color w:val="0000FF"/>
                  <w:sz w:val="16"/>
                  <w:u w:val="single"/>
                </w:rPr>
                <w:t>3.6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8.25% Fixed-to-Floating Rate Series A Cumulative Perpetual Redeemable Preferred Shares of FTAI Aviation Ltd. (included as part of Exhibit 3.1 hereto).</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0">
              <w:r>
                <w:rPr>
                  <w:rStyle w:val="InternetLink"/>
                  <w:rFonts w:ascii="Arial;sans-serif" w:hAnsi="Arial;sans-serif"/>
                  <w:b w:val="false"/>
                  <w:color w:val="0000FF"/>
                  <w:sz w:val="16"/>
                  <w:u w:val="single"/>
                </w:rPr>
                <w:t>3.7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8.00% Fixed-to-Floating Rate Series B Cumulative Perpetual Redeemable Preferred Shares of FTAI Aviation Ltd. (included as part of Exhibit 3.1 hereto).</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1">
              <w:r>
                <w:rPr>
                  <w:rStyle w:val="InternetLink"/>
                  <w:rFonts w:ascii="Arial;sans-serif" w:hAnsi="Arial;sans-serif"/>
                  <w:b w:val="false"/>
                  <w:color w:val="0000FF"/>
                  <w:sz w:val="16"/>
                  <w:u w:val="single"/>
                </w:rPr>
                <w:t>3.8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8.25% Fixed-Rate Reset Series C Cumulative Perpetual Redeemable Preferred Shares of FTAI Aviation Ltd. (included as part of Exhibit 3.1 hereto).</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2">
              <w:r>
                <w:rPr>
                  <w:rStyle w:val="InternetLink"/>
                  <w:rFonts w:ascii="Arial;sans-serif" w:hAnsi="Arial;sans-serif"/>
                  <w:b w:val="false"/>
                  <w:color w:val="0000FF"/>
                  <w:sz w:val="16"/>
                  <w:u w:val="single"/>
                </w:rPr>
                <w:t>3.9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9.500% Fixed-Rate Reset Series D Cumulative Perpetual Redeemable Preferred Shares of FTAI Aviation Ltd. (incorporated by reference to Exhibit 4.2 of the Company’s Registration Statement on Form 8-A, filed on March 15, 2023).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3">
              <w:r>
                <w:rPr>
                  <w:rStyle w:val="InternetLink"/>
                  <w:rFonts w:ascii="Arial;sans-serif" w:hAnsi="Arial;sans-serif"/>
                  <w:b w:val="false"/>
                  <w:color w:val="0000FF"/>
                  <w:sz w:val="16"/>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September 18, 2018, between the Company and U.S. Bank National Association, as trustee, relating to the Company’s 6.50% senior unsecured notes due 2025 (incorporated by reference to Exhibit 4.1 of the Company’s Current Report on Form 8-K, filed on September 18, 2018).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4">
              <w:r>
                <w:rPr>
                  <w:rStyle w:val="InternetLink"/>
                  <w:rFonts w:ascii="Arial;sans-serif" w:hAnsi="Arial;sans-serif"/>
                  <w:b w:val="false"/>
                  <w:color w:val="0000FF"/>
                  <w:sz w:val="16"/>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6.50% senior unsecured notes due 2025 (included in Exhibit 4.1).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5">
              <w:r>
                <w:rPr>
                  <w:rStyle w:val="InternetLink"/>
                  <w:rFonts w:ascii="Arial;sans-serif" w:hAnsi="Arial;sans-serif"/>
                  <w:b w:val="false"/>
                  <w:color w:val="0000FF"/>
                  <w:sz w:val="16"/>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Supplemental Indenture, dated May 21, 2019, between the Company and U.S. Bank National Association, as trustee, relating to the Company’s 6.50% senior unsecured notes due 2025 (incorporated by reference to Exhibit 4.1 of the Company’s Current Report on Form 8-K, filed on May 21, 2019).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6">
              <w:r>
                <w:rPr>
                  <w:rStyle w:val="InternetLink"/>
                  <w:rFonts w:ascii="Arial;sans-serif" w:hAnsi="Arial;sans-serif"/>
                  <w:b w:val="false"/>
                  <w:color w:val="0000FF"/>
                  <w:sz w:val="16"/>
                  <w:u w:val="single"/>
                </w:rPr>
                <w:t>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Supplemental Indenture, dated December 23, 2020, between the Company and U.S. Bank National Association, as trustee, relating to the Company’s 6.50% senior unsecured notes due 2025 (incorporated by reference to Exhibit 4.1 of the Company’s Current Report on Form 8-K, filed on December 23, 2020).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7">
              <w:r>
                <w:rPr>
                  <w:rStyle w:val="InternetLink"/>
                  <w:rFonts w:ascii="Arial;sans-serif" w:hAnsi="Arial;sans-serif"/>
                  <w:b w:val="false"/>
                  <w:color w:val="0000FF"/>
                  <w:sz w:val="16"/>
                  <w:u w:val="single"/>
                </w:rPr>
                <w:t>4.5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2025 Notes Guarantee, dated November 10, 2022 (incorporated by reference to Exhibit 4.1 of the Company’s Current Report on Form 8-K, filed on November 14,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8">
              <w:r>
                <w:rPr>
                  <w:rStyle w:val="InternetLink"/>
                  <w:rFonts w:ascii="Arial;sans-serif" w:hAnsi="Arial;sans-serif"/>
                  <w:b w:val="false"/>
                  <w:color w:val="0000FF"/>
                  <w:sz w:val="16"/>
                  <w:u w:val="single"/>
                </w:rPr>
                <w:t>4.6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April 12, 2021, between the Company and U.S. Bank National Association, as trustee, relating to the Company’s 5.50% senior unsecured notes due 2028 (incorporated by reference to Exhibit 4.1 to the Company’s Form 8-K, filed April 12, 2021).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9">
              <w:r>
                <w:rPr>
                  <w:rStyle w:val="InternetLink"/>
                  <w:rFonts w:ascii="Arial;sans-serif" w:hAnsi="Arial;sans-serif"/>
                  <w:b w:val="false"/>
                  <w:color w:val="0000FF"/>
                  <w:sz w:val="16"/>
                  <w:u w:val="single"/>
                </w:rPr>
                <w:t>4.7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5.50% senior unsecured notes due 2028 (included in Exhibit 4.6).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0">
              <w:r>
                <w:rPr>
                  <w:rStyle w:val="InternetLink"/>
                  <w:rFonts w:ascii="Arial;sans-serif" w:hAnsi="Arial;sans-serif"/>
                  <w:b w:val="false"/>
                  <w:color w:val="0000FF"/>
                  <w:sz w:val="16"/>
                  <w:u w:val="single"/>
                </w:rPr>
                <w:t>4.8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First Supplemental Indenture, dated as of September 24, 2021, between the Company and U.S. Bank National Association, as trustee, relating to the Company’s 5.50% senior unsecured notes due 2028 (incorporated by reference to Exhibit 4.1 of the Company’s Current Report on Form 8-K, filed on September 24, 2021).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1">
              <w:r>
                <w:rPr>
                  <w:rStyle w:val="InternetLink"/>
                  <w:rFonts w:ascii="Arial;sans-serif" w:hAnsi="Arial;sans-serif"/>
                  <w:b w:val="false"/>
                  <w:color w:val="0000FF"/>
                  <w:sz w:val="16"/>
                  <w:u w:val="single"/>
                </w:rPr>
                <w:t>4.9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2028 Notes Guarantee, dated November 10, 2022 (incorporated by reference to Exhibit 4.3 of the Company’s Current Report on Form 8-K, filed on November 14,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2">
              <w:r>
                <w:rPr>
                  <w:rStyle w:val="InternetLink"/>
                  <w:rFonts w:ascii="Arial;sans-serif" w:hAnsi="Arial;sans-serif"/>
                  <w:b w:val="false"/>
                  <w:color w:val="0000FF"/>
                  <w:sz w:val="16"/>
                  <w:u w:val="single"/>
                </w:rPr>
                <w:t>4.10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July 28, 2020, between the Company and U.S. Bank National Association, as trustee, relating to the Company’s 9.75% senior unsecured notes due 2027 (incorporated by reference to Exhibit 4.1 of the Company’s Current Report on Form 8-K, filed on July 28, 2020).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3">
              <w:r>
                <w:rPr>
                  <w:rStyle w:val="InternetLink"/>
                  <w:rFonts w:ascii="Arial;sans-serif" w:hAnsi="Arial;sans-serif"/>
                  <w:b w:val="false"/>
                  <w:color w:val="0000FF"/>
                  <w:sz w:val="16"/>
                  <w:u w:val="single"/>
                </w:rPr>
                <w:t>4.11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9.75% senior unsecured notes due 2027 (included in Exhibit 4.10).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4">
              <w:r>
                <w:rPr>
                  <w:rStyle w:val="InternetLink"/>
                  <w:rFonts w:ascii="Arial;sans-serif" w:hAnsi="Arial;sans-serif"/>
                  <w:b w:val="false"/>
                  <w:color w:val="0000FF"/>
                  <w:sz w:val="16"/>
                  <w:u w:val="single"/>
                </w:rPr>
                <w:t>4.12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 Notes Guarantee, dated November 10, 2022 (incorporated by reference to Exhibit 4.2 of the Company’s Current Report on Form 8-K, filed on November 14,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5">
              <w:r>
                <w:rPr>
                  <w:rStyle w:val="InternetLink"/>
                  <w:rFonts w:ascii="Arial;sans-serif" w:hAnsi="Arial;sans-serif"/>
                  <w:b w:val="false"/>
                  <w:color w:val="0000FF"/>
                  <w:sz w:val="16"/>
                  <w:u w:val="single"/>
                </w:rPr>
                <w:t>4.13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Revolver Guarantee, dated November 10, 2022 (incorporated by reference to Exhibit 4.4 of the Company’s Current Report on Form 8-K, filed on November 14,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6">
              <w:r>
                <w:rPr>
                  <w:rStyle w:val="InternetLink"/>
                  <w:rFonts w:ascii="Arial;sans-serif" w:hAnsi="Arial;sans-serif"/>
                  <w:b w:val="false"/>
                  <w:color w:val="0000FF"/>
                  <w:sz w:val="16"/>
                  <w:u w:val="single"/>
                </w:rPr>
                <w:t>4.14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Description of Securities Registered under Section 12 of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7">
              <w:r>
                <w:rPr>
                  <w:rStyle w:val="InternetLink"/>
                  <w:rFonts w:ascii="Arial;sans-serif" w:hAnsi="Arial;sans-serif"/>
                  <w:b w:val="false"/>
                  <w:color w:val="0000FF"/>
                  <w:sz w:val="16"/>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and Advisory Agreement, dated as of July 31, 2022, between the Company, FTAI Aviation Ltd., the Subsidiaries that are party thereto and FIG LLC (incorporated by reference to Exhibit 10.1 of the Company’s Current Report on Form 8-K, filed on August 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8">
              <w:r>
                <w:rPr>
                  <w:rStyle w:val="InternetLink"/>
                  <w:rFonts w:ascii="Arial;sans-serif" w:hAnsi="Arial;sans-serif"/>
                  <w:b w:val="false"/>
                  <w:color w:val="0000FF"/>
                  <w:sz w:val="16"/>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Profit Sharing Agreement, dated November 10, 2022, by and among FTAI Aviation Holdco Ltd., the Company and Fortress Worldwide Transportation and Infrastructure Master GP LLC (incorporated by reference to Exhibit 10.1 of the Company’s Current Report on Form 8-K, filed on November 14,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9">
              <w:r>
                <w:rPr>
                  <w:rStyle w:val="InternetLink"/>
                  <w:rFonts w:ascii="Arial;sans-serif" w:hAnsi="Arial;sans-serif"/>
                  <w:b w:val="false"/>
                  <w:color w:val="0000FF"/>
                  <w:sz w:val="16"/>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and Restated Registration Rights Agreement, dated November 10, 2022, by and among FTAI Aviation Ltd., the Company, Fortress Worldwide Transportation and Infrastructure Master GP LLC and FIG LLC (incorporated by reference to Exhibit 10.2 of the Company’s Current Report on Form 8-K, filed on November 14,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0">
              <w:r>
                <w:rPr>
                  <w:rStyle w:val="InternetLink"/>
                  <w:rFonts w:ascii="Arial;sans-serif" w:hAnsi="Arial;sans-serif"/>
                  <w:b w:val="false"/>
                  <w:color w:val="0000FF"/>
                  <w:sz w:val="16"/>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FTAI Aviation Ltd. Nonqualified Stock Option and Incentive Award Plan, dated as of February 23,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32740"/>
                <wp:effectExtent l="0" t="0" r="0" b="0"/>
                <wp:wrapNone/>
                <wp:docPr id="69" name="Frame6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25"/>
        <w:gridCol w:w="325"/>
        <w:gridCol w:w="326"/>
        <w:gridCol w:w="109"/>
        <w:gridCol w:w="109"/>
        <w:gridCol w:w="109"/>
        <w:gridCol w:w="2570"/>
        <w:gridCol w:w="2475"/>
        <w:gridCol w:w="35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1">
              <w:r>
                <w:rPr>
                  <w:rStyle w:val="InternetLink"/>
                  <w:rFonts w:ascii="Arial;sans-serif" w:hAnsi="Arial;sans-serif"/>
                  <w:b w:val="false"/>
                  <w:color w:val="0000FF"/>
                  <w:sz w:val="16"/>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FTAI Aviation Ltd. Director and Officer Indemnification Agreement (incorporated by reference to Exhibit 10.6 to the Company’s Registration Statement on Form S-4, filed on October 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2">
              <w:r>
                <w:rPr>
                  <w:rStyle w:val="InternetLink"/>
                  <w:rFonts w:ascii="Arial;sans-serif" w:hAnsi="Arial;sans-serif"/>
                  <w:b w:val="false"/>
                  <w:color w:val="0000FF"/>
                  <w:sz w:val="16"/>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Form of Director Award Agreement pursuant to the FTAI Aviation Ltd. Nonqualified Stock Option and Incentive Plan (incorporated by reference to Exhibit 10.7 to the Company’s Registration Statement on Form S-4, filed on October 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3">
              <w:r>
                <w:rPr>
                  <w:rStyle w:val="InternetLink"/>
                  <w:rFonts w:ascii="Arial;sans-serif" w:hAnsi="Arial;sans-serif"/>
                  <w:b w:val="false"/>
                  <w:color w:val="0000FF"/>
                  <w:sz w:val="16"/>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Form of Award Agreement under the FTAI Aviation Ltd. Nonqualified Stock Option and Incentive Award Plan (incorporated by reference to Exhibit 10.8 to the Company’s Registration Statement on Form S-4, filed on October 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4">
              <w:r>
                <w:rPr>
                  <w:rStyle w:val="InternetLink"/>
                  <w:rFonts w:ascii="Arial;sans-serif" w:hAnsi="Arial;sans-serif"/>
                  <w:b w:val="false"/>
                  <w:color w:val="0000FF"/>
                  <w:sz w:val="16"/>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Trademark License Agreement, dated as of August 1, 2022, between Fortress Transportation and Infrastructure Investors LLC and FTAI Infrastructure Inc. (incorporated by reference to Exhibit 10.3 of the Company’s Current Report on Form 8-K, filed August 1,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5">
              <w:r>
                <w:rPr>
                  <w:rStyle w:val="InternetLink"/>
                  <w:rFonts w:ascii="Arial;sans-serif" w:hAnsi="Arial;sans-serif"/>
                  <w:b w:val="false"/>
                  <w:color w:val="0000FF"/>
                  <w:sz w:val="16"/>
                  <w:u w:val="single"/>
                </w:rPr>
                <w:t>10.9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Second Amended and Restated Credit Agreement, dated as of September 20, 2022, between the Company, the lenders and issuing banks from time to time party thereto and JPMorgan Chase Bank, N.A., as administrative agent (incorporated by reference to Exhibit 10.1 of the Company's Current Report on Form 8-K, filed September 21,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6">
              <w:r>
                <w:rPr>
                  <w:rStyle w:val="InternetLink"/>
                  <w:rFonts w:ascii="Arial;sans-serif" w:hAnsi="Arial;sans-serif"/>
                  <w:b w:val="false"/>
                  <w:color w:val="0000FF"/>
                  <w:sz w:val="16"/>
                  <w:u w:val="single"/>
                </w:rPr>
                <w:t>10.10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Amendment No. 1 to the Second Amended and Restated Credit Agreement, dated as of November 22, 2022, between the Company, the lenders and issuing banks from time to time party thereto and JPMorgan Chase Bank, N.A., as administrative agent (incorporated by reference to Exhibit 10.10 of the Company’s Annual Report on Form 10-K, filed February 27, 2023).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7">
              <w:r>
                <w:rPr>
                  <w:rStyle w:val="InternetLink"/>
                  <w:rFonts w:ascii="Arial;sans-serif" w:hAnsi="Arial;sans-serif"/>
                  <w:b w:val="false"/>
                  <w:color w:val="0000FF"/>
                  <w:sz w:val="16"/>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Amendment No. 2 to the Second Amended and Restated Credit Agreement, dated as of April 10, 2023, between the Company, the lenders and issuing banks from time to time party thereto and JPMorgan Chase Bank, N.A., as administrative agent.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9302023exhibit311.htm">
              <w:r>
                <w:rPr>
                  <w:rStyle w:val="InternetLink"/>
                  <w:rFonts w:ascii="Arial;sans-serif" w:hAnsi="Arial;sans-serif"/>
                  <w:b w:val="false"/>
                  <w:color w:val="0000FF"/>
                  <w:sz w:val="16"/>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Executive Officer pursuant to Rule 13a-14(a)/15d-14(a), as adopted pursuant to Section 302 of the Sarbanes-Oxley Act of 2002.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ftai9302023exhibit312.htm">
              <w:r>
                <w:rPr>
                  <w:rStyle w:val="InternetLink"/>
                  <w:rFonts w:ascii="Arial;sans-serif" w:hAnsi="Arial;sans-serif"/>
                  <w:b w:val="false"/>
                  <w:color w:val="0000FF"/>
                  <w:sz w:val="16"/>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Financial Officer pursuant to Rule 13a-14(a)/15d-14(a), as adopted pursuant to Section 302 of the Sarbanes-Oxley Act of 2002.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9302023exhibit321.htm">
              <w:r>
                <w:rPr>
                  <w:rStyle w:val="InternetLink"/>
                  <w:rFonts w:ascii="Arial;sans-serif" w:hAnsi="Arial;sans-serif"/>
                  <w:b w:val="false"/>
                  <w:color w:val="0000FF"/>
                  <w:sz w:val="16"/>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Executive Officer pursuant to 18 U.S.C. Section 1350, as adopted pursuant to Section 906 of the Sarbanes-Oxley Act of 2002.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ftai9302023exhibit322.htm">
              <w:r>
                <w:rPr>
                  <w:rStyle w:val="InternetLink"/>
                  <w:rFonts w:ascii="Arial;sans-serif" w:hAnsi="Arial;sans-serif"/>
                  <w:b w:val="false"/>
                  <w:color w:val="0000FF"/>
                  <w:sz w:val="16"/>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Financial Officer pursuant to 18 U.S.C. Section 1350, as adopted pursuant to Section 906 of the Sarbanes-Oxley Act of 2002.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following financial information from the Company’s Quarterly Report on Form 10-Q for the quarter ended September 30, 2023,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Management contracts and compensatory plans or arrangements.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32740"/>
                <wp:effectExtent l="0" t="0" r="0" b="0"/>
                <wp:wrapNone/>
                <wp:docPr id="70" name="Frame6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497F"/>
          <w:sz w:val="18"/>
        </w:rPr>
      </w:pPr>
      <w:r>
        <w:rPr>
          <w:rFonts w:ascii="Arial;sans-serif" w:hAnsi="Arial;sans-serif"/>
          <w:b/>
          <w:color w:val="00497F"/>
          <w:sz w:val="18"/>
        </w:rPr>
        <w:t>SIGNATURES</w:t>
      </w:r>
    </w:p>
    <w:p>
      <w:pPr>
        <w:pStyle w:val="TextBody"/>
        <w:bidi w:val="0"/>
        <w:spacing w:lineRule="auto" w:line="288" w:before="120" w:after="283"/>
        <w:jc w:val="center"/>
        <w:rPr>
          <w:color w:val="000000"/>
        </w:rPr>
      </w:pPr>
      <w:r>
        <w:rPr>
          <w:color w:val="000000"/>
        </w:rPr>
        <w:t>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FTAI Aviation Ltd.</w:t>
      </w:r>
    </w:p>
    <w:tbl>
      <w:tblPr>
        <w:tblW w:w="5963" w:type="dxa"/>
        <w:jc w:val="left"/>
        <w:tblInd w:w="0" w:type="dxa"/>
        <w:tblLayout w:type="fixed"/>
        <w:tblCellMar>
          <w:top w:w="28" w:type="dxa"/>
          <w:left w:w="28" w:type="dxa"/>
          <w:bottom w:w="28" w:type="dxa"/>
          <w:right w:w="28" w:type="dxa"/>
        </w:tblCellMar>
      </w:tblPr>
      <w:tblGrid>
        <w:gridCol w:w="136"/>
        <w:gridCol w:w="119"/>
        <w:gridCol w:w="119"/>
        <w:gridCol w:w="1053"/>
        <w:gridCol w:w="1053"/>
        <w:gridCol w:w="1058"/>
        <w:gridCol w:w="109"/>
        <w:gridCol w:w="109"/>
        <w:gridCol w:w="109"/>
        <w:gridCol w:w="179"/>
        <w:gridCol w:w="179"/>
        <w:gridCol w:w="181"/>
        <w:gridCol w:w="456"/>
        <w:gridCol w:w="456"/>
        <w:gridCol w:w="64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26, 2023</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45" w:type="dxa"/>
        <w:jc w:val="center"/>
        <w:tblInd w:w="0" w:type="dxa"/>
        <w:tblLayout w:type="fixed"/>
        <w:tblCellMar>
          <w:top w:w="28" w:type="dxa"/>
          <w:left w:w="28" w:type="dxa"/>
          <w:bottom w:w="28" w:type="dxa"/>
          <w:right w:w="28" w:type="dxa"/>
        </w:tblCellMar>
      </w:tblPr>
      <w:tblGrid>
        <w:gridCol w:w="136"/>
        <w:gridCol w:w="119"/>
        <w:gridCol w:w="119"/>
        <w:gridCol w:w="1209"/>
        <w:gridCol w:w="1209"/>
        <w:gridCol w:w="1213"/>
        <w:gridCol w:w="214"/>
        <w:gridCol w:w="214"/>
        <w:gridCol w:w="214"/>
        <w:gridCol w:w="179"/>
        <w:gridCol w:w="179"/>
        <w:gridCol w:w="181"/>
        <w:gridCol w:w="456"/>
        <w:gridCol w:w="456"/>
        <w:gridCol w:w="64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Eun (Angela) Nam</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26, 2023</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Eun (Angela) Nam</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Chief Accounting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32740"/>
                <wp:effectExtent l="0" t="0" r="0" b="0"/>
                <wp:wrapNone/>
                <wp:docPr id="71" name="Frame7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0" w:after="0"/>
        <w:jc w:val="center"/>
        <w:rPr>
          <w:color w:val="000000"/>
        </w:rPr>
      </w:pPr>
      <w:r>
        <w:rPr>
          <w:color w:val="000000"/>
        </w:rPr>
        <w:t> </w:t>
      </w:r>
    </w:p>
    <w:p>
      <w:pPr>
        <w:pStyle w:val="TextBody"/>
        <w:bidi w:val="0"/>
        <w:spacing w:lineRule="auto" w:line="417" w:before="0" w:after="0"/>
        <w:jc w:val="center"/>
        <w:rPr>
          <w:rFonts w:ascii="Arial;sans-serif" w:hAnsi="Arial;sans-serif"/>
          <w:b/>
          <w:color w:val="000000"/>
          <w:sz w:val="18"/>
        </w:rPr>
      </w:pPr>
      <w:r>
        <w:rPr>
          <w:rFonts w:ascii="Arial;sans-serif" w:hAnsi="Arial;sans-serif"/>
          <w:b/>
          <w:color w:val="000000"/>
          <w:sz w:val="18"/>
        </w:rPr>
        <w:t>SECTION 302 CERTIFICATION OF CHIEF EXECUTIVE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Joseph P. Adams. Jr.,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FTAI Aviation Ltd. (the “registrant”);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80"/>
        <w:ind w:left="0" w:right="0" w:firstLine="720"/>
        <w:jc w:val="left"/>
        <w:rPr/>
      </w:pPr>
      <w:r>
        <w:rPr/>
      </w:r>
    </w:p>
    <w:p>
      <w:pPr>
        <w:pStyle w:val="TextBody"/>
        <w:bidi w:val="0"/>
        <w:spacing w:before="0" w:after="0"/>
        <w:jc w:val="center"/>
        <w:rPr/>
      </w:pPr>
      <w:r>
        <w:rPr/>
      </w:r>
    </w:p>
    <w:tbl>
      <w:tblPr>
        <w:tblW w:w="3941" w:type="dxa"/>
        <w:jc w:val="center"/>
        <w:tblInd w:w="0" w:type="dxa"/>
        <w:tblLayout w:type="fixed"/>
        <w:tblCellMar>
          <w:top w:w="28" w:type="dxa"/>
          <w:left w:w="28" w:type="dxa"/>
          <w:bottom w:w="28" w:type="dxa"/>
          <w:right w:w="28" w:type="dxa"/>
        </w:tblCellMar>
      </w:tblPr>
      <w:tblGrid>
        <w:gridCol w:w="553"/>
        <w:gridCol w:w="487"/>
        <w:gridCol w:w="489"/>
        <w:gridCol w:w="109"/>
        <w:gridCol w:w="109"/>
        <w:gridCol w:w="109"/>
        <w:gridCol w:w="610"/>
        <w:gridCol w:w="610"/>
        <w:gridCol w:w="865"/>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r>
      <w:tr>
        <w:trPr/>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0" w:after="0"/>
        <w:jc w:val="center"/>
        <w:rPr>
          <w:color w:val="000000"/>
        </w:rPr>
      </w:pPr>
      <w:r>
        <w:rPr>
          <w:color w:val="000000"/>
        </w:rPr>
        <w:t> </w:t>
      </w:r>
    </w:p>
    <w:p>
      <w:pPr>
        <w:pStyle w:val="TextBody"/>
        <w:bidi w:val="0"/>
        <w:spacing w:lineRule="auto" w:line="417" w:before="0" w:after="0"/>
        <w:jc w:val="center"/>
        <w:rPr>
          <w:rFonts w:ascii="Arial;sans-serif" w:hAnsi="Arial;sans-serif"/>
          <w:b/>
          <w:color w:val="000000"/>
          <w:sz w:val="18"/>
        </w:rPr>
      </w:pPr>
      <w:r>
        <w:rPr>
          <w:rFonts w:ascii="Arial;sans-serif" w:hAnsi="Arial;sans-serif"/>
          <w:b/>
          <w:color w:val="000000"/>
          <w:sz w:val="18"/>
        </w:rPr>
        <w:t>SECTION 302 CERTIFICATION OF CHIEF FINANCIAL OFFICER</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Eun (Angela) Nam,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FTAI Aviation Ltd. (the “registrant”);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63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80"/>
        <w:ind w:left="0" w:right="0" w:firstLine="720"/>
        <w:jc w:val="left"/>
        <w:rPr/>
      </w:pPr>
      <w:r>
        <w:rPr/>
      </w:r>
    </w:p>
    <w:p>
      <w:pPr>
        <w:pStyle w:val="TextBody"/>
        <w:bidi w:val="0"/>
        <w:spacing w:before="0" w:after="180"/>
        <w:jc w:val="left"/>
        <w:rPr/>
      </w:pPr>
      <w:r>
        <w:rPr/>
      </w:r>
    </w:p>
    <w:p>
      <w:pPr>
        <w:pStyle w:val="TextBody"/>
        <w:bidi w:val="0"/>
        <w:spacing w:lineRule="auto" w:line="288" w:before="0" w:after="0"/>
        <w:jc w:val="left"/>
        <w:rPr>
          <w:color w:val="000000"/>
        </w:rPr>
      </w:pPr>
      <w:r>
        <w:rPr>
          <w:color w:val="000000"/>
        </w:rPr>
        <w:t> </w:t>
      </w:r>
    </w:p>
    <w:tbl>
      <w:tblPr>
        <w:tblW w:w="6176" w:type="dxa"/>
        <w:jc w:val="center"/>
        <w:tblInd w:w="0" w:type="dxa"/>
        <w:tblLayout w:type="fixed"/>
        <w:tblCellMar>
          <w:top w:w="28" w:type="dxa"/>
          <w:left w:w="28" w:type="dxa"/>
          <w:bottom w:w="28" w:type="dxa"/>
          <w:right w:w="28" w:type="dxa"/>
        </w:tblCellMar>
      </w:tblPr>
      <w:tblGrid>
        <w:gridCol w:w="553"/>
        <w:gridCol w:w="487"/>
        <w:gridCol w:w="489"/>
        <w:gridCol w:w="109"/>
        <w:gridCol w:w="109"/>
        <w:gridCol w:w="109"/>
        <w:gridCol w:w="1262"/>
        <w:gridCol w:w="1262"/>
        <w:gridCol w:w="1796"/>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Eun (Angela) Nam</w:t>
            </w:r>
          </w:p>
        </w:tc>
      </w:tr>
      <w:tr>
        <w:trPr/>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Eun (Angela) Nam</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EXECUTIVE OFFICER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FTAI Aviation Ltd. (the “Company”) for the quarterly period ended September 30, 2023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and</w:t>
      </w:r>
    </w:p>
    <w:p>
      <w:pPr>
        <w:pStyle w:val="TextBody"/>
        <w:bidi w:val="0"/>
        <w:spacing w:lineRule="auto" w:line="288" w:before="180" w:after="283"/>
        <w:ind w:left="0" w:right="0" w:hanging="720"/>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tbl>
      <w:tblPr>
        <w:tblW w:w="2427" w:type="dxa"/>
        <w:jc w:val="left"/>
        <w:tblInd w:w="0" w:type="dxa"/>
        <w:tblLayout w:type="fixed"/>
        <w:tblCellMar>
          <w:top w:w="28" w:type="dxa"/>
          <w:left w:w="28" w:type="dxa"/>
          <w:bottom w:w="28" w:type="dxa"/>
          <w:right w:w="28" w:type="dxa"/>
        </w:tblCellMar>
      </w:tblPr>
      <w:tblGrid>
        <w:gridCol w:w="743"/>
        <w:gridCol w:w="653"/>
        <w:gridCol w:w="659"/>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26,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FINANCIAL OFFICER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FTAI Aviation Ltd. (the “Company”) for the quarterly period ended September 30, 2023 as filed with the Securities and Exchange Commission on the date hereof (the “Report”), Eun (Angela) Nam, as Chief Financial Officer of the Company, hereby certifies, pursuant to 18 U.S.C. Section 1350, as adopted pursuant to Section 906 of the Sarbanes-Oxley Act of 2002, that, to the best of her knowledge: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and</w:t>
      </w:r>
    </w:p>
    <w:p>
      <w:pPr>
        <w:pStyle w:val="TextBody"/>
        <w:bidi w:val="0"/>
        <w:spacing w:lineRule="auto" w:line="288" w:before="180" w:after="283"/>
        <w:ind w:left="0" w:right="0" w:hanging="720"/>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tbl>
      <w:tblPr>
        <w:tblW w:w="4662" w:type="dxa"/>
        <w:jc w:val="left"/>
        <w:tblInd w:w="0" w:type="dxa"/>
        <w:tblLayout w:type="fixed"/>
        <w:tblCellMar>
          <w:top w:w="28" w:type="dxa"/>
          <w:left w:w="28" w:type="dxa"/>
          <w:bottom w:w="28" w:type="dxa"/>
          <w:right w:w="28" w:type="dxa"/>
        </w:tblCellMar>
      </w:tblPr>
      <w:tblGrid>
        <w:gridCol w:w="1553"/>
        <w:gridCol w:w="1366"/>
        <w:gridCol w:w="1371"/>
        <w:gridCol w:w="109"/>
        <w:gridCol w:w="109"/>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Eun (Angela) Nam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Eun (Angela) Nam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Chief Accounting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26,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90364/000114036122027698/brhc10040167_ex2-1.htm" TargetMode="External"/><Relationship Id="rId4" Type="http://schemas.openxmlformats.org/officeDocument/2006/relationships/hyperlink" Target="https://www.sec.gov/Archives/edgar/data/1590364/000114036122041421/brhc10044020_ex3-1.htm" TargetMode="External"/><Relationship Id="rId5" Type="http://schemas.openxmlformats.org/officeDocument/2006/relationships/hyperlink" Target="https://www.sec.gov/Archives/edgar/data/1590364/000114036122041421/brhc10044020_ex3-1.htm" TargetMode="External"/><Relationship Id="rId6" Type="http://schemas.openxmlformats.org/officeDocument/2006/relationships/hyperlink" Target="https://www.sec.gov/Archives/edgar/data/1590364/000114036122041421/brhc10044020_ex3-1.htm" TargetMode="External"/><Relationship Id="rId7" Type="http://schemas.openxmlformats.org/officeDocument/2006/relationships/hyperlink" Target="https://www.sec.gov/Archives/edgar/data/1590364/000114036122041421/brhc10044020_ex3-1.htm" TargetMode="External"/><Relationship Id="rId8" Type="http://schemas.openxmlformats.org/officeDocument/2006/relationships/hyperlink" Target="https://www.sec.gov/Archives/edgar/data/1590364/000114036123011743/brhc10049807_ex4-1.htm" TargetMode="External"/><Relationship Id="rId9" Type="http://schemas.openxmlformats.org/officeDocument/2006/relationships/hyperlink" Target="https://www.sec.gov/Archives/edgar/data/1590364/000114036122041421/brhc10044020_ex3-1.htm" TargetMode="External"/><Relationship Id="rId10" Type="http://schemas.openxmlformats.org/officeDocument/2006/relationships/hyperlink" Target="https://www.sec.gov/Archives/edgar/data/1590364/000114036122041421/brhc10044020_ex3-1.htm" TargetMode="External"/><Relationship Id="rId11" Type="http://schemas.openxmlformats.org/officeDocument/2006/relationships/hyperlink" Target="https://www.sec.gov/Archives/edgar/data/1590364/000114036122041421/brhc10044020_ex3-1.htm" TargetMode="External"/><Relationship Id="rId12" Type="http://schemas.openxmlformats.org/officeDocument/2006/relationships/hyperlink" Target="https://www.sec.gov/Archives/edgar/data/1590364/000114036123011743/brhc10049807_ex4-2.htm" TargetMode="External"/><Relationship Id="rId13" Type="http://schemas.openxmlformats.org/officeDocument/2006/relationships/hyperlink" Target="https://www.sec.gov/Archives/edgar/data/1590364/000114036118038650/ex4_1.htm" TargetMode="External"/><Relationship Id="rId14" Type="http://schemas.openxmlformats.org/officeDocument/2006/relationships/hyperlink" Target="https://www.sec.gov/Archives/edgar/data/1590364/000114036118038650/ex4_1.htm" TargetMode="External"/><Relationship Id="rId15" Type="http://schemas.openxmlformats.org/officeDocument/2006/relationships/hyperlink" Target="https://www.sec.gov/Archives/edgar/data/1590364/000114036119009546/nc10001919x3_ex4-1.htm" TargetMode="External"/><Relationship Id="rId16" Type="http://schemas.openxmlformats.org/officeDocument/2006/relationships/hyperlink" Target="https://www.sec.gov/Archives/edgar/data/1590364/000114036120029408/brhc10018302_ex4-1.htm" TargetMode="External"/><Relationship Id="rId17" Type="http://schemas.openxmlformats.org/officeDocument/2006/relationships/hyperlink" Target="https://www.sec.gov/Archives/edgar/data/0001590364/000114036122041407/brhc10044100_ex4-1.htm" TargetMode="External"/><Relationship Id="rId18" Type="http://schemas.openxmlformats.org/officeDocument/2006/relationships/hyperlink" Target="http://www.sec.gov/Archives/edgar/data/1590364/000114036121012434/nt10022837x5_ex4-1.htm" TargetMode="External"/><Relationship Id="rId19" Type="http://schemas.openxmlformats.org/officeDocument/2006/relationships/hyperlink" Target="http://www.sec.gov/Archives/edgar/data/1590364/000114036121012434/nt10022837x5_ex4-1.htm" TargetMode="External"/><Relationship Id="rId20" Type="http://schemas.openxmlformats.org/officeDocument/2006/relationships/hyperlink" Target="http://www.sec.gov/Archives/edgar/data/1590364/000114036121032467/ny20000775x4_ex4-1.htm" TargetMode="External"/><Relationship Id="rId21" Type="http://schemas.openxmlformats.org/officeDocument/2006/relationships/hyperlink" Target="https://www.sec.gov/Archives/edgar/data/0001590364/000114036122041407/brhc10044100_ex4-3.htm" TargetMode="External"/><Relationship Id="rId22" Type="http://schemas.openxmlformats.org/officeDocument/2006/relationships/hyperlink" Target="https://www.sec.gov/Archives/edgar/data/1590364/000114036120016865/nt1003669x5_ex4-1.htm" TargetMode="External"/><Relationship Id="rId23" Type="http://schemas.openxmlformats.org/officeDocument/2006/relationships/hyperlink" Target="https://www.sec.gov/Archives/edgar/data/1590364/000114036120016865/nt1003669x5_ex4-1.htm" TargetMode="External"/><Relationship Id="rId24" Type="http://schemas.openxmlformats.org/officeDocument/2006/relationships/hyperlink" Target="https://www.sec.gov/Archives/edgar/data/0001590364/000114036122041407/brhc10044100_ex4-2.htm" TargetMode="External"/><Relationship Id="rId25" Type="http://schemas.openxmlformats.org/officeDocument/2006/relationships/hyperlink" Target="https://www.sec.gov/Archives/edgar/data/0001590364/000114036122041407/brhc10044100_ex4-4.htm" TargetMode="External"/><Relationship Id="rId26" Type="http://schemas.openxmlformats.org/officeDocument/2006/relationships/hyperlink" Target="https://www.sec.gov/Archives/edgar/data/1590364/000159036423000007/ftaiaviation12312022ex414.htm" TargetMode="External"/><Relationship Id="rId27" Type="http://schemas.openxmlformats.org/officeDocument/2006/relationships/hyperlink" Target="https://www.sec.gov/Archives/edgar/data/1590364/000114036122027698/brhc10040167_ex10-1.htm" TargetMode="External"/><Relationship Id="rId28" Type="http://schemas.openxmlformats.org/officeDocument/2006/relationships/hyperlink" Target="https://www.sec.gov/Archives/edgar/data/1590364/000114036122041421/brhc10044020_ex10-1.htm" TargetMode="External"/><Relationship Id="rId29" Type="http://schemas.openxmlformats.org/officeDocument/2006/relationships/hyperlink" Target="https://www.sec.gov/Archives/edgar/data/1590364/000114036122041421/brhc10044020_ex10-2.htm" TargetMode="External"/><Relationship Id="rId30" Type="http://schemas.openxmlformats.org/officeDocument/2006/relationships/hyperlink" Target="https://www.sec.gov/Archives/edgar/data/1590364/000159036423000007/ftaiaviation12312022ex104.htm" TargetMode="External"/><Relationship Id="rId31" Type="http://schemas.openxmlformats.org/officeDocument/2006/relationships/hyperlink" Target="https://www.sec.gov/Archives/edgar/data/1942420/000114036122029494/ny20005018x1_ex10-5.htm" TargetMode="External"/><Relationship Id="rId32" Type="http://schemas.openxmlformats.org/officeDocument/2006/relationships/hyperlink" Target="https://www.sec.gov/Archives/edgar/data/1942420/000114036122029494/ny20005018x1_ex10-6.htm" TargetMode="External"/><Relationship Id="rId33" Type="http://schemas.openxmlformats.org/officeDocument/2006/relationships/hyperlink" Target="https://www.sec.gov/Archives/edgar/data/1942420/000114036122029494/ny20005018x1_ex10-7.htm" TargetMode="External"/><Relationship Id="rId34" Type="http://schemas.openxmlformats.org/officeDocument/2006/relationships/hyperlink" Target="https://www.sec.gov/ix?doc=/Archives/edgar/data/0001590364/000114036122027698/brhc10040167_8k.htm" TargetMode="External"/><Relationship Id="rId35" Type="http://schemas.openxmlformats.org/officeDocument/2006/relationships/hyperlink" Target="https://www.sec.gov/Archives/edgar/data/1590364/000114036122034108/brhc10042070_ex10-1.htm" TargetMode="External"/><Relationship Id="rId36" Type="http://schemas.openxmlformats.org/officeDocument/2006/relationships/hyperlink" Target="https://www.sec.gov/Archives/edgar/data/1590364/000159036423000007/ftaiaviation12312022ex1010.htm" TargetMode="External"/><Relationship Id="rId37" Type="http://schemas.openxmlformats.org/officeDocument/2006/relationships/hyperlink" Target="https://www.sec.gov/Archives/edgar/data/1590364/000159036423000013/ftai3312023exhibit1011.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41961</Words>
  <Characters>234555</Characters>
  <CharactersWithSpaces>274354</CharactersWithSpaces>
  <Paragraphs>4684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