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21" w:lineRule="exact"/>
        <w:rPr>
          <w:sz w:val="24"/>
          <w:szCs w:val="24"/>
          <w:color w:val="auto"/>
        </w:rPr>
      </w:pPr>
    </w:p>
    <w:p>
      <w:pPr>
        <w:ind w:left="1920" w:hanging="187"/>
        <w:spacing w:after="0"/>
        <w:tabs>
          <w:tab w:leader="none" w:pos="19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2015</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left="4300" w:right="1700" w:hanging="2595"/>
        <w:spacing w:after="0" w:line="684" w:lineRule="auto"/>
        <w:tabs>
          <w:tab w:leader="none" w:pos="18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5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54610</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FORTRESS TRANSPORTATION AND INFRASTRUCTURE INVESTORS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w w:val="93"/>
              </w:rPr>
              <w:t>Delaware</w:t>
            </w:r>
          </w:p>
        </w:tc>
        <w:tc>
          <w:tcPr>
            <w:tcW w:w="5240" w:type="dxa"/>
            <w:vAlign w:val="bottom"/>
          </w:tcPr>
          <w:p>
            <w:pPr>
              <w:jc w:val="right"/>
              <w:ind w:right="2139"/>
              <w:spacing w:after="0"/>
              <w:rPr>
                <w:sz w:val="20"/>
                <w:szCs w:val="20"/>
                <w:color w:val="auto"/>
              </w:rPr>
            </w:pPr>
            <w:r>
              <w:rPr>
                <w:rFonts w:ascii="Arial" w:cs="Arial" w:eastAsia="Arial" w:hAnsi="Arial"/>
                <w:sz w:val="16"/>
                <w:szCs w:val="16"/>
                <w:b w:val="1"/>
                <w:bCs w:val="1"/>
                <w:color w:val="auto"/>
              </w:rPr>
              <w:t>32-0434238</w:t>
            </w:r>
          </w:p>
        </w:tc>
      </w:tr>
      <w:tr>
        <w:trPr>
          <w:trHeight w:val="47"/>
        </w:trPr>
        <w:tc>
          <w:tcPr>
            <w:tcW w:w="5260" w:type="dxa"/>
            <w:vAlign w:val="bottom"/>
            <w:tcBorders>
              <w:bottom w:val="single" w:sz="8" w:color="auto"/>
            </w:tcBorders>
          </w:tcPr>
          <w:p>
            <w:pPr>
              <w:spacing w:after="0"/>
              <w:rPr>
                <w:sz w:val="4"/>
                <w:szCs w:val="4"/>
                <w:color w:val="auto"/>
              </w:rPr>
            </w:pPr>
          </w:p>
        </w:tc>
        <w:tc>
          <w:tcPr>
            <w:tcW w:w="920" w:type="dxa"/>
            <w:vAlign w:val="bottom"/>
          </w:tcPr>
          <w:p>
            <w:pPr>
              <w:spacing w:after="0"/>
              <w:rPr>
                <w:sz w:val="4"/>
                <w:szCs w:val="4"/>
                <w:color w:val="auto"/>
              </w:rPr>
            </w:pPr>
          </w:p>
        </w:tc>
        <w:tc>
          <w:tcPr>
            <w:tcW w:w="5240" w:type="dxa"/>
            <w:vAlign w:val="bottom"/>
            <w:tcBorders>
              <w:bottom w:val="single" w:sz="8" w:color="auto"/>
            </w:tcBorders>
          </w:tcPr>
          <w:p>
            <w:pPr>
              <w:spacing w:after="0"/>
              <w:rPr>
                <w:sz w:val="4"/>
                <w:szCs w:val="4"/>
                <w:color w:val="auto"/>
              </w:rPr>
            </w:pPr>
          </w:p>
        </w:tc>
      </w:tr>
      <w:tr>
        <w:trPr>
          <w:trHeight w:val="217"/>
        </w:trPr>
        <w:tc>
          <w:tcPr>
            <w:tcW w:w="6180" w:type="dxa"/>
            <w:vAlign w:val="bottom"/>
            <w:gridSpan w:val="2"/>
          </w:tcPr>
          <w:p>
            <w:pPr>
              <w:jc w:val="center"/>
              <w:ind w:right="90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No.)</w:t>
            </w:r>
          </w:p>
        </w:tc>
      </w:tr>
      <w:tr>
        <w:trPr>
          <w:trHeight w:val="51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0"/>
              </w:rPr>
              <w:t>1345 Avenue of the Americas, 46th Floor,</w:t>
            </w:r>
          </w:p>
        </w:tc>
        <w:tc>
          <w:tcPr>
            <w:tcW w:w="5240" w:type="dxa"/>
            <w:vAlign w:val="bottom"/>
          </w:tcPr>
          <w:p>
            <w:pPr>
              <w:jc w:val="right"/>
              <w:ind w:right="2339"/>
              <w:spacing w:after="0"/>
              <w:rPr>
                <w:sz w:val="20"/>
                <w:szCs w:val="20"/>
                <w:color w:val="auto"/>
              </w:rPr>
            </w:pPr>
            <w:r>
              <w:rPr>
                <w:rFonts w:ascii="Arial" w:cs="Arial" w:eastAsia="Arial" w:hAnsi="Arial"/>
                <w:sz w:val="16"/>
                <w:szCs w:val="16"/>
                <w:b w:val="1"/>
                <w:bCs w:val="1"/>
                <w:color w:val="auto"/>
              </w:rPr>
              <w:t>10105</w:t>
            </w:r>
          </w:p>
        </w:tc>
      </w:tr>
      <w:tr>
        <w:trPr>
          <w:trHeight w:val="210"/>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w w:val="96"/>
              </w:rPr>
              <w:t>New York, NY</w:t>
            </w:r>
          </w:p>
        </w:tc>
        <w:tc>
          <w:tcPr>
            <w:tcW w:w="5240" w:type="dxa"/>
            <w:vAlign w:val="bottom"/>
          </w:tcPr>
          <w:p>
            <w:pPr>
              <w:spacing w:after="0"/>
              <w:rPr>
                <w:sz w:val="18"/>
                <w:szCs w:val="18"/>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17"/>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w w:val="94"/>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w w:val="95"/>
              </w:rPr>
              <w:t>(Zip Code)</w:t>
            </w:r>
          </w:p>
        </w:tc>
      </w:tr>
    </w:tbl>
    <w:p>
      <w:pPr>
        <w:spacing w:after="0" w:line="3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25"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_______________________________________________</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4"/>
          <w:szCs w:val="24"/>
          <w:color w:val="auto"/>
        </w:rPr>
      </w:pPr>
    </w:p>
    <w:p>
      <w:pPr>
        <w:ind w:right="18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jc w:val="both"/>
        <w:ind w:right="4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9" w:lineRule="exact"/>
        <w:rPr>
          <w:sz w:val="24"/>
          <w:szCs w:val="24"/>
          <w:color w:val="auto"/>
        </w:rPr>
      </w:pPr>
    </w:p>
    <w:p>
      <w:pPr>
        <w:ind w:right="34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210" w:lineRule="exact"/>
        <w:rPr>
          <w:sz w:val="24"/>
          <w:szCs w:val="24"/>
          <w:color w:val="auto"/>
        </w:rPr>
      </w:pPr>
    </w:p>
    <w:p>
      <w:pPr>
        <w:ind w:left="20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6" w:lineRule="exact"/>
        <w:rPr>
          <w:sz w:val="24"/>
          <w:szCs w:val="24"/>
          <w:color w:val="auto"/>
        </w:rPr>
      </w:pPr>
    </w:p>
    <w:p>
      <w:pPr>
        <w:sectPr>
          <w:pgSz w:w="11900" w:h="16838" w:orient="portrait"/>
          <w:cols w:equalWidth="0" w:num="2">
            <w:col w:w="7220" w:space="720"/>
            <w:col w:w="3480"/>
          </w:cols>
          <w:pgMar w:left="240" w:top="234" w:right="239" w:bottom="1440" w:gutter="0" w:footer="0" w:header="0"/>
          <w:type w:val="continuous"/>
        </w:sectPr>
      </w:pPr>
    </w:p>
    <w:p>
      <w:pPr>
        <w:spacing w:after="0" w:line="30" w:lineRule="exact"/>
        <w:rPr>
          <w:sz w:val="24"/>
          <w:szCs w:val="24"/>
          <w:color w:val="auto"/>
        </w:rPr>
      </w:pPr>
    </w:p>
    <w:p>
      <w:pPr>
        <w:ind w:left="20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29" w:lineRule="exact"/>
        <w:rPr>
          <w:sz w:val="24"/>
          <w:szCs w:val="24"/>
          <w:color w:val="auto"/>
        </w:rPr>
      </w:pPr>
    </w:p>
    <w:p>
      <w:pPr>
        <w:sectPr>
          <w:pgSz w:w="11900" w:h="16838" w:orient="portrait"/>
          <w:cols w:equalWidth="0" w:num="3">
            <w:col w:w="3440" w:space="80"/>
            <w:col w:w="3340" w:space="720"/>
            <w:col w:w="3840"/>
          </w:cols>
          <w:pgMar w:left="240" w:top="234" w:right="239" w:bottom="1440" w:gutter="0" w:footer="0" w:header="0"/>
          <w:type w:val="continuous"/>
        </w:sectPr>
      </w:pPr>
    </w:p>
    <w:p>
      <w:pPr>
        <w:spacing w:after="0" w:line="28" w:lineRule="exact"/>
        <w:rPr>
          <w:sz w:val="24"/>
          <w:szCs w:val="24"/>
          <w:color w:val="auto"/>
        </w:rPr>
      </w:pPr>
    </w:p>
    <w:p>
      <w:pPr>
        <w:ind w:right="31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There were 75,718,183 common shares representing limited liability company interests outstanding at August 12, 2015.</w:t>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tcBorders>
              <w:bottom w:val="single" w:sz="8" w:color="0000EE"/>
            </w:tcBorders>
            <w:gridSpan w:val="9"/>
          </w:tcPr>
          <w:p>
            <w:pPr>
              <w:jc w:val="center"/>
              <w:spacing w:after="0"/>
              <w:rPr>
                <w:rFonts w:ascii="Arial" w:cs="Arial" w:eastAsia="Arial" w:hAnsi="Arial"/>
                <w:sz w:val="16"/>
                <w:szCs w:val="16"/>
                <w:color w:val="0000EE"/>
              </w:rPr>
            </w:pPr>
            <w:hyperlink w:anchor="page2">
              <w:r>
                <w:rPr>
                  <w:rFonts w:ascii="Arial" w:cs="Arial" w:eastAsia="Arial" w:hAnsi="Arial"/>
                  <w:sz w:val="16"/>
                  <w:szCs w:val="16"/>
                  <w:color w:val="0000EE"/>
                </w:rPr>
                <w:t>PART I—FINANCIAL INFORMATION</w:t>
              </w:r>
            </w:hyperlink>
          </w:p>
        </w:tc>
        <w:tc>
          <w:tcPr>
            <w:tcW w:w="3340" w:type="dxa"/>
            <w:vAlign w:val="bottom"/>
            <w:gridSpan w:val="5"/>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2960" w:type="dxa"/>
            <w:vAlign w:val="bottom"/>
            <w:gridSpan w:val="14"/>
          </w:tcPr>
          <w:p>
            <w:pPr>
              <w:spacing w:after="0"/>
              <w:rPr>
                <w:rFonts w:ascii="Arial" w:cs="Arial" w:eastAsia="Arial" w:hAnsi="Arial"/>
                <w:sz w:val="16"/>
                <w:szCs w:val="16"/>
                <w:color w:val="0000EE"/>
                <w:w w:val="90"/>
              </w:rPr>
            </w:pPr>
            <w:hyperlink w:anchor="page3">
              <w:r>
                <w:rPr>
                  <w:rFonts w:ascii="Arial" w:cs="Arial" w:eastAsia="Arial" w:hAnsi="Arial"/>
                  <w:sz w:val="16"/>
                  <w:szCs w:val="16"/>
                  <w:color w:val="0000EE"/>
                  <w:w w:val="90"/>
                </w:rPr>
                <w:t>Unaudited Consolidated Financial Statements</w:t>
              </w:r>
            </w:hyperlink>
          </w:p>
        </w:tc>
        <w:tc>
          <w:tcPr>
            <w:tcW w:w="6420" w:type="dxa"/>
            <w:vAlign w:val="bottom"/>
            <w:gridSpan w:val="17"/>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380" w:type="dxa"/>
            <w:vAlign w:val="bottom"/>
            <w:gridSpan w:val="31"/>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(unaudited) as of June 30, 2015 and December 31, 2014</w:t>
              </w:r>
            </w:hyperlink>
          </w:p>
        </w:tc>
        <w:tc>
          <w:tcPr>
            <w:tcW w:w="106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380" w:type="dxa"/>
            <w:vAlign w:val="bottom"/>
            <w:gridSpan w:val="31"/>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Statements of Operations (unaudited) for the three and six months ended June 30, 2015 and 2014</w:t>
              </w:r>
            </w:hyperlink>
          </w:p>
        </w:tc>
        <w:tc>
          <w:tcPr>
            <w:tcW w:w="1060" w:type="dxa"/>
            <w:vAlign w:val="bottom"/>
            <w:gridSpan w:val="3"/>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380" w:type="dxa"/>
            <w:vAlign w:val="bottom"/>
            <w:gridSpan w:val="31"/>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(Loss) Income (unaudited) for the three and six months ended June 30, 2015 and 2014</w:t>
              </w:r>
            </w:hyperlink>
          </w:p>
        </w:tc>
        <w:tc>
          <w:tcPr>
            <w:tcW w:w="1060" w:type="dxa"/>
            <w:vAlign w:val="bottom"/>
            <w:gridSpan w:val="3"/>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460" w:type="dxa"/>
            <w:vAlign w:val="bottom"/>
            <w:gridSpan w:val="3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 of Changes in Equity (unaudited) for the six months ended June 30, 2015</w:t>
              </w:r>
            </w:hyperlink>
          </w:p>
        </w:tc>
        <w:tc>
          <w:tcPr>
            <w:tcW w:w="920" w:type="dxa"/>
            <w:vAlign w:val="bottom"/>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6600" w:type="dxa"/>
            <w:vAlign w:val="bottom"/>
            <w:gridSpan w:val="28"/>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Cash Flows (unaudited) for the six months ended June 30, 2015 and 2014</w:t>
              </w:r>
            </w:hyperlink>
          </w:p>
        </w:tc>
        <w:tc>
          <w:tcPr>
            <w:tcW w:w="2780" w:type="dxa"/>
            <w:vAlign w:val="bottom"/>
            <w:gridSpan w:val="3"/>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280" w:type="dxa"/>
            <w:vAlign w:val="bottom"/>
            <w:gridSpan w:val="22"/>
          </w:tcPr>
          <w:p>
            <w:pPr>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Notes to Unaudited Consolidated Financial Statements (unaudited)</w:t>
              </w:r>
            </w:hyperlink>
          </w:p>
        </w:tc>
        <w:tc>
          <w:tcPr>
            <w:tcW w:w="2320" w:type="dxa"/>
            <w:vAlign w:val="bottom"/>
            <w:gridSpan w:val="6"/>
          </w:tcPr>
          <w:p>
            <w:pPr>
              <w:spacing w:after="0"/>
              <w:rPr>
                <w:sz w:val="21"/>
                <w:szCs w:val="21"/>
                <w:color w:val="auto"/>
              </w:rPr>
            </w:pPr>
          </w:p>
        </w:tc>
        <w:tc>
          <w:tcPr>
            <w:tcW w:w="2780" w:type="dxa"/>
            <w:vAlign w:val="bottom"/>
            <w:gridSpan w:val="3"/>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1"/>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1: Organization</w:t>
              </w:r>
            </w:hyperlink>
          </w:p>
        </w:tc>
        <w:tc>
          <w:tcPr>
            <w:tcW w:w="5100" w:type="dxa"/>
            <w:vAlign w:val="bottom"/>
            <w:gridSpan w:val="9"/>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19"/>
          </w:tcPr>
          <w:p>
            <w:pPr>
              <w:spacing w:after="0"/>
              <w:rPr>
                <w:rFonts w:ascii="Arial" w:cs="Arial" w:eastAsia="Arial" w:hAnsi="Arial"/>
                <w:sz w:val="16"/>
                <w:szCs w:val="16"/>
                <w:color w:val="0000EE"/>
                <w:w w:val="94"/>
              </w:rPr>
            </w:pPr>
            <w:hyperlink w:anchor="page9">
              <w:r>
                <w:rPr>
                  <w:rFonts w:ascii="Arial" w:cs="Arial" w:eastAsia="Arial" w:hAnsi="Arial"/>
                  <w:sz w:val="16"/>
                  <w:szCs w:val="16"/>
                  <w:color w:val="0000EE"/>
                  <w:w w:val="94"/>
                </w:rPr>
                <w:t>Note 2: Summary of Significant Accounting Policies</w:t>
              </w:r>
            </w:hyperlink>
          </w:p>
        </w:tc>
        <w:tc>
          <w:tcPr>
            <w:tcW w:w="5600" w:type="dxa"/>
            <w:vAlign w:val="bottom"/>
            <w:gridSpan w:val="11"/>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19"/>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3: Acquisitions</w:t>
              </w:r>
            </w:hyperlink>
          </w:p>
        </w:tc>
        <w:tc>
          <w:tcPr>
            <w:tcW w:w="5600" w:type="dxa"/>
            <w:vAlign w:val="bottom"/>
            <w:gridSpan w:val="11"/>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12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0"/>
          </w:tcPr>
          <w:p>
            <w:pPr>
              <w:spacing w:after="0"/>
              <w:rPr>
                <w:rFonts w:ascii="Arial" w:cs="Arial" w:eastAsia="Arial" w:hAnsi="Arial"/>
                <w:sz w:val="16"/>
                <w:szCs w:val="16"/>
                <w:color w:val="0000EE"/>
                <w:w w:val="91"/>
              </w:rPr>
            </w:pPr>
            <w:hyperlink w:anchor="page13">
              <w:r>
                <w:rPr>
                  <w:rFonts w:ascii="Arial" w:cs="Arial" w:eastAsia="Arial" w:hAnsi="Arial"/>
                  <w:sz w:val="16"/>
                  <w:szCs w:val="16"/>
                  <w:color w:val="0000EE"/>
                  <w:w w:val="91"/>
                </w:rPr>
                <w:t>Note 4: Leasing Equipment, net</w:t>
              </w:r>
            </w:hyperlink>
          </w:p>
        </w:tc>
        <w:tc>
          <w:tcPr>
            <w:tcW w:w="6960" w:type="dxa"/>
            <w:vAlign w:val="bottom"/>
            <w:gridSpan w:val="20"/>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80" w:type="dxa"/>
            <w:vAlign w:val="bottom"/>
            <w:gridSpan w:val="10"/>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5: Finance Leases, net</w:t>
              </w:r>
            </w:hyperlink>
          </w:p>
        </w:tc>
        <w:tc>
          <w:tcPr>
            <w:tcW w:w="6960" w:type="dxa"/>
            <w:vAlign w:val="bottom"/>
            <w:gridSpan w:val="20"/>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3">
              <w:r>
                <w:rPr>
                  <w:rFonts w:ascii="Arial" w:cs="Arial" w:eastAsia="Arial" w:hAnsi="Arial"/>
                  <w:sz w:val="16"/>
                  <w:szCs w:val="16"/>
                  <w:color w:val="0000EE"/>
                </w:rPr>
                <w:t>13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14"/>
          </w:tcPr>
          <w:p>
            <w:pPr>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Note 6: Property, Plant and Equipment, net</w:t>
              </w:r>
            </w:hyperlink>
          </w:p>
        </w:tc>
        <w:tc>
          <w:tcPr>
            <w:tcW w:w="6280" w:type="dxa"/>
            <w:vAlign w:val="bottom"/>
            <w:gridSpan w:val="16"/>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0"/>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7: Investments in Unconsolidated Entities</w:t>
              </w:r>
            </w:hyperlink>
          </w:p>
        </w:tc>
        <w:tc>
          <w:tcPr>
            <w:tcW w:w="1060" w:type="dxa"/>
            <w:vAlign w:val="bottom"/>
            <w:gridSpan w:val="3"/>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900" w:type="dxa"/>
            <w:vAlign w:val="bottom"/>
            <w:gridSpan w:val="15"/>
          </w:tcPr>
          <w:p>
            <w:pPr>
              <w:spacing w:after="0"/>
              <w:rPr>
                <w:rFonts w:ascii="Arial" w:cs="Arial" w:eastAsia="Arial" w:hAnsi="Arial"/>
                <w:sz w:val="16"/>
                <w:szCs w:val="16"/>
                <w:color w:val="0000EE"/>
                <w:w w:val="92"/>
              </w:rPr>
            </w:pPr>
            <w:hyperlink w:anchor="page16">
              <w:r>
                <w:rPr>
                  <w:rFonts w:ascii="Arial" w:cs="Arial" w:eastAsia="Arial" w:hAnsi="Arial"/>
                  <w:sz w:val="16"/>
                  <w:szCs w:val="16"/>
                  <w:color w:val="0000EE"/>
                  <w:w w:val="92"/>
                </w:rPr>
                <w:t>Note 8: Intangible Assets and Liabilities, net</w:t>
              </w:r>
            </w:hyperlink>
          </w:p>
        </w:tc>
        <w:tc>
          <w:tcPr>
            <w:tcW w:w="160" w:type="dxa"/>
            <w:vAlign w:val="bottom"/>
            <w:gridSpan w:val="2"/>
          </w:tcPr>
          <w:p>
            <w:pPr>
              <w:spacing w:after="0"/>
              <w:rPr>
                <w:sz w:val="21"/>
                <w:szCs w:val="21"/>
                <w:color w:val="auto"/>
              </w:rPr>
            </w:pPr>
          </w:p>
        </w:tc>
        <w:tc>
          <w:tcPr>
            <w:tcW w:w="5980" w:type="dxa"/>
            <w:vAlign w:val="bottom"/>
            <w:gridSpan w:val="13"/>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17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3"/>
          </w:tcPr>
          <w:p>
            <w:pPr>
              <w:spacing w:after="0"/>
              <w:rPr>
                <w:rFonts w:ascii="Arial" w:cs="Arial" w:eastAsia="Arial" w:hAnsi="Arial"/>
                <w:sz w:val="16"/>
                <w:szCs w:val="16"/>
                <w:color w:val="0000EE"/>
                <w:w w:val="89"/>
              </w:rPr>
            </w:pPr>
            <w:hyperlink w:anchor="page18">
              <w:r>
                <w:rPr>
                  <w:rFonts w:ascii="Arial" w:cs="Arial" w:eastAsia="Arial" w:hAnsi="Arial"/>
                  <w:sz w:val="16"/>
                  <w:szCs w:val="16"/>
                  <w:color w:val="0000EE"/>
                  <w:w w:val="89"/>
                </w:rPr>
                <w:t>Note 9: Debt</w:t>
              </w:r>
            </w:hyperlink>
          </w:p>
        </w:tc>
        <w:tc>
          <w:tcPr>
            <w:tcW w:w="2060" w:type="dxa"/>
            <w:vAlign w:val="bottom"/>
            <w:gridSpan w:val="12"/>
          </w:tcPr>
          <w:p>
            <w:pPr>
              <w:spacing w:after="0"/>
              <w:rPr>
                <w:sz w:val="21"/>
                <w:szCs w:val="21"/>
                <w:color w:val="auto"/>
              </w:rPr>
            </w:pPr>
          </w:p>
        </w:tc>
        <w:tc>
          <w:tcPr>
            <w:tcW w:w="6140" w:type="dxa"/>
            <w:vAlign w:val="bottom"/>
            <w:gridSpan w:val="15"/>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0"/>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Note 10: Fair Value Measurements</w:t>
              </w:r>
            </w:hyperlink>
          </w:p>
        </w:tc>
        <w:tc>
          <w:tcPr>
            <w:tcW w:w="106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4"/>
          </w:tcPr>
          <w:p>
            <w:pPr>
              <w:spacing w:after="0"/>
              <w:rPr>
                <w:rFonts w:ascii="Arial" w:cs="Arial" w:eastAsia="Arial" w:hAnsi="Arial"/>
                <w:sz w:val="16"/>
                <w:szCs w:val="16"/>
                <w:color w:val="0000EE"/>
                <w:w w:val="89"/>
              </w:rPr>
            </w:pPr>
            <w:hyperlink w:anchor="page20">
              <w:r>
                <w:rPr>
                  <w:rFonts w:ascii="Arial" w:cs="Arial" w:eastAsia="Arial" w:hAnsi="Arial"/>
                  <w:sz w:val="16"/>
                  <w:szCs w:val="16"/>
                  <w:color w:val="0000EE"/>
                  <w:w w:val="89"/>
                </w:rPr>
                <w:t>Note 11: Revenues</w:t>
              </w:r>
            </w:hyperlink>
          </w:p>
        </w:tc>
        <w:tc>
          <w:tcPr>
            <w:tcW w:w="1020" w:type="dxa"/>
            <w:vAlign w:val="bottom"/>
            <w:gridSpan w:val="7"/>
          </w:tcPr>
          <w:p>
            <w:pPr>
              <w:spacing w:after="0"/>
              <w:rPr>
                <w:sz w:val="21"/>
                <w:szCs w:val="21"/>
                <w:color w:val="auto"/>
              </w:rPr>
            </w:pPr>
          </w:p>
        </w:tc>
        <w:tc>
          <w:tcPr>
            <w:tcW w:w="6780" w:type="dxa"/>
            <w:vAlign w:val="bottom"/>
            <w:gridSpan w:val="19"/>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0"/>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Note 12: Equity-Based Compensation</w:t>
              </w:r>
            </w:hyperlink>
          </w:p>
        </w:tc>
        <w:tc>
          <w:tcPr>
            <w:tcW w:w="1060" w:type="dxa"/>
            <w:vAlign w:val="bottom"/>
            <w:gridSpan w:val="3"/>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60" w:type="dxa"/>
            <w:vAlign w:val="bottom"/>
            <w:gridSpan w:val="12"/>
          </w:tcPr>
          <w:p>
            <w:pPr>
              <w:spacing w:after="0"/>
              <w:rPr>
                <w:rFonts w:ascii="Arial" w:cs="Arial" w:eastAsia="Arial" w:hAnsi="Arial"/>
                <w:sz w:val="16"/>
                <w:szCs w:val="16"/>
                <w:color w:val="0000EE"/>
              </w:rPr>
            </w:pPr>
            <w:hyperlink w:anchor="page24">
              <w:r>
                <w:rPr>
                  <w:rFonts w:ascii="Arial" w:cs="Arial" w:eastAsia="Arial" w:hAnsi="Arial"/>
                  <w:sz w:val="16"/>
                  <w:szCs w:val="16"/>
                  <w:color w:val="0000EE"/>
                </w:rPr>
                <w:t>Note 13: Income Taxes</w:t>
              </w:r>
            </w:hyperlink>
          </w:p>
        </w:tc>
        <w:tc>
          <w:tcPr>
            <w:tcW w:w="6580" w:type="dxa"/>
            <w:vAlign w:val="bottom"/>
            <w:gridSpan w:val="18"/>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1"/>
          </w:tcPr>
          <w:p>
            <w:pPr>
              <w:spacing w:after="0"/>
              <w:rPr>
                <w:rFonts w:ascii="Arial" w:cs="Arial" w:eastAsia="Arial" w:hAnsi="Arial"/>
                <w:sz w:val="16"/>
                <w:szCs w:val="16"/>
                <w:color w:val="0000EE"/>
                <w:w w:val="91"/>
              </w:rPr>
            </w:pPr>
            <w:hyperlink w:anchor="page24">
              <w:r>
                <w:rPr>
                  <w:rFonts w:ascii="Arial" w:cs="Arial" w:eastAsia="Arial" w:hAnsi="Arial"/>
                  <w:sz w:val="16"/>
                  <w:szCs w:val="16"/>
                  <w:color w:val="0000EE"/>
                  <w:w w:val="91"/>
                </w:rPr>
                <w:t>Note 14: Management Agreement and Affiliate Transactions</w:t>
              </w:r>
            </w:hyperlink>
          </w:p>
        </w:tc>
        <w:tc>
          <w:tcPr>
            <w:tcW w:w="5100" w:type="dxa"/>
            <w:vAlign w:val="bottom"/>
            <w:gridSpan w:val="9"/>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4">
              <w:r>
                <w:rPr>
                  <w:rFonts w:ascii="Arial" w:cs="Arial" w:eastAsia="Arial" w:hAnsi="Arial"/>
                  <w:sz w:val="16"/>
                  <w:szCs w:val="16"/>
                  <w:color w:val="0000EE"/>
                </w:rPr>
                <w:t>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40" w:type="dxa"/>
            <w:vAlign w:val="bottom"/>
            <w:gridSpan w:val="21"/>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Note 15: Segment Information</w:t>
              </w:r>
            </w:hyperlink>
          </w:p>
        </w:tc>
        <w:tc>
          <w:tcPr>
            <w:tcW w:w="5100" w:type="dxa"/>
            <w:vAlign w:val="bottom"/>
            <w:gridSpan w:val="9"/>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27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8"/>
          </w:tcPr>
          <w:p>
            <w:pPr>
              <w:spacing w:after="0"/>
              <w:rPr>
                <w:rFonts w:ascii="Arial" w:cs="Arial" w:eastAsia="Arial" w:hAnsi="Arial"/>
                <w:sz w:val="16"/>
                <w:szCs w:val="16"/>
                <w:color w:val="0000EE"/>
                <w:w w:val="88"/>
              </w:rPr>
            </w:pPr>
            <w:hyperlink w:anchor="page37">
              <w:r>
                <w:rPr>
                  <w:rFonts w:ascii="Arial" w:cs="Arial" w:eastAsia="Arial" w:hAnsi="Arial"/>
                  <w:sz w:val="16"/>
                  <w:szCs w:val="16"/>
                  <w:color w:val="0000EE"/>
                  <w:w w:val="88"/>
                </w:rPr>
                <w:t>Note 16: Earnings per Share</w:t>
              </w:r>
            </w:hyperlink>
          </w:p>
        </w:tc>
        <w:tc>
          <w:tcPr>
            <w:tcW w:w="140" w:type="dxa"/>
            <w:vAlign w:val="bottom"/>
          </w:tcPr>
          <w:p>
            <w:pPr>
              <w:spacing w:after="0"/>
              <w:rPr>
                <w:sz w:val="21"/>
                <w:szCs w:val="21"/>
                <w:color w:val="auto"/>
              </w:rPr>
            </w:pPr>
          </w:p>
        </w:tc>
        <w:tc>
          <w:tcPr>
            <w:tcW w:w="7060" w:type="dxa"/>
            <w:vAlign w:val="bottom"/>
            <w:gridSpan w:val="21"/>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37">
              <w:r>
                <w:rPr>
                  <w:rFonts w:ascii="Arial" w:cs="Arial" w:eastAsia="Arial" w:hAnsi="Arial"/>
                  <w:sz w:val="16"/>
                  <w:szCs w:val="16"/>
                  <w:color w:val="0000EE"/>
                </w:rPr>
                <w:t>37</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40" w:type="dxa"/>
            <w:vAlign w:val="bottom"/>
            <w:gridSpan w:val="30"/>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Note 17: Commitments and Contingencies</w:t>
              </w:r>
            </w:hyperlink>
          </w:p>
        </w:tc>
        <w:tc>
          <w:tcPr>
            <w:tcW w:w="106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tcBorders>
              <w:left w:val="single" w:sz="8" w:color="0000EE"/>
            </w:tcBorders>
            <w:gridSpan w:val="6"/>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8"/>
          </w:tcPr>
          <w:p>
            <w:pPr>
              <w:spacing w:after="0"/>
              <w:rPr>
                <w:rFonts w:ascii="Arial" w:cs="Arial" w:eastAsia="Arial" w:hAnsi="Arial"/>
                <w:sz w:val="16"/>
                <w:szCs w:val="16"/>
                <w:color w:val="0000EE"/>
                <w:w w:val="88"/>
              </w:rPr>
            </w:pPr>
            <w:hyperlink w:anchor="page38">
              <w:r>
                <w:rPr>
                  <w:rFonts w:ascii="Arial" w:cs="Arial" w:eastAsia="Arial" w:hAnsi="Arial"/>
                  <w:sz w:val="16"/>
                  <w:szCs w:val="16"/>
                  <w:color w:val="0000EE"/>
                  <w:w w:val="88"/>
                </w:rPr>
                <w:t>Note 18: Subsequent Events</w:t>
              </w:r>
            </w:hyperlink>
          </w:p>
        </w:tc>
        <w:tc>
          <w:tcPr>
            <w:tcW w:w="920" w:type="dxa"/>
            <w:vAlign w:val="bottom"/>
            <w:gridSpan w:val="6"/>
          </w:tcPr>
          <w:p>
            <w:pPr>
              <w:spacing w:after="0"/>
              <w:rPr>
                <w:sz w:val="21"/>
                <w:szCs w:val="21"/>
                <w:color w:val="auto"/>
              </w:rPr>
            </w:pPr>
          </w:p>
        </w:tc>
        <w:tc>
          <w:tcPr>
            <w:tcW w:w="6280" w:type="dxa"/>
            <w:vAlign w:val="bottom"/>
            <w:gridSpan w:val="16"/>
          </w:tcPr>
          <w:p>
            <w:pPr>
              <w:spacing w:after="0"/>
              <w:rPr>
                <w:sz w:val="21"/>
                <w:szCs w:val="21"/>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3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380" w:type="dxa"/>
            <w:vAlign w:val="bottom"/>
            <w:gridSpan w:val="31"/>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Management’s Discussion and Analysis of Financial Condition and Results of Operations</w:t>
              </w:r>
            </w:hyperlink>
          </w:p>
        </w:tc>
        <w:tc>
          <w:tcPr>
            <w:tcW w:w="106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0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1"/>
          </w:tcPr>
          <w:p>
            <w:pPr>
              <w:spacing w:after="0"/>
              <w:rPr>
                <w:rFonts w:ascii="Arial" w:cs="Arial" w:eastAsia="Arial" w:hAnsi="Arial"/>
                <w:sz w:val="16"/>
                <w:szCs w:val="16"/>
                <w:color w:val="0000EE"/>
                <w:w w:val="92"/>
              </w:rPr>
            </w:pPr>
            <w:hyperlink w:anchor="page67">
              <w:r>
                <w:rPr>
                  <w:rFonts w:ascii="Arial" w:cs="Arial" w:eastAsia="Arial" w:hAnsi="Arial"/>
                  <w:sz w:val="16"/>
                  <w:szCs w:val="16"/>
                  <w:color w:val="0000EE"/>
                  <w:w w:val="92"/>
                </w:rPr>
                <w:t>Quantitative and Qualitative Disclosures About Market Risk</w:t>
              </w:r>
            </w:hyperlink>
          </w:p>
        </w:tc>
        <w:tc>
          <w:tcPr>
            <w:tcW w:w="1900" w:type="dxa"/>
            <w:vAlign w:val="bottom"/>
            <w:gridSpan w:val="3"/>
          </w:tcPr>
          <w:p>
            <w:pPr>
              <w:spacing w:after="0"/>
              <w:rPr>
                <w:sz w:val="20"/>
                <w:szCs w:val="20"/>
                <w:color w:val="auto"/>
              </w:rPr>
            </w:pPr>
          </w:p>
        </w:tc>
        <w:tc>
          <w:tcPr>
            <w:tcW w:w="3580" w:type="dxa"/>
            <w:vAlign w:val="bottom"/>
            <w:gridSpan w:val="7"/>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7">
              <w:r>
                <w:rPr>
                  <w:rFonts w:ascii="Arial" w:cs="Arial" w:eastAsia="Arial" w:hAnsi="Arial"/>
                  <w:sz w:val="16"/>
                  <w:szCs w:val="16"/>
                  <w:color w:val="0000EE"/>
                </w:rPr>
                <w:t>67</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420" w:type="dxa"/>
            <w:vAlign w:val="bottom"/>
            <w:tcBorders>
              <w:left w:val="single" w:sz="8" w:color="0000EE"/>
            </w:tcBorders>
            <w:gridSpan w:val="11"/>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0" w:type="dxa"/>
            <w:vAlign w:val="bottom"/>
            <w:tcBorders>
              <w:left w:val="single" w:sz="8" w:color="0000EE"/>
            </w:tcBorders>
            <w:gridSpan w:val="4"/>
          </w:tcPr>
          <w:p>
            <w:pPr>
              <w:spacing w:after="0" w:line="20" w:lineRule="exact"/>
              <w:rPr>
                <w:sz w:val="1"/>
                <w:szCs w:val="1"/>
                <w:color w:val="auto"/>
              </w:rPr>
            </w:pPr>
          </w:p>
        </w:tc>
        <w:tc>
          <w:tcPr>
            <w:tcW w:w="34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1"/>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Controls and Procedures</w:t>
              </w:r>
            </w:hyperlink>
          </w:p>
        </w:tc>
        <w:tc>
          <w:tcPr>
            <w:tcW w:w="5480" w:type="dxa"/>
            <w:vAlign w:val="bottom"/>
            <w:gridSpan w:val="10"/>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Borders>
              <w:bottom w:val="single" w:sz="8" w:color="0000EE"/>
            </w:tcBorders>
            <w:gridSpan w:val="6"/>
          </w:tcPr>
          <w:p>
            <w:pPr>
              <w:jc w:val="center"/>
              <w:spacing w:after="0"/>
              <w:rPr>
                <w:rFonts w:ascii="Arial" w:cs="Arial" w:eastAsia="Arial" w:hAnsi="Arial"/>
                <w:sz w:val="16"/>
                <w:szCs w:val="16"/>
                <w:color w:val="0000EE"/>
                <w:w w:val="98"/>
              </w:rPr>
            </w:pPr>
            <w:hyperlink w:anchor="page68">
              <w:r>
                <w:rPr>
                  <w:rFonts w:ascii="Arial" w:cs="Arial" w:eastAsia="Arial" w:hAnsi="Arial"/>
                  <w:sz w:val="16"/>
                  <w:szCs w:val="16"/>
                  <w:color w:val="0000EE"/>
                  <w:w w:val="98"/>
                </w:rPr>
                <w:t>PART II—OTHER INFORMATION</w:t>
              </w:r>
            </w:hyperlink>
          </w:p>
        </w:tc>
        <w:tc>
          <w:tcPr>
            <w:tcW w:w="348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180" w:type="dxa"/>
            <w:vAlign w:val="bottom"/>
            <w:gridSpan w:val="4"/>
          </w:tcPr>
          <w:p>
            <w:pPr>
              <w:spacing w:after="0"/>
              <w:rPr>
                <w:rFonts w:ascii="Arial" w:cs="Arial" w:eastAsia="Arial" w:hAnsi="Arial"/>
                <w:sz w:val="16"/>
                <w:szCs w:val="16"/>
                <w:color w:val="0000EE"/>
                <w:w w:val="85"/>
              </w:rPr>
            </w:pPr>
            <w:hyperlink w:anchor="page68">
              <w:r>
                <w:rPr>
                  <w:rFonts w:ascii="Arial" w:cs="Arial" w:eastAsia="Arial" w:hAnsi="Arial"/>
                  <w:sz w:val="16"/>
                  <w:szCs w:val="16"/>
                  <w:color w:val="0000EE"/>
                  <w:w w:val="85"/>
                </w:rPr>
                <w:t>Legal Proceedings</w:t>
              </w:r>
            </w:hyperlink>
          </w:p>
        </w:tc>
        <w:tc>
          <w:tcPr>
            <w:tcW w:w="8200" w:type="dxa"/>
            <w:vAlign w:val="bottom"/>
            <w:gridSpan w:val="27"/>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68</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1A.</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4"/>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rPr>
            </w:pPr>
            <w:hyperlink w:anchor="page68">
              <w:r>
                <w:rPr>
                  <w:rFonts w:ascii="Arial" w:cs="Arial" w:eastAsia="Arial" w:hAnsi="Arial"/>
                  <w:sz w:val="16"/>
                  <w:szCs w:val="16"/>
                  <w:color w:val="0000EE"/>
                </w:rPr>
                <w:t>Risk Factors</w:t>
              </w:r>
            </w:hyperlink>
          </w:p>
        </w:tc>
        <w:tc>
          <w:tcPr>
            <w:tcW w:w="8200" w:type="dxa"/>
            <w:vAlign w:val="bottom"/>
            <w:gridSpan w:val="27"/>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68">
              <w:r>
                <w:rPr>
                  <w:rFonts w:ascii="Arial" w:cs="Arial" w:eastAsia="Arial" w:hAnsi="Arial"/>
                  <w:sz w:val="16"/>
                  <w:szCs w:val="16"/>
                  <w:color w:val="0000EE"/>
                </w:rPr>
                <w:t>69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9380" w:type="dxa"/>
            <w:vAlign w:val="bottom"/>
            <w:gridSpan w:val="31"/>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Unregistered Sales of Equity Securities and Use of Proceeds</w:t>
              </w:r>
            </w:hyperlink>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3.</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1820" w:type="dxa"/>
            <w:vAlign w:val="bottom"/>
            <w:tcBorders>
              <w:left w:val="single" w:sz="8" w:color="0000EE"/>
            </w:tcBorders>
            <w:gridSpan w:val="13"/>
            <w:shd w:val="clear" w:color="auto" w:fill="0000EE"/>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00" w:type="dxa"/>
            <w:vAlign w:val="bottom"/>
            <w:gridSpan w:val="21"/>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Defaults Upon Senior Securities</w:t>
              </w:r>
            </w:hyperlink>
          </w:p>
        </w:tc>
        <w:tc>
          <w:tcPr>
            <w:tcW w:w="5480" w:type="dxa"/>
            <w:vAlign w:val="bottom"/>
            <w:gridSpan w:val="10"/>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4.</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900" w:type="dxa"/>
            <w:vAlign w:val="bottom"/>
            <w:tcBorders>
              <w:left w:val="single" w:sz="8" w:color="0000EE"/>
            </w:tcBorders>
            <w:gridSpan w:val="4"/>
            <w:shd w:val="clear" w:color="auto" w:fill="0000EE"/>
          </w:tcPr>
          <w:p>
            <w:pPr>
              <w:spacing w:after="0" w:line="20" w:lineRule="exact"/>
              <w:rPr>
                <w:sz w:val="1"/>
                <w:szCs w:val="1"/>
                <w:color w:val="auto"/>
              </w:rPr>
            </w:pPr>
          </w:p>
        </w:tc>
        <w:tc>
          <w:tcPr>
            <w:tcW w:w="7300" w:type="dxa"/>
            <w:vAlign w:val="bottom"/>
            <w:gridSpan w:val="2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2080" w:type="dxa"/>
            <w:vAlign w:val="bottom"/>
            <w:gridSpan w:val="8"/>
          </w:tcPr>
          <w:p>
            <w:pPr>
              <w:spacing w:after="0"/>
              <w:rPr>
                <w:rFonts w:ascii="Arial" w:cs="Arial" w:eastAsia="Arial" w:hAnsi="Arial"/>
                <w:sz w:val="16"/>
                <w:szCs w:val="16"/>
                <w:color w:val="0000EE"/>
              </w:rPr>
            </w:pPr>
            <w:hyperlink w:anchor="page89">
              <w:r>
                <w:rPr>
                  <w:rFonts w:ascii="Arial" w:cs="Arial" w:eastAsia="Arial" w:hAnsi="Arial"/>
                  <w:sz w:val="16"/>
                  <w:szCs w:val="16"/>
                  <w:color w:val="0000EE"/>
                </w:rPr>
                <w:t>Mine Safety Disclosures</w:t>
              </w:r>
            </w:hyperlink>
          </w:p>
        </w:tc>
        <w:tc>
          <w:tcPr>
            <w:tcW w:w="7300" w:type="dxa"/>
            <w:vAlign w:val="bottom"/>
            <w:gridSpan w:val="23"/>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5.</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7800" w:type="dxa"/>
            <w:vAlign w:val="bottom"/>
            <w:gridSpan w:val="2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91"/>
              </w:rPr>
            </w:pPr>
            <w:hyperlink w:anchor="page89">
              <w:r>
                <w:rPr>
                  <w:rFonts w:ascii="Arial" w:cs="Arial" w:eastAsia="Arial" w:hAnsi="Arial"/>
                  <w:sz w:val="16"/>
                  <w:szCs w:val="16"/>
                  <w:color w:val="0000EE"/>
                  <w:w w:val="91"/>
                </w:rPr>
                <w:t>Other Information</w:t>
              </w:r>
            </w:hyperlink>
          </w:p>
        </w:tc>
        <w:tc>
          <w:tcPr>
            <w:tcW w:w="400" w:type="dxa"/>
            <w:vAlign w:val="bottom"/>
          </w:tcPr>
          <w:p>
            <w:pPr>
              <w:spacing w:after="0"/>
              <w:rPr>
                <w:sz w:val="20"/>
                <w:szCs w:val="20"/>
                <w:color w:val="auto"/>
              </w:rPr>
            </w:pPr>
          </w:p>
        </w:tc>
        <w:tc>
          <w:tcPr>
            <w:tcW w:w="7800" w:type="dxa"/>
            <w:vAlign w:val="bottom"/>
            <w:gridSpan w:val="26"/>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6.</w:t>
            </w:r>
          </w:p>
        </w:tc>
        <w:tc>
          <w:tcPr>
            <w:tcW w:w="54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200" w:type="dxa"/>
            <w:vAlign w:val="bottom"/>
            <w:gridSpan w:val="2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20" w:type="dxa"/>
            <w:vAlign w:val="bottom"/>
            <w:vMerge w:val="continue"/>
          </w:tcPr>
          <w:p>
            <w:pPr>
              <w:spacing w:after="0"/>
              <w:rPr>
                <w:sz w:val="20"/>
                <w:szCs w:val="20"/>
                <w:color w:val="auto"/>
              </w:rPr>
            </w:pPr>
          </w:p>
        </w:tc>
        <w:tc>
          <w:tcPr>
            <w:tcW w:w="540" w:type="dxa"/>
            <w:vAlign w:val="bottom"/>
            <w:gridSpan w:val="2"/>
          </w:tcPr>
          <w:p>
            <w:pPr>
              <w:spacing w:after="0"/>
              <w:rPr>
                <w:rFonts w:ascii="Arial" w:cs="Arial" w:eastAsia="Arial" w:hAnsi="Arial"/>
                <w:sz w:val="16"/>
                <w:szCs w:val="16"/>
                <w:color w:val="0000EE"/>
                <w:w w:val="92"/>
              </w:rPr>
            </w:pPr>
            <w:hyperlink w:anchor="page89">
              <w:r>
                <w:rPr>
                  <w:rFonts w:ascii="Arial" w:cs="Arial" w:eastAsia="Arial" w:hAnsi="Arial"/>
                  <w:sz w:val="16"/>
                  <w:szCs w:val="16"/>
                  <w:color w:val="0000EE"/>
                  <w:w w:val="92"/>
                </w:rPr>
                <w:t>Exhibits</w:t>
              </w:r>
            </w:hyperlink>
          </w:p>
        </w:tc>
        <w:tc>
          <w:tcPr>
            <w:tcW w:w="640" w:type="dxa"/>
            <w:vAlign w:val="bottom"/>
            <w:gridSpan w:val="2"/>
          </w:tcPr>
          <w:p>
            <w:pPr>
              <w:spacing w:after="0"/>
              <w:rPr>
                <w:sz w:val="20"/>
                <w:szCs w:val="20"/>
                <w:color w:val="auto"/>
              </w:rPr>
            </w:pPr>
          </w:p>
        </w:tc>
        <w:tc>
          <w:tcPr>
            <w:tcW w:w="8200" w:type="dxa"/>
            <w:vAlign w:val="bottom"/>
            <w:gridSpan w:val="27"/>
          </w:tcPr>
          <w:p>
            <w:pPr>
              <w:spacing w:after="0"/>
              <w:rPr>
                <w:sz w:val="20"/>
                <w:szCs w:val="20"/>
                <w:color w:val="auto"/>
              </w:rPr>
            </w:pPr>
          </w:p>
        </w:tc>
        <w:tc>
          <w:tcPr>
            <w:tcW w:w="1060" w:type="dxa"/>
            <w:vAlign w:val="bottom"/>
            <w:gridSpan w:val="3"/>
          </w:tcPr>
          <w:p>
            <w:pPr>
              <w:jc w:val="right"/>
              <w:spacing w:after="0"/>
              <w:rPr>
                <w:rFonts w:ascii="Arial" w:cs="Arial" w:eastAsia="Arial" w:hAnsi="Arial"/>
                <w:sz w:val="16"/>
                <w:szCs w:val="16"/>
                <w:color w:val="0000EE"/>
              </w:rPr>
            </w:pPr>
            <w:hyperlink w:anchor="page89">
              <w:r>
                <w:rPr>
                  <w:rFonts w:ascii="Arial" w:cs="Arial" w:eastAsia="Arial" w:hAnsi="Arial"/>
                  <w:sz w:val="16"/>
                  <w:szCs w:val="16"/>
                  <w:color w:val="0000EE"/>
                </w:rPr>
                <w:t>89</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661"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260" w:type="dxa"/>
            <w:vAlign w:val="bottom"/>
            <w:gridSpan w:val="3"/>
            <w:vMerge w:val="restart"/>
          </w:tcPr>
          <w:p>
            <w:pPr>
              <w:jc w:val="right"/>
              <w:ind w:right="579"/>
              <w:spacing w:after="0"/>
              <w:rPr>
                <w:sz w:val="20"/>
                <w:szCs w:val="20"/>
                <w:color w:val="auto"/>
              </w:rPr>
            </w:pPr>
            <w:r>
              <w:rPr>
                <w:rFonts w:ascii="Arial" w:cs="Arial" w:eastAsia="Arial" w:hAnsi="Arial"/>
                <w:sz w:val="16"/>
                <w:szCs w:val="16"/>
                <w:b w:val="1"/>
                <w:bCs w:val="1"/>
                <w:color w:val="auto"/>
              </w:rPr>
              <w:t>Notes</w:t>
            </w: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38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1"/>
              </w:rPr>
              <w:t>December 31, 2014</w:t>
            </w:r>
          </w:p>
        </w:tc>
        <w:tc>
          <w:tcPr>
            <w:tcW w:w="0" w:type="dxa"/>
            <w:vAlign w:val="bottom"/>
          </w:tcPr>
          <w:p>
            <w:pPr>
              <w:spacing w:after="0"/>
              <w:rPr>
                <w:sz w:val="1"/>
                <w:szCs w:val="1"/>
                <w:color w:val="auto"/>
              </w:rPr>
            </w:pPr>
          </w:p>
        </w:tc>
      </w:tr>
      <w:tr>
        <w:trPr>
          <w:trHeight w:val="156"/>
        </w:trPr>
        <w:tc>
          <w:tcPr>
            <w:tcW w:w="6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9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Cash and cash equivalents</w:t>
            </w:r>
          </w:p>
        </w:tc>
        <w:tc>
          <w:tcPr>
            <w:tcW w:w="12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571,314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22,125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Restricted cash</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21,084</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 net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9,588</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Leasing equipment, net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521,517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509,379</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Finance leases, net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102,813</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Property, plant, and equipment, net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282,026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228,328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Investments in and advances to unconsolidated entities</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21,569</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Tendered bonds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298,000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298,000</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Intangible assets, net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52,041</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Goodwill</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115,616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115,616</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assets</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24,048</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920" w:type="dxa"/>
            <w:vAlign w:val="bottom"/>
            <w:gridSpan w:val="2"/>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2,010,542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1,404,591</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accrued liabilities</w:t>
            </w:r>
          </w:p>
        </w:tc>
        <w:tc>
          <w:tcPr>
            <w:tcW w:w="126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43,174</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Debt</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584,274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deposits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35,575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Security deposits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13,065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13,622</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5,856</w:t>
            </w:r>
          </w:p>
        </w:tc>
        <w:tc>
          <w:tcPr>
            <w:tcW w:w="0" w:type="dxa"/>
            <w:vAlign w:val="bottom"/>
          </w:tcPr>
          <w:p>
            <w:pPr>
              <w:spacing w:after="0"/>
              <w:rPr>
                <w:sz w:val="1"/>
                <w:szCs w:val="1"/>
                <w:color w:val="auto"/>
              </w:rPr>
            </w:pPr>
          </w:p>
        </w:tc>
      </w:tr>
      <w:tr>
        <w:trPr>
          <w:trHeight w:val="217"/>
        </w:trPr>
        <w:tc>
          <w:tcPr>
            <w:tcW w:w="698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668,093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691,094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Commitments and contingencies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9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Equity</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98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6"/>
              </w:rPr>
              <w:t>Common shares ($0.01 par value per share; 2,000,000,000 shares authorized; 75,718,183 and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9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53,502,873 shares issued and outstanding as of June 30, 2015 and December 31, 2014,</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respectively)</w:t>
            </w: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Additional paid in capital</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1,220,629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613,683</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Accumulated deficit</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Accumulated other comprehensive income</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Shareholders' equity</w:t>
            </w: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1,219,132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614,432</w:t>
            </w:r>
          </w:p>
        </w:tc>
        <w:tc>
          <w:tcPr>
            <w:tcW w:w="0" w:type="dxa"/>
            <w:vAlign w:val="bottom"/>
          </w:tcPr>
          <w:p>
            <w:pPr>
              <w:spacing w:after="0"/>
              <w:rPr>
                <w:sz w:val="1"/>
                <w:szCs w:val="1"/>
                <w:color w:val="auto"/>
              </w:rPr>
            </w:pPr>
          </w:p>
        </w:tc>
      </w:tr>
      <w:tr>
        <w:trPr>
          <w:trHeight w:val="237"/>
        </w:trPr>
        <w:tc>
          <w:tcPr>
            <w:tcW w:w="6980" w:type="dxa"/>
            <w:vAlign w:val="bottom"/>
          </w:tcPr>
          <w:p>
            <w:pPr>
              <w:ind w:left="500"/>
              <w:spacing w:after="0"/>
              <w:rPr>
                <w:sz w:val="20"/>
                <w:szCs w:val="20"/>
                <w:color w:val="auto"/>
              </w:rPr>
            </w:pPr>
            <w:r>
              <w:rPr>
                <w:rFonts w:ascii="Arial" w:cs="Arial" w:eastAsia="Arial" w:hAnsi="Arial"/>
                <w:sz w:val="16"/>
                <w:szCs w:val="16"/>
                <w:color w:val="auto"/>
              </w:rPr>
              <w:t>Non-controlling interest in equity of consolidated subsidiaries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123,317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99,065</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equity</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1,342,449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713,497</w:t>
            </w:r>
          </w:p>
        </w:tc>
        <w:tc>
          <w:tcPr>
            <w:tcW w:w="0" w:type="dxa"/>
            <w:vAlign w:val="bottom"/>
          </w:tcPr>
          <w:p>
            <w:pPr>
              <w:spacing w:after="0"/>
              <w:rPr>
                <w:sz w:val="1"/>
                <w:szCs w:val="1"/>
                <w:color w:val="auto"/>
              </w:rPr>
            </w:pPr>
          </w:p>
        </w:tc>
      </w:tr>
      <w:tr>
        <w:trPr>
          <w:trHeight w:val="244"/>
        </w:trPr>
        <w:tc>
          <w:tcPr>
            <w:tcW w:w="6980" w:type="dxa"/>
            <w:vAlign w:val="bottom"/>
          </w:tcPr>
          <w:p>
            <w:pPr>
              <w:ind w:left="500"/>
              <w:spacing w:after="0"/>
              <w:rPr>
                <w:sz w:val="20"/>
                <w:szCs w:val="20"/>
                <w:color w:val="auto"/>
              </w:rPr>
            </w:pPr>
            <w:r>
              <w:rPr>
                <w:rFonts w:ascii="Arial" w:cs="Arial" w:eastAsia="Arial" w:hAnsi="Arial"/>
                <w:sz w:val="16"/>
                <w:szCs w:val="16"/>
                <w:color w:val="auto"/>
              </w:rPr>
              <w:t>Total liabilities and equity</w:t>
            </w:r>
          </w:p>
        </w:tc>
        <w:tc>
          <w:tcPr>
            <w:tcW w:w="920" w:type="dxa"/>
            <w:vAlign w:val="bottom"/>
            <w:gridSpan w:val="2"/>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2,010,542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1,404,591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013"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13"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except share and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720" w:type="dxa"/>
            <w:vAlign w:val="bottom"/>
            <w:gridSpan w:val="4"/>
          </w:tcPr>
          <w:p>
            <w:pPr>
              <w:jc w:val="right"/>
              <w:ind w:right="478"/>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4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1100" w:type="dxa"/>
            <w:vAlign w:val="bottom"/>
            <w:gridSpan w:val="3"/>
          </w:tcPr>
          <w:p>
            <w:pPr>
              <w:ind w:left="160"/>
              <w:spacing w:after="0"/>
              <w:rPr>
                <w:sz w:val="20"/>
                <w:szCs w:val="20"/>
                <w:color w:val="auto"/>
              </w:rPr>
            </w:pPr>
            <w:r>
              <w:rPr>
                <w:rFonts w:ascii="Arial" w:cs="Arial" w:eastAsia="Arial" w:hAnsi="Arial"/>
                <w:sz w:val="16"/>
                <w:szCs w:val="16"/>
                <w:b w:val="1"/>
                <w:bCs w:val="1"/>
                <w:color w:val="auto"/>
              </w:rPr>
              <w:t>Notes</w:t>
            </w:r>
          </w:p>
        </w:tc>
        <w:tc>
          <w:tcPr>
            <w:tcW w:w="1120" w:type="dxa"/>
            <w:vAlign w:val="bottom"/>
          </w:tcPr>
          <w:p>
            <w:pPr>
              <w:jc w:val="right"/>
              <w:ind w:right="45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8"/>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8"/>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8"/>
              <w:spacing w:after="0"/>
              <w:rPr>
                <w:sz w:val="20"/>
                <w:szCs w:val="20"/>
                <w:color w:val="auto"/>
              </w:rPr>
            </w:pPr>
            <w:r>
              <w:rPr>
                <w:rFonts w:ascii="Arial" w:cs="Arial" w:eastAsia="Arial" w:hAnsi="Arial"/>
                <w:sz w:val="16"/>
                <w:szCs w:val="16"/>
                <w:b w:val="1"/>
                <w:bCs w:val="1"/>
                <w:color w:val="auto"/>
              </w:rPr>
              <w:t>2014</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Equipment leasing revenues</w:t>
            </w:r>
          </w:p>
        </w:tc>
        <w:tc>
          <w:tcPr>
            <w:tcW w:w="1100" w:type="dxa"/>
            <w:vAlign w:val="bottom"/>
            <w:gridSpan w:val="3"/>
          </w:tcPr>
          <w:p>
            <w:pPr>
              <w:ind w:left="8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22,633</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9,751</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45,671</w:t>
            </w:r>
          </w:p>
        </w:tc>
        <w:tc>
          <w:tcPr>
            <w:tcW w:w="100" w:type="dxa"/>
            <w:vAlign w:val="bottom"/>
          </w:tcPr>
          <w:p>
            <w:pPr>
              <w:spacing w:after="0"/>
              <w:rPr>
                <w:sz w:val="20"/>
                <w:szCs w:val="20"/>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17,447</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Infrastructure revenues</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10,931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21,866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984</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color w:val="auto"/>
              </w:rPr>
              <w:t>Total revenues</w:t>
            </w:r>
          </w:p>
        </w:tc>
        <w:tc>
          <w:tcPr>
            <w:tcW w:w="700" w:type="dxa"/>
            <w:vAlign w:val="bottom"/>
          </w:tcPr>
          <w:p>
            <w:pPr>
              <w:jc w:val="center"/>
              <w:spacing w:after="0"/>
              <w:rPr>
                <w:sz w:val="20"/>
                <w:szCs w:val="20"/>
                <w:color w:val="auto"/>
              </w:rPr>
            </w:pPr>
            <w:r>
              <w:rPr>
                <w:rFonts w:ascii="Arial" w:cs="Arial" w:eastAsia="Arial" w:hAnsi="Arial"/>
                <w:sz w:val="16"/>
                <w:szCs w:val="16"/>
                <w:color w:val="auto"/>
                <w:w w:val="78"/>
              </w:rPr>
              <w:t>11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33,564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10,735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67,537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18,431</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Operating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32,319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3,345</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General and administrative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948</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Acquisition and transaction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7,140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10,473</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Management fees and incentive allocation to affiliate</w:t>
            </w:r>
          </w:p>
        </w:tc>
        <w:tc>
          <w:tcPr>
            <w:tcW w:w="700" w:type="dxa"/>
            <w:vAlign w:val="bottom"/>
          </w:tcPr>
          <w:p>
            <w:pPr>
              <w:jc w:val="center"/>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3,485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5,899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1,837</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Depreciation and amortization</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4, 6, 8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10,765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21,327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4,623</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Interest expense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4,757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9,572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1,572</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expenses</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40,194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15,302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73,420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22,798</w:t>
            </w:r>
          </w:p>
        </w:tc>
      </w:tr>
      <w:tr>
        <w:trPr>
          <w:trHeight w:val="291"/>
        </w:trPr>
        <w:tc>
          <w:tcPr>
            <w:tcW w:w="4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Equity in earnings of unconsolidated entities</w:t>
            </w:r>
          </w:p>
        </w:tc>
        <w:tc>
          <w:tcPr>
            <w:tcW w:w="7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3,131</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Gain on sale of equipment, net</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2,215</w:t>
            </w: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color w:val="auto"/>
              </w:rPr>
              <w:t>Interest income</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8"/>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14</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expense, net</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color w:val="auto"/>
              </w:rPr>
              <w:t>Total other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3,779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3,051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5,340</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1"/>
        </w:trPr>
        <w:tc>
          <w:tcPr>
            <w:tcW w:w="4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4460" w:type="dxa"/>
            <w:vAlign w:val="bottom"/>
          </w:tcPr>
          <w:p>
            <w:pPr>
              <w:ind w:left="500"/>
              <w:spacing w:after="0"/>
              <w:rPr>
                <w:sz w:val="20"/>
                <w:szCs w:val="20"/>
                <w:color w:val="auto"/>
              </w:rPr>
            </w:pPr>
            <w:r>
              <w:rPr>
                <w:rFonts w:ascii="Arial" w:cs="Arial" w:eastAsia="Arial" w:hAnsi="Arial"/>
                <w:sz w:val="16"/>
                <w:szCs w:val="16"/>
                <w:b w:val="1"/>
                <w:bCs w:val="1"/>
                <w:color w:val="auto"/>
              </w:rPr>
              <w:t>(Loss) Income before income taxes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(5,004)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(788)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(2,832)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b w:val="1"/>
                <w:bCs w:val="1"/>
                <w:color w:val="auto"/>
              </w:rPr>
              <w:t>973</w:t>
            </w: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Provision for income taxes</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558</w:t>
            </w:r>
          </w:p>
        </w:tc>
      </w:tr>
      <w:tr>
        <w:trPr>
          <w:trHeight w:val="217"/>
        </w:trPr>
        <w:tc>
          <w:tcPr>
            <w:tcW w:w="4460" w:type="dxa"/>
            <w:vAlign w:val="bottom"/>
          </w:tcPr>
          <w:p>
            <w:pPr>
              <w:ind w:left="500"/>
              <w:spacing w:after="0"/>
              <w:rPr>
                <w:sz w:val="20"/>
                <w:szCs w:val="20"/>
                <w:color w:val="auto"/>
              </w:rPr>
            </w:pPr>
            <w:r>
              <w:rPr>
                <w:rFonts w:ascii="Arial" w:cs="Arial" w:eastAsia="Arial" w:hAnsi="Arial"/>
                <w:sz w:val="16"/>
                <w:szCs w:val="16"/>
                <w:b w:val="1"/>
                <w:bCs w:val="1"/>
                <w:color w:val="auto"/>
              </w:rPr>
              <w:t>Net (loss)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(5,270)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(3,328)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415</w:t>
            </w:r>
          </w:p>
        </w:tc>
      </w:tr>
      <w:tr>
        <w:trPr>
          <w:trHeight w:val="33"/>
        </w:trPr>
        <w:tc>
          <w:tcPr>
            <w:tcW w:w="44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44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Less: Net (loss) income attributable to non-controlling</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9"/>
        </w:trPr>
        <w:tc>
          <w:tcPr>
            <w:tcW w:w="4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interests in consolidated subsidiaries</w:t>
            </w: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341</w:t>
            </w:r>
          </w:p>
        </w:tc>
      </w:tr>
      <w:tr>
        <w:trPr>
          <w:trHeight w:val="28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820" w:type="dxa"/>
            <w:vAlign w:val="bottom"/>
            <w:tcBorders>
              <w:bottom w:val="single" w:sz="8" w:color="CCEEFF"/>
            </w:tcBorders>
            <w:gridSpan w:val="2"/>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(1,352)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4,611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74</w:t>
            </w:r>
          </w:p>
        </w:tc>
      </w:tr>
      <w:tr>
        <w:trPr>
          <w:trHeight w:val="284"/>
        </w:trPr>
        <w:tc>
          <w:tcPr>
            <w:tcW w:w="44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(Loss) Earnings per Share:</w:t>
            </w:r>
          </w:p>
        </w:tc>
        <w:tc>
          <w:tcPr>
            <w:tcW w:w="700" w:type="dxa"/>
            <w:vAlign w:val="bottom"/>
          </w:tcPr>
          <w:p>
            <w:pPr>
              <w:jc w:val="center"/>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 and Diluted</w:t>
            </w:r>
          </w:p>
        </w:tc>
        <w:tc>
          <w:tcPr>
            <w:tcW w:w="110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b w:val="1"/>
                <w:bCs w:val="1"/>
                <w:color w:val="auto"/>
              </w:rPr>
              <w:t>Weighted Average Shares Outstanding:</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4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62,879,023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53,502,873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58,216,849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53,502,873</w:t>
            </w:r>
          </w:p>
        </w:tc>
      </w:tr>
      <w:tr>
        <w:trPr>
          <w:trHeight w:val="243"/>
        </w:trPr>
        <w:tc>
          <w:tcPr>
            <w:tcW w:w="4460" w:type="dxa"/>
            <w:vAlign w:val="bottom"/>
          </w:tcPr>
          <w:p>
            <w:pPr>
              <w:ind w:left="500"/>
              <w:spacing w:after="0"/>
              <w:rPr>
                <w:sz w:val="20"/>
                <w:szCs w:val="20"/>
                <w:color w:val="auto"/>
              </w:rPr>
            </w:pPr>
            <w:r>
              <w:rPr>
                <w:rFonts w:ascii="Arial" w:cs="Arial" w:eastAsia="Arial" w:hAnsi="Arial"/>
                <w:sz w:val="16"/>
                <w:szCs w:val="16"/>
                <w:color w:val="auto"/>
              </w:rPr>
              <w:t>Diluted</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62,879,023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53,502,873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58,216,918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53,502,873</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4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(5,270)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415</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fair value of cash flow hedge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8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(loss) income</w:t>
            </w:r>
          </w:p>
        </w:tc>
        <w:tc>
          <w:tcPr>
            <w:tcW w:w="9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(5,267)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(1,311)</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274</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 attributable to non-controlling interest</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(4,433)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341</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7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Comprehensive (loss) income attributable to shareholders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(834)</w:t>
            </w: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(1,476)</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4,475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Non-Controlling</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 Paid</w:t>
            </w:r>
          </w:p>
        </w:tc>
        <w:tc>
          <w:tcPr>
            <w:tcW w:w="180" w:type="dxa"/>
            <w:vAlign w:val="bottom"/>
          </w:tcPr>
          <w:p>
            <w:pPr>
              <w:spacing w:after="0"/>
              <w:rPr>
                <w:sz w:val="17"/>
                <w:szCs w:val="17"/>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9"/>
              </w:rPr>
              <w:t>Accumulated</w:t>
            </w:r>
          </w:p>
        </w:tc>
        <w:tc>
          <w:tcPr>
            <w:tcW w:w="156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3"/>
              </w:rPr>
              <w:t>Accumulated Other</w:t>
            </w: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Interest in</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Common Stock</w:t>
            </w:r>
          </w:p>
        </w:tc>
        <w:tc>
          <w:tcPr>
            <w:tcW w:w="14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Comprehensive</w:t>
            </w:r>
          </w:p>
        </w:tc>
        <w:tc>
          <w:tcPr>
            <w:tcW w:w="140" w:type="dxa"/>
            <w:vAlign w:val="bottom"/>
          </w:tcPr>
          <w:p>
            <w:pPr>
              <w:spacing w:after="0"/>
              <w:rPr>
                <w:sz w:val="8"/>
                <w:szCs w:val="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Equity of</w:t>
            </w:r>
          </w:p>
        </w:tc>
        <w:tc>
          <w:tcPr>
            <w:tcW w:w="140" w:type="dxa"/>
            <w:vAlign w:val="bottom"/>
          </w:tcPr>
          <w:p>
            <w:pPr>
              <w:spacing w:after="0"/>
              <w:rPr>
                <w:sz w:val="8"/>
                <w:szCs w:val="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8"/>
              </w:rPr>
              <w:t>Total Equity</w:t>
            </w:r>
          </w:p>
        </w:tc>
        <w:tc>
          <w:tcPr>
            <w:tcW w:w="0" w:type="dxa"/>
            <w:vAlign w:val="bottom"/>
          </w:tcPr>
          <w:p>
            <w:pPr>
              <w:spacing w:after="0"/>
              <w:rPr>
                <w:sz w:val="1"/>
                <w:szCs w:val="1"/>
                <w:color w:val="auto"/>
              </w:rPr>
            </w:pPr>
          </w:p>
        </w:tc>
      </w:tr>
      <w:tr>
        <w:trPr>
          <w:trHeight w:val="108"/>
        </w:trPr>
        <w:tc>
          <w:tcPr>
            <w:tcW w:w="2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7"/>
              </w:rPr>
              <w:t>In Capital</w:t>
            </w:r>
          </w:p>
        </w:tc>
        <w:tc>
          <w:tcPr>
            <w:tcW w:w="180" w:type="dxa"/>
            <w:vAlign w:val="bottom"/>
          </w:tcPr>
          <w:p>
            <w:pPr>
              <w:spacing w:after="0"/>
              <w:rPr>
                <w:sz w:val="9"/>
                <w:szCs w:val="9"/>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Pr>
          <w:p>
            <w:pPr>
              <w:spacing w:after="0"/>
              <w:rPr>
                <w:sz w:val="8"/>
                <w:szCs w:val="8"/>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Consolidated</w:t>
            </w: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Subsidiaries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 December 31, 2014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613,683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99,065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713,497</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(loss) income:</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6"/>
                <w:szCs w:val="16"/>
                <w:color w:val="auto"/>
              </w:rPr>
              <w:t>Net (loss) income for the period</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6,943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comprehensive (loss) income</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1"/>
        </w:trPr>
        <w:tc>
          <w:tcPr>
            <w:tcW w:w="2980" w:type="dxa"/>
            <w:vAlign w:val="bottom"/>
          </w:tcPr>
          <w:p>
            <w:pPr>
              <w:ind w:left="380"/>
              <w:spacing w:after="0"/>
              <w:rPr>
                <w:sz w:val="20"/>
                <w:szCs w:val="20"/>
                <w:color w:val="auto"/>
              </w:rPr>
            </w:pPr>
            <w:r>
              <w:rPr>
                <w:rFonts w:ascii="Arial" w:cs="Arial" w:eastAsia="Arial" w:hAnsi="Arial"/>
                <w:sz w:val="16"/>
                <w:szCs w:val="16"/>
                <w:color w:val="auto"/>
              </w:rPr>
              <w:t>Total comprehensive (loss) income</w:t>
            </w:r>
          </w:p>
        </w:tc>
        <w:tc>
          <w:tcPr>
            <w:tcW w:w="1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(3,464)</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contributions</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325,748</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Capital distributions</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(44,917)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(45,171)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349,239</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Equity-based compensation</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 - June 30, 2015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1,220,629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123,317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1,342,449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5"/>
          </w:tcPr>
          <w:p>
            <w:pPr>
              <w:jc w:val="right"/>
              <w:ind w:right="719"/>
              <w:spacing w:after="0"/>
              <w:rPr>
                <w:sz w:val="20"/>
                <w:szCs w:val="20"/>
                <w:color w:val="auto"/>
              </w:rPr>
            </w:pPr>
            <w:r>
              <w:rPr>
                <w:rFonts w:ascii="Arial" w:cs="Arial" w:eastAsia="Arial" w:hAnsi="Arial"/>
                <w:sz w:val="16"/>
                <w:szCs w:val="16"/>
                <w:b w:val="1"/>
                <w:bCs w:val="1"/>
                <w:color w:val="auto"/>
              </w:rPr>
              <w:t>Six Months Ended June 30,</w:t>
            </w:r>
          </w:p>
        </w:tc>
      </w:tr>
      <w:tr>
        <w:trPr>
          <w:trHeight w:val="40"/>
        </w:trPr>
        <w:tc>
          <w:tcPr>
            <w:tcW w:w="79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79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color w:val="auto"/>
              </w:rPr>
              <w:t>Net (loss)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(3,328)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415</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Equity in earnings of unconsolidated entities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(3,131)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Gain on sale of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(2,215)</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Income from forfeiture of security deposit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Equity-based compensation</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21,327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4,623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Change in current and deferred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Change in fair value of non-hedge derivative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Amortization of lease intangibles and incentives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Amortization of deferred financing costs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Operating distributions from unconsolidated entities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4,358</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Bad debt expense</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Change in:</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receivable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(1,982)</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Other assets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(9,399)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Accounts payable and accrued liabilities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11,836</w:t>
            </w:r>
          </w:p>
        </w:tc>
      </w:tr>
      <w:tr>
        <w:trPr>
          <w:trHeight w:val="237"/>
        </w:trPr>
        <w:tc>
          <w:tcPr>
            <w:tcW w:w="7900" w:type="dxa"/>
            <w:vAlign w:val="bottom"/>
          </w:tcPr>
          <w:p>
            <w:pPr>
              <w:ind w:left="1400"/>
              <w:spacing w:after="0"/>
              <w:rPr>
                <w:sz w:val="20"/>
                <w:szCs w:val="20"/>
                <w:color w:val="auto"/>
              </w:rPr>
            </w:pPr>
            <w:r>
              <w:rPr>
                <w:rFonts w:ascii="Arial" w:cs="Arial" w:eastAsia="Arial" w:hAnsi="Arial"/>
                <w:sz w:val="16"/>
                <w:szCs w:val="16"/>
                <w:color w:val="auto"/>
              </w:rPr>
              <w:t>Management fees payable to affiliate</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573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6"/>
                <w:szCs w:val="16"/>
                <w:color w:val="auto"/>
              </w:rPr>
              <w:t>Other liabilities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14,631</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6,576</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Change in 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other investment</w:t>
            </w:r>
          </w:p>
        </w:tc>
        <w:tc>
          <w:tcPr>
            <w:tcW w:w="10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(51,939)</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Principal collections on finance leases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5,665</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leasing equipment</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(26,234)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(58,331)</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property plant and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(70,621)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lease intangibles</w:t>
            </w:r>
          </w:p>
        </w:tc>
        <w:tc>
          <w:tcPr>
            <w:tcW w:w="106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(3,745)</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CMQR</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(11,308)</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Purchase deposit for aircraft and aircraft engines</w:t>
            </w: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Proceeds from sale of leasing equipment</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14,132</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sale of property, plant and equipment</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w:t>
            </w:r>
          </w:p>
        </w:tc>
      </w:tr>
      <w:tr>
        <w:trPr>
          <w:trHeight w:val="33"/>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Proceeds from sale of equipment held for sale</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Return of capital distributions from unconsolidated entities</w:t>
            </w:r>
          </w:p>
        </w:tc>
        <w:tc>
          <w:tcPr>
            <w:tcW w:w="10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2,403</w:t>
            </w:r>
          </w:p>
        </w:tc>
      </w:tr>
      <w:tr>
        <w:trPr>
          <w:trHeight w:val="33"/>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(89,226)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(103,195)</w:t>
            </w:r>
          </w:p>
        </w:tc>
      </w:tr>
      <w:tr>
        <w:trPr>
          <w:trHeight w:val="20"/>
        </w:trPr>
        <w:tc>
          <w:tcPr>
            <w:tcW w:w="79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8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660" w:type="dxa"/>
            <w:vAlign w:val="bottom"/>
          </w:tcPr>
          <w:p>
            <w:pPr>
              <w:spacing w:after="0"/>
              <w:rPr>
                <w:sz w:val="20"/>
                <w:szCs w:val="20"/>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debt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Repayment of debt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(4,761)</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Receipt of security deposits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1,074</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Return of security deposits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Receipt of maintenance deposits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4,330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1,174</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Release of maintenance deposits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Proceeds from issuance of common shares, net of underwriter's discount</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354,057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Common shares issuance costs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Capital contributions from shareholders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w w:val="93"/>
              </w:rPr>
              <w:t>295,879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w w:val="93"/>
              </w:rPr>
              <w:t>159,100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Capital distributions to shareholders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(8,410)</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Capital contributions from non-controlling interests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29,869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Capital distributions to non-controlling interests</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1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cash provided by financing activities</w:t>
            </w:r>
          </w:p>
        </w:tc>
        <w:tc>
          <w:tcPr>
            <w:tcW w:w="10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623,784</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3"/>
              </w:rPr>
              <w:t>147,594</w:t>
            </w:r>
          </w:p>
        </w:tc>
      </w:tr>
      <w:tr>
        <w:trPr>
          <w:trHeight w:val="33"/>
        </w:trPr>
        <w:tc>
          <w:tcPr>
            <w:tcW w:w="79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Net increase in cash and cash equivalents</w:t>
            </w:r>
          </w:p>
        </w:tc>
        <w:tc>
          <w:tcPr>
            <w:tcW w:w="104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w w:val="93"/>
              </w:rPr>
              <w:t>549,189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b w:val="1"/>
                <w:bCs w:val="1"/>
                <w:color w:val="auto"/>
              </w:rPr>
              <w:t>50,975</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22,125</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7,236</w:t>
            </w:r>
          </w:p>
        </w:tc>
      </w:tr>
      <w:tr>
        <w:trPr>
          <w:trHeight w:val="284"/>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6"/>
                <w:szCs w:val="16"/>
                <w:b w:val="1"/>
                <w:bCs w:val="1"/>
                <w:color w:val="auto"/>
              </w:rPr>
              <w:t>Cash and cash equivalents, end of period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3"/>
              </w:rPr>
              <w:t>571,314</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58,211</w:t>
            </w:r>
          </w:p>
        </w:tc>
      </w:tr>
      <w:tr>
        <w:trPr>
          <w:trHeight w:val="284"/>
        </w:trPr>
        <w:tc>
          <w:tcPr>
            <w:tcW w:w="79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37"/>
        </w:trPr>
        <w:tc>
          <w:tcPr>
            <w:tcW w:w="7900" w:type="dxa"/>
            <w:vAlign w:val="bottom"/>
          </w:tcPr>
          <w:p>
            <w:pPr>
              <w:ind w:left="8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leasing equipment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(22,020)</w:t>
            </w:r>
          </w:p>
        </w:tc>
      </w:tr>
      <w:tr>
        <w:trPr>
          <w:trHeight w:val="237"/>
        </w:trPr>
        <w:tc>
          <w:tcPr>
            <w:tcW w:w="7900" w:type="dxa"/>
            <w:vAlign w:val="bottom"/>
          </w:tcPr>
          <w:p>
            <w:pPr>
              <w:ind w:left="740"/>
              <w:spacing w:after="0"/>
              <w:rPr>
                <w:sz w:val="20"/>
                <w:szCs w:val="20"/>
                <w:color w:val="auto"/>
              </w:rPr>
            </w:pPr>
            <w:r>
              <w:rPr>
                <w:rFonts w:ascii="Arial" w:cs="Arial" w:eastAsia="Arial" w:hAnsi="Arial"/>
                <w:sz w:val="16"/>
                <w:szCs w:val="16"/>
                <w:color w:val="auto"/>
              </w:rPr>
              <w:t>Acquisition of CMQR</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(2,991)</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property, plant and equipment</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In-kind redemption of other investment</w:t>
            </w:r>
          </w:p>
        </w:tc>
        <w:tc>
          <w:tcPr>
            <w:tcW w:w="10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2,250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6"/>
                <w:szCs w:val="16"/>
                <w:color w:val="auto"/>
              </w:rPr>
              <w:t>Acquisition of other investment</w:t>
            </w:r>
          </w:p>
        </w:tc>
        <w:tc>
          <w:tcPr>
            <w:tcW w:w="10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Settled and assumed security deposits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940</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Billed and assumed maintenance deposits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13,042</w:t>
            </w:r>
          </w:p>
        </w:tc>
      </w:tr>
      <w:tr>
        <w:trPr>
          <w:trHeight w:val="237"/>
        </w:trPr>
        <w:tc>
          <w:tcPr>
            <w:tcW w:w="7900" w:type="dxa"/>
            <w:vAlign w:val="bottom"/>
          </w:tcPr>
          <w:p>
            <w:pPr>
              <w:ind w:left="760"/>
              <w:spacing w:after="0"/>
              <w:rPr>
                <w:sz w:val="20"/>
                <w:szCs w:val="20"/>
                <w:color w:val="auto"/>
              </w:rPr>
            </w:pPr>
            <w:r>
              <w:rPr>
                <w:rFonts w:ascii="Arial" w:cs="Arial" w:eastAsia="Arial" w:hAnsi="Arial"/>
                <w:sz w:val="16"/>
                <w:szCs w:val="16"/>
                <w:color w:val="auto"/>
              </w:rPr>
              <w:t>Common share issuance costs</w:t>
            </w: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Change in fair value of cash flow hedge</w:t>
            </w:r>
          </w:p>
        </w:tc>
        <w:tc>
          <w:tcPr>
            <w:tcW w:w="10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r>
      <w:tr>
        <w:trPr>
          <w:trHeight w:val="20"/>
        </w:trPr>
        <w:tc>
          <w:tcPr>
            <w:tcW w:w="7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rFonts w:ascii="Arial" w:cs="Arial" w:eastAsia="Arial" w:hAnsi="Arial"/>
          <w:sz w:val="18"/>
          <w:szCs w:val="18"/>
          <w:b w:val="1"/>
          <w:bCs w:val="1"/>
          <w:color w:val="auto"/>
        </w:rPr>
      </w:pPr>
    </w:p>
    <w:p>
      <w:pPr>
        <w:ind w:left="660" w:right="1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Fortress Transportation and Infrastructure Investors LLC (the “Company”) is a Delaware limited liability company which, through its subsidiary, Fortress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and a multi-modal crude oil and refined products terminal in Beaumont, Texas (“Jefferson Terminal”). The Company has five reportable segments, Aviation Leasing, Offshore Energy, Shipping Containers, Jefferson Terminal and Railroad, which operate in two primary businesses, Equipment Leasing and Infrastructure (Note 15).</w:t>
      </w:r>
    </w:p>
    <w:p>
      <w:pPr>
        <w:spacing w:after="0" w:line="70"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is managed by FIG LLC (the “Manager”), an affiliate of Fortress Investment Group LLC (“Fortress”), pursuant to a management agreement (the “Management Agreement”) which provides for the Company to bear obligations for management fees and expense reimbursements payable to the Manager (Note 14).</w:t>
      </w:r>
    </w:p>
    <w:p>
      <w:pPr>
        <w:spacing w:after="0" w:line="73" w:lineRule="exact"/>
        <w:rPr>
          <w:rFonts w:ascii="Arial" w:cs="Arial" w:eastAsia="Arial" w:hAnsi="Arial"/>
          <w:sz w:val="18"/>
          <w:szCs w:val="18"/>
          <w:b w:val="1"/>
          <w:bCs w:val="1"/>
          <w:color w:val="auto"/>
        </w:rPr>
      </w:pPr>
    </w:p>
    <w:p>
      <w:pPr>
        <w:ind w:left="660"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At December 31, 2014, through their investment in the Company, the beneficial owners of the Partnership were Fortress Worldwide Transportation and Infrastructure Investors LP (the “Onshore Fund”), with an 89.97% interest and Fortress Worldwide Transportation and Infrastructure Offshore LP (the “Offshore Fund”) with a 9.98% interest; in addition, Fortress Worldwide Transportation and Infrastructure Master GP LLP (the “Master GP”) holds a 0.05% interest. The Master GP is owned by an affiliate of Fortress. The Onshore Fund and the Offshore Fund (collectively, the “Initial Shareholders”) are investment vehicles which are sponsored by Fortress. The general partner of the Onshore Fund and the Offshore Fund is owned by an affiliate of Fortress.</w:t>
      </w:r>
    </w:p>
    <w:p>
      <w:pPr>
        <w:spacing w:after="0" w:line="8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Initial Public Offering (“IPO”)</w:t>
      </w:r>
    </w:p>
    <w:p>
      <w:pPr>
        <w:spacing w:after="0" w:line="23" w:lineRule="exact"/>
        <w:rPr>
          <w:rFonts w:ascii="Arial" w:cs="Arial" w:eastAsia="Arial" w:hAnsi="Arial"/>
          <w:sz w:val="18"/>
          <w:szCs w:val="18"/>
          <w:b w:val="1"/>
          <w:bCs w:val="1"/>
          <w:color w:val="auto"/>
        </w:rPr>
      </w:pPr>
    </w:p>
    <w:p>
      <w:pPr>
        <w:ind w:left="660" w:right="40"/>
        <w:spacing w:after="0" w:line="319" w:lineRule="auto"/>
        <w:rPr>
          <w:rFonts w:ascii="Arial" w:cs="Arial" w:eastAsia="Arial" w:hAnsi="Arial"/>
          <w:sz w:val="18"/>
          <w:szCs w:val="18"/>
          <w:b w:val="1"/>
          <w:bCs w:val="1"/>
          <w:color w:val="auto"/>
        </w:rPr>
      </w:pPr>
      <w:r>
        <w:rPr>
          <w:rFonts w:ascii="Arial" w:cs="Arial" w:eastAsia="Arial" w:hAnsi="Arial"/>
          <w:sz w:val="16"/>
          <w:szCs w:val="16"/>
          <w:color w:val="auto"/>
        </w:rPr>
        <w:t>In May 2015, the remaining capital commitments of the investors of the Onshore Fund, Offshore Fund and Master GP were called. Through a series of transactions, (i)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(ii) 53,502,873 common shares were issued to the Onshore Fund and Offshore Fund based on their relative interests in the Company.</w:t>
      </w:r>
    </w:p>
    <w:p>
      <w:pPr>
        <w:spacing w:after="0" w:line="263" w:lineRule="exact"/>
        <w:rPr>
          <w:rFonts w:ascii="Arial" w:cs="Arial" w:eastAsia="Arial" w:hAnsi="Arial"/>
          <w:sz w:val="18"/>
          <w:szCs w:val="18"/>
          <w:b w:val="1"/>
          <w:bCs w:val="1"/>
          <w:color w:val="auto"/>
        </w:rPr>
      </w:pPr>
    </w:p>
    <w:p>
      <w:pPr>
        <w:ind w:left="66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On May 20, 2015, the Company completed an IPO of 20 million common shares at a price to the public of $17.00 per share. On June 15, 2015, the underwriters exercised their overallotment option, pursuant to which the Company issued an additional 2.2 million shares to such underwriters at the IPO price. At June 30, 2015, the Company was owned 29.3% by public shareholders and 70.7% by the Initial Shareholders.</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60"/>
        <w:spacing w:after="0" w:line="269" w:lineRule="auto"/>
        <w:rPr>
          <w:rFonts w:ascii="Arial" w:cs="Arial" w:eastAsia="Arial" w:hAnsi="Arial"/>
          <w:sz w:val="18"/>
          <w:szCs w:val="18"/>
          <w:b w:val="1"/>
          <w:bCs w:val="1"/>
          <w:color w:val="auto"/>
        </w:rPr>
      </w:pPr>
      <w:r>
        <w:rPr>
          <w:rFonts w:ascii="Arial" w:cs="Arial" w:eastAsia="Arial" w:hAnsi="Arial"/>
          <w:sz w:val="17"/>
          <w:szCs w:val="17"/>
          <w:b w:val="1"/>
          <w:bCs w:val="1"/>
          <w:i w:val="1"/>
          <w:iCs w:val="1"/>
          <w:color w:val="auto"/>
        </w:rPr>
        <w:t>Basis of Accounting</w:t>
      </w:r>
      <w:r>
        <w:rPr>
          <w:rFonts w:ascii="Arial" w:cs="Arial" w:eastAsia="Arial" w:hAnsi="Arial"/>
          <w:sz w:val="17"/>
          <w:szCs w:val="17"/>
          <w:color w:val="auto"/>
        </w:rPr>
        <w:t>—-The unaudited consolidated financial statements have been prepared in accordance with Generally Accepted Accounting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Principles (“GAAP”) in the United States and in accordance with the instructions to Form 10-Q and Article 10 of Regulation S-X for interim financial information. Certain information or footnote disclosures normally included in financial statements prepared in accordance with GAAP have been condensed or omitted, pursuant to the rules and regulations of the Securities and Exchange Commission (“SEC”) for interim financial reporting. Accordingly, they do not include all of the information and notes required by GAAP for complete financial statements. The consolidated balance sheet at December 31, 2014 has been derived from audited financial statements but does not include all of the information and notes required by GAAP for complete financial statements. In the opinion of management, all adjustments considered necessary for a fair presentation of the Company’s financial position, results of operations and cash flows have been included and are of a normal and recurring nature. The operating results presented for interim periods are not necessarily indicative of the results that may be expected for any other interim period or for the entire year. The interim financial information contained herein should be read in conjunction with the consolidated financial statements and notes thereto for the year ended December 31, 2014 included in Amendment No. 7 to the Company’s Registration Statement on Form S-1, filed with the SEC on May 14, 2015.</w:t>
      </w:r>
    </w:p>
    <w:p>
      <w:pPr>
        <w:spacing w:after="0" w:line="71"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Principles of Consolidation</w:t>
      </w:r>
      <w:r>
        <w:rPr>
          <w:rFonts w:ascii="Arial" w:cs="Arial" w:eastAsia="Arial" w:hAnsi="Arial"/>
          <w:sz w:val="18"/>
          <w:szCs w:val="18"/>
          <w:color w:val="auto"/>
        </w:rPr>
        <w:t>—The Company consolidates all entities in which it has a controlling financial interest and in which it has control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7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b w:val="1"/>
          <w:bCs w:val="1"/>
          <w:i w:val="1"/>
          <w:iCs w:val="1"/>
          <w:color w:val="auto"/>
        </w:rPr>
        <w:t>Variable Interest Entities</w:t>
      </w:r>
      <w:r>
        <w:rPr>
          <w:rFonts w:ascii="Arial" w:cs="Arial" w:eastAsia="Arial" w:hAnsi="Arial"/>
          <w:sz w:val="18"/>
          <w:szCs w:val="18"/>
          <w:color w:val="auto"/>
        </w:rPr>
        <w:t>—The assessment of whether an entity is a VIE and the determination of whether to consolidate a VIE requires judgment.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31" w:lineRule="exact"/>
        <w:rPr>
          <w:sz w:val="20"/>
          <w:szCs w:val="20"/>
          <w:color w:val="auto"/>
        </w:rPr>
      </w:pPr>
    </w:p>
    <w:p>
      <w:pPr>
        <w:ind w:left="660" w:right="100"/>
        <w:spacing w:after="0" w:line="291" w:lineRule="auto"/>
        <w:rPr>
          <w:sz w:val="20"/>
          <w:szCs w:val="20"/>
          <w:color w:val="auto"/>
        </w:rPr>
      </w:pPr>
      <w:r>
        <w:rPr>
          <w:rFonts w:ascii="Arial" w:cs="Arial" w:eastAsia="Arial" w:hAnsi="Arial"/>
          <w:sz w:val="16"/>
          <w:szCs w:val="16"/>
          <w:color w:val="auto"/>
        </w:rPr>
        <w:t>The VIE in which the Company has an interest is WWTAI IES MT6015 Ltd. (“MT6015”), an entity formed in 2014 which has entered into a contract with a shipbuilder for the construction of an offshore multi service / inspection, maintenance and repair vessel (the “Vessel”) for a price of approximately $75 million. A subsidiary of the Company and a third party each hold a 50% interest in MT6015 and have equal representation on its board of directors. In connection with the initial capitalization of MT6015, another subsidiary of the Company provided the partner with a $3,725 loan which was utilized by the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59"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At June 30, 2015 and December 31, 2014, MT6015 had total assets of $7,533 and $7,450, respectively, which are available only to settle the obligations of MT6015. Other than entering into the above commitment, MT6015 has conducted no operations, and no creditors of MT6015 have recourse to any assets or to the general credit of the Company.</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prior period amounts have been reclassified to conform to current period presentation.</w:t>
      </w:r>
    </w:p>
    <w:p>
      <w:pPr>
        <w:spacing w:after="0" w:line="225"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b w:val="1"/>
          <w:bCs w:val="1"/>
          <w:i w:val="1"/>
          <w:iCs w:val="1"/>
          <w:color w:val="auto"/>
        </w:rPr>
        <w:t>Use of Estimates</w:t>
      </w:r>
      <w:r>
        <w:rPr>
          <w:rFonts w:ascii="Arial" w:cs="Arial" w:eastAsia="Arial" w:hAnsi="Arial"/>
          <w:sz w:val="16"/>
          <w:szCs w:val="16"/>
          <w:color w:val="auto"/>
        </w:rPr>
        <w:t>—The preparation of financial statements in conformity with GAAP requires management to make estimates and assumptions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39" w:lineRule="exact"/>
        <w:rPr>
          <w:sz w:val="20"/>
          <w:szCs w:val="20"/>
          <w:color w:val="auto"/>
        </w:rPr>
      </w:pPr>
    </w:p>
    <w:p>
      <w:pPr>
        <w:ind w:left="660" w:right="80"/>
        <w:spacing w:after="0" w:line="287" w:lineRule="auto"/>
        <w:rPr>
          <w:sz w:val="20"/>
          <w:szCs w:val="20"/>
          <w:color w:val="auto"/>
        </w:rPr>
      </w:pPr>
      <w:r>
        <w:rPr>
          <w:rFonts w:ascii="Arial" w:cs="Arial" w:eastAsia="Arial" w:hAnsi="Arial"/>
          <w:sz w:val="16"/>
          <w:szCs w:val="16"/>
          <w:b w:val="1"/>
          <w:bCs w:val="1"/>
          <w:i w:val="1"/>
          <w:iCs w:val="1"/>
          <w:color w:val="auto"/>
        </w:rPr>
        <w:t>Risks and Uncertainties</w:t>
      </w:r>
      <w:r>
        <w:rPr>
          <w:rFonts w:ascii="Arial" w:cs="Arial" w:eastAsia="Arial" w:hAnsi="Arial"/>
          <w:sz w:val="16"/>
          <w:szCs w:val="16"/>
          <w:color w:val="auto"/>
        </w:rPr>
        <w:t>—In the normal course of business, the Company encounters several significant types of economic risk including credit,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65"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—Restricted cash of $17,750 and $21,084 at June 30, 2015 and December 31, 2014, respectively, consists of cash held in segregated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pursuant to the requirements of the Company’s debt agreements (Note 9).</w:t>
      </w:r>
    </w:p>
    <w:p>
      <w:pPr>
        <w:spacing w:after="0" w:line="62" w:lineRule="exact"/>
        <w:rPr>
          <w:sz w:val="20"/>
          <w:szCs w:val="20"/>
          <w:color w:val="auto"/>
        </w:rPr>
      </w:pPr>
    </w:p>
    <w:p>
      <w:pPr>
        <w:ind w:left="660" w:right="120"/>
        <w:spacing w:after="0" w:line="302" w:lineRule="auto"/>
        <w:rPr>
          <w:sz w:val="20"/>
          <w:szCs w:val="20"/>
          <w:color w:val="auto"/>
        </w:rPr>
      </w:pPr>
      <w:r>
        <w:rPr>
          <w:rFonts w:ascii="Arial" w:cs="Arial" w:eastAsia="Arial" w:hAnsi="Arial"/>
          <w:sz w:val="16"/>
          <w:szCs w:val="16"/>
          <w:b w:val="1"/>
          <w:bCs w:val="1"/>
          <w:i w:val="1"/>
          <w:iCs w:val="1"/>
          <w:color w:val="auto"/>
        </w:rPr>
        <w:t xml:space="preserve">Goodwill </w:t>
      </w:r>
      <w:r>
        <w:rPr>
          <w:rFonts w:ascii="Arial" w:cs="Arial" w:eastAsia="Arial" w:hAnsi="Arial"/>
          <w:sz w:val="16"/>
          <w:szCs w:val="16"/>
          <w:color w:val="auto"/>
        </w:rPr>
        <w:t>—The Company reviews the carrying values of goodwill at least annually to assess impairment since these assets are not amortized.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annual impairment review is conducted as of October 1st of each year. Additionally, the Company reviews the carrying value of goodwill whenever events or changes in circumstances indicate that its carrying amount may not be recoverable. The determination of fair value involves significant management judgment. Impairment is expensed when incurred. During the six months ended June 30, 2015, there was no impairment of goodwill.</w:t>
      </w:r>
    </w:p>
    <w:p>
      <w:pPr>
        <w:spacing w:after="0" w:line="46"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—The Company is subject to concentrations of credit risk with respect to amounts due from customers on its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leases and operating leases. The Company attempts to limit its credit risk by performing ongoing credit evaluations. During the three and six months ended June 30, 2015, the Company earned approximately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660" w:right="140"/>
        <w:spacing w:after="0" w:line="286" w:lineRule="auto"/>
        <w:rPr>
          <w:sz w:val="20"/>
          <w:szCs w:val="20"/>
          <w:color w:val="auto"/>
        </w:rPr>
      </w:pPr>
      <w:r>
        <w:rPr>
          <w:rFonts w:ascii="Arial" w:cs="Arial" w:eastAsia="Arial" w:hAnsi="Arial"/>
          <w:sz w:val="17"/>
          <w:szCs w:val="17"/>
          <w:color w:val="auto"/>
        </w:rPr>
        <w:t>25.6% and 24.4%, respectively, of its revenue from two customers in the following segments; one each in offshore energy and Jefferson Terminal. During the three and six months ended June 30, 2014, the Company earned approximately 58.7% and 59.1%, respectively, of its revenue from four customers in the following segments; two in aviation leasing, one in shipping containers, and one in offshore energy.</w:t>
      </w:r>
    </w:p>
    <w:p>
      <w:pPr>
        <w:spacing w:after="0" w:line="57"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73"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b w:val="1"/>
          <w:bCs w:val="1"/>
          <w:i w:val="1"/>
          <w:iCs w:val="1"/>
          <w:color w:val="auto"/>
        </w:rPr>
        <w:t>Provision for Doubtful Accounts</w:t>
      </w:r>
      <w:r>
        <w:rPr>
          <w:rFonts w:ascii="Arial" w:cs="Arial" w:eastAsia="Arial" w:hAnsi="Arial"/>
          <w:sz w:val="18"/>
          <w:szCs w:val="18"/>
          <w:color w:val="auto"/>
        </w:rPr>
        <w:t>—The Company determines the provision for doubtful accounts based on its assessment of the collectability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receivables on a customer-by-customer basis. The provision for doubtful accounts at June 30, 2015 and December 31, 2014 was $39 and $111, respectively. Bad debt expense for the three and six months ended June 30, 2015 was $155 and $159, respectively. Bad debt expense for the three and six months ended June 30, 2014 was $0 and $43, respectively.</w:t>
      </w:r>
    </w:p>
    <w:p>
      <w:pPr>
        <w:spacing w:after="0" w:line="79"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b w:val="1"/>
          <w:bCs w:val="1"/>
          <w:i w:val="1"/>
          <w:iCs w:val="1"/>
          <w:color w:val="auto"/>
        </w:rPr>
        <w:t>Comprehensive Income (Loss)</w:t>
      </w:r>
      <w:r>
        <w:rPr>
          <w:rFonts w:ascii="Arial" w:cs="Arial" w:eastAsia="Arial" w:hAnsi="Arial"/>
          <w:sz w:val="18"/>
          <w:szCs w:val="18"/>
          <w:color w:val="auto"/>
        </w:rPr>
        <w:t>—Comprehensive income (loss) is defined as the change in equity of a business enterprise during a period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derivatives accounted for as cash flow hedges and the Company’s pro-rata share of items of comprehensive income derived from investments in unconsolidated entities.</w:t>
      </w:r>
    </w:p>
    <w:p>
      <w:pPr>
        <w:spacing w:after="0" w:line="80" w:lineRule="exact"/>
        <w:rPr>
          <w:sz w:val="20"/>
          <w:szCs w:val="20"/>
          <w:color w:val="auto"/>
        </w:rPr>
      </w:pPr>
    </w:p>
    <w:p>
      <w:pPr>
        <w:jc w:val="both"/>
        <w:ind w:left="660" w:right="160"/>
        <w:spacing w:after="0" w:line="264" w:lineRule="auto"/>
        <w:rPr>
          <w:sz w:val="20"/>
          <w:szCs w:val="20"/>
          <w:color w:val="auto"/>
        </w:rPr>
      </w:pPr>
      <w:r>
        <w:rPr>
          <w:rFonts w:ascii="Arial" w:cs="Arial" w:eastAsia="Arial" w:hAnsi="Arial"/>
          <w:sz w:val="18"/>
          <w:szCs w:val="18"/>
          <w:color w:val="auto"/>
        </w:rPr>
        <w:t>The Company had reclassification adjustments of $35 and $72, which impacted accumulated other comprehensive income during the three and six months ended June 30, 2015, respectively. During the three and six months ended June 30, 2014, the Company had reclassification adjustments of $44 and $88, respectively.</w:t>
      </w:r>
    </w:p>
    <w:p>
      <w:pPr>
        <w:spacing w:after="0" w:line="73"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b w:val="1"/>
          <w:bCs w:val="1"/>
          <w:i w:val="1"/>
          <w:iCs w:val="1"/>
          <w:color w:val="auto"/>
        </w:rPr>
        <w:t>Derivative Financial Instruments—</w:t>
      </w:r>
      <w:r>
        <w:rPr>
          <w:rFonts w:ascii="Arial" w:cs="Arial" w:eastAsia="Arial" w:hAnsi="Arial"/>
          <w:sz w:val="18"/>
          <w:szCs w:val="18"/>
          <w:color w:val="auto"/>
        </w:rPr>
        <w:t>In the normal course of business the Company may utilize interest rate derivatives to manage its exposure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rate risks, principally related to the hedging of variable rate interest payments on various debt facilities. If certain conditions are met, an interest rate derivative may be specifically designated as a cash flow hedge. In connection with its debt obligations (Note 9), the Company has entered into one interest rate derivative designated as a cash flow hedge and one non-hedge derivative. The Company does not enter into speculative derivative transactions. Derivative assets of $87 and $232, as of June 30, 2015 and December 31, 2014, respectively, were recorded within other assets in the Consolidated Balance Sheets.</w:t>
      </w:r>
    </w:p>
    <w:p>
      <w:pPr>
        <w:spacing w:after="0" w:line="8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On the date that the Company enters into an interest rate derivative, its designation as a cash flow hedge is formally documented. On an ongoing basis, an assessment is made as to whether the interest rate derivative has been highly effective in offsetting changes in the cash flows of the variable rate interest payments on the associated debt and whether the interest rate derivative is expected to remain highly effective in future periods. If it were to be determined that the interest rate derivative is not (or has ceased to be) highly effective as a cash flow hedge, the use of hedge accounting would be discontinued prospectively.</w:t>
      </w:r>
    </w:p>
    <w:p>
      <w:pPr>
        <w:spacing w:after="0" w:line="80"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All interest rate derivatives are recognized on the balance sheet at their fair value. For interest rate derivatives designated as cash flow hedges, the effective portion of the interest rate derivative’s gain or loss is initially reported as a component of other comprehensive income and subsequently reclassified into earnings when the interest payments on the debt are recorded in earnings. The ineffective portion of the interest rate derivative, if any, is calculated and recorded in interest expense. Changes in fair value of non-hedge derivatives are recorded in earnings on a current basis. The estimated net amount of existing gains/losses reported in accumulated other comprehensive income at June 30, 2015 expected to be reclassified into earnings within the next 12 months is approximately $70.</w:t>
      </w:r>
    </w:p>
    <w:p>
      <w:pPr>
        <w:spacing w:after="0" w:line="70"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In the event of a termination of an interest rate derivative prior to its contracted maturity, any related net gains or losses in accumulated other comprehensive income at the date of termination would be reclassified into earnings, unless it remains probable that interest payments on the debt will continue to occur, in which case the amount in accumulated other comprehensive income would be reclassified into earnings as the interest payments on the debt affect earnings.</w:t>
      </w:r>
    </w:p>
    <w:p>
      <w:pPr>
        <w:spacing w:after="0" w:line="79"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b w:val="1"/>
          <w:bCs w:val="1"/>
          <w:i w:val="1"/>
          <w:iCs w:val="1"/>
          <w:color w:val="auto"/>
        </w:rPr>
        <w:t>Recent Accounting Pronouncements</w:t>
      </w:r>
      <w:r>
        <w:rPr>
          <w:rFonts w:ascii="Arial" w:cs="Arial" w:eastAsia="Arial" w:hAnsi="Arial"/>
          <w:sz w:val="17"/>
          <w:szCs w:val="17"/>
          <w:color w:val="auto"/>
        </w:rPr>
        <w:t>— In April 2014, the Financial Accounting Standards Board (FASB) issued Accounting Standards Update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(ASU) 2014-08 (ASU 2014-08), </w:t>
      </w:r>
      <w:r>
        <w:rPr>
          <w:rFonts w:ascii="Arial" w:cs="Arial" w:eastAsia="Arial" w:hAnsi="Arial"/>
          <w:sz w:val="17"/>
          <w:szCs w:val="17"/>
          <w:i w:val="1"/>
          <w:iCs w:val="1"/>
          <w:color w:val="auto"/>
        </w:rPr>
        <w:t>Reporting Discontinued Operations and Disclosures of Disposals of Components of an Entity,</w:t>
      </w:r>
      <w:r>
        <w:rPr>
          <w:rFonts w:ascii="Arial" w:cs="Arial" w:eastAsia="Arial" w:hAnsi="Arial"/>
          <w:sz w:val="17"/>
          <w:szCs w:val="17"/>
          <w:color w:val="auto"/>
        </w:rPr>
        <w:t xml:space="preserve"> which changes the criteria for determining which disposals can be presented as discontinued operations and modifies related disclosure requirements. Under the new guidance, a discontinued operation is defined as a disposal of a component or group of components that is disposed of or is classified as held for sale and represents a strategic shift that has (or will have) a major effect on an entity’s operations and financial results. The standard states that a strategic shift should include a disposal of (i) major geographical area of operations, (ii) a</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1"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major line of business, (iii) a major equity method investment, or (iv) other major parts of an entity. ASU 2014-08 is effective prospectively for new disposals (or classifications as held for sale) that occur within annual periods beginning on or after December 14, 2014, and interim periods within those annual periods. The Company adopted ASU 2014-08 beginning January 1, 2015, which had no impact to the Company’s consolidated financial statements.</w:t>
      </w:r>
    </w:p>
    <w:p>
      <w:pPr>
        <w:spacing w:after="0" w:line="79" w:lineRule="exact"/>
        <w:rPr>
          <w:sz w:val="20"/>
          <w:szCs w:val="20"/>
          <w:color w:val="auto"/>
        </w:rPr>
      </w:pPr>
    </w:p>
    <w:p>
      <w:pPr>
        <w:ind w:left="660" w:right="120"/>
        <w:spacing w:after="0" w:line="271" w:lineRule="auto"/>
        <w:rPr>
          <w:sz w:val="20"/>
          <w:szCs w:val="20"/>
          <w:color w:val="auto"/>
        </w:rPr>
      </w:pPr>
      <w:r>
        <w:rPr>
          <w:rFonts w:ascii="Arial" w:cs="Arial" w:eastAsia="Arial" w:hAnsi="Arial"/>
          <w:sz w:val="17"/>
          <w:szCs w:val="17"/>
          <w:b w:val="1"/>
          <w:bCs w:val="1"/>
          <w:i w:val="1"/>
          <w:iCs w:val="1"/>
          <w:color w:val="auto"/>
        </w:rPr>
        <w:t>Unadopted Accounting Pronouncements</w:t>
      </w:r>
      <w:r>
        <w:rPr>
          <w:rFonts w:ascii="Arial" w:cs="Arial" w:eastAsia="Arial" w:hAnsi="Arial"/>
          <w:sz w:val="17"/>
          <w:szCs w:val="17"/>
          <w:color w:val="auto"/>
        </w:rPr>
        <w:t>—In May 2013, the FASB issued a revised exposure draft,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Leases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“Lease ED”), which would replace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existing guidance in the Accounting Standards Codification 840 (“ASC 840”), </w:t>
      </w:r>
      <w:r>
        <w:rPr>
          <w:rFonts w:ascii="Arial" w:cs="Arial" w:eastAsia="Arial" w:hAnsi="Arial"/>
          <w:sz w:val="17"/>
          <w:szCs w:val="17"/>
          <w:i w:val="1"/>
          <w:iCs w:val="1"/>
          <w:color w:val="auto"/>
        </w:rPr>
        <w:t>Leases</w:t>
      </w:r>
      <w:r>
        <w:rPr>
          <w:rFonts w:ascii="Arial" w:cs="Arial" w:eastAsia="Arial" w:hAnsi="Arial"/>
          <w:sz w:val="17"/>
          <w:szCs w:val="17"/>
          <w:color w:val="auto"/>
        </w:rPr>
        <w:t>. Pursuant to the Lease ED, leases would be classified as either leases of property or leases of assets other than property. Leases of property will continue to use operating lease accounting. Leases of assets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the Company’s consolidated financial statements.</w:t>
      </w:r>
    </w:p>
    <w:p>
      <w:pPr>
        <w:spacing w:after="0" w:line="71" w:lineRule="exact"/>
        <w:rPr>
          <w:sz w:val="20"/>
          <w:szCs w:val="20"/>
          <w:color w:val="auto"/>
        </w:rPr>
      </w:pPr>
    </w:p>
    <w:p>
      <w:pPr>
        <w:ind w:left="660" w:right="20"/>
        <w:spacing w:after="0" w:line="270"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(“ASU-2014-09”) which provides a single comprehensive model for recognizing revenue from contracts with customers and supersedes existing revenue recognition guidance. The new standard requires that a company recognize revenue when it transfers promised goods or services to customers in an amount that reflects the consideration the company expects to receive in exchange for those goods or services. Companies will need to use more judgment and estimates than under the guidance currently in effect, including estimating the amount of variable revenue to recognize over each identified performance obligation. Additional disclosures will be required to help users of financial statements understand the nature, amount and timing of revenue and cash flows arising from contracts. In July 2015, the FASB approved a one year deferral of ASU 2014-09 making it effective for annual reporting periods beginning on or after December 15, 2017 while also providing for early adoption but not before the original effective date. The Company is currently evaluating the impact of adopting this new guidance on its consolidated financial statements.</w:t>
      </w:r>
    </w:p>
    <w:p>
      <w:pPr>
        <w:spacing w:after="0" w:line="74" w:lineRule="exact"/>
        <w:rPr>
          <w:sz w:val="20"/>
          <w:szCs w:val="20"/>
          <w:color w:val="auto"/>
        </w:rPr>
      </w:pPr>
    </w:p>
    <w:p>
      <w:pPr>
        <w:ind w:left="660" w:right="200"/>
        <w:spacing w:after="0" w:line="257"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 xml:space="preserve"> (“ASU 2015-02”). ASU 2015-02 amends the consolidation guidance for VIEs and general partners’ investments in limited partnerships and modifies the evaluation of whether limited partnerships and similar legal entities are VIEs or voting interest entities. ASU 2015-02 is effective for interim and annual reporting periods beginning after December 15, 2015, with early adoption permitted. The Company is currently evaluating the impact of adopting this new guidance on the consolidated financial statements.</w:t>
      </w:r>
    </w:p>
    <w:p>
      <w:pPr>
        <w:spacing w:after="0" w:line="80" w:lineRule="exact"/>
        <w:rPr>
          <w:sz w:val="20"/>
          <w:szCs w:val="20"/>
          <w:color w:val="auto"/>
        </w:rPr>
      </w:pPr>
    </w:p>
    <w:p>
      <w:pPr>
        <w:ind w:left="660" w:right="160"/>
        <w:spacing w:after="0" w:line="273" w:lineRule="auto"/>
        <w:rPr>
          <w:sz w:val="20"/>
          <w:szCs w:val="20"/>
          <w:color w:val="auto"/>
        </w:rPr>
      </w:pPr>
      <w:r>
        <w:rPr>
          <w:rFonts w:ascii="Arial" w:cs="Arial" w:eastAsia="Arial" w:hAnsi="Arial"/>
          <w:sz w:val="17"/>
          <w:szCs w:val="17"/>
          <w:color w:val="auto"/>
        </w:rPr>
        <w:t xml:space="preserve">In April 2015, the FASB issued ASU 2015-03, </w:t>
      </w:r>
      <w:r>
        <w:rPr>
          <w:rFonts w:ascii="Arial" w:cs="Arial" w:eastAsia="Arial" w:hAnsi="Arial"/>
          <w:sz w:val="17"/>
          <w:szCs w:val="17"/>
          <w:i w:val="1"/>
          <w:iCs w:val="1"/>
          <w:color w:val="auto"/>
        </w:rPr>
        <w:t>Imputation of Interest: Simplifying the Presentation of Debt Issuance Costs</w:t>
      </w:r>
      <w:r>
        <w:rPr>
          <w:rFonts w:ascii="Arial" w:cs="Arial" w:eastAsia="Arial" w:hAnsi="Arial"/>
          <w:sz w:val="17"/>
          <w:szCs w:val="17"/>
          <w:color w:val="auto"/>
        </w:rPr>
        <w:t xml:space="preserve"> (“ASU 2015-03”). ASU 2015-03 requires that debt issuance costs related to a recognized debt liability be presented in the balance sheet as a direct deduction from the carrying amount of that debt liability, consistent with debt discounts. The guidance is effective for reporting periods beginning after December 15, 2015 and interim periods within those fiscal years with early adoption permitted. ASU 2015-03 should be applied on a retrospective basis, wherein the balance sheet of each period presented should be adjusted to reflect the effects of adoption. The Company is currently evaluating the impact of adopting this new guidance on the consolidated financial statements.</w:t>
      </w:r>
    </w:p>
    <w:p>
      <w:pPr>
        <w:spacing w:after="0" w:line="174" w:lineRule="exact"/>
        <w:rPr>
          <w:sz w:val="20"/>
          <w:szCs w:val="20"/>
          <w:color w:val="auto"/>
        </w:rPr>
      </w:pPr>
    </w:p>
    <w:p>
      <w:pPr>
        <w:ind w:left="660" w:right="8720" w:hanging="652"/>
        <w:spacing w:after="0" w:line="400"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ACQUISITIONS </w:t>
      </w:r>
      <w:r>
        <w:rPr>
          <w:rFonts w:ascii="Arial" w:cs="Arial" w:eastAsia="Arial" w:hAnsi="Arial"/>
          <w:sz w:val="17"/>
          <w:szCs w:val="17"/>
          <w:b w:val="1"/>
          <w:bCs w:val="1"/>
          <w:i w:val="1"/>
          <w:iCs w:val="1"/>
          <w:color w:val="auto"/>
        </w:rPr>
        <w:t>JEFFERSON TERMINAL</w:t>
      </w:r>
    </w:p>
    <w:p>
      <w:pPr>
        <w:ind w:left="66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The Company, through its subsidiaries, acquired certain assets and assumed certain liabilities of Jefferson Refinery, LLC, Port of Beaumont Petroleum Transload Terminal I, LLC, and Port of Beaumont Petroleum Transload Terminal II, LLC (collectively “Jefferson Terminal”). Jefferson Terminal is comprised of complementary energy logistics assets and is headquartered in The Woodlands, Texas. Its principal operations are to engage in the business of terminalling, storage, throughput and transloading of crude oil and petroleum products. The acquisition of Jefferson Terminal was consummated on August 27, 2014.</w:t>
      </w:r>
    </w:p>
    <w:p>
      <w:pPr>
        <w:spacing w:after="0" w:line="80" w:lineRule="exact"/>
        <w:rPr>
          <w:rFonts w:ascii="Arial" w:cs="Arial" w:eastAsia="Arial" w:hAnsi="Arial"/>
          <w:sz w:val="17"/>
          <w:szCs w:val="17"/>
          <w:b w:val="1"/>
          <w:bCs w:val="1"/>
          <w:color w:val="auto"/>
        </w:rPr>
      </w:pPr>
    </w:p>
    <w:p>
      <w:pPr>
        <w:ind w:left="660" w:right="180"/>
        <w:spacing w:after="0" w:line="297" w:lineRule="auto"/>
        <w:rPr>
          <w:rFonts w:ascii="Arial" w:cs="Arial" w:eastAsia="Arial" w:hAnsi="Arial"/>
          <w:sz w:val="17"/>
          <w:szCs w:val="17"/>
          <w:b w:val="1"/>
          <w:bCs w:val="1"/>
          <w:color w:val="auto"/>
        </w:rPr>
      </w:pPr>
      <w:r>
        <w:rPr>
          <w:rFonts w:ascii="Arial" w:cs="Arial" w:eastAsia="Arial" w:hAnsi="Arial"/>
          <w:sz w:val="16"/>
          <w:szCs w:val="16"/>
          <w:color w:val="auto"/>
        </w:rPr>
        <w:t>Jefferson Terminal was purchased for an aggregate purchase price of approximately $607.8 million, including assumed liabilities of $522.0 million (of which $97.6 million relates to pre-existing debt relationships) and equity consideration of $38.2 million. The Company owns a 60% interest in Jefferson Terminal. The remaining 40% interest in Jefferson Terminal is owned by a portion of the retaining shareholders and a private equity fund sponsored by Fortress, each holding an interest of 20% and accounted for as non-controlling interests in the accompanying consolidated financial statements. In connection with the acquisition, a $100 million loan was also obtained (Note 9). The acquisition was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100"/>
        <w:spacing w:after="0" w:line="276" w:lineRule="auto"/>
        <w:rPr>
          <w:sz w:val="20"/>
          <w:szCs w:val="20"/>
          <w:color w:val="auto"/>
        </w:rPr>
      </w:pPr>
      <w:r>
        <w:rPr>
          <w:rFonts w:ascii="Arial" w:cs="Arial" w:eastAsia="Arial" w:hAnsi="Arial"/>
          <w:sz w:val="17"/>
          <w:szCs w:val="17"/>
          <w:color w:val="auto"/>
        </w:rPr>
        <w:t xml:space="preserve">accounted for as a business combination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the results of operations of the acquired business of Jefferson Terminal have been included in the consolidated financial statements since the date of acquisition. The Company’s acquisition accounting for Jefferson Terminal is still preliminary, pending the final determination of certain estimated amounts for property, plant, and equipment, construction in progress, and accrued liabilities. Subsequent to the acquisition, measurement period adjustments as of the acquisition date were made to increase both goodwill and estimated liabilities assumed by $390.</w:t>
      </w:r>
    </w:p>
    <w:p>
      <w:pPr>
        <w:spacing w:after="0" w:line="169"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LEASING EQUIPMENT,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Leasing equipment, net is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820"/>
              <w:spacing w:after="0"/>
              <w:rPr>
                <w:sz w:val="20"/>
                <w:szCs w:val="20"/>
                <w:color w:val="auto"/>
              </w:rPr>
            </w:pPr>
            <w:r>
              <w:rPr>
                <w:rFonts w:ascii="Arial" w:cs="Arial" w:eastAsia="Arial" w:hAnsi="Arial"/>
                <w:sz w:val="16"/>
                <w:szCs w:val="16"/>
                <w:b w:val="1"/>
                <w:bCs w:val="1"/>
                <w:color w:val="auto"/>
              </w:rPr>
              <w:t>June 30, 2015</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324,525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551,207</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(29,690)</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302,542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175,640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43,335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521,517</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5"/>
          </w:tcPr>
          <w:p>
            <w:pPr>
              <w:ind w:left="640"/>
              <w:spacing w:after="0"/>
              <w:rPr>
                <w:sz w:val="20"/>
                <w:szCs w:val="20"/>
                <w:color w:val="auto"/>
              </w:rPr>
            </w:pPr>
            <w:r>
              <w:rPr>
                <w:rFonts w:ascii="Arial" w:cs="Arial" w:eastAsia="Arial" w:hAnsi="Arial"/>
                <w:sz w:val="16"/>
                <w:szCs w:val="16"/>
                <w:b w:val="1"/>
                <w:bCs w:val="1"/>
                <w:color w:val="auto"/>
              </w:rPr>
              <w:t>December 31, 2014</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Jefferson</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0"/>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Equipment</w:t>
            </w: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2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Offshore Energy</w:t>
            </w:r>
          </w:p>
        </w:tc>
        <w:tc>
          <w:tcPr>
            <w:tcW w:w="220" w:type="dxa"/>
            <w:vAlign w:val="bottom"/>
          </w:tcPr>
          <w:p>
            <w:pPr>
              <w:spacing w:after="0"/>
              <w:rPr>
                <w:sz w:val="18"/>
                <w:szCs w:val="18"/>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Terminal</w:t>
            </w: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298,204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182,355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44,326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524,885</w:t>
            </w:r>
          </w:p>
        </w:tc>
      </w:tr>
      <w:tr>
        <w:trPr>
          <w:trHeight w:val="237"/>
        </w:trPr>
        <w:tc>
          <w:tcPr>
            <w:tcW w:w="5620" w:type="dxa"/>
            <w:vAlign w:val="bottom"/>
          </w:tcPr>
          <w:p>
            <w:pPr>
              <w:ind w:left="180"/>
              <w:spacing w:after="0"/>
              <w:rPr>
                <w:sz w:val="20"/>
                <w:szCs w:val="20"/>
                <w:color w:val="auto"/>
              </w:rPr>
            </w:pPr>
            <w:r>
              <w:rPr>
                <w:rFonts w:ascii="Arial" w:cs="Arial" w:eastAsia="Arial" w:hAnsi="Arial"/>
                <w:sz w:val="16"/>
                <w:szCs w:val="16"/>
                <w:color w:val="auto"/>
              </w:rPr>
              <w:t>Less: Accumulated depreciation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(15,506)</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Leasing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286,873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178,618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509,379</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660" w:right="320"/>
        <w:spacing w:after="0" w:line="286" w:lineRule="auto"/>
        <w:rPr>
          <w:sz w:val="20"/>
          <w:szCs w:val="20"/>
          <w:color w:val="auto"/>
        </w:rPr>
      </w:pPr>
      <w:r>
        <w:rPr>
          <w:rFonts w:ascii="Arial" w:cs="Arial" w:eastAsia="Arial" w:hAnsi="Arial"/>
          <w:sz w:val="17"/>
          <w:szCs w:val="17"/>
          <w:color w:val="auto"/>
        </w:rPr>
        <w:t>During the six months ended June 30, 2015, the Company acquired ten commercial jet engines and sold one commercial jet engine. Depreciation expense for leasing equipment for the three and six months ended June 30, 2015 was $7,162 and $14,184 respectively. Depreciation expense for leasing equipment for the three and six months ended June 30, 2014 was $2,666 and $4,497, respectively.</w:t>
      </w:r>
    </w:p>
    <w:p>
      <w:pPr>
        <w:spacing w:after="0" w:line="162"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FINANCE LEASES,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Finance leases,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 2015</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21,049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99,706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120,755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(13,337)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(24,084)</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96,671</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2014</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22,045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131,537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Unearned revenue</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(11,580)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(28,724)</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10,465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102,813</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June 30, 2015, future minimum lease payments to be received under finance leases for the remainder of the lease terms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Offshore Energy</w:t>
            </w: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Shipping Containers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18,386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2016</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2,013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25,680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27,693</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53,316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5,344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7,352</w:t>
            </w:r>
          </w:p>
        </w:tc>
      </w:tr>
      <w:tr>
        <w:trPr>
          <w:trHeight w:val="33"/>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2,008</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12,000</w:t>
            </w:r>
          </w:p>
        </w:tc>
      </w:tr>
      <w:tr>
        <w:trPr>
          <w:trHeight w:val="33"/>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21,049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99,706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120,755</w:t>
            </w: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6360" w:hanging="652"/>
        <w:spacing w:after="0" w:line="445" w:lineRule="auto"/>
        <w:tabs>
          <w:tab w:leader="none" w:pos="6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PROPERTY, PLANT AND EQUIPMENT, NET </w:t>
      </w:r>
      <w:r>
        <w:rPr>
          <w:rFonts w:ascii="Arial" w:cs="Arial" w:eastAsia="Arial" w:hAnsi="Arial"/>
          <w:sz w:val="17"/>
          <w:szCs w:val="17"/>
          <w:color w:val="auto"/>
        </w:rPr>
        <w:t>Property, plant and equipment, net is summarized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June 30, 2015</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19,498</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2,921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60,976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63,897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187,692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187,692</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1,157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24,005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265,484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289,489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(5,592)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(7,463)</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22,134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282,026</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 2014</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Railroad</w:t>
            </w:r>
          </w:p>
        </w:tc>
        <w:tc>
          <w:tcPr>
            <w:tcW w:w="10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6"/>
                <w:szCs w:val="16"/>
                <w:b w:val="1"/>
                <w:bCs w:val="1"/>
                <w:color w:val="auto"/>
              </w:rPr>
              <w:t>Jefferson Terminal</w:t>
            </w: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and improvements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15,057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Construction in progress</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146,663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146,663</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Buildings and improvements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Crude oil terminal machinery and equipment</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50,627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50,627</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Track and track related assets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12,022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Railroad equipment</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1,268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1,268</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Railcars and locomotives</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Computer hardware and software</w:t>
            </w:r>
          </w:p>
        </w:tc>
        <w:tc>
          <w:tcPr>
            <w:tcW w:w="3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6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Vehicles</w:t>
            </w:r>
          </w:p>
        </w:tc>
        <w:tc>
          <w:tcPr>
            <w:tcW w:w="320" w:type="dxa"/>
            <w:vAlign w:val="bottom"/>
          </w:tcPr>
          <w:p>
            <w:pPr>
              <w:spacing w:after="0"/>
              <w:rPr>
                <w:sz w:val="20"/>
                <w:szCs w:val="20"/>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579</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209,611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230,435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Less: accumulated depreciation</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(2,107)</w:t>
            </w:r>
          </w:p>
        </w:tc>
      </w:tr>
      <w:tr>
        <w:trPr>
          <w:trHeight w:val="33"/>
        </w:trPr>
        <w:tc>
          <w:tcPr>
            <w:tcW w:w="6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19,862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208,466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228,328</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280"/>
        <w:spacing w:after="0" w:line="302" w:lineRule="auto"/>
        <w:rPr>
          <w:sz w:val="20"/>
          <w:szCs w:val="20"/>
          <w:color w:val="auto"/>
        </w:rPr>
      </w:pPr>
      <w:r>
        <w:rPr>
          <w:rFonts w:ascii="Arial" w:cs="Arial" w:eastAsia="Arial" w:hAnsi="Arial"/>
          <w:sz w:val="16"/>
          <w:szCs w:val="16"/>
          <w:color w:val="auto"/>
        </w:rPr>
        <w:t>During six months ended June 30, 2015 additional property, plant and equipment of $59,170 was acquired, and is mainly related to land and improvements and crude oil machinery and equipment. During the six months ended June 30, 2015, disposals of railroad equipment totaled $116. Depreciation expense for property, plant and equipment was $2,705 and $5,350, for the three and six months ended June 30, 2015, respectively. Depreciation expense for property, plant and equipment was $120 and $120, for the three and six months ended June 30, 2014, respectively.</w:t>
      </w:r>
    </w:p>
    <w:p>
      <w:pPr>
        <w:spacing w:after="0" w:line="150"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ownership interest and carrying values of the Company’s investment in unconsolidated entities: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20" w:type="dxa"/>
            <w:vAlign w:val="bottom"/>
            <w:gridSpan w:val="4"/>
          </w:tcPr>
          <w:p>
            <w:pPr>
              <w:jc w:val="right"/>
              <w:ind w:right="959"/>
              <w:spacing w:after="0"/>
              <w:rPr>
                <w:sz w:val="20"/>
                <w:szCs w:val="20"/>
                <w:color w:val="auto"/>
              </w:rPr>
            </w:pPr>
            <w:r>
              <w:rPr>
                <w:rFonts w:ascii="Arial" w:cs="Arial" w:eastAsia="Arial" w:hAnsi="Arial"/>
                <w:sz w:val="16"/>
                <w:szCs w:val="16"/>
                <w:b w:val="1"/>
                <w:bCs w:val="1"/>
                <w:color w:val="auto"/>
              </w:rPr>
              <w:t>Carrying Value</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Date Acquired</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Ownership</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June 30, 2015</w:t>
            </w:r>
          </w:p>
        </w:tc>
        <w:tc>
          <w:tcPr>
            <w:tcW w:w="140" w:type="dxa"/>
            <w:vAlign w:val="bottom"/>
          </w:tcPr>
          <w:p>
            <w:pPr>
              <w:spacing w:after="0"/>
              <w:rPr>
                <w:sz w:val="17"/>
                <w:szCs w:val="17"/>
                <w:color w:val="auto"/>
              </w:rPr>
            </w:pPr>
          </w:p>
        </w:tc>
        <w:tc>
          <w:tcPr>
            <w:tcW w:w="15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2"/>
              </w:rPr>
              <w:t>December 31, 2014</w:t>
            </w:r>
          </w:p>
        </w:tc>
        <w:tc>
          <w:tcPr>
            <w:tcW w:w="0" w:type="dxa"/>
            <w:vAlign w:val="bottom"/>
          </w:tcPr>
          <w:p>
            <w:pPr>
              <w:spacing w:after="0"/>
              <w:rPr>
                <w:sz w:val="1"/>
                <w:szCs w:val="1"/>
                <w:color w:val="auto"/>
              </w:rPr>
            </w:pPr>
          </w:p>
        </w:tc>
      </w:tr>
      <w:tr>
        <w:trPr>
          <w:trHeight w:val="116"/>
        </w:trPr>
        <w:tc>
          <w:tcPr>
            <w:tcW w:w="5040" w:type="dxa"/>
            <w:vAlign w:val="bottom"/>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Percentage</w:t>
            </w:r>
          </w:p>
        </w:tc>
        <w:tc>
          <w:tcPr>
            <w:tcW w:w="1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0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Intermodal Finance I, Ltd.</w:t>
            </w:r>
          </w:p>
        </w:tc>
        <w:tc>
          <w:tcPr>
            <w:tcW w:w="18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9"/>
              </w:rPr>
              <w:t>September 2012</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51%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22,147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21,569</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Intermodal Finance I, Ltd.</w:t>
      </w:r>
    </w:p>
    <w:p>
      <w:pPr>
        <w:spacing w:after="0" w:line="117" w:lineRule="exact"/>
        <w:rPr>
          <w:sz w:val="20"/>
          <w:szCs w:val="20"/>
          <w:color w:val="auto"/>
        </w:rPr>
      </w:pPr>
    </w:p>
    <w:p>
      <w:pPr>
        <w:ind w:left="660" w:right="160"/>
        <w:spacing w:after="0" w:line="264" w:lineRule="auto"/>
        <w:rPr>
          <w:sz w:val="20"/>
          <w:szCs w:val="20"/>
          <w:color w:val="auto"/>
        </w:rPr>
      </w:pPr>
      <w:r>
        <w:rPr>
          <w:rFonts w:ascii="Arial" w:cs="Arial" w:eastAsia="Arial" w:hAnsi="Arial"/>
          <w:sz w:val="18"/>
          <w:szCs w:val="18"/>
          <w:color w:val="auto"/>
        </w:rPr>
        <w:t>The Company owns a 51% non-controlling interest in Intermodal Finance I, Ltd., a joint venture. Intermodal Finance I, Ltd owns a portfolio of multiple finance leases, representing 6 customers and comprising approximately 66,000 shipping containers as well as a portfolio of approximately 38,000 shipping containers subject to multiple operating leases.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financial information for Intermodal Finance I, Ltd.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300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June 30,</w:t>
            </w:r>
          </w:p>
        </w:tc>
        <w:tc>
          <w:tcPr>
            <w:tcW w:w="280" w:type="dxa"/>
            <w:vAlign w:val="bottom"/>
          </w:tcPr>
          <w:p>
            <w:pPr>
              <w:spacing w:after="0"/>
              <w:rPr>
                <w:sz w:val="18"/>
                <w:szCs w:val="18"/>
                <w:color w:val="auto"/>
              </w:rPr>
            </w:pPr>
          </w:p>
        </w:tc>
        <w:tc>
          <w:tcPr>
            <w:tcW w:w="25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Six Months Ended June 30,</w:t>
            </w:r>
          </w:p>
        </w:tc>
      </w:tr>
      <w:tr>
        <w:trPr>
          <w:trHeight w:val="3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2014</w:t>
            </w:r>
          </w:p>
        </w:tc>
      </w:tr>
      <w:tr>
        <w:trPr>
          <w:trHeight w:val="3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4,176</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5,305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8,494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10,817</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416</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1,337</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815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2,496</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on disposal of equipment</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8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1,913</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2,452</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3,907</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4,971</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88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income</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Net income</w:t>
            </w:r>
          </w:p>
        </w:tc>
        <w:tc>
          <w:tcPr>
            <w:tcW w:w="8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2,297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5,846</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2,297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2,853</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4,621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5,846</w:t>
            </w:r>
          </w:p>
        </w:tc>
      </w:tr>
      <w:tr>
        <w:trPr>
          <w:trHeight w:val="284"/>
        </w:trPr>
        <w:tc>
          <w:tcPr>
            <w:tcW w:w="56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Company's equity in earnings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w w:val="89"/>
              </w:rPr>
              <w:t>1,225</w:t>
            </w:r>
          </w:p>
        </w:tc>
        <w:tc>
          <w:tcPr>
            <w:tcW w:w="12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3,131</w:t>
            </w:r>
          </w:p>
        </w:tc>
      </w:tr>
      <w:tr>
        <w:trPr>
          <w:trHeight w:val="33"/>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w:t>
            </w:r>
          </w:p>
        </w:tc>
        <w:tc>
          <w:tcPr>
            <w:tcW w:w="240" w:type="dxa"/>
            <w:vAlign w:val="bottom"/>
          </w:tcPr>
          <w:p>
            <w:pPr>
              <w:spacing w:after="0"/>
              <w:rPr>
                <w:sz w:val="18"/>
                <w:szCs w:val="18"/>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31,</w:t>
            </w:r>
          </w:p>
        </w:tc>
      </w:tr>
      <w:tr>
        <w:trPr>
          <w:trHeight w:val="270"/>
        </w:trPr>
        <w:tc>
          <w:tcPr>
            <w:tcW w:w="7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right"/>
              <w:ind w:right="61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2014</w:t>
            </w:r>
          </w:p>
        </w:tc>
      </w:tr>
      <w:tr>
        <w:trPr>
          <w:trHeight w:val="3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4,203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5,214</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1,051</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Leasing assets, net of accumulated depreciation of $5,505 and $4,449, respectively</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72,850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74,045</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leases,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62,393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costs, net of accumulated amortization of $724 and $602, respectively</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1,524</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131,178</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146,555</w:t>
            </w:r>
          </w:p>
        </w:tc>
      </w:tr>
      <w:tr>
        <w:trPr>
          <w:trHeight w:val="3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91"/>
        </w:trPr>
        <w:tc>
          <w:tcPr>
            <w:tcW w:w="7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 and accrued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Syndication liabilities</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4,182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5,152</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120,303</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383</w:t>
            </w:r>
          </w:p>
        </w:tc>
      </w:tr>
      <w:tr>
        <w:trPr>
          <w:trHeight w:val="3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106,969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125,995</w:t>
            </w:r>
          </w:p>
        </w:tc>
      </w:tr>
      <w:tr>
        <w:trPr>
          <w:trHeight w:val="291"/>
        </w:trPr>
        <w:tc>
          <w:tcPr>
            <w:tcW w:w="79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Members’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24,209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20,560</w:t>
            </w:r>
          </w:p>
        </w:tc>
      </w:tr>
      <w:tr>
        <w:trPr>
          <w:trHeight w:val="33"/>
        </w:trPr>
        <w:tc>
          <w:tcPr>
            <w:tcW w:w="79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members’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24,209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20,560</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liabilities and members’ equity</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131,178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146,555</w:t>
            </w:r>
          </w:p>
        </w:tc>
      </w:tr>
      <w:tr>
        <w:trPr>
          <w:trHeight w:val="284"/>
        </w:trPr>
        <w:tc>
          <w:tcPr>
            <w:tcW w:w="7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Company’s investment in and advances to unconsolidated entities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22,147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21,569</w:t>
            </w:r>
          </w:p>
        </w:tc>
      </w:tr>
      <w:tr>
        <w:trPr>
          <w:trHeight w:val="33"/>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LIABILITIES, NET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Company’s intangible assets and liabilities, net are summarized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auto"/>
              </w:rPr>
              <w:t>June 30, 2015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20,435</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20,435</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13,799</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35,385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35,610</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(2,948)</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(3,001)</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32,437</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172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32,609</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32,437</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172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46,408</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acquired unfavorable lease intangibles,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7"/>
        </w:trPr>
        <w:tc>
          <w:tcPr>
            <w:tcW w:w="5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December 31, 2014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56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6"/>
                <w:szCs w:val="16"/>
                <w:b w:val="1"/>
                <w:bCs w:val="1"/>
                <w:color w:val="auto"/>
              </w:rPr>
              <w:t>Aviation Leasing</w:t>
            </w:r>
          </w:p>
        </w:tc>
        <w:tc>
          <w:tcPr>
            <w:tcW w:w="1500" w:type="dxa"/>
            <w:vAlign w:val="bottom"/>
            <w:gridSpan w:val="3"/>
          </w:tcPr>
          <w:p>
            <w:pPr>
              <w:ind w:left="40"/>
              <w:spacing w:after="0"/>
              <w:rPr>
                <w:sz w:val="20"/>
                <w:szCs w:val="20"/>
                <w:color w:val="auto"/>
              </w:rPr>
            </w:pPr>
            <w:r>
              <w:rPr>
                <w:rFonts w:ascii="Arial" w:cs="Arial" w:eastAsia="Arial" w:hAnsi="Arial"/>
                <w:sz w:val="16"/>
                <w:szCs w:val="16"/>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Railroad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47"/>
        </w:trPr>
        <w:tc>
          <w:tcPr>
            <w:tcW w:w="56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Intangible assets:</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Acquired favorable lease intangibles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20,435</w:t>
            </w:r>
          </w:p>
        </w:tc>
        <w:tc>
          <w:tcPr>
            <w:tcW w:w="120" w:type="dxa"/>
            <w:vAlign w:val="bottom"/>
          </w:tcPr>
          <w:p>
            <w:pPr>
              <w:spacing w:after="0"/>
              <w:rPr>
                <w:sz w:val="20"/>
                <w:szCs w:val="20"/>
                <w:color w:val="auto"/>
              </w:rPr>
            </w:pPr>
          </w:p>
        </w:tc>
        <w:tc>
          <w:tcPr>
            <w:tcW w:w="44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20,435</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favorable lease intangibles,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17,639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17,639</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91"/>
        </w:trPr>
        <w:tc>
          <w:tcPr>
            <w:tcW w:w="56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2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0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35,385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225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35,610</w:t>
            </w: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(28)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(1,208)</w:t>
            </w:r>
          </w:p>
        </w:tc>
      </w:tr>
      <w:tr>
        <w:trPr>
          <w:trHeight w:val="217"/>
        </w:trPr>
        <w:tc>
          <w:tcPr>
            <w:tcW w:w="5620" w:type="dxa"/>
            <w:vAlign w:val="bottom"/>
          </w:tcPr>
          <w:p>
            <w:pPr>
              <w:ind w:left="40"/>
              <w:spacing w:after="0"/>
              <w:rPr>
                <w:sz w:val="20"/>
                <w:szCs w:val="20"/>
                <w:color w:val="auto"/>
              </w:rPr>
            </w:pPr>
            <w:r>
              <w:rPr>
                <w:rFonts w:ascii="Arial" w:cs="Arial" w:eastAsia="Arial" w:hAnsi="Arial"/>
                <w:sz w:val="16"/>
                <w:szCs w:val="16"/>
                <w:color w:val="auto"/>
              </w:rPr>
              <w:t>Total acquired customer relationships,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34,205</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197</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34,402</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91"/>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17,639</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34,205</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197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52,041</w:t>
            </w:r>
          </w:p>
        </w:tc>
      </w:tr>
      <w:tr>
        <w:trPr>
          <w:trHeight w:val="284"/>
        </w:trPr>
        <w:tc>
          <w:tcPr>
            <w:tcW w:w="5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Intangible liabilities: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 unfavorable lease intangibles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Accumulated amortization</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acquired unfavorable lease intangibles, net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237</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Intangible liabilities relate to unfavorable lease intangibles and are included as a component of other liabilities in the accompanying Consolidated Balance Sheets. Amortization recorded in the Consolidated Statements of Operations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shd w:val="clear" w:color="auto" w:fill="CCEEFF"/>
          </w:tcPr>
          <w:p>
            <w:pPr>
              <w:spacing w:after="0"/>
              <w:rPr>
                <w:sz w:val="18"/>
                <w:szCs w:val="18"/>
                <w:color w:val="auto"/>
              </w:rPr>
            </w:pPr>
          </w:p>
        </w:tc>
        <w:tc>
          <w:tcPr>
            <w:tcW w:w="1420" w:type="dxa"/>
            <w:vAlign w:val="bottom"/>
            <w:gridSpan w:val="4"/>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92"/>
              </w:rPr>
              <w:t>Six Months Ended</w:t>
            </w:r>
          </w:p>
        </w:tc>
        <w:tc>
          <w:tcPr>
            <w:tcW w:w="30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3"/>
              </w:rPr>
              <w:t>Classification in Consolidated Statements</w:t>
            </w:r>
          </w:p>
        </w:tc>
      </w:tr>
      <w:tr>
        <w:trPr>
          <w:trHeight w:val="243"/>
        </w:trPr>
        <w:tc>
          <w:tcPr>
            <w:tcW w:w="2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4"/>
            <w:shd w:val="clear" w:color="auto" w:fill="CCEEFF"/>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of Operations</w:t>
            </w:r>
          </w:p>
        </w:tc>
      </w:tr>
      <w:tr>
        <w:trPr>
          <w:trHeight w:val="231"/>
        </w:trPr>
        <w:tc>
          <w:tcPr>
            <w:tcW w:w="27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4"/>
              </w:rPr>
              <w:t>2014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2014</w:t>
            </w:r>
          </w:p>
        </w:tc>
        <w:tc>
          <w:tcPr>
            <w:tcW w:w="3060" w:type="dxa"/>
            <w:vAlign w:val="bottom"/>
          </w:tcPr>
          <w:p>
            <w:pPr>
              <w:spacing w:after="0"/>
              <w:rPr>
                <w:sz w:val="20"/>
                <w:szCs w:val="20"/>
                <w:color w:val="auto"/>
              </w:rPr>
            </w:pPr>
          </w:p>
        </w:tc>
      </w:tr>
      <w:tr>
        <w:trPr>
          <w:trHeight w:val="33"/>
        </w:trPr>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30"/>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intangibles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leasing revenues</w:t>
            </w:r>
          </w:p>
        </w:tc>
      </w:tr>
      <w:tr>
        <w:trPr>
          <w:trHeight w:val="237"/>
        </w:trPr>
        <w:tc>
          <w:tcPr>
            <w:tcW w:w="272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306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r>
      <w:tr>
        <w:trPr>
          <w:trHeight w:val="33"/>
        </w:trPr>
        <w:tc>
          <w:tcPr>
            <w:tcW w:w="2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3060" w:type="dxa"/>
            <w:vAlign w:val="bottom"/>
            <w:tcBorders>
              <w:bottom w:val="single" w:sz="8" w:color="CCEEFF"/>
            </w:tcBorders>
            <w:shd w:val="clear" w:color="auto" w:fill="CCEEFF"/>
          </w:tcPr>
          <w:p>
            <w:pPr>
              <w:spacing w:after="0"/>
              <w:rPr>
                <w:sz w:val="21"/>
                <w:szCs w:val="21"/>
                <w:color w:val="auto"/>
              </w:rPr>
            </w:pPr>
          </w:p>
        </w:tc>
      </w:tr>
      <w:tr>
        <w:trPr>
          <w:trHeight w:val="20"/>
        </w:trPr>
        <w:tc>
          <w:tcPr>
            <w:tcW w:w="2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estimated net annual amortization of intangibles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ind w:right="519"/>
              <w:spacing w:after="0"/>
              <w:rPr>
                <w:sz w:val="20"/>
                <w:szCs w:val="20"/>
                <w:color w:val="auto"/>
              </w:rPr>
            </w:pPr>
            <w:r>
              <w:rPr>
                <w:rFonts w:ascii="Arial" w:cs="Arial" w:eastAsia="Arial" w:hAnsi="Arial"/>
                <w:sz w:val="16"/>
                <w:szCs w:val="16"/>
                <w:b w:val="1"/>
                <w:bCs w:val="1"/>
                <w:color w:val="auto"/>
              </w:rPr>
              <w:t>June 30, 2015</w:t>
            </w:r>
          </w:p>
        </w:tc>
      </w:tr>
      <w:tr>
        <w:trPr>
          <w:trHeight w:val="33"/>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4,380</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8,093</w:t>
            </w: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6,491</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6,142</w:t>
            </w: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4,568</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16,544</w:t>
            </w:r>
          </w:p>
        </w:tc>
      </w:tr>
      <w:tr>
        <w:trPr>
          <w:trHeight w:val="33"/>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46,218</w:t>
            </w:r>
          </w:p>
        </w:tc>
      </w:tr>
      <w:tr>
        <w:trPr>
          <w:trHeight w:val="20"/>
        </w:trPr>
        <w:tc>
          <w:tcPr>
            <w:tcW w:w="9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r>
              <w:rPr>
                <w:rFonts w:ascii="Arial" w:cs="Arial" w:eastAsia="Arial" w:hAnsi="Arial"/>
                <w:sz w:val="18"/>
                <w:szCs w:val="18"/>
                <w:b w:val="1"/>
                <w:bCs w:val="1"/>
                <w:color w:val="auto"/>
              </w:rPr>
              <w:t>9.</w:t>
            </w:r>
          </w:p>
        </w:tc>
        <w:tc>
          <w:tcPr>
            <w:tcW w:w="7220" w:type="dxa"/>
            <w:vAlign w:val="bottom"/>
          </w:tcPr>
          <w:p>
            <w:pPr>
              <w:ind w:left="440"/>
              <w:spacing w:after="0"/>
              <w:rPr>
                <w:sz w:val="20"/>
                <w:szCs w:val="20"/>
                <w:color w:val="auto"/>
              </w:rPr>
            </w:pPr>
            <w:r>
              <w:rPr>
                <w:rFonts w:ascii="Arial" w:cs="Arial" w:eastAsia="Arial" w:hAnsi="Arial"/>
                <w:sz w:val="18"/>
                <w:szCs w:val="18"/>
                <w:b w:val="1"/>
                <w:bCs w:val="1"/>
                <w:color w:val="auto"/>
              </w:rPr>
              <w:t>DEBT</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7220" w:type="dxa"/>
            <w:vAlign w:val="bottom"/>
          </w:tcPr>
          <w:p>
            <w:pPr>
              <w:ind w:left="440"/>
              <w:spacing w:after="0"/>
              <w:rPr>
                <w:sz w:val="20"/>
                <w:szCs w:val="20"/>
                <w:color w:val="auto"/>
              </w:rPr>
            </w:pPr>
            <w:r>
              <w:rPr>
                <w:rFonts w:ascii="Arial" w:cs="Arial" w:eastAsia="Arial" w:hAnsi="Arial"/>
                <w:sz w:val="18"/>
                <w:szCs w:val="18"/>
                <w:color w:val="auto"/>
              </w:rPr>
              <w:t>Debt is summarized as follows:</w:t>
            </w: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2015</w:t>
            </w:r>
          </w:p>
        </w:tc>
        <w:tc>
          <w:tcPr>
            <w:tcW w:w="200" w:type="dxa"/>
            <w:vAlign w:val="bottom"/>
          </w:tcPr>
          <w:p>
            <w:pPr>
              <w:spacing w:after="0"/>
              <w:rPr>
                <w:sz w:val="24"/>
                <w:szCs w:val="24"/>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2014</w:t>
            </w:r>
          </w:p>
        </w:tc>
        <w:tc>
          <w:tcPr>
            <w:tcW w:w="0" w:type="dxa"/>
            <w:vAlign w:val="bottom"/>
          </w:tcPr>
          <w:p>
            <w:pPr>
              <w:spacing w:after="0"/>
              <w:rPr>
                <w:sz w:val="1"/>
                <w:szCs w:val="1"/>
                <w:color w:val="auto"/>
              </w:rPr>
            </w:pPr>
          </w:p>
        </w:tc>
      </w:tr>
      <w:tr>
        <w:trPr>
          <w:trHeight w:val="33"/>
        </w:trPr>
        <w:tc>
          <w:tcPr>
            <w:tcW w:w="74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Loans payable</w:t>
            </w: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Container Loan #1</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42,040</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Container Loan #2</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17,947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19,115</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FTAI Pride Credit Agreement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73,438</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CMQR Credit Agreement</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9,473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9,416</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Jefferson Terminal Credit Agreement</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99,250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99,750</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loans payable</w:t>
            </w: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235,383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243,759</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Bonds payable</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Series 2010 Bonds</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298,000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298,000</w:t>
            </w:r>
          </w:p>
        </w:tc>
        <w:tc>
          <w:tcPr>
            <w:tcW w:w="0" w:type="dxa"/>
            <w:vAlign w:val="bottom"/>
          </w:tcPr>
          <w:p>
            <w:pPr>
              <w:spacing w:after="0"/>
              <w:rPr>
                <w:sz w:val="1"/>
                <w:szCs w:val="1"/>
                <w:color w:val="auto"/>
              </w:rPr>
            </w:pPr>
          </w:p>
        </w:tc>
      </w:tr>
      <w:tr>
        <w:trPr>
          <w:trHeight w:val="33"/>
        </w:trPr>
        <w:tc>
          <w:tcPr>
            <w:tcW w:w="2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0" w:type="dxa"/>
            <w:vAlign w:val="bottom"/>
            <w:shd w:val="clear" w:color="auto" w:fill="CCEEFF"/>
          </w:tcPr>
          <w:p>
            <w:pPr>
              <w:spacing w:after="0"/>
              <w:rPr>
                <w:sz w:val="19"/>
                <w:szCs w:val="19"/>
                <w:color w:val="auto"/>
              </w:rPr>
            </w:pPr>
          </w:p>
        </w:tc>
        <w:tc>
          <w:tcPr>
            <w:tcW w:w="7220" w:type="dxa"/>
            <w:vAlign w:val="bottom"/>
            <w:shd w:val="clear" w:color="auto" w:fill="CCEEFF"/>
          </w:tcPr>
          <w:p>
            <w:pPr>
              <w:ind w:left="60"/>
              <w:spacing w:after="0"/>
              <w:rPr>
                <w:sz w:val="20"/>
                <w:szCs w:val="20"/>
                <w:color w:val="auto"/>
              </w:rPr>
            </w:pPr>
            <w:r>
              <w:rPr>
                <w:rFonts w:ascii="Arial" w:cs="Arial" w:eastAsia="Arial" w:hAnsi="Arial"/>
                <w:sz w:val="16"/>
                <w:szCs w:val="16"/>
                <w:color w:val="auto"/>
                <w:w w:val="94"/>
              </w:rPr>
              <w:t>Series 2012 Bonds (including unamortized premium of $1,776 and $1,791 at June 30, 2015 and December</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31, 2014,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48,521</w:t>
            </w: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Total bonds payable</w:t>
            </w:r>
          </w:p>
        </w:tc>
        <w:tc>
          <w:tcPr>
            <w:tcW w:w="3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346,506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346,521</w:t>
            </w:r>
          </w:p>
        </w:tc>
        <w:tc>
          <w:tcPr>
            <w:tcW w:w="0" w:type="dxa"/>
            <w:vAlign w:val="bottom"/>
          </w:tcPr>
          <w:p>
            <w:pPr>
              <w:spacing w:after="0"/>
              <w:rPr>
                <w:sz w:val="1"/>
                <w:szCs w:val="1"/>
                <w:color w:val="auto"/>
              </w:rPr>
            </w:pPr>
          </w:p>
        </w:tc>
      </w:tr>
      <w:tr>
        <w:trPr>
          <w:trHeight w:val="33"/>
        </w:trPr>
        <w:tc>
          <w:tcPr>
            <w:tcW w:w="7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Note payable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7220" w:type="dxa"/>
            <w:vAlign w:val="bottom"/>
          </w:tcPr>
          <w:p>
            <w:pPr>
              <w:ind w:left="60"/>
              <w:spacing w:after="0"/>
              <w:rPr>
                <w:sz w:val="20"/>
                <w:szCs w:val="20"/>
                <w:color w:val="auto"/>
              </w:rPr>
            </w:pPr>
            <w:r>
              <w:rPr>
                <w:rFonts w:ascii="Arial" w:cs="Arial" w:eastAsia="Arial" w:hAnsi="Arial"/>
                <w:sz w:val="16"/>
                <w:szCs w:val="16"/>
                <w:color w:val="auto"/>
              </w:rPr>
              <w:t>Note payable to non-controlling interest</w:t>
            </w:r>
          </w:p>
        </w:tc>
        <w:tc>
          <w:tcPr>
            <w:tcW w:w="30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2,385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33"/>
        </w:trPr>
        <w:tc>
          <w:tcPr>
            <w:tcW w:w="220" w:type="dxa"/>
            <w:vAlign w:val="bottom"/>
            <w:tcBorders>
              <w:bottom w:val="single" w:sz="8" w:color="CCEEFF"/>
            </w:tcBorders>
          </w:tcPr>
          <w:p>
            <w:pPr>
              <w:spacing w:after="0"/>
              <w:rPr>
                <w:sz w:val="2"/>
                <w:szCs w:val="2"/>
                <w:color w:val="auto"/>
              </w:rPr>
            </w:pPr>
          </w:p>
        </w:tc>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CCEEFF"/>
            </w:tcBorders>
            <w:shd w:val="clear" w:color="auto" w:fill="CCEEFF"/>
          </w:tcPr>
          <w:p>
            <w:pPr>
              <w:spacing w:after="0"/>
              <w:rPr>
                <w:sz w:val="20"/>
                <w:szCs w:val="20"/>
                <w:color w:val="auto"/>
              </w:rPr>
            </w:pPr>
          </w:p>
        </w:tc>
        <w:tc>
          <w:tcPr>
            <w:tcW w:w="7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Total note payable to non-controlling interest</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2,587</w:t>
            </w:r>
          </w:p>
        </w:tc>
        <w:tc>
          <w:tcPr>
            <w:tcW w:w="0" w:type="dxa"/>
            <w:vAlign w:val="bottom"/>
          </w:tcPr>
          <w:p>
            <w:pPr>
              <w:spacing w:after="0"/>
              <w:rPr>
                <w:sz w:val="1"/>
                <w:szCs w:val="1"/>
                <w:color w:val="auto"/>
              </w:rPr>
            </w:pPr>
          </w:p>
        </w:tc>
      </w:tr>
      <w:tr>
        <w:trPr>
          <w:trHeight w:val="297"/>
        </w:trPr>
        <w:tc>
          <w:tcPr>
            <w:tcW w:w="7440" w:type="dxa"/>
            <w:vAlign w:val="bottom"/>
            <w:tcBorders>
              <w:bottom w:val="single" w:sz="8" w:color="CCEEFF"/>
            </w:tcBorders>
            <w:gridSpan w:val="2"/>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584,274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due within one year</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89" w:lineRule="exact"/>
        <w:rPr>
          <w:sz w:val="20"/>
          <w:szCs w:val="20"/>
          <w:color w:val="auto"/>
        </w:rPr>
      </w:pPr>
    </w:p>
    <w:p>
      <w:pPr>
        <w:ind w:left="1360" w:hanging="704"/>
        <w:spacing w:after="0"/>
        <w:tabs>
          <w:tab w:leader="none" w:pos="1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Observable inputs such as quoted prices in active markets for identical assets or liabilities.</w:t>
      </w:r>
    </w:p>
    <w:p>
      <w:pPr>
        <w:spacing w:after="0" w:line="13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either directly or indirectly, such as quoted prices for similar assets or liabilities or market corroborated inputs.</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and which require the Company to develop its own assumptions about how market participants price the asset or liability.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valuation techniques that may be used to measure fair value are as follows:</w:t>
      </w:r>
    </w:p>
    <w:p>
      <w:pPr>
        <w:spacing w:after="0" w:line="117" w:lineRule="exact"/>
        <w:rPr>
          <w:sz w:val="20"/>
          <w:szCs w:val="20"/>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approach—Uses prices and other relevant information generated by market transactions involving identical or comparable assets or liabilities.</w:t>
      </w:r>
    </w:p>
    <w:p>
      <w:pPr>
        <w:spacing w:after="0" w:line="62"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Income approach—Uses valuation techniques to convert future amounts to a single present amount based on current market expectations about those future amounts.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Cost approach—Based on the amount that currently would be required to replace the service capacity of an asset (replacement cost).</w:t>
      </w:r>
    </w:p>
    <w:p>
      <w:pPr>
        <w:spacing w:after="0" w:line="88"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The following tables set forth the Company’s financial assets measured at fair value on a recurring basis as of June 30, 2015 and December 31, 2014, by level within the fair value hierarchy. Assets measured at fair value are classified in their entirety based on the lowest level of input that is significant to their fair value measurement.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2015</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June 30, 2015</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6"/>
                <w:szCs w:val="16"/>
                <w:color w:val="auto"/>
              </w:rPr>
              <w:t>Assets: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571,314</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571,314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ind w:left="10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17,750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Derivative assets</w:t>
            </w:r>
          </w:p>
        </w:tc>
        <w:tc>
          <w:tcPr>
            <w:tcW w:w="22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80" w:type="dxa"/>
            <w:vAlign w:val="bottom"/>
          </w:tcPr>
          <w:p>
            <w:pPr>
              <w:ind w:left="102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589,151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589,064</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Fair Value as of</w:t>
            </w:r>
          </w:p>
        </w:tc>
        <w:tc>
          <w:tcPr>
            <w:tcW w:w="200" w:type="dxa"/>
            <w:vAlign w:val="bottom"/>
          </w:tcPr>
          <w:p>
            <w:pPr>
              <w:spacing w:after="0"/>
              <w:rPr>
                <w:sz w:val="18"/>
                <w:szCs w:val="18"/>
                <w:color w:val="auto"/>
              </w:rPr>
            </w:pPr>
          </w:p>
        </w:tc>
        <w:tc>
          <w:tcPr>
            <w:tcW w:w="41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Fair Value Measurements Using Fair Value Hierarchy as of</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 2014</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December 31, 2014</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Valuation Technique</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20"/>
                <w:szCs w:val="20"/>
                <w:color w:val="auto"/>
              </w:rPr>
            </w:pPr>
          </w:p>
        </w:tc>
        <w:tc>
          <w:tcPr>
            <w:tcW w:w="1420" w:type="dxa"/>
            <w:vAlign w:val="bottom"/>
            <w:gridSpan w:val="2"/>
          </w:tcPr>
          <w:p>
            <w:pPr>
              <w:ind w:left="30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Level 2</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520" w:type="dxa"/>
            <w:vAlign w:val="bottom"/>
            <w:gridSpan w:val="3"/>
            <w:shd w:val="clear" w:color="auto" w:fill="CCEEFF"/>
          </w:tcPr>
          <w:p>
            <w:pPr>
              <w:ind w:left="40"/>
              <w:spacing w:after="0" w:line="183" w:lineRule="exact"/>
              <w:rPr>
                <w:sz w:val="20"/>
                <w:szCs w:val="20"/>
                <w:color w:val="auto"/>
              </w:rPr>
            </w:pPr>
            <w:r>
              <w:rPr>
                <w:rFonts w:ascii="Arial" w:cs="Arial" w:eastAsia="Arial" w:hAnsi="Arial"/>
                <w:sz w:val="16"/>
                <w:szCs w:val="16"/>
                <w:color w:val="auto"/>
              </w:rPr>
              <w:t>Assets:</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22,125</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22,125</w:t>
            </w:r>
          </w:p>
        </w:tc>
        <w:tc>
          <w:tcPr>
            <w:tcW w:w="14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21,084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21,084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Market</w:t>
            </w:r>
          </w:p>
        </w:tc>
        <w:tc>
          <w:tcPr>
            <w:tcW w:w="0" w:type="dxa"/>
            <w:vAlign w:val="bottom"/>
          </w:tcPr>
          <w:p>
            <w:pPr>
              <w:spacing w:after="0"/>
              <w:rPr>
                <w:sz w:val="1"/>
                <w:szCs w:val="1"/>
                <w:color w:val="auto"/>
              </w:rPr>
            </w:pPr>
          </w:p>
        </w:tc>
      </w:tr>
      <w:tr>
        <w:trPr>
          <w:trHeight w:val="237"/>
        </w:trPr>
        <w:tc>
          <w:tcPr>
            <w:tcW w:w="2520" w:type="dxa"/>
            <w:vAlign w:val="bottom"/>
            <w:gridSpan w:val="3"/>
          </w:tcPr>
          <w:p>
            <w:pPr>
              <w:ind w:left="40"/>
              <w:spacing w:after="0"/>
              <w:rPr>
                <w:sz w:val="20"/>
                <w:szCs w:val="20"/>
                <w:color w:val="auto"/>
              </w:rPr>
            </w:pPr>
            <w:r>
              <w:rPr>
                <w:rFonts w:ascii="Arial" w:cs="Arial" w:eastAsia="Arial" w:hAnsi="Arial"/>
                <w:sz w:val="16"/>
                <w:szCs w:val="16"/>
                <w:color w:val="auto"/>
              </w:rPr>
              <w:t>Derivative assets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6"/>
                <w:szCs w:val="16"/>
                <w:color w:val="auto"/>
                <w:w w:val="91"/>
              </w:rPr>
              <w:t>Income</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43,441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43,209</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June 30, 2015 and December 31, 2014, the Company had no liabilities that were measured at fair value on a recurring basis.</w:t>
      </w:r>
    </w:p>
    <w:p>
      <w:pPr>
        <w:spacing w:after="0" w:line="117" w:lineRule="exact"/>
        <w:rPr>
          <w:sz w:val="20"/>
          <w:szCs w:val="20"/>
          <w:color w:val="auto"/>
        </w:rPr>
      </w:pPr>
    </w:p>
    <w:p>
      <w:pPr>
        <w:ind w:left="660" w:right="80"/>
        <w:spacing w:after="0" w:line="276" w:lineRule="auto"/>
        <w:rPr>
          <w:sz w:val="20"/>
          <w:szCs w:val="20"/>
          <w:color w:val="auto"/>
        </w:rPr>
      </w:pPr>
      <w:r>
        <w:rPr>
          <w:rFonts w:ascii="Arial" w:cs="Arial" w:eastAsia="Arial" w:hAnsi="Arial"/>
          <w:sz w:val="17"/>
          <w:szCs w:val="17"/>
          <w:color w:val="auto"/>
        </w:rPr>
        <w:t>The Company’s cash and cash equivalents and restricted cash consist largely of demand deposit accounts with initial maturities of 90 days or less that are considered to be highly liquid and easily tradable. These instruments are valued using inputs observable in active markets for identical instruments and are therefore classified as Level 1 within the fair value hierarchy. The Company’s derivatives are valued using discounted cash flow models with observable market inputs (i.e., cash rates, futures rates, swap rates and contractual cash flows) that can be verified and do not involve significant judgments and are therefore classified as Level 2 within the fair value hierarchy.</w:t>
      </w:r>
    </w:p>
    <w:p>
      <w:pPr>
        <w:spacing w:after="0" w:line="64"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Except as discussed below, the Company’s financial instruments other than cash and cash equivalents, restricted cash, and derivatives consist principally of accounts receivable, tendered bonds, accounts payable and accrued liabilities, bonds payable, security deposits, maintenance deposits and management fees payable, whose fair value approximates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their carrying value based on an evaluation of pricing data, vendor quotes, and historical trading activity or due to their short maturity profiles.</w:t>
      </w:r>
    </w:p>
    <w:p>
      <w:pPr>
        <w:spacing w:after="0" w:line="129" w:lineRule="exact"/>
        <w:rPr>
          <w:sz w:val="20"/>
          <w:szCs w:val="20"/>
          <w:color w:val="auto"/>
        </w:rPr>
      </w:pPr>
    </w:p>
    <w:p>
      <w:pPr>
        <w:ind w:left="660" w:right="200"/>
        <w:spacing w:after="0" w:line="302" w:lineRule="auto"/>
        <w:rPr>
          <w:sz w:val="20"/>
          <w:szCs w:val="20"/>
          <w:color w:val="auto"/>
        </w:rPr>
      </w:pPr>
      <w:r>
        <w:rPr>
          <w:rFonts w:ascii="Arial" w:cs="Arial" w:eastAsia="Arial" w:hAnsi="Arial"/>
          <w:sz w:val="16"/>
          <w:szCs w:val="16"/>
          <w:color w:val="auto"/>
        </w:rPr>
        <w:t>The Company’s note receivable at June 30, 2015 and December 31, 2014, which is included as a component of other assets in the accompanying Consolidated Balance Sheet, consists of a $3,725 loan bearing interest at 12.0% made to the Company’s joint venture partner in MT 6015 (Note 2) which is collateralized by other property owned by the joint venture partner. The fair value of this note receivable approximates its carrying value due to it bearing a market rate of interest for similar types of loans and is classified as Level 2 within the fair value hierarchy.</w:t>
      </w:r>
    </w:p>
    <w:p>
      <w:pPr>
        <w:spacing w:after="0" w:line="46"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The fair values of Container Loan #1 and Container Loan #2, reported in Debt in the Consolidated Balance Sheet at June 30, 2015 and December 31, 2014, was approximately $38,773 and $42,515, respectively, and $18,090 and $19,129, respectively, based upon current market interest rates for similar types of loans . The fair value of Series 2012 bonds, reported in Debt in the Consolidated Balance Sheet, was approximately $49,178 at June 30, 2015 and approximated carrying value at December 31, 2014, based upon market prices for similar municipal securities. The fair values of all other items reported as Debt in the Consolidated Balance Sheet approximate their carrying values due to their bearing market rates of interest, and are classified as Level 2 within the fair value hierarchy.</w:t>
      </w:r>
    </w:p>
    <w:p>
      <w:pPr>
        <w:spacing w:after="0" w:line="70"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equipment held for lease owned by the Company.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six months ended June 30, 2015 and 2014, no impairment charges were recognized.</w:t>
      </w:r>
    </w:p>
    <w:p>
      <w:pPr>
        <w:spacing w:after="0" w:line="221"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Components of revenue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20" w:type="dxa"/>
            <w:vAlign w:val="bottom"/>
            <w:gridSpan w:val="7"/>
          </w:tcPr>
          <w:p>
            <w:pPr>
              <w:ind w:left="40"/>
              <w:spacing w:after="0"/>
              <w:rPr>
                <w:sz w:val="20"/>
                <w:szCs w:val="20"/>
                <w:color w:val="auto"/>
              </w:rPr>
            </w:pPr>
            <w:r>
              <w:rPr>
                <w:rFonts w:ascii="Arial" w:cs="Arial" w:eastAsia="Arial" w:hAnsi="Arial"/>
                <w:sz w:val="16"/>
                <w:szCs w:val="16"/>
                <w:b w:val="1"/>
                <w:bCs w:val="1"/>
                <w:color w:val="auto"/>
                <w:w w:val="95"/>
              </w:rPr>
              <w:t>Three Months Ended June 30, 2015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60" w:type="dxa"/>
            <w:vAlign w:val="bottom"/>
            <w:gridSpan w:val="5"/>
          </w:tcPr>
          <w:p>
            <w:pPr>
              <w:jc w:val="center"/>
              <w:ind w:right="39"/>
              <w:spacing w:after="0"/>
              <w:rPr>
                <w:sz w:val="20"/>
                <w:szCs w:val="20"/>
                <w:color w:val="auto"/>
              </w:rPr>
            </w:pPr>
            <w:r>
              <w:rPr>
                <w:rFonts w:ascii="Arial" w:cs="Arial" w:eastAsia="Arial" w:hAnsi="Arial"/>
                <w:sz w:val="16"/>
                <w:szCs w:val="16"/>
                <w:b w:val="1"/>
                <w:bCs w:val="1"/>
                <w:color w:val="auto"/>
                <w:w w:val="92"/>
              </w:rPr>
              <w:t>Equipment Leasing</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99"/>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8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9,808</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6,337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16,145</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Maintenance revenue</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3,999</w:t>
            </w:r>
          </w:p>
        </w:tc>
      </w:tr>
      <w:tr>
        <w:trPr>
          <w:trHeight w:val="237"/>
        </w:trPr>
        <w:tc>
          <w:tcPr>
            <w:tcW w:w="4000" w:type="dxa"/>
            <w:vAlign w:val="bottom"/>
          </w:tcPr>
          <w:p>
            <w:pPr>
              <w:ind w:left="500"/>
              <w:spacing w:after="0"/>
              <w:rPr>
                <w:sz w:val="20"/>
                <w:szCs w:val="20"/>
                <w:color w:val="auto"/>
              </w:rPr>
            </w:pPr>
            <w:r>
              <w:rPr>
                <w:rFonts w:ascii="Arial" w:cs="Arial" w:eastAsia="Arial" w:hAnsi="Arial"/>
                <w:sz w:val="16"/>
                <w:szCs w:val="16"/>
                <w:color w:val="auto"/>
              </w:rPr>
              <w:t>Finance 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2,288</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w:t>
            </w: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b w:val="1"/>
                <w:bCs w:val="1"/>
                <w:color w:val="auto"/>
              </w:rPr>
              <w:t>Total equipment leasing revenues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22,633</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Lease income</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1,410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1,410</w:t>
            </w:r>
          </w:p>
        </w:tc>
      </w:tr>
      <w:tr>
        <w:trPr>
          <w:trHeight w:val="33"/>
        </w:trPr>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Rail revenues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5,558</w:t>
            </w:r>
          </w:p>
        </w:tc>
      </w:tr>
      <w:tr>
        <w:trPr>
          <w:trHeight w:val="237"/>
        </w:trPr>
        <w:tc>
          <w:tcPr>
            <w:tcW w:w="4000" w:type="dxa"/>
            <w:vAlign w:val="bottom"/>
          </w:tcPr>
          <w:p>
            <w:pPr>
              <w:ind w:left="540"/>
              <w:spacing w:after="0"/>
              <w:rPr>
                <w:sz w:val="20"/>
                <w:szCs w:val="20"/>
                <w:color w:val="auto"/>
              </w:rPr>
            </w:pPr>
            <w:r>
              <w:rPr>
                <w:rFonts w:ascii="Arial" w:cs="Arial" w:eastAsia="Arial" w:hAnsi="Arial"/>
                <w:sz w:val="16"/>
                <w:szCs w:val="16"/>
                <w:color w:val="auto"/>
              </w:rPr>
              <w:t>Terminal services revenues</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3,963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3,963</w:t>
            </w:r>
          </w:p>
        </w:tc>
      </w:tr>
      <w:tr>
        <w:trPr>
          <w:trHeight w:val="33"/>
        </w:trPr>
        <w:tc>
          <w:tcPr>
            <w:tcW w:w="4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b w:val="1"/>
                <w:bCs w:val="1"/>
                <w:color w:val="auto"/>
              </w:rPr>
              <w:t>Total infrastructure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10,931</w:t>
            </w: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5,373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33,564</w:t>
            </w: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9"/>
          </w:tcPr>
          <w:p>
            <w:pPr>
              <w:ind w:left="20"/>
              <w:spacing w:after="0"/>
              <w:rPr>
                <w:sz w:val="20"/>
                <w:szCs w:val="20"/>
                <w:color w:val="auto"/>
              </w:rPr>
            </w:pPr>
            <w:r>
              <w:rPr>
                <w:rFonts w:ascii="Arial" w:cs="Arial" w:eastAsia="Arial" w:hAnsi="Arial"/>
                <w:sz w:val="16"/>
                <w:szCs w:val="16"/>
                <w:b w:val="1"/>
                <w:bCs w:val="1"/>
                <w:color w:val="auto"/>
                <w:w w:val="91"/>
              </w:rPr>
              <w:t>Three Months Ended June 30, 2014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gridSpan w:val="7"/>
          </w:tcPr>
          <w:p>
            <w:pPr>
              <w:ind w:left="540"/>
              <w:spacing w:after="0"/>
              <w:rPr>
                <w:sz w:val="20"/>
                <w:szCs w:val="20"/>
                <w:color w:val="auto"/>
              </w:rPr>
            </w:pPr>
            <w:r>
              <w:rPr>
                <w:rFonts w:ascii="Arial" w:cs="Arial" w:eastAsia="Arial" w:hAnsi="Arial"/>
                <w:sz w:val="16"/>
                <w:szCs w:val="16"/>
                <w:b w:val="1"/>
                <w:bCs w:val="1"/>
                <w:color w:val="auto"/>
              </w:rPr>
              <w:t>Infrastructure</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Aviation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Shipping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Jefferson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0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Leasing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Containers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460"/>
              <w:spacing w:after="0"/>
              <w:rPr>
                <w:sz w:val="20"/>
                <w:szCs w:val="20"/>
                <w:color w:val="auto"/>
              </w:rPr>
            </w:pPr>
            <w:r>
              <w:rPr>
                <w:rFonts w:ascii="Arial" w:cs="Arial" w:eastAsia="Arial" w:hAnsi="Arial"/>
                <w:sz w:val="16"/>
                <w:szCs w:val="16"/>
                <w:color w:val="auto"/>
              </w:rPr>
              <w:t>Lease income</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3,947</w:t>
            </w:r>
          </w:p>
        </w:tc>
        <w:tc>
          <w:tcPr>
            <w:tcW w:w="340" w:type="dxa"/>
            <w:vAlign w:val="bottom"/>
            <w:gridSpan w:val="4"/>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1,866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5,813</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Maintenance revenue</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460"/>
              <w:spacing w:after="0"/>
              <w:rPr>
                <w:sz w:val="20"/>
                <w:szCs w:val="20"/>
                <w:color w:val="auto"/>
              </w:rPr>
            </w:pPr>
            <w:r>
              <w:rPr>
                <w:rFonts w:ascii="Arial" w:cs="Arial" w:eastAsia="Arial" w:hAnsi="Arial"/>
                <w:sz w:val="16"/>
                <w:szCs w:val="16"/>
                <w:color w:val="auto"/>
              </w:rPr>
              <w:t>Finance lease income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438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2,099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2,537</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revenue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3960" w:type="dxa"/>
            <w:vAlign w:val="bottom"/>
          </w:tcPr>
          <w:p>
            <w:pPr>
              <w:ind w:left="460"/>
              <w:spacing w:after="0"/>
              <w:rPr>
                <w:sz w:val="20"/>
                <w:szCs w:val="20"/>
                <w:color w:val="auto"/>
              </w:rPr>
            </w:pPr>
            <w:r>
              <w:rPr>
                <w:rFonts w:ascii="Arial" w:cs="Arial" w:eastAsia="Arial" w:hAnsi="Arial"/>
                <w:sz w:val="16"/>
                <w:szCs w:val="16"/>
                <w:b w:val="1"/>
                <w:bCs w:val="1"/>
                <w:color w:val="auto"/>
              </w:rPr>
              <w:t>Total equipment leasing revenues</w:t>
            </w:r>
          </w:p>
        </w:tc>
        <w:tc>
          <w:tcPr>
            <w:tcW w:w="2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5,324</w:t>
            </w:r>
          </w:p>
        </w:tc>
        <w:tc>
          <w:tcPr>
            <w:tcW w:w="120" w:type="dxa"/>
            <w:vAlign w:val="bottom"/>
            <w:gridSpan w:val="2"/>
          </w:tcPr>
          <w:p>
            <w:pPr>
              <w:spacing w:after="0"/>
              <w:rPr>
                <w:sz w:val="18"/>
                <w:szCs w:val="18"/>
                <w:color w:val="auto"/>
              </w:rPr>
            </w:pPr>
          </w:p>
        </w:tc>
        <w:tc>
          <w:tcPr>
            <w:tcW w:w="22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40" w:type="dxa"/>
            <w:vAlign w:val="bottom"/>
            <w:tcBorders>
              <w:top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gridSpan w:val="2"/>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9,751</w:t>
            </w:r>
          </w:p>
        </w:tc>
        <w:tc>
          <w:tcPr>
            <w:tcW w:w="20" w:type="dxa"/>
            <w:vAlign w:val="bottom"/>
            <w:tcBorders>
              <w:top w:val="single" w:sz="8" w:color="auto"/>
            </w:tcBorders>
          </w:tcPr>
          <w:p>
            <w:pPr>
              <w:spacing w:after="0"/>
              <w:rPr>
                <w:sz w:val="18"/>
                <w:szCs w:val="18"/>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500"/>
              <w:spacing w:after="0"/>
              <w:rPr>
                <w:sz w:val="20"/>
                <w:szCs w:val="20"/>
                <w:color w:val="auto"/>
              </w:rPr>
            </w:pPr>
            <w:r>
              <w:rPr>
                <w:rFonts w:ascii="Arial" w:cs="Arial" w:eastAsia="Arial" w:hAnsi="Arial"/>
                <w:sz w:val="16"/>
                <w:szCs w:val="16"/>
                <w:color w:val="auto"/>
              </w:rPr>
              <w:t>Lease income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Rail revenues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500"/>
              <w:spacing w:after="0"/>
              <w:rPr>
                <w:sz w:val="20"/>
                <w:szCs w:val="20"/>
                <w:color w:val="auto"/>
              </w:rPr>
            </w:pPr>
            <w:r>
              <w:rPr>
                <w:rFonts w:ascii="Arial" w:cs="Arial" w:eastAsia="Arial" w:hAnsi="Arial"/>
                <w:sz w:val="16"/>
                <w:szCs w:val="16"/>
                <w:color w:val="auto"/>
              </w:rPr>
              <w:t>Terminal services revenues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Total infrastructure revenues</w:t>
            </w:r>
          </w:p>
        </w:tc>
        <w:tc>
          <w:tcPr>
            <w:tcW w:w="2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4"/>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4"/>
        </w:trPr>
        <w:tc>
          <w:tcPr>
            <w:tcW w:w="40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revenues</w:t>
            </w: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5,324</w:t>
            </w:r>
          </w:p>
        </w:tc>
        <w:tc>
          <w:tcPr>
            <w:tcW w:w="120" w:type="dxa"/>
            <w:vAlign w:val="bottom"/>
            <w:gridSpan w:val="2"/>
          </w:tcPr>
          <w:p>
            <w:pPr>
              <w:spacing w:after="0"/>
              <w:rPr>
                <w:sz w:val="21"/>
                <w:szCs w:val="21"/>
                <w:color w:val="auto"/>
              </w:rPr>
            </w:pPr>
          </w:p>
        </w:tc>
        <w:tc>
          <w:tcPr>
            <w:tcW w:w="2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2,123</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gridSpan w:val="2"/>
          </w:tcPr>
          <w:p>
            <w:pPr>
              <w:ind w:left="700"/>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4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10,735</w:t>
            </w:r>
          </w:p>
        </w:tc>
        <w:tc>
          <w:tcPr>
            <w:tcW w:w="20" w:type="dxa"/>
            <w:vAlign w:val="bottom"/>
            <w:tcBorders>
              <w:top w:val="single" w:sz="8" w:color="auto"/>
              <w:bottom w:val="single" w:sz="8" w:color="auto"/>
            </w:tcBorders>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67"/>
        </w:trPr>
        <w:tc>
          <w:tcPr>
            <w:tcW w:w="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8"/>
          </w:tcPr>
          <w:p>
            <w:pPr>
              <w:spacing w:after="0"/>
              <w:rPr>
                <w:sz w:val="20"/>
                <w:szCs w:val="20"/>
                <w:color w:val="auto"/>
              </w:rPr>
            </w:pPr>
            <w:r>
              <w:rPr>
                <w:rFonts w:ascii="Arial" w:cs="Arial" w:eastAsia="Arial" w:hAnsi="Arial"/>
                <w:sz w:val="16"/>
                <w:szCs w:val="16"/>
                <w:b w:val="1"/>
                <w:bCs w:val="1"/>
                <w:color w:val="auto"/>
                <w:w w:val="95"/>
              </w:rPr>
              <w:t>Six Months Ended June 30, 2015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7"/>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6"/>
          </w:tcPr>
          <w:p>
            <w:pPr>
              <w:jc w:val="center"/>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7"/>
          </w:tcPr>
          <w:p>
            <w:pPr>
              <w:ind w:left="500"/>
              <w:spacing w:after="0"/>
              <w:rPr>
                <w:sz w:val="20"/>
                <w:szCs w:val="20"/>
                <w:color w:val="auto"/>
              </w:rPr>
            </w:pPr>
            <w:r>
              <w:rPr>
                <w:rFonts w:ascii="Arial" w:cs="Arial" w:eastAsia="Arial" w:hAnsi="Arial"/>
                <w:sz w:val="16"/>
                <w:szCs w:val="16"/>
                <w:b w:val="1"/>
                <w:bCs w:val="1"/>
                <w:color w:val="auto"/>
              </w:rPr>
              <w:t>Infrastructure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Aviation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Shipping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Leasing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Containers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Terminal</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Railroad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33"/>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19,547</w:t>
            </w:r>
          </w:p>
        </w:tc>
        <w:tc>
          <w:tcPr>
            <w:tcW w:w="34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12,603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8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32,150</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7,385</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7,385</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829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3,770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4,599</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3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1,537</w:t>
            </w:r>
          </w:p>
        </w:tc>
        <w:tc>
          <w:tcPr>
            <w:tcW w:w="20" w:type="dxa"/>
            <w:vAlign w:val="bottom"/>
          </w:tcPr>
          <w:p>
            <w:pPr>
              <w:spacing w:after="0"/>
              <w:rPr>
                <w:sz w:val="23"/>
                <w:szCs w:val="23"/>
                <w:color w:val="auto"/>
              </w:rPr>
            </w:pPr>
          </w:p>
        </w:tc>
      </w:tr>
      <w:tr>
        <w:trPr>
          <w:trHeight w:val="217"/>
        </w:trPr>
        <w:tc>
          <w:tcPr>
            <w:tcW w:w="40" w:type="dxa"/>
            <w:vAlign w:val="bottom"/>
          </w:tcPr>
          <w:p>
            <w:pPr>
              <w:spacing w:after="0"/>
              <w:rPr>
                <w:sz w:val="18"/>
                <w:szCs w:val="18"/>
                <w:color w:val="auto"/>
              </w:rPr>
            </w:pPr>
          </w:p>
        </w:tc>
        <w:tc>
          <w:tcPr>
            <w:tcW w:w="396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28,052</w:t>
            </w:r>
          </w:p>
        </w:tc>
        <w:tc>
          <w:tcPr>
            <w:tcW w:w="40" w:type="dxa"/>
            <w:vAlign w:val="bottom"/>
            <w:tcBorders>
              <w:top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13,799</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45,671</w:t>
            </w:r>
          </w:p>
        </w:tc>
        <w:tc>
          <w:tcPr>
            <w:tcW w:w="2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2,820</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11,847</w:t>
            </w:r>
          </w:p>
        </w:tc>
        <w:tc>
          <w:tcPr>
            <w:tcW w:w="2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396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7,199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7,199</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10,019</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11,847</w:t>
            </w: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21,866</w:t>
            </w:r>
          </w:p>
        </w:tc>
        <w:tc>
          <w:tcPr>
            <w:tcW w:w="20" w:type="dxa"/>
            <w:vAlign w:val="bottom"/>
          </w:tcPr>
          <w:p>
            <w:pPr>
              <w:spacing w:after="0"/>
              <w:rPr>
                <w:sz w:val="21"/>
                <w:szCs w:val="21"/>
                <w:color w:val="auto"/>
              </w:rPr>
            </w:pPr>
          </w:p>
        </w:tc>
      </w:tr>
      <w:tr>
        <w:trPr>
          <w:trHeight w:val="244"/>
        </w:trPr>
        <w:tc>
          <w:tcPr>
            <w:tcW w:w="40" w:type="dxa"/>
            <w:vAlign w:val="bottom"/>
          </w:tcPr>
          <w:p>
            <w:pPr>
              <w:spacing w:after="0"/>
              <w:rPr>
                <w:sz w:val="21"/>
                <w:szCs w:val="21"/>
                <w:color w:val="auto"/>
              </w:rPr>
            </w:pPr>
          </w:p>
        </w:tc>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28,052</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13,799</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3,820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11,847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67,537</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spacing w:after="0"/>
              <w:rPr>
                <w:sz w:val="20"/>
                <w:szCs w:val="20"/>
                <w:color w:val="auto"/>
              </w:rPr>
            </w:pPr>
            <w:r>
              <w:rPr>
                <w:rFonts w:ascii="Arial" w:cs="Arial" w:eastAsia="Arial" w:hAnsi="Arial"/>
                <w:sz w:val="16"/>
                <w:szCs w:val="16"/>
                <w:b w:val="1"/>
                <w:bCs w:val="1"/>
                <w:color w:val="auto"/>
                <w:w w:val="98"/>
              </w:rPr>
              <w:t>Six Months Ended June 30, 2014</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2"/>
              </w:rPr>
              <w:t>Equipment Leasing</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00" w:type="dxa"/>
            <w:vAlign w:val="bottom"/>
            <w:gridSpan w:val="5"/>
          </w:tcPr>
          <w:p>
            <w:pPr>
              <w:ind w:left="520"/>
              <w:spacing w:after="0"/>
              <w:rPr>
                <w:sz w:val="20"/>
                <w:szCs w:val="20"/>
                <w:color w:val="auto"/>
              </w:rPr>
            </w:pPr>
            <w:r>
              <w:rPr>
                <w:rFonts w:ascii="Arial" w:cs="Arial" w:eastAsia="Arial" w:hAnsi="Arial"/>
                <w:sz w:val="16"/>
                <w:szCs w:val="16"/>
                <w:b w:val="1"/>
                <w:bCs w:val="1"/>
                <w:color w:val="auto"/>
              </w:rPr>
              <w:t>Infrastructure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219"/>
              <w:spacing w:after="0"/>
              <w:rPr>
                <w:sz w:val="20"/>
                <w:szCs w:val="20"/>
                <w:color w:val="auto"/>
              </w:rPr>
            </w:pPr>
            <w:r>
              <w:rPr>
                <w:rFonts w:ascii="Arial" w:cs="Arial" w:eastAsia="Arial" w:hAnsi="Arial"/>
                <w:sz w:val="16"/>
                <w:szCs w:val="16"/>
                <w:b w:val="1"/>
                <w:bCs w:val="1"/>
                <w:color w:val="auto"/>
              </w:rPr>
              <w:t>Aviation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Offshore</w:t>
            </w:r>
          </w:p>
        </w:tc>
        <w:tc>
          <w:tcPr>
            <w:tcW w:w="14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Jefferson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Leasing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Energy</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Terminal</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Railroad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Equipment leasing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Lease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5,987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3,711</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9,698</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Maintenance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2,604</w:t>
            </w:r>
          </w:p>
        </w:tc>
      </w:tr>
      <w:tr>
        <w:trPr>
          <w:trHeight w:val="237"/>
        </w:trPr>
        <w:tc>
          <w:tcPr>
            <w:tcW w:w="4000" w:type="dxa"/>
            <w:vAlign w:val="bottom"/>
          </w:tcPr>
          <w:p>
            <w:pPr>
              <w:ind w:left="480"/>
              <w:spacing w:after="0"/>
              <w:rPr>
                <w:sz w:val="20"/>
                <w:szCs w:val="20"/>
                <w:color w:val="auto"/>
              </w:rPr>
            </w:pPr>
            <w:r>
              <w:rPr>
                <w:rFonts w:ascii="Arial" w:cs="Arial" w:eastAsia="Arial" w:hAnsi="Arial"/>
                <w:sz w:val="16"/>
                <w:szCs w:val="16"/>
                <w:color w:val="auto"/>
              </w:rPr>
              <w:t>Finance 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5,095</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Other revenue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r>
      <w:tr>
        <w:trPr>
          <w:trHeight w:val="217"/>
        </w:trPr>
        <w:tc>
          <w:tcPr>
            <w:tcW w:w="4000" w:type="dxa"/>
            <w:vAlign w:val="bottom"/>
          </w:tcPr>
          <w:p>
            <w:pPr>
              <w:ind w:left="480"/>
              <w:spacing w:after="0"/>
              <w:rPr>
                <w:sz w:val="20"/>
                <w:szCs w:val="20"/>
                <w:color w:val="auto"/>
              </w:rPr>
            </w:pPr>
            <w:r>
              <w:rPr>
                <w:rFonts w:ascii="Arial" w:cs="Arial" w:eastAsia="Arial" w:hAnsi="Arial"/>
                <w:sz w:val="16"/>
                <w:szCs w:val="16"/>
                <w:b w:val="1"/>
                <w:bCs w:val="1"/>
                <w:color w:val="auto"/>
              </w:rPr>
              <w:t>Total equipment leasing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8,591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4,280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17,447</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Lease income</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Rail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r>
      <w:tr>
        <w:trPr>
          <w:trHeight w:val="237"/>
        </w:trPr>
        <w:tc>
          <w:tcPr>
            <w:tcW w:w="4000" w:type="dxa"/>
            <w:vAlign w:val="bottom"/>
          </w:tcPr>
          <w:p>
            <w:pPr>
              <w:ind w:left="520"/>
              <w:spacing w:after="0"/>
              <w:rPr>
                <w:sz w:val="20"/>
                <w:szCs w:val="20"/>
                <w:color w:val="auto"/>
              </w:rPr>
            </w:pPr>
            <w:r>
              <w:rPr>
                <w:rFonts w:ascii="Arial" w:cs="Arial" w:eastAsia="Arial" w:hAnsi="Arial"/>
                <w:sz w:val="16"/>
                <w:szCs w:val="16"/>
                <w:color w:val="auto"/>
              </w:rPr>
              <w:t>Terminal services revenues</w:t>
            </w:r>
          </w:p>
        </w:tc>
        <w:tc>
          <w:tcPr>
            <w:tcW w:w="18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ind w:left="6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infrastructure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r>
      <w:tr>
        <w:trPr>
          <w:trHeight w:val="244"/>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8,591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4,280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18,431</w:t>
            </w: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Minimum future annual revenues contracted to be received under existing operating leases of equipment at June 30, 2015 are as follows: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ind w:right="519"/>
              <w:spacing w:after="0"/>
              <w:rPr>
                <w:sz w:val="20"/>
                <w:szCs w:val="20"/>
                <w:color w:val="auto"/>
              </w:rPr>
            </w:pPr>
            <w:r>
              <w:rPr>
                <w:rFonts w:ascii="Arial" w:cs="Arial" w:eastAsia="Arial" w:hAnsi="Arial"/>
                <w:sz w:val="16"/>
                <w:szCs w:val="16"/>
                <w:b w:val="1"/>
                <w:bCs w:val="1"/>
                <w:color w:val="auto"/>
              </w:rPr>
              <w:t>June 30, 2015</w:t>
            </w:r>
          </w:p>
        </w:tc>
      </w:tr>
      <w:tr>
        <w:trPr>
          <w:trHeight w:val="33"/>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27,768</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44,413</w:t>
            </w: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31,513</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23,768</w:t>
            </w: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9,857</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3,218</w:t>
            </w:r>
          </w:p>
        </w:tc>
      </w:tr>
      <w:tr>
        <w:trPr>
          <w:trHeight w:val="33"/>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140,537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w:t>
      </w:r>
    </w:p>
    <w:p>
      <w:pPr>
        <w:spacing w:after="0" w:line="121" w:lineRule="exact"/>
        <w:rPr>
          <w:rFonts w:ascii="Arial" w:cs="Arial" w:eastAsia="Arial" w:hAnsi="Arial"/>
          <w:sz w:val="18"/>
          <w:szCs w:val="18"/>
          <w:b w:val="1"/>
          <w:bCs w:val="1"/>
          <w:color w:val="auto"/>
        </w:rPr>
      </w:pPr>
    </w:p>
    <w:p>
      <w:pPr>
        <w:ind w:left="6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2015, subsequent to the IPO,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 Amounts are in thousands except share data.</w:t>
      </w:r>
    </w:p>
    <w:p>
      <w:pPr>
        <w:spacing w:after="0" w:line="63" w:lineRule="exact"/>
        <w:rPr>
          <w:rFonts w:ascii="Arial" w:cs="Arial" w:eastAsia="Arial" w:hAnsi="Arial"/>
          <w:sz w:val="18"/>
          <w:szCs w:val="18"/>
          <w:b w:val="1"/>
          <w:bCs w:val="1"/>
          <w:color w:val="auto"/>
        </w:rPr>
      </w:pPr>
    </w:p>
    <w:p>
      <w:pPr>
        <w:ind w:left="6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June 30, 2015, the Incentive Plan provides for the issuance of up to 30,000,000 shares. The Company accounts for equity-based compensation expense in accordance with Accounting Standards Codification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and is reported within Operating Expenses and General and Administrative in the Consolidated Statements of Operations.</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Stock Options</w:t>
      </w:r>
    </w:p>
    <w:p>
      <w:pPr>
        <w:spacing w:after="0" w:line="117"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June 2015, the Company issued an aggregate of 15,000 stock options (5,000 options each) to its three independent directors pursuant to the Incentive Plan with a grant date fair value of $24 which immediately vested upon grant and expire after 10 years. The fair value of each stock option was estimated on the date of grant using a Black-Scholes option valuation model using the following assumptions: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8"/>
                <w:szCs w:val="18"/>
                <w:color w:val="auto"/>
                <w:w w:val="91"/>
              </w:rPr>
              <w:t>Six Months Ended June</w:t>
            </w:r>
          </w:p>
        </w:tc>
      </w:tr>
      <w:tr>
        <w:trPr>
          <w:trHeight w:val="230"/>
        </w:trPr>
        <w:tc>
          <w:tcPr>
            <w:tcW w:w="240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30, 2015</w:t>
            </w:r>
          </w:p>
        </w:tc>
      </w:tr>
      <w:tr>
        <w:trPr>
          <w:trHeight w:val="27"/>
        </w:trPr>
        <w:tc>
          <w:tcPr>
            <w:tcW w:w="2400" w:type="dxa"/>
            <w:vAlign w:val="bottom"/>
            <w:tcBorders>
              <w:bottom w:val="single" w:sz="8" w:color="CCEEFF"/>
            </w:tcBorders>
          </w:tcPr>
          <w:p>
            <w:pPr>
              <w:spacing w:after="0"/>
              <w:rPr>
                <w:sz w:val="2"/>
                <w:szCs w:val="2"/>
                <w:color w:val="auto"/>
              </w:rPr>
            </w:pPr>
          </w:p>
        </w:tc>
        <w:tc>
          <w:tcPr>
            <w:tcW w:w="72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9"/>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72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0"/>
              </w:rPr>
              <w:t>Due to the lack of historical data for the Company’s own stock, the Company has based</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28%</w:t>
            </w:r>
          </w:p>
        </w:tc>
      </w:tr>
      <w:tr>
        <w:trPr>
          <w:trHeight w:val="216"/>
        </w:trPr>
        <w:tc>
          <w:tcPr>
            <w:tcW w:w="2400" w:type="dxa"/>
            <w:vAlign w:val="bottom"/>
            <w:shd w:val="clear" w:color="auto" w:fill="CCEEFF"/>
          </w:tcPr>
          <w:p>
            <w:pPr>
              <w:spacing w:after="0"/>
              <w:rPr>
                <w:sz w:val="18"/>
                <w:szCs w:val="18"/>
                <w:color w:val="auto"/>
              </w:rPr>
            </w:pPr>
          </w:p>
        </w:tc>
        <w:tc>
          <w:tcPr>
            <w:tcW w:w="72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its expected volatility on a representative peer group with similar business</w:t>
            </w:r>
          </w:p>
        </w:tc>
        <w:tc>
          <w:tcPr>
            <w:tcW w:w="1820" w:type="dxa"/>
            <w:vAlign w:val="bottom"/>
            <w:shd w:val="clear" w:color="auto" w:fill="CCEEFF"/>
          </w:tcPr>
          <w:p>
            <w:pPr>
              <w:spacing w:after="0"/>
              <w:rPr>
                <w:sz w:val="18"/>
                <w:szCs w:val="18"/>
                <w:color w:val="auto"/>
              </w:rPr>
            </w:pPr>
          </w:p>
        </w:tc>
      </w:tr>
      <w:tr>
        <w:trPr>
          <w:trHeight w:val="237"/>
        </w:trPr>
        <w:tc>
          <w:tcPr>
            <w:tcW w:w="240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characteristics.</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29"/>
        </w:trPr>
        <w:tc>
          <w:tcPr>
            <w:tcW w:w="240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7200" w:type="dxa"/>
            <w:vAlign w:val="bottom"/>
          </w:tcPr>
          <w:p>
            <w:pPr>
              <w:ind w:left="840"/>
              <w:spacing w:after="0"/>
              <w:rPr>
                <w:sz w:val="20"/>
                <w:szCs w:val="20"/>
                <w:color w:val="auto"/>
              </w:rPr>
            </w:pPr>
            <w:r>
              <w:rPr>
                <w:rFonts w:ascii="Arial" w:cs="Arial" w:eastAsia="Arial" w:hAnsi="Arial"/>
                <w:sz w:val="18"/>
                <w:szCs w:val="18"/>
                <w:color w:val="auto"/>
                <w:w w:val="97"/>
              </w:rPr>
              <w:t>The risk-free rate is determined using the implied yield currently available on U.S.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2.4%</w:t>
            </w:r>
          </w:p>
        </w:tc>
      </w:tr>
      <w:tr>
        <w:trPr>
          <w:trHeight w:val="230"/>
        </w:trPr>
        <w:tc>
          <w:tcPr>
            <w:tcW w:w="2400" w:type="dxa"/>
            <w:vAlign w:val="bottom"/>
          </w:tcPr>
          <w:p>
            <w:pPr>
              <w:spacing w:after="0"/>
              <w:rPr>
                <w:sz w:val="20"/>
                <w:szCs w:val="20"/>
                <w:color w:val="auto"/>
              </w:rPr>
            </w:pPr>
          </w:p>
        </w:tc>
        <w:tc>
          <w:tcPr>
            <w:tcW w:w="7200" w:type="dxa"/>
            <w:vAlign w:val="bottom"/>
          </w:tcPr>
          <w:p>
            <w:pPr>
              <w:ind w:left="840"/>
              <w:spacing w:after="0"/>
              <w:rPr>
                <w:sz w:val="20"/>
                <w:szCs w:val="20"/>
                <w:color w:val="auto"/>
              </w:rPr>
            </w:pPr>
            <w:r>
              <w:rPr>
                <w:rFonts w:ascii="Arial" w:cs="Arial" w:eastAsia="Arial" w:hAnsi="Arial"/>
                <w:sz w:val="18"/>
                <w:szCs w:val="18"/>
                <w:color w:val="auto"/>
                <w:w w:val="93"/>
              </w:rPr>
              <w:t>government bonds with a term consistent with the expected term on the date of grant.</w:t>
            </w:r>
          </w:p>
        </w:tc>
        <w:tc>
          <w:tcPr>
            <w:tcW w:w="18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40"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dividend yield</w:t>
      </w:r>
      <w:r>
        <w:rPr>
          <w:sz w:val="20"/>
          <w:szCs w:val="20"/>
          <w:color w:val="auto"/>
        </w:rPr>
        <w:tab/>
      </w:r>
      <w:r>
        <w:rPr>
          <w:rFonts w:ascii="Arial" w:cs="Arial" w:eastAsia="Arial" w:hAnsi="Arial"/>
          <w:sz w:val="16"/>
          <w:szCs w:val="16"/>
          <w:color w:val="auto"/>
        </w:rPr>
        <w:t>The expected dividend yield is based on management’s current expected dividend rate.</w:t>
      </w:r>
    </w:p>
    <w:p>
      <w:pPr>
        <w:spacing w:after="0" w:line="63"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8"/>
          <w:szCs w:val="18"/>
          <w:color w:val="auto"/>
        </w:rPr>
        <w:t>Expected term</w:t>
      </w:r>
      <w:r>
        <w:rPr>
          <w:sz w:val="20"/>
          <w:szCs w:val="20"/>
          <w:color w:val="auto"/>
        </w:rPr>
        <w:tab/>
      </w:r>
      <w:r>
        <w:rPr>
          <w:rFonts w:ascii="Arial" w:cs="Arial" w:eastAsia="Arial" w:hAnsi="Arial"/>
          <w:sz w:val="16"/>
          <w:szCs w:val="16"/>
          <w:color w:val="auto"/>
        </w:rPr>
        <w:t>Expected term used represents the period of time the options granted are expected to be</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outstanding.</w:t>
      </w:r>
    </w:p>
    <w:p>
      <w:pPr>
        <w:spacing w:after="0" w:line="292" w:lineRule="exact"/>
        <w:rPr>
          <w:sz w:val="20"/>
          <w:szCs w:val="20"/>
          <w:color w:val="auto"/>
        </w:rPr>
      </w:pPr>
    </w:p>
    <w:tbl>
      <w:tblPr>
        <w:tblLayout w:type="fixed"/>
        <w:tblInd w:w="676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360" w:type="dxa"/>
            <w:vAlign w:val="bottom"/>
            <w:vMerge w:val="restart"/>
          </w:tcPr>
          <w:p>
            <w:pPr>
              <w:jc w:val="center"/>
              <w:ind w:left="50"/>
              <w:spacing w:after="0"/>
              <w:rPr>
                <w:sz w:val="20"/>
                <w:szCs w:val="20"/>
                <w:color w:val="auto"/>
              </w:rPr>
            </w:pPr>
            <w:r>
              <w:rPr>
                <w:rFonts w:ascii="Arial" w:cs="Arial" w:eastAsia="Arial" w:hAnsi="Arial"/>
                <w:sz w:val="18"/>
                <w:szCs w:val="18"/>
                <w:color w:val="auto"/>
                <w:w w:val="90"/>
              </w:rPr>
              <w:t>Weighted-</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restart"/>
          </w:tcPr>
          <w:p>
            <w:pPr>
              <w:jc w:val="center"/>
              <w:ind w:left="70"/>
              <w:spacing w:after="0"/>
              <w:rPr>
                <w:sz w:val="20"/>
                <w:szCs w:val="20"/>
                <w:color w:val="auto"/>
              </w:rPr>
            </w:pPr>
            <w:r>
              <w:rPr>
                <w:rFonts w:ascii="Arial" w:cs="Arial" w:eastAsia="Arial" w:hAnsi="Arial"/>
                <w:sz w:val="18"/>
                <w:szCs w:val="18"/>
                <w:color w:val="auto"/>
                <w:w w:val="89"/>
              </w:rPr>
              <w:t>Average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vMerge w:val="restart"/>
          </w:tcPr>
          <w:p>
            <w:pPr>
              <w:spacing w:after="0"/>
              <w:rPr>
                <w:sz w:val="20"/>
                <w:szCs w:val="20"/>
                <w:color w:val="auto"/>
              </w:rPr>
            </w:pPr>
            <w:r>
              <w:rPr>
                <w:rFonts w:ascii="Arial" w:cs="Arial" w:eastAsia="Arial" w:hAnsi="Arial"/>
                <w:sz w:val="18"/>
                <w:szCs w:val="18"/>
                <w:color w:val="auto"/>
              </w:rPr>
              <w:t>Options</w:t>
            </w: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2"/>
              </w:rPr>
              <w:t>Remaining</w:t>
            </w:r>
          </w:p>
        </w:tc>
        <w:tc>
          <w:tcPr>
            <w:tcW w:w="0" w:type="dxa"/>
            <w:vAlign w:val="bottom"/>
          </w:tcPr>
          <w:p>
            <w:pPr>
              <w:spacing w:after="0"/>
              <w:rPr>
                <w:sz w:val="1"/>
                <w:szCs w:val="1"/>
                <w:color w:val="auto"/>
              </w:rPr>
            </w:pPr>
          </w:p>
        </w:tc>
      </w:tr>
      <w:tr>
        <w:trPr>
          <w:trHeight w:val="108"/>
        </w:trPr>
        <w:tc>
          <w:tcPr>
            <w:tcW w:w="780" w:type="dxa"/>
            <w:vAlign w:val="bottom"/>
            <w:vMerge w:val="continue"/>
          </w:tcPr>
          <w:p>
            <w:pPr>
              <w:spacing w:after="0"/>
              <w:rPr>
                <w:sz w:val="9"/>
                <w:szCs w:val="9"/>
                <w:color w:val="auto"/>
              </w:rPr>
            </w:pPr>
          </w:p>
        </w:tc>
        <w:tc>
          <w:tcPr>
            <w:tcW w:w="1360" w:type="dxa"/>
            <w:vAlign w:val="bottom"/>
            <w:vMerge w:val="restart"/>
          </w:tcPr>
          <w:p>
            <w:pPr>
              <w:jc w:val="center"/>
              <w:ind w:left="70"/>
              <w:spacing w:after="0"/>
              <w:rPr>
                <w:sz w:val="20"/>
                <w:szCs w:val="20"/>
                <w:color w:val="auto"/>
              </w:rPr>
            </w:pPr>
            <w:r>
              <w:rPr>
                <w:rFonts w:ascii="Arial" w:cs="Arial" w:eastAsia="Arial" w:hAnsi="Arial"/>
                <w:sz w:val="18"/>
                <w:szCs w:val="18"/>
                <w:color w:val="auto"/>
                <w:w w:val="90"/>
              </w:rPr>
              <w:t>Exercise Price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Contractual</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vMerge w:val="restart"/>
          </w:tcPr>
          <w:p>
            <w:pPr>
              <w:jc w:val="center"/>
              <w:ind w:left="50"/>
              <w:spacing w:after="0"/>
              <w:rPr>
                <w:sz w:val="20"/>
                <w:szCs w:val="20"/>
                <w:color w:val="auto"/>
              </w:rPr>
            </w:pPr>
            <w:r>
              <w:rPr>
                <w:rFonts w:ascii="Arial" w:cs="Arial" w:eastAsia="Arial" w:hAnsi="Arial"/>
                <w:sz w:val="18"/>
                <w:szCs w:val="18"/>
                <w:color w:val="auto"/>
                <w:w w:val="88"/>
              </w:rPr>
              <w:t>(per share)</w:t>
            </w: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7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1"/>
              </w:rPr>
              <w:t>Term (in years)</w:t>
            </w: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6.50%</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Aggregate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Intrinsic Value</w:t>
      </w:r>
    </w:p>
    <w:p>
      <w:pPr>
        <w:spacing w:after="0" w:line="363" w:lineRule="exact"/>
        <w:rPr>
          <w:sz w:val="20"/>
          <w:szCs w:val="20"/>
          <w:color w:val="auto"/>
        </w:rPr>
      </w:pPr>
    </w:p>
    <w:p>
      <w:pPr>
        <w:sectPr>
          <w:pgSz w:w="11900" w:h="16838" w:orient="portrait"/>
          <w:cols w:equalWidth="0" w:num="2">
            <w:col w:w="10100" w:space="160"/>
            <w:col w:w="11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outstanding at January 1, 2015</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2060" w:type="dxa"/>
            <w:vAlign w:val="bottom"/>
            <w:tcBorders>
              <w:top w:val="single" w:sz="8" w:color="auto"/>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spacing w:after="0"/>
              <w:rPr>
                <w:sz w:val="22"/>
                <w:szCs w:val="22"/>
                <w:color w:val="auto"/>
              </w:rPr>
            </w:pPr>
          </w:p>
        </w:tc>
        <w:tc>
          <w:tcPr>
            <w:tcW w:w="72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2060" w:type="dxa"/>
            <w:vAlign w:val="bottom"/>
          </w:tcPr>
          <w:p>
            <w:pPr>
              <w:jc w:val="right"/>
              <w:ind w:right="1250"/>
              <w:spacing w:after="0"/>
              <w:rPr>
                <w:sz w:val="20"/>
                <w:szCs w:val="20"/>
                <w:color w:val="auto"/>
              </w:rPr>
            </w:pPr>
            <w:r>
              <w:rPr>
                <w:rFonts w:ascii="Arial" w:cs="Arial" w:eastAsia="Arial" w:hAnsi="Arial"/>
                <w:sz w:val="18"/>
                <w:szCs w:val="18"/>
                <w:color w:val="auto"/>
              </w:rPr>
              <w:t>16.98</w:t>
            </w: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Forfeited and cancelled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 outstanding and exercisable as of June 30, 2015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6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Shares</w:t>
      </w:r>
    </w:p>
    <w:p>
      <w:pPr>
        <w:spacing w:after="0" w:line="117" w:lineRule="exact"/>
        <w:rPr>
          <w:sz w:val="20"/>
          <w:szCs w:val="20"/>
          <w:color w:val="auto"/>
        </w:rPr>
      </w:pPr>
    </w:p>
    <w:p>
      <w:pPr>
        <w:ind w:left="660" w:right="180"/>
        <w:spacing w:after="0" w:line="272" w:lineRule="auto"/>
        <w:rPr>
          <w:sz w:val="20"/>
          <w:szCs w:val="20"/>
          <w:color w:val="auto"/>
        </w:rPr>
      </w:pPr>
      <w:r>
        <w:rPr>
          <w:rFonts w:ascii="Arial" w:cs="Arial" w:eastAsia="Arial" w:hAnsi="Arial"/>
          <w:sz w:val="17"/>
          <w:szCs w:val="17"/>
          <w:color w:val="auto"/>
        </w:rPr>
        <w:t>The Company has granted employees of a subsidiary equity based compensation consisting of 1.3 million restricted shares of such subsidiary’s equity instruments in exchange for services to be provided. One award for 1.25 million restricted shares vests in three tranches over three years, subject to continued employment and the achievement of three separate performance conditions based on EBITDA for that subsidiary, as defined. The award expires in August 2017. The award is equity based, with compensation expense recognized ratably over the remaining service period when it is probable that the performance conditions will be achieved. The grant date fair value of the award is $23,879 which was based on the fair value per share on August 27, 2014, the date of grant, and estimated using a market approach. As of June 30, 2015, the achievement of one performance condition representing 50% of the grant value remains probable.</w:t>
      </w:r>
    </w:p>
    <w:p>
      <w:pPr>
        <w:spacing w:after="0" w:line="70"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A second award vests over four years, subject to continued employment. The grant date fair value of the award is $800, which is based on the fair value per share on the date of grant, estimated using a market approach.</w:t>
      </w:r>
    </w:p>
    <w:p>
      <w:pPr>
        <w:spacing w:after="0" w:line="62" w:lineRule="exact"/>
        <w:rPr>
          <w:sz w:val="20"/>
          <w:szCs w:val="20"/>
          <w:color w:val="auto"/>
        </w:rPr>
      </w:pPr>
    </w:p>
    <w:p>
      <w:pPr>
        <w:ind w:left="660" w:right="20"/>
        <w:spacing w:after="0" w:line="375" w:lineRule="auto"/>
        <w:rPr>
          <w:sz w:val="20"/>
          <w:szCs w:val="20"/>
          <w:color w:val="auto"/>
        </w:rPr>
      </w:pPr>
      <w:r>
        <w:rPr>
          <w:rFonts w:ascii="Arial" w:cs="Arial" w:eastAsia="Arial" w:hAnsi="Arial"/>
          <w:sz w:val="18"/>
          <w:szCs w:val="18"/>
          <w:color w:val="auto"/>
        </w:rPr>
        <w:t xml:space="preserve">All restricted shares were outstanding and unvested as of June 30, 2015 and December 31, 2014. The awards have an assumed forfeiture rate of zero. </w:t>
      </w:r>
      <w:r>
        <w:rPr>
          <w:rFonts w:ascii="Arial" w:cs="Arial" w:eastAsia="Arial" w:hAnsi="Arial"/>
          <w:sz w:val="18"/>
          <w:szCs w:val="18"/>
          <w:i w:val="1"/>
          <w:iCs w:val="1"/>
          <w:color w:val="auto"/>
        </w:rPr>
        <w:t>Common Units</w:t>
      </w:r>
    </w:p>
    <w:p>
      <w:pPr>
        <w:spacing w:after="0" w:line="1" w:lineRule="exact"/>
        <w:rPr>
          <w:sz w:val="20"/>
          <w:szCs w:val="20"/>
          <w:color w:val="auto"/>
        </w:rPr>
      </w:pPr>
    </w:p>
    <w:p>
      <w:pPr>
        <w:ind w:left="660" w:right="120"/>
        <w:spacing w:after="0" w:line="279" w:lineRule="auto"/>
        <w:rPr>
          <w:sz w:val="20"/>
          <w:szCs w:val="20"/>
          <w:color w:val="auto"/>
        </w:rPr>
      </w:pPr>
      <w:r>
        <w:rPr>
          <w:rFonts w:ascii="Arial" w:cs="Arial" w:eastAsia="Arial" w:hAnsi="Arial"/>
          <w:sz w:val="17"/>
          <w:szCs w:val="17"/>
          <w:color w:val="auto"/>
        </w:rPr>
        <w:t>The Company has granted employees of a subsidiary equity based compensation consisting of 1.4 million common units of such subsidiary’s equity instruments with an aggregate grant date fair value of $1,752 in exchange for services to be provided. The awards have varying terms, ranging between 16 and 36 months, and vest subject to continued employment through each respective vesting date. The awards are equity based, with compensation expense recognized ratably over the vesting periods. The awards have an assumed forfeiture rate of zero.</w:t>
      </w:r>
    </w:p>
    <w:p>
      <w:pPr>
        <w:spacing w:after="0" w:line="63" w:lineRule="exact"/>
        <w:rPr>
          <w:sz w:val="20"/>
          <w:szCs w:val="20"/>
          <w:color w:val="auto"/>
        </w:rPr>
      </w:pPr>
    </w:p>
    <w:p>
      <w:pPr>
        <w:jc w:val="both"/>
        <w:ind w:left="660" w:right="240"/>
        <w:spacing w:after="0" w:line="286" w:lineRule="auto"/>
        <w:rPr>
          <w:sz w:val="20"/>
          <w:szCs w:val="20"/>
          <w:color w:val="auto"/>
        </w:rPr>
      </w:pPr>
      <w:r>
        <w:rPr>
          <w:rFonts w:ascii="Arial" w:cs="Arial" w:eastAsia="Arial" w:hAnsi="Arial"/>
          <w:sz w:val="17"/>
          <w:szCs w:val="17"/>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Income includes the following expense related to the Company’s stock-based compensation arrangements: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w w:val="92"/>
              </w:rPr>
              <w:t>Three Months Ended June</w:t>
            </w:r>
          </w:p>
        </w:tc>
        <w:tc>
          <w:tcPr>
            <w:tcW w:w="5040" w:type="dxa"/>
            <w:vAlign w:val="bottom"/>
            <w:gridSpan w:val="4"/>
          </w:tcPr>
          <w:p>
            <w:pPr>
              <w:ind w:left="60"/>
              <w:spacing w:after="0"/>
              <w:rPr>
                <w:sz w:val="20"/>
                <w:szCs w:val="20"/>
                <w:color w:val="auto"/>
              </w:rPr>
            </w:pPr>
            <w:r>
              <w:rPr>
                <w:rFonts w:ascii="Arial" w:cs="Arial" w:eastAsia="Arial" w:hAnsi="Arial"/>
                <w:sz w:val="18"/>
                <w:szCs w:val="18"/>
                <w:color w:val="auto"/>
                <w:w w:val="91"/>
              </w:rPr>
              <w:t>Six Months Ended June 30, Remaining Expense To Be Recognized,</w:t>
            </w:r>
          </w:p>
        </w:tc>
      </w:tr>
      <w:tr>
        <w:trPr>
          <w:trHeight w:val="230"/>
        </w:trPr>
        <w:tc>
          <w:tcPr>
            <w:tcW w:w="4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30, 2015</w:t>
            </w:r>
          </w:p>
        </w:tc>
        <w:tc>
          <w:tcPr>
            <w:tcW w:w="52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780" w:type="dxa"/>
            <w:vAlign w:val="bottom"/>
          </w:tcPr>
          <w:p>
            <w:pPr>
              <w:jc w:val="right"/>
              <w:ind w:right="150"/>
              <w:spacing w:after="0"/>
              <w:rPr>
                <w:sz w:val="20"/>
                <w:szCs w:val="20"/>
                <w:color w:val="auto"/>
              </w:rPr>
            </w:pPr>
            <w:r>
              <w:rPr>
                <w:rFonts w:ascii="Arial" w:cs="Arial" w:eastAsia="Arial" w:hAnsi="Arial"/>
                <w:sz w:val="18"/>
                <w:szCs w:val="18"/>
                <w:color w:val="auto"/>
                <w:w w:val="97"/>
              </w:rPr>
              <w:t>If All Vesting Conditions Are Met</w:t>
            </w:r>
          </w:p>
        </w:tc>
      </w:tr>
      <w:tr>
        <w:trPr>
          <w:trHeight w:val="27"/>
        </w:trPr>
        <w:tc>
          <w:tcPr>
            <w:tcW w:w="4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Restricted Shares</w:t>
            </w:r>
          </w:p>
        </w:tc>
        <w:tc>
          <w:tcPr>
            <w:tcW w:w="4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919</w:t>
            </w:r>
          </w:p>
        </w:tc>
        <w:tc>
          <w:tcPr>
            <w:tcW w:w="5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21"/>
                <w:szCs w:val="21"/>
                <w:color w:val="auto"/>
              </w:rPr>
            </w:pPr>
          </w:p>
        </w:tc>
        <w:tc>
          <w:tcPr>
            <w:tcW w:w="2780" w:type="dxa"/>
            <w:vAlign w:val="bottom"/>
          </w:tcPr>
          <w:p>
            <w:pPr>
              <w:jc w:val="right"/>
              <w:ind w:right="10"/>
              <w:spacing w:after="0"/>
              <w:rPr>
                <w:sz w:val="20"/>
                <w:szCs w:val="20"/>
                <w:color w:val="auto"/>
              </w:rPr>
            </w:pPr>
            <w:r>
              <w:rPr>
                <w:rFonts w:ascii="Arial" w:cs="Arial" w:eastAsia="Arial" w:hAnsi="Arial"/>
                <w:sz w:val="18"/>
                <w:szCs w:val="18"/>
                <w:color w:val="auto"/>
              </w:rPr>
              <w:t>21,769</w:t>
            </w:r>
          </w:p>
        </w:tc>
      </w:tr>
      <w:tr>
        <w:trPr>
          <w:trHeight w:val="27"/>
        </w:trPr>
        <w:tc>
          <w:tcPr>
            <w:tcW w:w="4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43"/>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Units</w:t>
            </w:r>
          </w:p>
        </w:tc>
        <w:tc>
          <w:tcPr>
            <w:tcW w:w="4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5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21"/>
                <w:szCs w:val="21"/>
                <w:color w:val="auto"/>
              </w:rPr>
            </w:pPr>
          </w:p>
        </w:tc>
        <w:tc>
          <w:tcPr>
            <w:tcW w:w="2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r>
      <w:tr>
        <w:trPr>
          <w:trHeight w:val="27"/>
        </w:trPr>
        <w:tc>
          <w:tcPr>
            <w:tcW w:w="4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6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current and deferred components of the income tax expense included in the Consolidated Statements of Operations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2860" w:type="dxa"/>
            <w:vAlign w:val="bottom"/>
            <w:gridSpan w:val="4"/>
          </w:tcPr>
          <w:p>
            <w:pPr>
              <w:ind w:left="640"/>
              <w:spacing w:after="0"/>
              <w:rPr>
                <w:sz w:val="20"/>
                <w:szCs w:val="20"/>
                <w:color w:val="auto"/>
              </w:rPr>
            </w:pPr>
            <w:r>
              <w:rPr>
                <w:rFonts w:ascii="Arial" w:cs="Arial" w:eastAsia="Arial" w:hAnsi="Arial"/>
                <w:sz w:val="16"/>
                <w:szCs w:val="16"/>
                <w:b w:val="1"/>
                <w:bCs w:val="1"/>
                <w:color w:val="auto"/>
                <w:w w:val="97"/>
              </w:rPr>
              <w:t>Three Months Ended June 30,</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3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360" w:type="dxa"/>
            <w:vAlign w:val="bottom"/>
          </w:tcPr>
          <w:p>
            <w:pPr>
              <w:spacing w:after="0"/>
              <w:rPr>
                <w:sz w:val="20"/>
                <w:szCs w:val="20"/>
                <w:color w:val="auto"/>
              </w:rPr>
            </w:pPr>
          </w:p>
        </w:tc>
        <w:tc>
          <w:tcPr>
            <w:tcW w:w="1120" w:type="dxa"/>
            <w:vAlign w:val="bottom"/>
          </w:tcPr>
          <w:p>
            <w:pPr>
              <w:ind w:left="640"/>
              <w:spacing w:after="0"/>
              <w:rPr>
                <w:sz w:val="20"/>
                <w:szCs w:val="20"/>
                <w:color w:val="auto"/>
              </w:rPr>
            </w:pPr>
            <w:r>
              <w:rPr>
                <w:rFonts w:ascii="Arial" w:cs="Arial" w:eastAsia="Arial" w:hAnsi="Arial"/>
                <w:sz w:val="16"/>
                <w:szCs w:val="16"/>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2014</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Federal</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340" w:type="dxa"/>
            <w:vAlign w:val="bottom"/>
          </w:tcPr>
          <w:p>
            <w:pPr>
              <w:spacing w:after="0"/>
              <w:rPr>
                <w:sz w:val="20"/>
                <w:szCs w:val="20"/>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Foreign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provision</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r>
      <w:tr>
        <w:trPr>
          <w:trHeight w:val="318"/>
        </w:trPr>
        <w:tc>
          <w:tcPr>
            <w:tcW w:w="4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Federal</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185</w:t>
            </w:r>
          </w:p>
        </w:tc>
      </w:tr>
      <w:tr>
        <w:trPr>
          <w:trHeight w:val="33"/>
        </w:trPr>
        <w:tc>
          <w:tcPr>
            <w:tcW w:w="4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 and local</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4360" w:type="dxa"/>
            <w:vAlign w:val="bottom"/>
          </w:tcPr>
          <w:p>
            <w:pPr>
              <w:ind w:left="160"/>
              <w:spacing w:after="0"/>
              <w:rPr>
                <w:sz w:val="20"/>
                <w:szCs w:val="20"/>
                <w:color w:val="auto"/>
              </w:rPr>
            </w:pPr>
            <w:r>
              <w:rPr>
                <w:rFonts w:ascii="Arial" w:cs="Arial" w:eastAsia="Arial" w:hAnsi="Arial"/>
                <w:sz w:val="16"/>
                <w:szCs w:val="16"/>
                <w:color w:val="auto"/>
              </w:rPr>
              <w:t>Foreign</w:t>
            </w:r>
          </w:p>
        </w:tc>
        <w:tc>
          <w:tcPr>
            <w:tcW w:w="1120" w:type="dxa"/>
            <w:vAlign w:val="bottom"/>
          </w:tcPr>
          <w:p>
            <w:pPr>
              <w:spacing w:after="0"/>
              <w:rPr>
                <w:sz w:val="20"/>
                <w:szCs w:val="20"/>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deferred provision</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318"/>
        </w:trPr>
        <w:tc>
          <w:tcPr>
            <w:tcW w:w="43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for income taxes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c>
          <w:tcPr>
            <w:tcW w:w="3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558</w:t>
            </w:r>
          </w:p>
        </w:tc>
      </w:tr>
      <w:tr>
        <w:trPr>
          <w:trHeight w:val="20"/>
        </w:trPr>
        <w:tc>
          <w:tcPr>
            <w:tcW w:w="4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181"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The Company’s effective tax rate differs from the U.S. federal tax rate of 35% primarily due to a significant portion of its income that is not subject to U.S. corporate tax rates or that is deemed to be foreign sourced and is either not taxable or taxable at effectively lower tax rates.</w:t>
      </w:r>
    </w:p>
    <w:p>
      <w:pPr>
        <w:spacing w:after="0" w:line="147"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As of and for the six months ended June 30, 2015, the Company had not established a liability for uncertain tax positions as no such positions existed. In general, the Company’s tax returns and the tax returns of its corporate subsidiaries are subject to U.S. federal, state and foreign income tax examinations by tax authorities. Generally, the Company is not subject to examination by taxing authorities for tax years prior to 2011. The Company does not believe that it is reasonably possible that the total amount of unrecognized tax benefits will significantly change within 12 months of the reporting date.</w:t>
      </w:r>
    </w:p>
    <w:p>
      <w:pPr>
        <w:spacing w:after="0" w:line="184"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 AND AFFILIATE TRANSACTIONS</w:t>
      </w:r>
    </w:p>
    <w:p>
      <w:pPr>
        <w:spacing w:after="0" w:line="121" w:lineRule="exact"/>
        <w:rPr>
          <w:rFonts w:ascii="Arial" w:cs="Arial" w:eastAsia="Arial" w:hAnsi="Arial"/>
          <w:sz w:val="18"/>
          <w:szCs w:val="18"/>
          <w:b w:val="1"/>
          <w:bCs w:val="1"/>
          <w:color w:val="auto"/>
        </w:rPr>
      </w:pPr>
    </w:p>
    <w:p>
      <w:pPr>
        <w:ind w:left="660" w:righ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IPO, the Company entered into a new management agreement with the Manager, (the “Management Agreement”) which replaced its then-existing management agreement as a private fund. The terms of each arrangement, pre-IPO and post-IPO, are described below.</w:t>
      </w:r>
    </w:p>
    <w:p>
      <w:pPr>
        <w:spacing w:after="0" w:line="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Pre-IPO Management Agreement</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The pre-IPO management fee was calculated at an annual rate of 1.25% for any Onshore Fund or Offshore Fund investor (collectively, the “Fund Investors”) with a capital commitment of at least $100 million and 1.50% for any capital commitment of less than $100 million, payable semi-annually in arrears. Commencing with the date of the initial closing of the Onshore Fund and the Offshore Fund and continuing through the third anniversary of their final closing (the “Fund Commitment Period”), this percentage was applied to the weighted average of all capital called, reduced for any return of capital resulting from the partial or complete disposition of any Portfolio Investment, as defined. During the three and six months ended June 30, 2015, pre-IPO management fees were $1,459 and $3,873, respectively. As of December 31, 2014, $3,626 of accrued management fees were included in Accounts payable and accrued liabilities in the Consolidated Balance Sheets.</w:t>
      </w:r>
    </w:p>
    <w:p>
      <w:pPr>
        <w:spacing w:after="0" w:line="70"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In addition, affiliates of the Manager were entitled to receive an amount not to exceed $1 million per annum to cover legal, compliance, operational, tax, accounting, insurance, transfer agent and informational technology services (“Specified General and Administrative Expenses”) performed by employees of such affiliates on behalf of the Company or the Onshore Fund and the Offshore Fund. No expenses were reimbursed to the Manager or its affiliates for any period prior to the IPO.</w:t>
      </w:r>
    </w:p>
    <w:p>
      <w:pPr>
        <w:spacing w:after="0" w:line="79"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Prior to the IPO, the Master GP was entitled to an incentive return (the “Incentive Return”) generally equal to 10% of the Partnership’s profits (before certain taxes), as defined, subject to: i) an 8% cumulative preferred return payable to the Onshore Fund and Offshore Fund investors and ii) a clawback provision which requires amounts previously distributed as Incentive Return to be returned to the Company for the benefit of the Onshore Fund and Offshore Fund investors (after adjusting for tax in accordance with the partnership agreement) if, upon the termination of the Company, the amounts ultimately distributed to the Master GP exceed its allocable amount.</w:t>
      </w:r>
    </w:p>
    <w:p>
      <w:pPr>
        <w:spacing w:after="0" w:line="188"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Incentive Return was distributable to the Master GP from Distributable Proceeds of the Company (as defined) as they were distributed. Accordingly, an Incentive Return would have been paid to the Master GP in connection with a particular investment if and when such investment generated proceeds in excess of the capital called with respect to such investment, plus an 8% cumulative preferred return on such investment and on all previously liquidated investments. If, upon the termination of the Company, the aggregate amount paid to the Master GP as Incentive Return exceeded the amount actually due after taking into account the aggregate return to the Onshore Fund and the Offshore Fund investors, the excess was required to be returned by the Master GP (“clawed back”, after adjusting for tax in accordance with the Company agreements) to the Company for benefit of the Fund Investors.</w:t>
      </w:r>
    </w:p>
    <w:p>
      <w:pPr>
        <w:spacing w:after="0" w:line="189" w:lineRule="exact"/>
        <w:rPr>
          <w:sz w:val="20"/>
          <w:szCs w:val="20"/>
          <w:color w:val="auto"/>
        </w:rPr>
      </w:pPr>
    </w:p>
    <w:p>
      <w:pPr>
        <w:jc w:val="both"/>
        <w:ind w:left="660" w:right="40"/>
        <w:spacing w:after="0" w:line="264" w:lineRule="auto"/>
        <w:rPr>
          <w:sz w:val="20"/>
          <w:szCs w:val="20"/>
          <w:color w:val="auto"/>
        </w:rPr>
      </w:pPr>
      <w:r>
        <w:rPr>
          <w:rFonts w:ascii="Arial" w:cs="Arial" w:eastAsia="Arial" w:hAnsi="Arial"/>
          <w:sz w:val="18"/>
          <w:szCs w:val="18"/>
          <w:color w:val="auto"/>
        </w:rPr>
        <w:t>Immediately prior to the consummation of the IPO, the Master GP contributed its rights to previously undistributed incentive returns pursuant to the Partnership Agreement in exchange for limited partnership interests in each of the Onshore Fund and Offshore Fund equal to the amount of any such undistributed incentive returns.</w:t>
      </w:r>
    </w:p>
    <w:p>
      <w:pPr>
        <w:spacing w:after="0" w:line="18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Certain employees of an affiliate of the Manager are or may become entitled to receive profit sharing arrangements from the Master GP, pursuant to which they receive a portion of the Master GP’s Incentive Return. The Company is not required to reimburse the Master GP for such amounts. During the six months ended June 30, 2015 and 2014, the Master GP did not incur any amounts payable to these employees under such profit sharing arrangements attributable to the operations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Post-IPO Management Agreement</w:t>
      </w:r>
    </w:p>
    <w:p>
      <w:pPr>
        <w:spacing w:after="0" w:line="225"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The Manager is entitled to a management fee, incentive allocations (comprised of income incentive allocation and capital gains incentive allocation, defined below) and reimbursement of certain expenses. The post-IPO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post-IPO management fees for both the three and six months ended June 30, 2015 were $2,026.</w:t>
      </w:r>
    </w:p>
    <w:p>
      <w:pPr>
        <w:spacing w:after="0" w:line="188" w:lineRule="exact"/>
        <w:rPr>
          <w:sz w:val="20"/>
          <w:szCs w:val="20"/>
          <w:color w:val="auto"/>
        </w:rPr>
      </w:pPr>
    </w:p>
    <w:p>
      <w:pPr>
        <w:ind w:left="660" w:right="340"/>
        <w:spacing w:after="0" w:line="297"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 (1) gains and losses, realized or unrealized and (2) certain non-cash or one-time items, and any other adjustments as may be approved by the Company’s independent directors. Pre-incentive allocation net income does not include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Incentive Allocation or Capital Gains Incentive Allocation (described below) paid to the Master GP during the relevant quarter.</w:t>
      </w:r>
    </w:p>
    <w:p>
      <w:pPr>
        <w:spacing w:after="0" w:line="225" w:lineRule="exact"/>
        <w:rPr>
          <w:sz w:val="20"/>
          <w:szCs w:val="20"/>
          <w:color w:val="auto"/>
        </w:rPr>
      </w:pPr>
    </w:p>
    <w:p>
      <w:pPr>
        <w:ind w:left="660" w:right="100"/>
        <w:spacing w:after="0" w:line="285"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2.0% for such quarter (8.0% annualized); (2) 100% of pre-incentive allocation net income with respect to that portion of such pre-incentive allocation net income, if any, that is equal to or exceeds 2.00% but does not exceed</w:t>
      </w:r>
    </w:p>
    <w:p>
      <w:pPr>
        <w:spacing w:after="0" w:line="2"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2.2223% for such quarter; and (3) 10.0% of the amount of pre-incentive allocation net income, if any, that exceeds 2.2223% for such quarter. These calculations will be prorated for any period of less than three months. No post-IPO Income Incentive Allocation was due to the Master GP for the three months ended June 30, 2015.</w:t>
      </w:r>
    </w:p>
    <w:p>
      <w:pPr>
        <w:spacing w:after="0" w:line="190" w:lineRule="exact"/>
        <w:rPr>
          <w:sz w:val="20"/>
          <w:szCs w:val="20"/>
          <w:color w:val="auto"/>
        </w:rPr>
      </w:pPr>
    </w:p>
    <w:p>
      <w:pPr>
        <w:ind w:left="660" w:right="20"/>
        <w:spacing w:after="0" w:line="276" w:lineRule="auto"/>
        <w:rPr>
          <w:sz w:val="20"/>
          <w:szCs w:val="20"/>
          <w:color w:val="auto"/>
        </w:rPr>
      </w:pPr>
      <w:r>
        <w:rPr>
          <w:rFonts w:ascii="Arial" w:cs="Arial" w:eastAsia="Arial" w:hAnsi="Arial"/>
          <w:sz w:val="17"/>
          <w:szCs w:val="17"/>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three and six months ended June 30, 2015.</w:t>
      </w:r>
    </w:p>
    <w:p>
      <w:pPr>
        <w:spacing w:after="0" w:line="173" w:lineRule="exact"/>
        <w:rPr>
          <w:sz w:val="20"/>
          <w:szCs w:val="20"/>
          <w:color w:val="auto"/>
        </w:rPr>
      </w:pPr>
    </w:p>
    <w:p>
      <w:pPr>
        <w:ind w:left="660" w:right="120"/>
        <w:spacing w:after="0" w:line="270" w:lineRule="auto"/>
        <w:rPr>
          <w:sz w:val="20"/>
          <w:szCs w:val="20"/>
          <w:color w:val="auto"/>
        </w:rPr>
      </w:pPr>
      <w:r>
        <w:rPr>
          <w:rFonts w:ascii="Arial" w:cs="Arial" w:eastAsia="Arial" w:hAnsi="Arial"/>
          <w:sz w:val="17"/>
          <w:szCs w:val="17"/>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18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three and six months ended June 30, 2015, expense reimbursement of $642 was recorded in General and Administrative and $221 was recorded in Acquisition and Transaction expenses in the Consolidated Statements of Operations.</w:t>
      </w:r>
    </w:p>
    <w:p>
      <w:pPr>
        <w:spacing w:after="0" w:line="189" w:lineRule="exact"/>
        <w:rPr>
          <w:sz w:val="20"/>
          <w:szCs w:val="20"/>
          <w:color w:val="auto"/>
        </w:rPr>
      </w:pPr>
    </w:p>
    <w:p>
      <w:pPr>
        <w:ind w:left="660" w:right="180"/>
        <w:spacing w:after="0" w:line="293"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165" w:lineRule="exact"/>
        <w:rPr>
          <w:sz w:val="20"/>
          <w:szCs w:val="20"/>
          <w:color w:val="auto"/>
        </w:rPr>
      </w:pPr>
    </w:p>
    <w:p>
      <w:pPr>
        <w:ind w:left="660" w:right="100"/>
        <w:spacing w:after="0" w:line="297" w:lineRule="auto"/>
        <w:rPr>
          <w:sz w:val="20"/>
          <w:szCs w:val="20"/>
          <w:color w:val="auto"/>
        </w:rPr>
      </w:pPr>
      <w:r>
        <w:rPr>
          <w:rFonts w:ascii="Arial" w:cs="Arial" w:eastAsia="Arial" w:hAnsi="Arial"/>
          <w:sz w:val="16"/>
          <w:szCs w:val="16"/>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73" w:lineRule="exact"/>
        <w:rPr>
          <w:sz w:val="20"/>
          <w:szCs w:val="20"/>
          <w:color w:val="auto"/>
        </w:rPr>
      </w:pPr>
    </w:p>
    <w:p>
      <w:pPr>
        <w:jc w:val="both"/>
        <w:ind w:left="660" w:right="60"/>
        <w:spacing w:after="0" w:line="312" w:lineRule="auto"/>
        <w:rPr>
          <w:sz w:val="20"/>
          <w:szCs w:val="20"/>
          <w:color w:val="auto"/>
        </w:rPr>
      </w:pPr>
      <w:r>
        <w:rPr>
          <w:rFonts w:ascii="Arial" w:cs="Arial" w:eastAsia="Arial" w:hAnsi="Arial"/>
          <w:sz w:val="16"/>
          <w:szCs w:val="16"/>
          <w:color w:val="auto"/>
        </w:rPr>
        <w:t>As of June 30, 2015 and December 31, 2014, amounts receivable from the Manager or its affiliates of $0 and $335, respectively, are included within other assets in the Consolidated Balance Sheet. As of June 30, 2015 and December 31, 2014, amounts due to the Manager or its affiliates of $1,065 and $160, excluding accrued management fees, respectively, are included within other liabilities in the Consolidated Balance Sheet.</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Affiliate Transactions</w:t>
      </w:r>
    </w:p>
    <w:p>
      <w:pPr>
        <w:spacing w:after="0" w:line="117"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As of June 30, 2015 and December 31, 2014, a private equity fund sponsored by Fortress owns an approximately 20% interest in Jefferson Terminal which has been accounted for as a component of non-controlling interest in consolidated subsidiaries in the accompanying consolidated financial statements. The carrying amount of this non-controlling interest at June 30, 2015 and December 31, 2014 was $70,860 and $54,273. For the three and six months ending June 30, 2015, the amount of this non-controlling interest share of net loss was $(2,007) and $(3,556).</w:t>
      </w:r>
    </w:p>
    <w:p>
      <w:pPr>
        <w:spacing w:after="0" w:line="46"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A non-controlling interest holder of Jefferson Terminal provides construction services for Jefferson Terminal. At June 30, 2015 and December 31, 2014, accounts payable due to this vendor was $5,212 and $14,025, respectively.</w:t>
      </w:r>
    </w:p>
    <w:p>
      <w:pPr>
        <w:spacing w:after="0" w:line="166"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rFonts w:ascii="Arial" w:cs="Arial" w:eastAsia="Arial" w:hAnsi="Arial"/>
          <w:sz w:val="18"/>
          <w:szCs w:val="18"/>
          <w:b w:val="1"/>
          <w:bCs w:val="1"/>
          <w:color w:val="auto"/>
        </w:rPr>
      </w:pPr>
    </w:p>
    <w:p>
      <w:pPr>
        <w:ind w:left="66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reportable segments represent strategic business units comprised of investments in different types of transportation and infrastructure assets. The Company has five reportable segments which operate in the Equipment Leasing and Infrastructure businesses across several market sectors. The Company’s reportable segments are Aviation Leasing, Offshore Energy, Shipping Containers, Jefferson Terminal and Railroad.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 of investments in shipping containers and related equipment subject to operating leases and finance leases and also includes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w:t>
      </w:r>
    </w:p>
    <w:p>
      <w:pPr>
        <w:spacing w:after="0" w:line="89" w:lineRule="exact"/>
        <w:rPr>
          <w:rFonts w:ascii="Arial" w:cs="Arial" w:eastAsia="Arial" w:hAnsi="Arial"/>
          <w:sz w:val="18"/>
          <w:szCs w:val="18"/>
          <w:b w:val="1"/>
          <w:bCs w:val="1"/>
          <w:color w:val="auto"/>
        </w:rPr>
      </w:pPr>
    </w:p>
    <w:p>
      <w:pPr>
        <w:ind w:left="660" w:right="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With the CMQR and Jefferson Terminal acquisitions during 2014, the Company created two new reporting segments, Jefferson Terminal and Railroad. The Chief Operating Decision Maker (“CODM”) also implemented Adjusted Net Income as the key performance measure during the same period. This segment structure and performance measure reflects the current management of the businesses and provides the CODM with the information necessary to assess operational performance as well as make resource and allocation decisions. These changes have been reflected within the following tables, and the accompanying 2014 tables have been conformed to the current presentation described above.</w:t>
      </w:r>
    </w:p>
    <w:p>
      <w:pPr>
        <w:spacing w:after="0" w:line="50" w:lineRule="exact"/>
        <w:rPr>
          <w:rFonts w:ascii="Arial" w:cs="Arial" w:eastAsia="Arial" w:hAnsi="Arial"/>
          <w:sz w:val="18"/>
          <w:szCs w:val="18"/>
          <w:b w:val="1"/>
          <w:bCs w:val="1"/>
          <w:color w:val="auto"/>
        </w:rPr>
      </w:pPr>
    </w:p>
    <w:p>
      <w:pPr>
        <w:ind w:left="6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 the impact of intercompany eliminations. The Company evaluates investment performance for each reportable segment primarily based on Net Income attributable to shareholders and Adjusted Net Income.</w:t>
      </w:r>
    </w:p>
    <w:p>
      <w:pPr>
        <w:spacing w:after="0" w:line="78" w:lineRule="exact"/>
        <w:rPr>
          <w:rFonts w:ascii="Arial" w:cs="Arial" w:eastAsia="Arial" w:hAnsi="Arial"/>
          <w:sz w:val="18"/>
          <w:szCs w:val="18"/>
          <w:b w:val="1"/>
          <w:bCs w:val="1"/>
          <w:color w:val="auto"/>
        </w:rPr>
      </w:pPr>
    </w:p>
    <w:p>
      <w:pPr>
        <w:ind w:left="660" w:right="1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50"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certain information for each reportable segment of the Company: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For the Three Months Ended June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140"/>
              <w:spacing w:after="0"/>
              <w:rPr>
                <w:sz w:val="20"/>
                <w:szCs w:val="20"/>
                <w:color w:val="auto"/>
              </w:rPr>
            </w:pPr>
            <w:r>
              <w:rPr>
                <w:rFonts w:ascii="Arial" w:cs="Arial" w:eastAsia="Arial" w:hAnsi="Arial"/>
                <w:sz w:val="16"/>
                <w:szCs w:val="16"/>
                <w:b w:val="1"/>
                <w:bCs w:val="1"/>
                <w:color w:val="auto"/>
              </w:rPr>
              <w:t>Three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13,807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22,633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10,931</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13,807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6,932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17,600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1,989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1,989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10,765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4,757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40,194</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1,626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(5,004)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(5,270)</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(4,433)</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8,120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(7,074)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140"/>
              <w:spacing w:after="0"/>
              <w:rPr>
                <w:sz w:val="20"/>
                <w:szCs w:val="20"/>
                <w:color w:val="auto"/>
              </w:rPr>
            </w:pPr>
            <w:r>
              <w:rPr>
                <w:rFonts w:ascii="Arial" w:cs="Arial" w:eastAsia="Arial" w:hAnsi="Arial"/>
                <w:sz w:val="16"/>
                <w:szCs w:val="16"/>
                <w:b w:val="1"/>
                <w:bCs w:val="1"/>
                <w:color w:val="auto"/>
              </w:rPr>
              <w:t>Three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8,288</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Three Months Ended June 30, 2015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Infrastructure</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2,682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4,620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9,255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5,558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12,520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5,373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5,558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33,564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Six months ended June 30, 2015</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80"/>
              <w:spacing w:after="0"/>
              <w:rPr>
                <w:sz w:val="20"/>
                <w:szCs w:val="20"/>
                <w:color w:val="auto"/>
              </w:rPr>
            </w:pPr>
            <w:r>
              <w:rPr>
                <w:rFonts w:ascii="Arial" w:cs="Arial" w:eastAsia="Arial" w:hAnsi="Arial"/>
                <w:sz w:val="16"/>
                <w:szCs w:val="16"/>
                <w:b w:val="1"/>
                <w:bCs w:val="1"/>
                <w:color w:val="auto"/>
              </w:rPr>
              <w:t>Six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28,052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45,671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21,866</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28,052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67,537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32,319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5,899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5,899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9,572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73,420</w:t>
            </w:r>
          </w:p>
        </w:tc>
        <w:tc>
          <w:tcPr>
            <w:tcW w:w="0" w:type="dxa"/>
            <w:vAlign w:val="bottom"/>
          </w:tcPr>
          <w:p>
            <w:pPr>
              <w:spacing w:after="0"/>
              <w:rPr>
                <w:sz w:val="1"/>
                <w:szCs w:val="1"/>
                <w:color w:val="auto"/>
              </w:rPr>
            </w:pPr>
          </w:p>
        </w:tc>
      </w:tr>
      <w:tr>
        <w:trPr>
          <w:trHeight w:val="318"/>
        </w:trPr>
        <w:tc>
          <w:tcPr>
            <w:tcW w:w="36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16,977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8,205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(7,939)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16,565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7,835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(10,204)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4,611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80"/>
              <w:spacing w:after="0"/>
              <w:rPr>
                <w:sz w:val="20"/>
                <w:szCs w:val="20"/>
                <w:color w:val="auto"/>
              </w:rPr>
            </w:pPr>
            <w:r>
              <w:rPr>
                <w:rFonts w:ascii="Arial" w:cs="Arial" w:eastAsia="Arial" w:hAnsi="Arial"/>
                <w:sz w:val="16"/>
                <w:szCs w:val="16"/>
                <w:b w:val="1"/>
                <w:bCs w:val="1"/>
                <w:color w:val="auto"/>
              </w:rPr>
              <w:t>Six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16,750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8,492</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(1,966)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4,611</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80"/>
              <w:spacing w:after="0"/>
              <w:rPr>
                <w:sz w:val="20"/>
                <w:szCs w:val="20"/>
                <w:color w:val="auto"/>
              </w:rPr>
            </w:pPr>
            <w:r>
              <w:rPr>
                <w:rFonts w:ascii="Arial" w:cs="Arial" w:eastAsia="Arial" w:hAnsi="Arial"/>
                <w:sz w:val="16"/>
                <w:szCs w:val="16"/>
                <w:b w:val="1"/>
                <w:bCs w:val="1"/>
                <w:color w:val="auto"/>
              </w:rPr>
              <w:t>Six months ended June 30, 2015</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5,798</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5,798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9,146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9,248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18,394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24,893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28,052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67,537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 For the Three Months Ended June 30,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140"/>
              <w:spacing w:after="0"/>
              <w:rPr>
                <w:sz w:val="20"/>
                <w:szCs w:val="20"/>
                <w:color w:val="auto"/>
              </w:rPr>
            </w:pPr>
            <w:r>
              <w:rPr>
                <w:rFonts w:ascii="Arial" w:cs="Arial" w:eastAsia="Arial" w:hAnsi="Arial"/>
                <w:sz w:val="16"/>
                <w:szCs w:val="16"/>
                <w:b w:val="1"/>
                <w:bCs w:val="1"/>
                <w:color w:val="auto"/>
              </w:rPr>
              <w:t>Three Months Ended June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5,324</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2,304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5,324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2,304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10,735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15,302</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2,263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4,881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2,858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(1,187)</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140"/>
              <w:spacing w:after="0"/>
              <w:rPr>
                <w:sz w:val="20"/>
                <w:szCs w:val="20"/>
                <w:color w:val="auto"/>
              </w:rPr>
            </w:pPr>
            <w:r>
              <w:rPr>
                <w:rFonts w:ascii="Arial" w:cs="Arial" w:eastAsia="Arial" w:hAnsi="Arial"/>
                <w:sz w:val="16"/>
                <w:szCs w:val="16"/>
                <w:b w:val="1"/>
                <w:bCs w:val="1"/>
                <w:color w:val="auto"/>
              </w:rPr>
              <w:t>Three Months Ended June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4,881</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6,198</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(7,140)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w w:val="96"/>
              </w:rPr>
              <w:t>Three Months Ended June 30, 2014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Arial" w:cs="Arial" w:eastAsia="Arial" w:hAnsi="Arial"/>
                <w:sz w:val="16"/>
                <w:szCs w:val="16"/>
                <w:b w:val="1"/>
                <w:bCs w:val="1"/>
                <w:color w:val="auto"/>
              </w:rPr>
              <w:t>Infrastructure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2,229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4,348</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10,735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III. For the Six months ended June 30, 2014</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40"/>
              <w:spacing w:after="0"/>
              <w:rPr>
                <w:sz w:val="20"/>
                <w:szCs w:val="20"/>
                <w:color w:val="auto"/>
              </w:rPr>
            </w:pPr>
            <w:r>
              <w:rPr>
                <w:rFonts w:ascii="Arial" w:cs="Arial" w:eastAsia="Arial" w:hAnsi="Arial"/>
                <w:sz w:val="16"/>
                <w:szCs w:val="16"/>
                <w:b w:val="1"/>
                <w:bCs w:val="1"/>
                <w:color w:val="auto"/>
              </w:rPr>
              <w:t>Six Months Ended June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Equipment leasing revenues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8,591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17,447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Infrastructure revenues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8,591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4,576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18,431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948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w w:val="96"/>
              </w:rPr>
              <w:t>Management fees and incentive allocation to affiliate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22,798</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on sale of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2,215</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3660" w:type="dxa"/>
            <w:vAlign w:val="bottom"/>
          </w:tcPr>
          <w:p>
            <w:pPr>
              <w:ind w:left="40"/>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2,229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5,340</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3,510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5,816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415</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5"/>
              </w:rPr>
              <w:t>Less: Net income (loss) attributable to non-controlling</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interests in consolidated subsidiaries</w:t>
            </w:r>
          </w:p>
        </w:tc>
        <w:tc>
          <w:tcPr>
            <w:tcW w:w="18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 attributable to shareholders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5,926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reconciliation of Adjusted Net Income to Net Income attributable to shareholders: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240"/>
              <w:spacing w:after="0"/>
              <w:rPr>
                <w:sz w:val="20"/>
                <w:szCs w:val="20"/>
                <w:color w:val="auto"/>
              </w:rPr>
            </w:pPr>
            <w:r>
              <w:rPr>
                <w:rFonts w:ascii="Arial" w:cs="Arial" w:eastAsia="Arial" w:hAnsi="Arial"/>
                <w:sz w:val="16"/>
                <w:szCs w:val="16"/>
                <w:b w:val="1"/>
                <w:bCs w:val="1"/>
                <w:color w:val="auto"/>
              </w:rPr>
              <w:t>Six Months Ended June 30, 2014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6,264</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00"/>
        </w:trPr>
        <w:tc>
          <w:tcPr>
            <w:tcW w:w="3660" w:type="dxa"/>
            <w:vAlign w:val="bottom"/>
          </w:tcPr>
          <w:p>
            <w:pPr>
              <w:ind w:left="40"/>
              <w:spacing w:after="0"/>
              <w:rPr>
                <w:sz w:val="20"/>
                <w:szCs w:val="20"/>
                <w:color w:val="auto"/>
              </w:rPr>
            </w:pPr>
            <w:r>
              <w:rPr>
                <w:rFonts w:ascii="Arial" w:cs="Arial" w:eastAsia="Arial" w:hAnsi="Arial"/>
                <w:sz w:val="16"/>
                <w:szCs w:val="16"/>
                <w:color w:val="auto"/>
                <w:w w:val="94"/>
              </w:rPr>
              <w:t>Add: Non-controlling share of adjustments to Adjusted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 in earnings of unconsolidated entities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Add: Cash payments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Incentive allocations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rPr>
              <w:t>Less: Pro-rata share of Adjusted Net Income from</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investments in unconsolidated entities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(3,131)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Asset 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Pr>
          <w:p>
            <w:pPr>
              <w:ind w:left="40"/>
              <w:spacing w:after="0"/>
              <w:rPr>
                <w:sz w:val="20"/>
                <w:szCs w:val="20"/>
                <w:color w:val="auto"/>
              </w:rPr>
            </w:pPr>
            <w:r>
              <w:rPr>
                <w:rFonts w:ascii="Arial" w:cs="Arial" w:eastAsia="Arial" w:hAnsi="Arial"/>
                <w:sz w:val="16"/>
                <w:szCs w:val="16"/>
                <w:color w:val="auto"/>
                <w:w w:val="98"/>
              </w:rPr>
              <w:t>Less: Changes in fair value of non-hedge derivative</w:t>
            </w: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Less: Losses on the modification or extinguishment of</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and capital lease obligations</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Acquisition and transaction expenses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(10,473)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Less: Provision for income taxes</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Summary information with respect to the Company’s geographic sources of revenue is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6"/>
          </w:tcPr>
          <w:p>
            <w:pPr>
              <w:jc w:val="right"/>
              <w:ind w:right="119"/>
              <w:spacing w:after="0"/>
              <w:rPr>
                <w:sz w:val="20"/>
                <w:szCs w:val="20"/>
                <w:color w:val="auto"/>
              </w:rPr>
            </w:pPr>
            <w:r>
              <w:rPr>
                <w:rFonts w:ascii="Arial" w:cs="Arial" w:eastAsia="Arial" w:hAnsi="Arial"/>
                <w:sz w:val="16"/>
                <w:szCs w:val="16"/>
                <w:b w:val="1"/>
                <w:bCs w:val="1"/>
                <w:color w:val="auto"/>
              </w:rPr>
              <w:t>Six Months Ended June 30, 2014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Arial" w:cs="Arial" w:eastAsia="Arial" w:hAnsi="Arial"/>
                <w:sz w:val="16"/>
                <w:szCs w:val="16"/>
                <w:b w:val="1"/>
                <w:bCs w:val="1"/>
                <w:color w:val="auto"/>
              </w:rPr>
              <w:t>Infrastructure</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000" w:type="dxa"/>
            <w:vAlign w:val="bottom"/>
            <w:gridSpan w:val="3"/>
            <w:vMerge w:val="restart"/>
          </w:tcPr>
          <w:p>
            <w:pPr>
              <w:ind w:left="140"/>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00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2,311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3,581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4,577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8,591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18,431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IV. Balance Sheet and location of long-lived assets</w:t>
      </w:r>
    </w:p>
    <w:p>
      <w:pPr>
        <w:spacing w:after="0" w:line="121"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following tables sets forth summarized balance sheet information and the geographic location of property, plant and equipment and equipment held for lease as of June 30, 2015 and December 31,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8"/>
          </w:tcPr>
          <w:p>
            <w:pPr>
              <w:ind w:left="880"/>
              <w:spacing w:after="0"/>
              <w:rPr>
                <w:sz w:val="20"/>
                <w:szCs w:val="20"/>
                <w:color w:val="auto"/>
              </w:rPr>
            </w:pPr>
            <w:r>
              <w:rPr>
                <w:rFonts w:ascii="Arial" w:cs="Arial" w:eastAsia="Arial" w:hAnsi="Arial"/>
                <w:sz w:val="16"/>
                <w:szCs w:val="16"/>
                <w:b w:val="1"/>
                <w:bCs w:val="1"/>
                <w:color w:val="auto"/>
              </w:rPr>
              <w:t>June 30, 2015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7"/>
          </w:tcPr>
          <w:p>
            <w:pPr>
              <w:jc w:val="right"/>
              <w:ind w:right="60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8"/>
              </w:rPr>
              <w:t>Aviation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6"/>
                <w:szCs w:val="16"/>
                <w:b w:val="1"/>
                <w:bCs w:val="1"/>
                <w:color w:val="auto"/>
              </w:rPr>
              <w:t>Shipping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7"/>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w w:val="89"/>
              </w:rPr>
              <w:t>Leasing</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right"/>
              <w:ind w:right="300"/>
              <w:spacing w:after="0"/>
              <w:rPr>
                <w:sz w:val="20"/>
                <w:szCs w:val="20"/>
                <w:color w:val="auto"/>
              </w:rPr>
            </w:pPr>
            <w:r>
              <w:rPr>
                <w:rFonts w:ascii="Arial" w:cs="Arial" w:eastAsia="Arial" w:hAnsi="Arial"/>
                <w:sz w:val="16"/>
                <w:szCs w:val="16"/>
                <w:b w:val="1"/>
                <w:bCs w:val="1"/>
                <w:color w:val="auto"/>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327,942</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208,801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111,639</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783,386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29,345</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549,429</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2,010,542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72,698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56,347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445,756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9,473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584,274</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49,245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76,662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460,405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18,598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668,093</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Non-controlling interests in equity of consolidated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7,435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113,953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123,317</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278,697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132,139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322,981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542,969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1,342,449</w:t>
            </w:r>
          </w:p>
        </w:tc>
        <w:tc>
          <w:tcPr>
            <w:tcW w:w="0" w:type="dxa"/>
            <w:vAlign w:val="bottom"/>
          </w:tcPr>
          <w:p>
            <w:pPr>
              <w:spacing w:after="0"/>
              <w:rPr>
                <w:sz w:val="1"/>
                <w:szCs w:val="1"/>
                <w:color w:val="auto"/>
              </w:rPr>
            </w:pPr>
          </w:p>
        </w:tc>
      </w:tr>
      <w:tr>
        <w:trPr>
          <w:trHeight w:val="291"/>
        </w:trPr>
        <w:tc>
          <w:tcPr>
            <w:tcW w:w="35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327,942</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208,801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111,639</w:t>
            </w:r>
          </w:p>
        </w:tc>
        <w:tc>
          <w:tcPr>
            <w:tcW w:w="2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783,386</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29,345</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549,429</w:t>
            </w:r>
          </w:p>
        </w:tc>
        <w:tc>
          <w:tcPr>
            <w:tcW w:w="10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2,010,542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auto"/>
                <w:w w:val="88"/>
              </w:rPr>
              <w:t>June 30, 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6"/>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7"/>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6"/>
          </w:tcPr>
          <w:p>
            <w:pPr>
              <w:ind w:left="40"/>
              <w:spacing w:after="0"/>
              <w:rPr>
                <w:sz w:val="20"/>
                <w:szCs w:val="20"/>
                <w:color w:val="auto"/>
              </w:rPr>
            </w:pPr>
            <w:r>
              <w:rPr>
                <w:rFonts w:ascii="Arial" w:cs="Arial" w:eastAsia="Arial" w:hAnsi="Arial"/>
                <w:sz w:val="16"/>
                <w:szCs w:val="16"/>
                <w:b w:val="1"/>
                <w:bCs w:val="1"/>
                <w:color w:val="auto"/>
                <w:w w:val="92"/>
              </w:rPr>
              <w:t>Equipment Leasing</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7"/>
          </w:tcPr>
          <w:p>
            <w:pPr>
              <w:jc w:val="right"/>
              <w:ind w:right="480"/>
              <w:spacing w:after="0"/>
              <w:rPr>
                <w:sz w:val="20"/>
                <w:szCs w:val="20"/>
                <w:color w:val="auto"/>
              </w:rPr>
            </w:pPr>
            <w:r>
              <w:rPr>
                <w:rFonts w:ascii="Arial" w:cs="Arial" w:eastAsia="Arial" w:hAnsi="Arial"/>
                <w:sz w:val="16"/>
                <w:szCs w:val="16"/>
                <w:b w:val="1"/>
                <w:bCs w:val="1"/>
                <w:color w:val="auto"/>
              </w:rPr>
              <w:t>Infrastructure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Aviation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Offshore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6"/>
                <w:szCs w:val="16"/>
                <w:b w:val="1"/>
                <w:bCs w:val="1"/>
                <w:color w:val="auto"/>
              </w:rPr>
              <w:t>Shipping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Jefferson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6"/>
                <w:szCs w:val="16"/>
                <w:b w:val="1"/>
                <w:bCs w:val="1"/>
                <w:color w:val="auto"/>
                <w:w w:val="93"/>
              </w:rPr>
              <w:t>Railroad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b w:val="1"/>
                <w:bCs w:val="1"/>
                <w:color w:val="auto"/>
              </w:rPr>
              <w:t>Leasing</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92"/>
              </w:rPr>
              <w:t>Energy</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Containers</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Terminal</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w w:val="93"/>
              </w:rPr>
              <w:t>Property, plant and equipment and equipment held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lease, net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Africa</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47,509</w:t>
            </w:r>
          </w:p>
        </w:tc>
        <w:tc>
          <w:tcPr>
            <w:tcW w:w="20" w:type="dxa"/>
            <w:vAlign w:val="bottom"/>
          </w:tcPr>
          <w:p>
            <w:pPr>
              <w:spacing w:after="0"/>
              <w:rPr>
                <w:sz w:val="20"/>
                <w:szCs w:val="20"/>
                <w:color w:val="auto"/>
              </w:rPr>
            </w:pP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36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gridSpan w:val="3"/>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47,509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114,235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154,123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Europe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108,833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135,752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244,585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303,227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22,134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352,662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ind w:left="76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4,664</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Total property, plant and equipment and equipment</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302,542</w:t>
            </w:r>
          </w:p>
        </w:tc>
        <w:tc>
          <w:tcPr>
            <w:tcW w:w="20" w:type="dxa"/>
            <w:vAlign w:val="bottom"/>
            <w:shd w:val="clear" w:color="auto" w:fill="CCEEFF"/>
          </w:tcPr>
          <w:p>
            <w:pPr>
              <w:spacing w:after="0"/>
              <w:rPr>
                <w:sz w:val="17"/>
                <w:szCs w:val="17"/>
                <w:color w:val="auto"/>
              </w:rPr>
            </w:pP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175,640</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ind w:left="760"/>
              <w:spacing w:after="0"/>
              <w:rPr>
                <w:sz w:val="20"/>
                <w:szCs w:val="20"/>
                <w:color w:val="auto"/>
              </w:rPr>
            </w:pPr>
            <w:r>
              <w:rPr>
                <w:rFonts w:ascii="Arial" w:cs="Arial" w:eastAsia="Arial" w:hAnsi="Arial"/>
                <w:sz w:val="16"/>
                <w:szCs w:val="16"/>
                <w:color w:val="auto"/>
                <w:w w:val="99"/>
              </w:rPr>
              <w:t>—</w:t>
            </w:r>
          </w:p>
        </w:tc>
        <w:tc>
          <w:tcPr>
            <w:tcW w:w="36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303,227</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22,134</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803,543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held for lease, net</w:t>
            </w: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3"/>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60" w:type="dxa"/>
            <w:vAlign w:val="bottom"/>
            <w:gridSpan w:val="4"/>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5"/>
          </w:tcPr>
          <w:p>
            <w:pPr>
              <w:ind w:left="840"/>
              <w:spacing w:after="0"/>
              <w:rPr>
                <w:sz w:val="20"/>
                <w:szCs w:val="20"/>
                <w:color w:val="auto"/>
              </w:rPr>
            </w:pPr>
            <w:r>
              <w:rPr>
                <w:rFonts w:ascii="Arial" w:cs="Arial" w:eastAsia="Arial" w:hAnsi="Arial"/>
                <w:sz w:val="16"/>
                <w:szCs w:val="16"/>
                <w:b w:val="1"/>
                <w:bCs w:val="1"/>
                <w:color w:val="auto"/>
                <w:w w:val="95"/>
              </w:rPr>
              <w:t>December 31, 2014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Equipment Leasing</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5"/>
          </w:tcPr>
          <w:p>
            <w:pPr>
              <w:ind w:left="380"/>
              <w:spacing w:after="0"/>
              <w:rPr>
                <w:sz w:val="20"/>
                <w:szCs w:val="20"/>
                <w:color w:val="auto"/>
              </w:rPr>
            </w:pPr>
            <w:r>
              <w:rPr>
                <w:rFonts w:ascii="Arial" w:cs="Arial" w:eastAsia="Arial" w:hAnsi="Arial"/>
                <w:sz w:val="16"/>
                <w:szCs w:val="16"/>
                <w:b w:val="1"/>
                <w:bCs w:val="1"/>
                <w:color w:val="auto"/>
              </w:rPr>
              <w:t>Infrastructure</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Offshore</w:t>
            </w: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Shipping</w:t>
            </w:r>
          </w:p>
        </w:tc>
        <w:tc>
          <w:tcPr>
            <w:tcW w:w="14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20" w:type="dxa"/>
            <w:vAlign w:val="bottom"/>
          </w:tcPr>
          <w:p>
            <w:pPr>
              <w:spacing w:after="0"/>
              <w:rPr>
                <w:sz w:val="18"/>
                <w:szCs w:val="18"/>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Railroad</w:t>
            </w:r>
          </w:p>
        </w:tc>
        <w:tc>
          <w:tcPr>
            <w:tcW w:w="120" w:type="dxa"/>
            <w:vAlign w:val="bottom"/>
          </w:tcPr>
          <w:p>
            <w:pPr>
              <w:spacing w:after="0"/>
              <w:rPr>
                <w:sz w:val="18"/>
                <w:szCs w:val="18"/>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40" w:type="dxa"/>
            <w:vAlign w:val="bottom"/>
          </w:tcPr>
          <w:p>
            <w:pPr>
              <w:spacing w:after="0"/>
              <w:rPr>
                <w:sz w:val="18"/>
                <w:szCs w:val="18"/>
                <w:color w:val="auto"/>
              </w:rPr>
            </w:pPr>
          </w:p>
        </w:tc>
        <w:tc>
          <w:tcPr>
            <w:tcW w:w="8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5"/>
              </w:rPr>
              <w:t>Energy</w:t>
            </w:r>
          </w:p>
        </w:tc>
        <w:tc>
          <w:tcPr>
            <w:tcW w:w="160" w:type="dxa"/>
            <w:vAlign w:val="bottom"/>
          </w:tcPr>
          <w:p>
            <w:pPr>
              <w:spacing w:after="0"/>
              <w:rPr>
                <w:sz w:val="8"/>
                <w:szCs w:val="8"/>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Containers</w:t>
            </w:r>
          </w:p>
        </w:tc>
        <w:tc>
          <w:tcPr>
            <w:tcW w:w="140" w:type="dxa"/>
            <w:vAlign w:val="bottom"/>
          </w:tcPr>
          <w:p>
            <w:pPr>
              <w:spacing w:after="0"/>
              <w:rPr>
                <w:sz w:val="8"/>
                <w:szCs w:val="8"/>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308,957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212,699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721,117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1,404,591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76,024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61,154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446,272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9,417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592,867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81,903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61,434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470,561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691,094</w:t>
            </w:r>
          </w:p>
        </w:tc>
        <w:tc>
          <w:tcPr>
            <w:tcW w:w="0" w:type="dxa"/>
            <w:vAlign w:val="bottom"/>
          </w:tcPr>
          <w:p>
            <w:pPr>
              <w:spacing w:after="0"/>
              <w:rPr>
                <w:sz w:val="1"/>
                <w:szCs w:val="1"/>
                <w:color w:val="auto"/>
              </w:rPr>
            </w:pPr>
          </w:p>
        </w:tc>
      </w:tr>
      <w:tr>
        <w:trPr>
          <w:trHeight w:val="318"/>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Non-controlling interests in equity of consolidated</w:t>
            </w:r>
          </w:p>
        </w:tc>
        <w:tc>
          <w:tcPr>
            <w:tcW w:w="18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91,118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99,065</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258,675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130,796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250,556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713,497</w:t>
            </w:r>
          </w:p>
        </w:tc>
        <w:tc>
          <w:tcPr>
            <w:tcW w:w="0" w:type="dxa"/>
            <w:vAlign w:val="bottom"/>
          </w:tcPr>
          <w:p>
            <w:pPr>
              <w:spacing w:after="0"/>
              <w:rPr>
                <w:sz w:val="1"/>
                <w:szCs w:val="1"/>
                <w:color w:val="auto"/>
              </w:rPr>
            </w:pPr>
          </w:p>
        </w:tc>
      </w:tr>
      <w:tr>
        <w:trPr>
          <w:trHeight w:val="291"/>
        </w:trPr>
        <w:tc>
          <w:tcPr>
            <w:tcW w:w="3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308,957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212,699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117,298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721,117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1,404,591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5"/>
          </w:tcPr>
          <w:p>
            <w:pPr>
              <w:ind w:left="720"/>
              <w:spacing w:after="0"/>
              <w:rPr>
                <w:sz w:val="20"/>
                <w:szCs w:val="20"/>
                <w:color w:val="auto"/>
              </w:rPr>
            </w:pPr>
            <w:r>
              <w:rPr>
                <w:rFonts w:ascii="Arial" w:cs="Arial" w:eastAsia="Arial" w:hAnsi="Arial"/>
                <w:sz w:val="16"/>
                <w:szCs w:val="16"/>
                <w:b w:val="1"/>
                <w:bCs w:val="1"/>
                <w:color w:val="auto"/>
              </w:rPr>
              <w:t>December 31, 2014</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60" w:type="dxa"/>
            <w:vAlign w:val="bottom"/>
            <w:gridSpan w:val="5"/>
          </w:tcPr>
          <w:p>
            <w:pPr>
              <w:jc w:val="right"/>
              <w:spacing w:after="0"/>
              <w:rPr>
                <w:sz w:val="20"/>
                <w:szCs w:val="20"/>
                <w:color w:val="auto"/>
              </w:rPr>
            </w:pPr>
            <w:r>
              <w:rPr>
                <w:rFonts w:ascii="Arial" w:cs="Arial" w:eastAsia="Arial" w:hAnsi="Arial"/>
                <w:sz w:val="16"/>
                <w:szCs w:val="16"/>
                <w:b w:val="1"/>
                <w:bCs w:val="1"/>
                <w:color w:val="auto"/>
                <w:w w:val="93"/>
              </w:rPr>
              <w:t>Equipment Leasing</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ind w:left="360"/>
              <w:spacing w:after="0"/>
              <w:rPr>
                <w:sz w:val="20"/>
                <w:szCs w:val="20"/>
                <w:color w:val="auto"/>
              </w:rPr>
            </w:pPr>
            <w:r>
              <w:rPr>
                <w:rFonts w:ascii="Arial" w:cs="Arial" w:eastAsia="Arial" w:hAnsi="Arial"/>
                <w:sz w:val="16"/>
                <w:szCs w:val="16"/>
                <w:b w:val="1"/>
                <w:bCs w:val="1"/>
                <w:color w:val="auto"/>
              </w:rPr>
              <w:t>Infrastructure</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Aviation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Offshore</w:t>
            </w:r>
          </w:p>
        </w:tc>
        <w:tc>
          <w:tcPr>
            <w:tcW w:w="1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Shipping</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Jefferson</w:t>
            </w:r>
          </w:p>
        </w:tc>
        <w:tc>
          <w:tcPr>
            <w:tcW w:w="140" w:type="dxa"/>
            <w:vAlign w:val="bottom"/>
          </w:tcPr>
          <w:p>
            <w:pPr>
              <w:spacing w:after="0"/>
              <w:rPr>
                <w:sz w:val="18"/>
                <w:szCs w:val="18"/>
                <w:color w:val="auto"/>
              </w:rPr>
            </w:pPr>
          </w:p>
        </w:tc>
        <w:tc>
          <w:tcPr>
            <w:tcW w:w="8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Railroad</w:t>
            </w:r>
          </w:p>
        </w:tc>
        <w:tc>
          <w:tcPr>
            <w:tcW w:w="140" w:type="dxa"/>
            <w:vAlign w:val="bottom"/>
          </w:tcPr>
          <w:p>
            <w:pPr>
              <w:spacing w:after="0"/>
              <w:rPr>
                <w:sz w:val="18"/>
                <w:szCs w:val="18"/>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Corporate</w:t>
            </w:r>
          </w:p>
        </w:tc>
        <w:tc>
          <w:tcPr>
            <w:tcW w:w="200" w:type="dxa"/>
            <w:vAlign w:val="bottom"/>
          </w:tcPr>
          <w:p>
            <w:pPr>
              <w:spacing w:after="0"/>
              <w:rPr>
                <w:sz w:val="18"/>
                <w:szCs w:val="18"/>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99"/>
              </w:rPr>
              <w:t>Leasing</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Energy</w:t>
            </w:r>
          </w:p>
        </w:tc>
        <w:tc>
          <w:tcPr>
            <w:tcW w:w="160" w:type="dxa"/>
            <w:vAlign w:val="bottom"/>
          </w:tcPr>
          <w:p>
            <w:pPr>
              <w:spacing w:after="0"/>
              <w:rPr>
                <w:sz w:val="8"/>
                <w:szCs w:val="8"/>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Containers</w:t>
            </w:r>
          </w:p>
        </w:tc>
        <w:tc>
          <w:tcPr>
            <w:tcW w:w="160" w:type="dxa"/>
            <w:vAlign w:val="bottom"/>
          </w:tcPr>
          <w:p>
            <w:pPr>
              <w:spacing w:after="0"/>
              <w:rPr>
                <w:sz w:val="8"/>
                <w:szCs w:val="8"/>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Terminal</w:t>
            </w: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3"/>
              </w:rPr>
              <w:t>Property, plant and equipment and equipment held</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lease, net</w:t>
            </w:r>
          </w:p>
        </w:tc>
        <w:tc>
          <w:tcPr>
            <w:tcW w:w="1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Africa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47,945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47,945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159,869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105,762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137,981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243,743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252,354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285,551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South America</w:t>
            </w:r>
          </w:p>
        </w:tc>
        <w:tc>
          <w:tcPr>
            <w:tcW w:w="1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9"/>
              </w:rPr>
              <w:t>Total property, plant and equipment and equipment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286,873</w:t>
            </w:r>
          </w:p>
        </w:tc>
        <w:tc>
          <w:tcPr>
            <w:tcW w:w="2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178,618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vMerge w:val="restart"/>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252,354</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19,862</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737,707</w:t>
            </w:r>
          </w:p>
        </w:tc>
        <w:tc>
          <w:tcPr>
            <w:tcW w:w="0" w:type="dxa"/>
            <w:vAlign w:val="bottom"/>
          </w:tcPr>
          <w:p>
            <w:pPr>
              <w:spacing w:after="0"/>
              <w:rPr>
                <w:sz w:val="1"/>
                <w:szCs w:val="1"/>
                <w:color w:val="auto"/>
              </w:rPr>
            </w:pPr>
          </w:p>
        </w:tc>
      </w:tr>
      <w:tr>
        <w:trPr>
          <w:trHeight w:val="219"/>
        </w:trPr>
        <w:tc>
          <w:tcPr>
            <w:tcW w:w="3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held for lease, net</w:t>
            </w: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186" w:lineRule="exact"/>
        <w:rPr>
          <w:rFonts w:ascii="Arial" w:cs="Arial" w:eastAsia="Arial" w:hAnsi="Arial"/>
          <w:sz w:val="18"/>
          <w:szCs w:val="18"/>
          <w:b w:val="1"/>
          <w:bCs w:val="1"/>
          <w:color w:val="auto"/>
        </w:rPr>
      </w:pPr>
    </w:p>
    <w:p>
      <w:pPr>
        <w:ind w:left="66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completed an IPO on May 20, 2015 in which the Initial Shareholders, immediately prior to the consummation of the IPO, received shares in proportion to their respective ownership percentages. As a result, the Company is retrospectively presenting the shares outstanding for all prior periods presented.</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calculation of basic and diluted EPS is presented below (in thousands, except share and per share data).</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0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30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Six Months Ended June 30,</w:t>
            </w:r>
          </w:p>
        </w:tc>
      </w:tr>
      <w:tr>
        <w:trPr>
          <w:trHeight w:val="47"/>
        </w:trPr>
        <w:tc>
          <w:tcPr>
            <w:tcW w:w="43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31"/>
        </w:trPr>
        <w:tc>
          <w:tcPr>
            <w:tcW w:w="4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2015</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2014</w:t>
            </w:r>
          </w:p>
        </w:tc>
      </w:tr>
      <w:tr>
        <w:trPr>
          <w:trHeight w:val="33"/>
        </w:trPr>
        <w:tc>
          <w:tcPr>
            <w:tcW w:w="4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Shareholders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4,611</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r>
      <w:tr>
        <w:trPr>
          <w:trHeight w:val="237"/>
        </w:trPr>
        <w:tc>
          <w:tcPr>
            <w:tcW w:w="4340" w:type="dxa"/>
            <w:vAlign w:val="bottom"/>
          </w:tcPr>
          <w:p>
            <w:pPr>
              <w:ind w:left="40"/>
              <w:spacing w:after="0"/>
              <w:rPr>
                <w:sz w:val="20"/>
                <w:szCs w:val="20"/>
                <w:color w:val="auto"/>
              </w:rPr>
            </w:pPr>
            <w:r>
              <w:rPr>
                <w:rFonts w:ascii="Arial" w:cs="Arial" w:eastAsia="Arial" w:hAnsi="Arial"/>
                <w:sz w:val="16"/>
                <w:szCs w:val="16"/>
                <w:color w:val="auto"/>
              </w:rPr>
              <w:t>Weighted Average Shares Outstanding - Basic</w:t>
            </w:r>
          </w:p>
        </w:tc>
        <w:tc>
          <w:tcPr>
            <w:tcW w:w="380" w:type="dxa"/>
            <w:vAlign w:val="bottom"/>
          </w:tcPr>
          <w:p>
            <w:pPr>
              <w:spacing w:after="0"/>
              <w:rPr>
                <w:sz w:val="20"/>
                <w:szCs w:val="20"/>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62,879,023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53,502,873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58,216,849</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53,502,873</w:t>
            </w:r>
          </w:p>
        </w:tc>
      </w:tr>
      <w:tr>
        <w:trPr>
          <w:trHeight w:val="33"/>
        </w:trPr>
        <w:tc>
          <w:tcPr>
            <w:tcW w:w="4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 - Diluted</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62,879,023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53,502,873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58,216,918</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53,502,873</w:t>
            </w:r>
          </w:p>
        </w:tc>
      </w:tr>
      <w:tr>
        <w:trPr>
          <w:trHeight w:val="324"/>
        </w:trPr>
        <w:tc>
          <w:tcPr>
            <w:tcW w:w="4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4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Basic and Diluted EPS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0.08</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81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811"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FORTRESS TRANSPORTATION AND INFRASTRUCTURE INVESTORS LLC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June 30, 2015, 136 shares have been excluded from the calculation of Diluted EPS because the impact would be anti-dilutive.</w:t>
      </w:r>
    </w:p>
    <w:p>
      <w:pPr>
        <w:spacing w:after="0" w:line="244"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66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the normal course of business the Company and its subsidiaries are involved in various claims, legal proceedings, or may enter into contracts that contain a variety of representations and warranties and which provide general indemnifications. The Company’s maximum exposure under these arrangements is unknown as such arrangements would involve future claims that may be made against the Company that have not yet occurred. The Company believes the risk of loss in connection with such arrangements to be remote.</w:t>
      </w:r>
    </w:p>
    <w:p>
      <w:pPr>
        <w:spacing w:after="0" w:line="63" w:lineRule="exact"/>
        <w:rPr>
          <w:rFonts w:ascii="Arial" w:cs="Arial" w:eastAsia="Arial" w:hAnsi="Arial"/>
          <w:sz w:val="18"/>
          <w:szCs w:val="18"/>
          <w:b w:val="1"/>
          <w:bCs w:val="1"/>
          <w:color w:val="auto"/>
        </w:rPr>
      </w:pPr>
    </w:p>
    <w:p>
      <w:pPr>
        <w:ind w:left="66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formation of MT6015, a consolidated VIE (Note 2), the Company and its joint venture partner are each obligated to fund additional equity contributions of $11,925.</w:t>
      </w:r>
    </w:p>
    <w:p>
      <w:pPr>
        <w:spacing w:after="0" w:line="62" w:lineRule="exact"/>
        <w:rPr>
          <w:rFonts w:ascii="Arial" w:cs="Arial" w:eastAsia="Arial" w:hAnsi="Arial"/>
          <w:sz w:val="18"/>
          <w:szCs w:val="18"/>
          <w:b w:val="1"/>
          <w:bCs w:val="1"/>
          <w:color w:val="auto"/>
        </w:rPr>
      </w:pPr>
    </w:p>
    <w:p>
      <w:pPr>
        <w:ind w:left="6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Two of the Company’s subsidiaries are lessees under various operating and capital leases. As of June 30, 2015, minimum future rental payments under these leases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ind w:right="519"/>
              <w:spacing w:after="0"/>
              <w:rPr>
                <w:sz w:val="20"/>
                <w:szCs w:val="20"/>
                <w:color w:val="auto"/>
              </w:rPr>
            </w:pPr>
            <w:r>
              <w:rPr>
                <w:rFonts w:ascii="Arial" w:cs="Arial" w:eastAsia="Arial" w:hAnsi="Arial"/>
                <w:sz w:val="16"/>
                <w:szCs w:val="16"/>
                <w:b w:val="1"/>
                <w:bCs w:val="1"/>
                <w:color w:val="auto"/>
              </w:rPr>
              <w:t>June 30, 2015</w:t>
            </w:r>
          </w:p>
        </w:tc>
      </w:tr>
      <w:tr>
        <w:trPr>
          <w:trHeight w:val="33"/>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2,617</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2016</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5,071</w:t>
            </w: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5,041</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2018</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4,035</w:t>
            </w:r>
          </w:p>
        </w:tc>
      </w:tr>
      <w:tr>
        <w:trPr>
          <w:trHeight w:val="33"/>
        </w:trPr>
        <w:tc>
          <w:tcPr>
            <w:tcW w:w="9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36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3,906</w:t>
            </w: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3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47,681</w:t>
            </w:r>
          </w:p>
        </w:tc>
      </w:tr>
      <w:tr>
        <w:trPr>
          <w:trHeight w:val="33"/>
        </w:trPr>
        <w:tc>
          <w:tcPr>
            <w:tcW w:w="9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68,351</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August 11, 2015, the Company’s Board of Directors declared a cash dividend on its common stock of $0.15 per share for the quarter ended June 30, 2015, payable on August 31, 2015 to the holders of record on August 21,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446"/>
        <w:spacing w:after="0" w:line="270" w:lineRule="auto"/>
        <w:rPr>
          <w:sz w:val="20"/>
          <w:szCs w:val="20"/>
          <w:color w:val="auto"/>
        </w:rPr>
      </w:pPr>
      <w:r>
        <w:rPr>
          <w:rFonts w:ascii="Arial" w:cs="Arial" w:eastAsia="Arial" w:hAnsi="Arial"/>
          <w:sz w:val="17"/>
          <w:szCs w:val="17"/>
          <w:color w:val="auto"/>
        </w:rPr>
        <w:t>This report contains forward-looking statements that are based on the Company’s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4"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economic conditions generally and specifically in our industry sectors, and other risks relating to the global economy;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in cash flows received from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take advantage of acquisition opportunities at favorable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lack of liquidity surrounding our assets, which could impede our ability to vary our portfolio in an appropriate manner;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relative spreads between the yield on the assets we acquire and the cost of financing;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changes in the financing markets we access affecting our ability to finance our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customer defaults on their obligations;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renew existing contracts and win additional contracts with existing or potential customers;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and cost of capital for future acquisitions;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concentration of a particular type of asset or in a particular sector;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within the aviation, energy, intermodal transport and rail sectors;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competitive market for acquisition opportunities;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risks related to operating through joint ventures or partnerships or through consortium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obsolescence of our assets or our ability to sell, re-lease or re-charter our assets;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uninsurable losses and force majeure events;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infrastructure operations may require substantial capital expenditures;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legislative/regulatory environment and exposure to increased economic regulation;</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the oil and gas industry’s volatile oil and gas prices;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obtaining effective legal redress in jurisdictions in which we operate with less developed legal systems;</w:t>
      </w:r>
    </w:p>
    <w:p>
      <w:pPr>
        <w:spacing w:after="0" w:line="117" w:lineRule="exact"/>
        <w:rPr>
          <w:rFonts w:ascii="Arial" w:cs="Arial" w:eastAsia="Arial" w:hAnsi="Arial"/>
          <w:sz w:val="18"/>
          <w:szCs w:val="18"/>
          <w:color w:val="auto"/>
        </w:rPr>
      </w:pPr>
    </w:p>
    <w:p>
      <w:pPr>
        <w:ind w:left="820" w:right="340" w:hanging="326"/>
        <w:spacing w:after="0" w:line="277"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our exemption from registration under the 1940 Act and the fact that maintaining such exemption imposes limits on our operations;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successfully utilize leverage in connection with our investments;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risk and risk management activities;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exposure to environmental risks, including increasing environmental legislation and the broader impacts of climate change;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ind w:left="820" w:right="140" w:hanging="326"/>
        <w:spacing w:after="0" w:line="27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taken by national, state, or provincial governments, including nationalization, or the imposition of new taxes, could materially impact the financial performance or value of our assets;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our Manager and its professionals and conflicts of interest in our relationship with our Manager;</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volatility in the market price of our common shares;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pay dividends to our shareholders in the future;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risks described in the “Risk Factors” section.</w:t>
      </w:r>
    </w:p>
    <w:p>
      <w:pPr>
        <w:spacing w:after="0" w:line="11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79" w:lineRule="exact"/>
        <w:rPr>
          <w:sz w:val="20"/>
          <w:szCs w:val="20"/>
          <w:color w:val="auto"/>
        </w:rPr>
      </w:pPr>
    </w:p>
    <w:p>
      <w:pPr>
        <w:ind w:right="60" w:firstLine="446"/>
        <w:spacing w:after="0" w:line="259" w:lineRule="auto"/>
        <w:rPr>
          <w:sz w:val="20"/>
          <w:szCs w:val="20"/>
          <w:color w:val="auto"/>
        </w:rPr>
      </w:pPr>
      <w:r>
        <w:rPr>
          <w:rFonts w:ascii="Arial" w:cs="Arial" w:eastAsia="Arial" w:hAnsi="Arial"/>
          <w:sz w:val="18"/>
          <w:szCs w:val="18"/>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692" w:right="279" w:bottom="1440" w:gutter="0" w:footer="0" w:header="0"/>
        </w:sectPr>
      </w:pPr>
    </w:p>
    <w:bookmarkStart w:id="40" w:name="page41"/>
    <w:bookmarkEnd w:id="40"/>
    <w:p>
      <w:pPr>
        <w:ind w:left="4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own and acquire high quality infrastructure and related equipment that is essential for the transportation of goods and people globally. We currently invest across four market sectors: aviation, energy, intermodal transport and rail.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professionals who collectively have acquired over $17 billion in transportation and infrastructure assets since 2002. As of June 30, 2015, we had total consolidated assets of $2.0 billion and total equity of $1.3 billion.</w:t>
      </w:r>
    </w:p>
    <w:p>
      <w:pPr>
        <w:spacing w:after="0" w:line="70"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May 2015, the remaining capital commitments of the investors of the Onshore Fund, Offshore Fund and Master GP were called. Through a series of transactions, (i) the Master GP contributed its rights to previously undistributed incentive allocations pursuant to the Partnership Agreement in exchange for the limited partnership interests in the Onshore Fund and the Offshore Fund equal to the amount of any such undistributed incentive allocations and (ii) 53,502,873 common shares were issued to the Onshore Fund and Offshore Fund based on their relative interests in the Company.</w:t>
      </w:r>
    </w:p>
    <w:p>
      <w:pPr>
        <w:spacing w:after="0" w:line="6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On May 20, 2015, we completed an initial public offering (“IPO”) of 20 million common shares at a price to the public of $17.00 per share. On June 15, 2015, the underwriters exercised their overallotment option, pursuant to which we issued an additional 2.2 million shares to such underwriters at the IPO price.</w:t>
      </w:r>
    </w:p>
    <w:p>
      <w:pPr>
        <w:spacing w:after="0" w:line="73"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The Company has used and intends to use the net proceeds from the IPO, together with other sources of capital and liquidity, for the acquisition of new assets in the sectors the Company currently invests in, as well as to opportunistically acquire assets across the entire transportation and transportation-related infrastructure and equipment market. In addition, the Company may use such net proceeds for follow-on investments in existing assets, working capital and other general purposes.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121" w:lineRule="exact"/>
        <w:rPr>
          <w:sz w:val="20"/>
          <w:szCs w:val="20"/>
          <w:color w:val="auto"/>
        </w:rPr>
      </w:pPr>
    </w:p>
    <w:p>
      <w:pPr>
        <w:jc w:val="both"/>
        <w:ind w:firstLine="446"/>
        <w:spacing w:after="0" w:line="288"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w:t>
      </w:r>
    </w:p>
    <w:p>
      <w:pPr>
        <w:ind w:right="20"/>
        <w:spacing w:after="0" w:line="254" w:lineRule="auto"/>
        <w:rPr>
          <w:sz w:val="20"/>
          <w:szCs w:val="20"/>
          <w:color w:val="auto"/>
        </w:rPr>
      </w:pPr>
      <w:r>
        <w:rPr>
          <w:rFonts w:ascii="Arial" w:cs="Arial" w:eastAsia="Arial" w:hAnsi="Arial"/>
          <w:sz w:val="18"/>
          <w:szCs w:val="18"/>
          <w:color w:val="auto"/>
        </w:rPr>
        <w:t>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may include structural protections to mitigate credit risk.</w:t>
      </w:r>
    </w:p>
    <w:p>
      <w:pPr>
        <w:spacing w:after="0" w:line="82" w:lineRule="exact"/>
        <w:rPr>
          <w:sz w:val="20"/>
          <w:szCs w:val="20"/>
          <w:color w:val="auto"/>
        </w:rPr>
      </w:pPr>
    </w:p>
    <w:p>
      <w:pPr>
        <w:ind w:right="20" w:firstLine="446"/>
        <w:spacing w:after="0" w:line="270" w:lineRule="auto"/>
        <w:rPr>
          <w:sz w:val="20"/>
          <w:szCs w:val="20"/>
          <w:color w:val="auto"/>
        </w:rPr>
      </w:pPr>
      <w:r>
        <w:rPr>
          <w:rFonts w:ascii="Arial" w:cs="Arial" w:eastAsia="Arial" w:hAnsi="Arial"/>
          <w:sz w:val="17"/>
          <w:szCs w:val="17"/>
          <w:color w:val="auto"/>
        </w:rPr>
        <w:t>Our reportable segments are comprised of interests in different types of infrastructure and equipment leasing assets. We currently conduct our business through our corporate operating segment and the following five reportable segments: Aviation Leasing, Offshore Energy, Shipping Containers, all of which are within Equipment Leasing Business, and Jefferson Terminal and Railroad,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investments in shipping containers subject to operating leases and finance leases as well as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The Corporate operating segment primarily consists of unallocated corporate general and administrative expenses and management fees.</w:t>
      </w:r>
    </w:p>
    <w:p>
      <w:pPr>
        <w:spacing w:after="0" w:line="70" w:lineRule="exact"/>
        <w:rPr>
          <w:sz w:val="20"/>
          <w:szCs w:val="20"/>
          <w:color w:val="auto"/>
        </w:rPr>
      </w:pPr>
    </w:p>
    <w:p>
      <w:pPr>
        <w:ind w:right="300" w:firstLine="446"/>
        <w:spacing w:after="0" w:line="286" w:lineRule="auto"/>
        <w:rPr>
          <w:sz w:val="20"/>
          <w:szCs w:val="20"/>
          <w:color w:val="auto"/>
        </w:rPr>
      </w:pPr>
      <w:r>
        <w:rPr>
          <w:rFonts w:ascii="Arial" w:cs="Arial" w:eastAsia="Arial" w:hAnsi="Arial"/>
          <w:sz w:val="17"/>
          <w:szCs w:val="17"/>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79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The Chief Operating Decision Maker (“CODM”) utilizes Adjusted Net Income as the key performance measure. This performance measure reflects the current management of our businesses and provides the CODM with the information necessary to assess operational performance as well as make resource and allocation decisions. Adjusted Net Income should not be considered as an alternative to net income attributable to shareholders as determined in accordance with GAAP. During the fourth quarter of 2014, the CODM implemented Adjusted Net Income as the key performance measure and prior periods have been conformed to the current presentation.</w:t>
      </w:r>
    </w:p>
    <w:p>
      <w:pPr>
        <w:spacing w:after="0" w:line="188" w:lineRule="exact"/>
        <w:rPr>
          <w:sz w:val="20"/>
          <w:szCs w:val="20"/>
          <w:color w:val="auto"/>
        </w:rPr>
      </w:pPr>
    </w:p>
    <w:p>
      <w:pPr>
        <w:ind w:right="160" w:firstLine="446"/>
        <w:spacing w:after="0" w:line="288"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w:t>
      </w:r>
    </w:p>
    <w:p>
      <w:pPr>
        <w:jc w:val="both"/>
        <w:ind w:right="260" w:firstLine="8"/>
        <w:spacing w:after="0" w:line="25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include the impact of cash income tax payments, our pro-rata share of the Adjusted Net Income from unconsolidated entities (collectively “Adjusted Net Income”), and (c) to exclude the impact of the non-controlling share of Adjusted Net Income. We evaluate investment performance for each reportable segment primarily based on Adjusted Net Income. We believe that net income attributable to shareholders as defined by GAAP is the most appropriate earnings measurement with which to reconcile Adjusted Net Income.</w:t>
      </w:r>
    </w:p>
    <w:p>
      <w:pPr>
        <w:spacing w:after="0" w:line="149" w:lineRule="exact"/>
        <w:rPr>
          <w:sz w:val="20"/>
          <w:szCs w:val="20"/>
          <w:color w:val="auto"/>
        </w:rPr>
      </w:pPr>
    </w:p>
    <w:p>
      <w:pPr>
        <w:ind w:right="80" w:firstLine="446"/>
        <w:spacing w:after="0" w:line="259" w:lineRule="auto"/>
        <w:rPr>
          <w:sz w:val="20"/>
          <w:szCs w:val="20"/>
          <w:color w:val="auto"/>
        </w:rPr>
      </w:pPr>
      <w:r>
        <w:rPr>
          <w:rFonts w:ascii="Arial" w:cs="Arial" w:eastAsia="Arial" w:hAnsi="Arial"/>
          <w:sz w:val="18"/>
          <w:szCs w:val="18"/>
          <w:color w:val="auto"/>
        </w:rPr>
        <w:t>In addition, we view Adjusted EBITDA as a secondary measurement to Adjusted Net Income, which serves as a useful supplement to investors, analysts and management to measure operating performance of deployed assets and to compare the Company’s operating results to the operating results of our peers and between periods on a consistent basis. Adjusted EBITDA may not be comparable to similarly titled measures of other companies because other entities may not calculate Adjusted EBITDA in the same manner.</w:t>
      </w:r>
    </w:p>
    <w:p>
      <w:pPr>
        <w:spacing w:after="0" w:line="187" w:lineRule="exact"/>
        <w:rPr>
          <w:sz w:val="20"/>
          <w:szCs w:val="20"/>
          <w:color w:val="auto"/>
        </w:rPr>
      </w:pPr>
    </w:p>
    <w:p>
      <w:pPr>
        <w:ind w:right="120" w:firstLine="446"/>
        <w:spacing w:after="0" w:line="288" w:lineRule="auto"/>
        <w:rPr>
          <w:sz w:val="20"/>
          <w:szCs w:val="20"/>
          <w:color w:val="auto"/>
        </w:rPr>
      </w:pPr>
      <w:r>
        <w:rPr>
          <w:rFonts w:ascii="Arial" w:cs="Arial" w:eastAsia="Arial" w:hAnsi="Arial"/>
          <w:sz w:val="16"/>
          <w:szCs w:val="16"/>
          <w:color w:val="auto"/>
        </w:rPr>
        <w:t>Adjusted EBITDA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ind w:right="380" w:firstLine="8"/>
        <w:spacing w:after="0" w:line="281" w:lineRule="auto"/>
        <w:tabs>
          <w:tab w:leader="none" w:pos="2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include the impact of principal collections on direct finance leases (collectively, “Adjusted EBITDA”) and our pro-rata share of Adjusted EBITDA from unconsolidated entities, and (c) to exclude the impact of equity in earnings of unconsolidated entities and the non-controlling share of Adjusted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EBITDA.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Discussed below are our consolidated results of operations for each of our reportable segments (all amounts in U.S. dollars and expressed in thousands).</w:t>
      </w:r>
    </w:p>
    <w:p>
      <w:pPr>
        <w:spacing w:after="0" w:line="248" w:lineRule="exact"/>
        <w:rPr>
          <w:sz w:val="20"/>
          <w:szCs w:val="20"/>
          <w:color w:val="auto"/>
        </w:rPr>
      </w:pPr>
    </w:p>
    <w:p>
      <w:pPr>
        <w:ind w:right="560" w:firstLine="446"/>
        <w:spacing w:after="0" w:line="277" w:lineRule="auto"/>
        <w:rPr>
          <w:sz w:val="20"/>
          <w:szCs w:val="20"/>
          <w:color w:val="auto"/>
        </w:rPr>
      </w:pPr>
      <w:r>
        <w:rPr>
          <w:rFonts w:ascii="Arial" w:cs="Arial" w:eastAsia="Arial" w:hAnsi="Arial"/>
          <w:sz w:val="18"/>
          <w:szCs w:val="18"/>
          <w:color w:val="auto"/>
        </w:rPr>
        <w:t>The following table presents our consolidated results of operations and reconciliation of Net Income attributable to shareholders to Adjusted Net Income for the three and six months ended June 30, 2015 and June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22,452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7,385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2,604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equipment leasing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28,224</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Rail revenues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4,574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11,847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Terminal services revenues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7,199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infrastructure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10,931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9,947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21,866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20,882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33,564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10,735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22,829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67,537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18,431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49,106</w:t>
            </w:r>
          </w:p>
        </w:tc>
        <w:tc>
          <w:tcPr>
            <w:tcW w:w="0" w:type="dxa"/>
            <w:vAlign w:val="bottom"/>
          </w:tcPr>
          <w:p>
            <w:pPr>
              <w:spacing w:after="0"/>
              <w:rPr>
                <w:sz w:val="1"/>
                <w:szCs w:val="1"/>
                <w:color w:val="auto"/>
              </w:rPr>
            </w:pPr>
          </w:p>
        </w:tc>
      </w:tr>
      <w:tr>
        <w:trPr>
          <w:trHeight w:val="33"/>
        </w:trPr>
        <w:tc>
          <w:tcPr>
            <w:tcW w:w="4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88"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4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17,600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14,792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32,319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28,974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7,140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10,765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2,792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7,973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21,327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4,623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40,194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15,302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24,892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73,420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22,798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50,622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2,215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(expense) income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(Loss) Income before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(5,004)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(788)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(4,216)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(2,832)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973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(3,805)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(5,270)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(1,187)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(4,083)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(3,328)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415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(3,743)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income attributable to non-controlling</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 consolidated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(837)</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515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4,611</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4,537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2,600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(8,507)</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4"/>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4000" w:type="dxa"/>
            <w:vAlign w:val="bottom"/>
            <w:shd w:val="clear" w:color="auto" w:fill="CCEEFF"/>
          </w:tcPr>
          <w:p>
            <w:pPr>
              <w:ind w:left="40"/>
              <w:spacing w:after="0" w:line="213"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1,527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2,466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61"/>
        </w:trPr>
        <w:tc>
          <w:tcPr>
            <w:tcW w:w="40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CCEEFF"/>
            </w:tcBorders>
            <w:shd w:val="clear" w:color="auto" w:fill="CCEEFF"/>
          </w:tcPr>
          <w:p>
            <w:pPr>
              <w:spacing w:after="0"/>
              <w:rPr>
                <w:sz w:val="5"/>
                <w:szCs w:val="5"/>
                <w:color w:val="auto"/>
              </w:rPr>
            </w:pPr>
          </w:p>
        </w:tc>
        <w:tc>
          <w:tcPr>
            <w:tcW w:w="74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CCEEFF"/>
            </w:tcBorders>
            <w:shd w:val="clear" w:color="auto" w:fill="CCEEFF"/>
          </w:tcPr>
          <w:p>
            <w:pPr>
              <w:spacing w:after="0"/>
              <w:rPr>
                <w:sz w:val="5"/>
                <w:szCs w:val="5"/>
                <w:color w:val="auto"/>
              </w:rPr>
            </w:pPr>
          </w:p>
        </w:tc>
        <w:tc>
          <w:tcPr>
            <w:tcW w:w="8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9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(2)</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1,569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6,198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(4,629)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8,492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11,125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-93980</wp:posOffset>
            </wp:positionV>
            <wp:extent cx="4707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2" w:lineRule="exact"/>
        <w:rPr>
          <w:sz w:val="20"/>
          <w:szCs w:val="20"/>
          <w:color w:val="auto"/>
        </w:rPr>
      </w:pPr>
    </w:p>
    <w:p>
      <w:pPr>
        <w:ind w:left="440" w:right="100" w:hanging="432"/>
        <w:spacing w:after="0" w:line="250" w:lineRule="auto"/>
        <w:tabs>
          <w:tab w:leader="none" w:pos="148" w:val="left"/>
        </w:tabs>
        <w:numPr>
          <w:ilvl w:val="0"/>
          <w:numId w:val="25"/>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ind w:left="140" w:hanging="132"/>
        <w:spacing w:after="0"/>
        <w:tabs>
          <w:tab w:leader="none" w:pos="140" w:val="left"/>
        </w:tabs>
        <w:numPr>
          <w:ilvl w:val="0"/>
          <w:numId w:val="25"/>
        </w:numPr>
        <w:rPr>
          <w:rFonts w:ascii="Arial" w:cs="Arial" w:eastAsia="Arial" w:hAnsi="Arial"/>
          <w:sz w:val="8"/>
          <w:szCs w:val="8"/>
          <w:color w:val="auto"/>
        </w:rPr>
      </w:pPr>
      <w:r>
        <w:rPr>
          <w:rFonts w:ascii="Arial" w:cs="Arial" w:eastAsia="Arial" w:hAnsi="Arial"/>
          <w:sz w:val="13"/>
          <w:szCs w:val="13"/>
          <w:color w:val="auto"/>
        </w:rPr>
        <w:t>Non-controlling share of Adjusted Net Income is comprised of the following for the three months ended June 30, 2015: (i) equity-based compensation of $(377), (ii) provision for income tax of</w:t>
      </w:r>
    </w:p>
    <w:p>
      <w:pPr>
        <w:spacing w:after="0" w:line="13" w:lineRule="exact"/>
        <w:rPr>
          <w:sz w:val="20"/>
          <w:szCs w:val="20"/>
          <w:color w:val="auto"/>
        </w:rPr>
      </w:pPr>
    </w:p>
    <w:p>
      <w:pPr>
        <w:ind w:left="440" w:right="20"/>
        <w:spacing w:after="0" w:line="255" w:lineRule="auto"/>
        <w:rPr>
          <w:sz w:val="20"/>
          <w:szCs w:val="20"/>
          <w:color w:val="auto"/>
        </w:rPr>
      </w:pPr>
      <w:r>
        <w:rPr>
          <w:rFonts w:ascii="Arial" w:cs="Arial" w:eastAsia="Arial" w:hAnsi="Arial"/>
          <w:sz w:val="14"/>
          <w:szCs w:val="14"/>
          <w:color w:val="auto"/>
        </w:rPr>
        <w:t>$(20), and (iii) cash tax payments of $71. Non-controlling share of Adjusted Net Income is comprised of the following for the six months ended June 30, 2015: (i) equity-based compensation of $(731), (ii) provision for income tax of $(20), and (iii) cash tax payments of $71.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639"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7"/>
          <w:szCs w:val="17"/>
          <w:color w:val="auto"/>
        </w:rPr>
        <w:t>The following table sets forth a reconciliation of Net Income attributable to shareholders to Adjusted EBITDA for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June 30, 2014: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7,140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(8,507)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12,522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25,240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5,479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4,757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9,572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(4)</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8,337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10,831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16,595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(5,764)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(5)</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(2,963)</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(6,037)</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(5,854)</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23,815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20,135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52,964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37,122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15,842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w:t>
      </w:r>
    </w:p>
    <w:p>
      <w:pPr>
        <w:spacing w:after="0" w:line="17" w:lineRule="exact"/>
        <w:rPr>
          <w:sz w:val="20"/>
          <w:szCs w:val="20"/>
          <w:color w:val="auto"/>
        </w:rPr>
      </w:pPr>
    </w:p>
    <w:p>
      <w:pPr>
        <w:ind w:left="440" w:right="160" w:hanging="432"/>
        <w:spacing w:after="0" w:line="281" w:lineRule="auto"/>
        <w:tabs>
          <w:tab w:leader="none" w:pos="148" w:val="left"/>
        </w:tabs>
        <w:numPr>
          <w:ilvl w:val="0"/>
          <w:numId w:val="26"/>
        </w:numPr>
        <w:rPr>
          <w:rFonts w:ascii="Arial" w:cs="Arial" w:eastAsia="Arial" w:hAnsi="Arial"/>
          <w:sz w:val="8"/>
          <w:szCs w:val="8"/>
          <w:color w:val="auto"/>
        </w:rPr>
      </w:pPr>
      <w:r>
        <w:rPr>
          <w:rFonts w:ascii="Arial" w:cs="Arial" w:eastAsia="Arial" w:hAnsi="Arial"/>
          <w:sz w:val="12"/>
          <w:szCs w:val="12"/>
          <w:color w:val="auto"/>
        </w:rPr>
        <w:t>Depreciation and amortization expense includes $10,765 and $2,792 of depreciation and amortization expense, $1,697 and $704 of lease intangible amortization, and $60 and $0 of amortization for lease incentives in the three months ended June 30, 2015 and 2014, respectively. Depreciation and amortization expense includes $21,327 and $4,623 of depreciation and amortization expense, $3,793 and $856 of lease intangible amortization, and $120 and $0 of amortization for lease incentives in the six months ended June 30, 2015 and 2014, respectively.</w:t>
      </w:r>
    </w:p>
    <w:p>
      <w:pPr>
        <w:spacing w:after="0" w:line="1" w:lineRule="exact"/>
        <w:rPr>
          <w:rFonts w:ascii="Arial" w:cs="Arial" w:eastAsia="Arial" w:hAnsi="Arial"/>
          <w:sz w:val="8"/>
          <w:szCs w:val="8"/>
          <w:color w:val="auto"/>
        </w:rPr>
      </w:pPr>
    </w:p>
    <w:p>
      <w:pPr>
        <w:ind w:left="440" w:right="100" w:hanging="432"/>
        <w:spacing w:after="0" w:line="241" w:lineRule="auto"/>
        <w:tabs>
          <w:tab w:leader="none" w:pos="148" w:val="left"/>
        </w:tabs>
        <w:numPr>
          <w:ilvl w:val="0"/>
          <w:numId w:val="26"/>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the following items for the three months ended June 30, 2015 and 2014: (i) net income of $1,172 and $1,454, (ii) interest expense of $415 and $641, (iii) depreciation and amortization expense of $307 and $343, and (iv) principal collections of finance leases of $3,512 and $5,899, respectively. The Company’s pro-rata share of Adjusted EBITDA from unconsolidated entities includes the following items for the six months ended June 30, 2015 and 2014: (i) net income of $2,357 and $2,981, (ii) interest expense of $948 and $1,273, (iii) depreciation and amortization expense of $611 and $682, and (iv) principal collections of finance leases of $6,915 and $11,659, respectively.</w:t>
      </w:r>
    </w:p>
    <w:p>
      <w:pPr>
        <w:spacing w:after="0" w:line="1" w:lineRule="exact"/>
        <w:rPr>
          <w:rFonts w:ascii="Arial" w:cs="Arial" w:eastAsia="Arial" w:hAnsi="Arial"/>
          <w:sz w:val="9"/>
          <w:szCs w:val="9"/>
          <w:color w:val="auto"/>
        </w:rPr>
      </w:pPr>
    </w:p>
    <w:p>
      <w:pPr>
        <w:ind w:left="440" w:right="100" w:hanging="432"/>
        <w:spacing w:after="0" w:line="246" w:lineRule="auto"/>
        <w:tabs>
          <w:tab w:leader="none" w:pos="148" w:val="left"/>
        </w:tabs>
        <w:numPr>
          <w:ilvl w:val="0"/>
          <w:numId w:val="26"/>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June 30, 2015 and 2014: (i) equity based compensation of $377 and $0, (ii) provision for income taxes of $20 and $0, (iii) interest expense of $1,207 and $35, and (iv) depreciation and amortization expense of $1,450 and $56, respectively. Non-controlling share of Adjusted EBITDA is comprised of the following items for the six months ended June 30, 2015 and 2014: (i) equity based compensation of $731 and $0, (ii) provision for income taxes of $20 and $0, (iii) interest expense of $2,445 and $71, and (iv) depreciation and amortization expense of $2,841 and $112,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Total revenues increased by $22,829 and $49,106 in the three and six months ended June 30, 2015 as compared to the three and six months ended June 30, 2014, respectively, primarily from acquisitions in 2015 and the full impact of acquisitions completed in the second half of 2014 for lease income, maintenance revenue, rail revenues, and terminal services revenues.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Equipment Leasing, lease income increased by $10,332 and $22,452 in the three and six months ended June 30, 2015, respectively, as compared to the three and six months ended June 30, 2014, respectively, driven by increases in assets on lease for Aviation Leasing and Offshore Energy segments as these segments expanded their portfolios. Maintenance revenue increased by $2,622 and $4,781 in the three and six months ended June 30, 2015 as compared to the three and six months ended June 30, 2014, respectively, as the number of assets subject to leases with maintenance arrangements increased in the comparable periods.</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Infrastructure, the Railroad segment acquisition in the second quarter of 2014 contributed higher rail revenues of $4,574 and $10,863 in the three and six months ended June 30, 2015 as compared to $984 in both the three and six months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4" w:name="page45"/>
    <w:bookmarkEnd w:id="44"/>
    <w:p>
      <w:pPr>
        <w:ind w:right="80"/>
        <w:spacing w:after="0" w:line="277" w:lineRule="auto"/>
        <w:rPr>
          <w:sz w:val="20"/>
          <w:szCs w:val="20"/>
          <w:color w:val="auto"/>
        </w:rPr>
      </w:pPr>
      <w:r>
        <w:rPr>
          <w:rFonts w:ascii="Arial" w:cs="Arial" w:eastAsia="Arial" w:hAnsi="Arial"/>
          <w:sz w:val="18"/>
          <w:szCs w:val="18"/>
          <w:color w:val="auto"/>
        </w:rPr>
        <w:t>ended June 30, 2014, respectively. The Jefferson Terminal acquisition in the third quarter of 2014 contributed terminal services revenues and lease income of $5,373 and $10,019 in the three and six months ended June 30,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Total expenses increased by $24,892 and $50,622 in the three months and six months ended June 30, 2015 as compared to the three and six months ended June 30, 2014, respectively. This was driven by an increase in operating expenses of $14,792 and $28,974 in the three months and six months ended June 30, 2015 as compared to the three months and six months ended June 30, 2014, respectively, primarily due to the inclusion of Jefferson Terminal and CMQR, both acquired during 2014.</w:t>
      </w:r>
    </w:p>
    <w:p>
      <w:pPr>
        <w:spacing w:after="0" w:line="79"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Management fees and incentive allocation to affiliate increased by $2,399 and $4,062 in the three months and six months ended June 30, 2015 as compared to the three months and six months ended June 30, 2014, respectively attributable to an increase in the weighted average contributed capital and capital raised during the Company’s IPO.</w:t>
      </w:r>
    </w:p>
    <w:p>
      <w:pPr>
        <w:spacing w:after="0" w:line="7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Depreciation and amortization increased by $7,973 and $16,704 in the three months and six months ended June 30, 2015 as compared to the three months and six months ended June 30, 2014, respectively, due to additional assets acquired in the Aviation Leasing and Offshore Energy segments in 2014, as well as the assets acquired in conjunction with acquisition of Jefferson Terminal and CMQR.</w:t>
      </w:r>
    </w:p>
    <w:p>
      <w:pPr>
        <w:spacing w:after="0" w:line="73"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Interest expense increased by $4,002 and $8,000 in the three months and six months ended June 30, 2015 as compared to the three months and six months ended June 30, 2014, respectively, due to borrowings in connection with CMQR and Jefferson Terminal acquisitions.</w:t>
      </w:r>
    </w:p>
    <w:p>
      <w:pPr>
        <w:spacing w:after="0" w:line="3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Offsetting these increased expenses were lower acquisition and transaction expenses of $5,542 and $8,507 in the three months and six months ended June 30, 2015 as compared to the three months and six months ended June 30, 2014, respectively, as 2014 included costs related to the acquisitions of Jefferson Terminal and CMQR.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Total other income decreased by $2,153 and $2,289 in the three months and six months ended June 30, 2015 as compared to the three and six months ended June 30, 2014, respectively. This was driven by lower gains on sale of aviation equipment of $1,971 and $1,931 in the three months and six months ended June 30, 2015 as compared to the three and six months ended June 30, 2014, respectively. Additionally, lower equity in earnings of unconsolidated entities was generated related to a shipping container joint venture of $302 and $665 in the three and six months ended June 30, 2015 as compared to the three and six months ended June 30,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 Income</w:t>
      </w:r>
    </w:p>
    <w:p>
      <w:pPr>
        <w:spacing w:after="0" w:line="11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Net (loss) income attributable to shareholders increased by $515 and $4,537 in the three months and six months ended June 30, 2015 as compared to the three months and six months ended June 30, 2014, respectively, driven by increases in net loss attributable to non-controlling interest in consolidated subsidiaries, as well as the changes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Adjusted Net Income was $1,569 and $8,492 in the three and six months ended June 30, 2015, respectively, decreasing by $4,629 and $2,633 as compared to the three months and six months ended June 30, 2014, respectively. In addition to the changes in Net (loss) income attributable to shareholders noted above, the decrease in each respective period was driven by lower acquisition and transaction expenses, mainly due to costs incurred to acquire Jefferson Terminal and CMQR in 2014, offset by higher equity-based compensation expense, which are excluded from Adjusted Net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Adjusted EBITDA was $23,815 and $52,964 in the three and six months ended June 30, 2015, respectively, increasing by $3,680 and $15,842 as compared to the three months and six months ended June 30, 2014, respectively. In addition to the changes in Net (loss) income attributable to shareholders noted above, the increase in each respective period was primarily due to higher (i) depreciation and amortization expense from additional assets acquired across nearly all segments, (ii) interest expense on borrowings executed in the second half of 2014 and (iii) equity-based compensation expense. The increase in each respective period was offset by (i) lower acquisition and transaction expenses, mainly due to costs to acquire Jefferson Terminal and CMQR, (ii) higher non-controlling share of Adjusted EBITDA, mainly due to Jefferson Terminal and (iii) a decrease in our pro-rata share of Adjusted EBITDA from unconsolidated entities.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584"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Aviation Leasing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our Aviation Leasing segment, we own and manage 49 aviation assets, including 36 commercial jet engines and 13 commercial passenger aircraft.</w:t>
      </w:r>
    </w:p>
    <w:p>
      <w:pPr>
        <w:spacing w:after="0" w:line="24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June 30, 2015, 24 of our commercial jet engines, and 13 of our commercial aircraft were leased to operators or other third parties. Aviation assets currently off lease are either undergoing repair and/or maintenance, or are currently held in short term storage awaiting a future lease. On an equity-weighted basis, our aviation equipment was approximately 88% utilized as of June 30, 2015. Our aircraft assets currently have a weighted average remaining lease term of 35 months, and our engine assets, currently on lease, have an average remaining lease term of 15 months. The chart below describes the assets in our Aviation Leasing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251575" cy="1809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51575" cy="1809750"/>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Engine Assets</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800" w:type="dxa"/>
            <w:vAlign w:val="bottom"/>
            <w:tcBorders>
              <w:top w:val="single" w:sz="8" w:color="auto"/>
              <w:left w:val="single" w:sz="8" w:color="D8D8D8"/>
              <w:bottom w:val="single" w:sz="8" w:color="D8D8D8"/>
              <w:right w:val="single" w:sz="8" w:color="auto"/>
            </w:tcBorders>
            <w:shd w:val="clear" w:color="auto" w:fill="D8D8D8"/>
          </w:tcPr>
          <w:p>
            <w:pPr>
              <w:ind w:left="1040"/>
              <w:spacing w:after="0"/>
              <w:rPr>
                <w:sz w:val="20"/>
                <w:szCs w:val="20"/>
                <w:color w:val="auto"/>
              </w:rPr>
            </w:pPr>
            <w:r>
              <w:rPr>
                <w:rFonts w:ascii="Arial" w:cs="Arial" w:eastAsia="Arial" w:hAnsi="Arial"/>
                <w:sz w:val="16"/>
                <w:szCs w:val="16"/>
                <w:color w:val="auto"/>
              </w:rPr>
              <w:t>Engine Type</w:t>
            </w:r>
          </w:p>
        </w:tc>
        <w:tc>
          <w:tcPr>
            <w:tcW w:w="1000" w:type="dxa"/>
            <w:vAlign w:val="bottom"/>
            <w:tcBorders>
              <w:top w:val="single" w:sz="8" w:color="auto"/>
              <w:bottom w:val="single" w:sz="8" w:color="D8D8D8"/>
              <w:right w:val="single" w:sz="8" w:color="auto"/>
            </w:tcBorders>
            <w:shd w:val="clear" w:color="auto" w:fill="D8D8D8"/>
          </w:tcPr>
          <w:p>
            <w:pPr>
              <w:ind w:left="200"/>
              <w:spacing w:after="0"/>
              <w:rPr>
                <w:sz w:val="20"/>
                <w:szCs w:val="20"/>
                <w:color w:val="auto"/>
              </w:rPr>
            </w:pPr>
            <w:r>
              <w:rPr>
                <w:rFonts w:ascii="Arial" w:cs="Arial" w:eastAsia="Arial" w:hAnsi="Arial"/>
                <w:sz w:val="16"/>
                <w:szCs w:val="16"/>
                <w:color w:val="auto"/>
              </w:rPr>
              <w:t>Number</w:t>
            </w:r>
          </w:p>
        </w:tc>
        <w:tc>
          <w:tcPr>
            <w:tcW w:w="2240" w:type="dxa"/>
            <w:vAlign w:val="bottom"/>
            <w:tcBorders>
              <w:top w:val="single" w:sz="8" w:color="auto"/>
              <w:bottom w:val="single" w:sz="8" w:color="D8D8D8"/>
              <w:right w:val="single" w:sz="8" w:color="auto"/>
            </w:tcBorders>
            <w:shd w:val="clear" w:color="auto" w:fill="D8D8D8"/>
          </w:tcPr>
          <w:p>
            <w:pPr>
              <w:ind w:left="640"/>
              <w:spacing w:after="0"/>
              <w:rPr>
                <w:sz w:val="20"/>
                <w:szCs w:val="20"/>
                <w:color w:val="auto"/>
              </w:rPr>
            </w:pPr>
            <w:r>
              <w:rPr>
                <w:rFonts w:ascii="Arial" w:cs="Arial" w:eastAsia="Arial" w:hAnsi="Arial"/>
                <w:sz w:val="16"/>
                <w:szCs w:val="16"/>
                <w:color w:val="auto"/>
              </w:rPr>
              <w:t>Manufacturer</w:t>
            </w:r>
          </w:p>
        </w:tc>
        <w:tc>
          <w:tcPr>
            <w:tcW w:w="3800" w:type="dxa"/>
            <w:vAlign w:val="bottom"/>
            <w:tcBorders>
              <w:top w:val="single" w:sz="8" w:color="auto"/>
              <w:bottom w:val="single" w:sz="8" w:color="D8D8D8"/>
            </w:tcBorders>
            <w:shd w:val="clear" w:color="auto" w:fill="D8D8D8"/>
          </w:tcPr>
          <w:p>
            <w:pPr>
              <w:ind w:left="1160"/>
              <w:spacing w:after="0"/>
              <w:rPr>
                <w:sz w:val="20"/>
                <w:szCs w:val="20"/>
                <w:color w:val="auto"/>
              </w:rPr>
            </w:pPr>
            <w:r>
              <w:rPr>
                <w:rFonts w:ascii="Arial" w:cs="Arial" w:eastAsia="Arial" w:hAnsi="Arial"/>
                <w:sz w:val="16"/>
                <w:szCs w:val="16"/>
                <w:color w:val="auto"/>
              </w:rPr>
              <w:t>Aircraft Compatibility</w:t>
            </w:r>
          </w:p>
        </w:tc>
        <w:tc>
          <w:tcPr>
            <w:tcW w:w="20" w:type="dxa"/>
            <w:vAlign w:val="bottom"/>
            <w:tcBorders>
              <w:top w:val="single" w:sz="8" w:color="auto"/>
            </w:tcBorders>
          </w:tcPr>
          <w:p>
            <w:pPr>
              <w:spacing w:after="0"/>
              <w:rPr>
                <w:sz w:val="24"/>
                <w:szCs w:val="24"/>
                <w:color w:val="auto"/>
              </w:rPr>
            </w:pPr>
          </w:p>
        </w:tc>
      </w:tr>
      <w:tr>
        <w:trPr>
          <w:trHeight w:val="237"/>
        </w:trPr>
        <w:tc>
          <w:tcPr>
            <w:tcW w:w="2800" w:type="dxa"/>
            <w:vAlign w:val="bottom"/>
            <w:tcBorders>
              <w:top w:val="single" w:sz="8" w:color="auto"/>
              <w:right w:val="single" w:sz="8" w:color="auto"/>
            </w:tcBorders>
          </w:tcPr>
          <w:p>
            <w:pPr>
              <w:jc w:val="center"/>
              <w:ind w:left="31"/>
              <w:spacing w:after="0"/>
              <w:rPr>
                <w:sz w:val="20"/>
                <w:szCs w:val="20"/>
                <w:color w:val="auto"/>
              </w:rPr>
            </w:pPr>
            <w:r>
              <w:rPr>
                <w:rFonts w:ascii="Arial" w:cs="Arial" w:eastAsia="Arial" w:hAnsi="Arial"/>
                <w:sz w:val="18"/>
                <w:szCs w:val="18"/>
                <w:color w:val="auto"/>
                <w:w w:val="95"/>
              </w:rPr>
              <w:t>CFM56-3</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224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CFMI</w:t>
            </w:r>
          </w:p>
        </w:tc>
        <w:tc>
          <w:tcPr>
            <w:tcW w:w="380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B737-300 / B737-400 / B737-500</w:t>
            </w:r>
          </w:p>
        </w:tc>
        <w:tc>
          <w:tcPr>
            <w:tcW w:w="20" w:type="dxa"/>
            <w:vAlign w:val="bottom"/>
            <w:tcBorders>
              <w:top w:val="single" w:sz="8" w:color="auto"/>
            </w:tcBorders>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5"/>
              </w:rPr>
              <w:t>CFM56-7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CFMI</w:t>
            </w:r>
          </w:p>
        </w:tc>
        <w:tc>
          <w:tcPr>
            <w:tcW w:w="3800" w:type="dxa"/>
            <w:vAlign w:val="bottom"/>
          </w:tcPr>
          <w:p>
            <w:pPr>
              <w:ind w:left="260"/>
              <w:spacing w:after="0"/>
              <w:rPr>
                <w:sz w:val="20"/>
                <w:szCs w:val="20"/>
                <w:color w:val="auto"/>
              </w:rPr>
            </w:pPr>
            <w:r>
              <w:rPr>
                <w:rFonts w:ascii="Arial" w:cs="Arial" w:eastAsia="Arial" w:hAnsi="Arial"/>
                <w:sz w:val="18"/>
                <w:szCs w:val="18"/>
                <w:color w:val="auto"/>
              </w:rPr>
              <w:t>B737-NG</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3"/>
              </w:rPr>
              <w:t>CF6-80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General Electric</w:t>
            </w:r>
          </w:p>
        </w:tc>
        <w:tc>
          <w:tcPr>
            <w:tcW w:w="3800" w:type="dxa"/>
            <w:vAlign w:val="bottom"/>
          </w:tcPr>
          <w:p>
            <w:pPr>
              <w:ind w:left="260"/>
              <w:spacing w:after="0"/>
              <w:rPr>
                <w:sz w:val="20"/>
                <w:szCs w:val="20"/>
                <w:color w:val="auto"/>
              </w:rPr>
            </w:pPr>
            <w:r>
              <w:rPr>
                <w:rFonts w:ascii="Arial" w:cs="Arial" w:eastAsia="Arial" w:hAnsi="Arial"/>
                <w:sz w:val="18"/>
                <w:szCs w:val="18"/>
                <w:color w:val="auto"/>
              </w:rPr>
              <w:t>B747 / B767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2"/>
              </w:rPr>
              <w:t>CF34-10E</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General Electric</w:t>
            </w:r>
          </w:p>
        </w:tc>
        <w:tc>
          <w:tcPr>
            <w:tcW w:w="3800" w:type="dxa"/>
            <w:vAlign w:val="bottom"/>
          </w:tcPr>
          <w:p>
            <w:pPr>
              <w:ind w:left="260"/>
              <w:spacing w:after="0"/>
              <w:rPr>
                <w:sz w:val="20"/>
                <w:szCs w:val="20"/>
                <w:color w:val="auto"/>
              </w:rPr>
            </w:pPr>
            <w:r>
              <w:rPr>
                <w:rFonts w:ascii="Arial" w:cs="Arial" w:eastAsia="Arial" w:hAnsi="Arial"/>
                <w:sz w:val="18"/>
                <w:szCs w:val="18"/>
                <w:color w:val="auto"/>
              </w:rPr>
              <w:t>E190 / E195</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2"/>
              </w:rPr>
              <w:t>PW2037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Pratt &amp; Whitney</w:t>
            </w:r>
          </w:p>
        </w:tc>
        <w:tc>
          <w:tcPr>
            <w:tcW w:w="3800" w:type="dxa"/>
            <w:vAlign w:val="bottom"/>
          </w:tcPr>
          <w:p>
            <w:pPr>
              <w:ind w:left="260"/>
              <w:spacing w:after="0"/>
              <w:rPr>
                <w:sz w:val="20"/>
                <w:szCs w:val="20"/>
                <w:color w:val="auto"/>
              </w:rPr>
            </w:pPr>
            <w:r>
              <w:rPr>
                <w:rFonts w:ascii="Arial" w:cs="Arial" w:eastAsia="Arial" w:hAnsi="Arial"/>
                <w:sz w:val="18"/>
                <w:szCs w:val="18"/>
                <w:color w:val="auto"/>
              </w:rPr>
              <w:t>B757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2"/>
              </w:rPr>
              <w:t>PW4056</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Pratt &amp; Whitney</w:t>
            </w:r>
          </w:p>
        </w:tc>
        <w:tc>
          <w:tcPr>
            <w:tcW w:w="3800" w:type="dxa"/>
            <w:vAlign w:val="bottom"/>
          </w:tcPr>
          <w:p>
            <w:pPr>
              <w:ind w:left="260"/>
              <w:spacing w:after="0"/>
              <w:rPr>
                <w:sz w:val="20"/>
                <w:szCs w:val="20"/>
                <w:color w:val="auto"/>
              </w:rPr>
            </w:pPr>
            <w:r>
              <w:rPr>
                <w:rFonts w:ascii="Arial" w:cs="Arial" w:eastAsia="Arial" w:hAnsi="Arial"/>
                <w:sz w:val="18"/>
                <w:szCs w:val="18"/>
                <w:color w:val="auto"/>
              </w:rPr>
              <w:t>B747 / B767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4"/>
              </w:rPr>
              <w:t>RB211</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Rolls Royce</w:t>
            </w:r>
          </w:p>
        </w:tc>
        <w:tc>
          <w:tcPr>
            <w:tcW w:w="3800" w:type="dxa"/>
            <w:vAlign w:val="bottom"/>
          </w:tcPr>
          <w:p>
            <w:pPr>
              <w:ind w:left="260"/>
              <w:spacing w:after="0"/>
              <w:rPr>
                <w:sz w:val="20"/>
                <w:szCs w:val="20"/>
                <w:color w:val="auto"/>
              </w:rPr>
            </w:pPr>
            <w:r>
              <w:rPr>
                <w:rFonts w:ascii="Arial" w:cs="Arial" w:eastAsia="Arial" w:hAnsi="Arial"/>
                <w:sz w:val="18"/>
                <w:szCs w:val="18"/>
                <w:color w:val="auto"/>
              </w:rPr>
              <w:t>B757</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800" w:type="dxa"/>
            <w:vAlign w:val="bottom"/>
            <w:tcBorders>
              <w:right w:val="single" w:sz="8" w:color="auto"/>
            </w:tcBorders>
          </w:tcPr>
          <w:p>
            <w:pPr>
              <w:jc w:val="center"/>
              <w:ind w:left="31"/>
              <w:spacing w:after="0"/>
              <w:rPr>
                <w:sz w:val="20"/>
                <w:szCs w:val="20"/>
                <w:color w:val="auto"/>
              </w:rPr>
            </w:pPr>
            <w:r>
              <w:rPr>
                <w:rFonts w:ascii="Arial" w:cs="Arial" w:eastAsia="Arial" w:hAnsi="Arial"/>
                <w:sz w:val="18"/>
                <w:szCs w:val="18"/>
                <w:color w:val="auto"/>
                <w:w w:val="94"/>
              </w:rPr>
              <w:t>V2527-A5</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224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IAE</w:t>
            </w:r>
          </w:p>
        </w:tc>
        <w:tc>
          <w:tcPr>
            <w:tcW w:w="3800" w:type="dxa"/>
            <w:vAlign w:val="bottom"/>
          </w:tcPr>
          <w:p>
            <w:pPr>
              <w:ind w:left="260"/>
              <w:spacing w:after="0"/>
              <w:rPr>
                <w:sz w:val="20"/>
                <w:szCs w:val="20"/>
                <w:color w:val="auto"/>
              </w:rPr>
            </w:pPr>
            <w:r>
              <w:rPr>
                <w:rFonts w:ascii="Arial" w:cs="Arial" w:eastAsia="Arial" w:hAnsi="Arial"/>
                <w:sz w:val="18"/>
                <w:szCs w:val="18"/>
                <w:color w:val="auto"/>
              </w:rPr>
              <w:t>A320 / A321 / A319</w:t>
            </w:r>
          </w:p>
        </w:tc>
        <w:tc>
          <w:tcPr>
            <w:tcW w:w="20" w:type="dxa"/>
            <w:vAlign w:val="bottom"/>
          </w:tcPr>
          <w:p>
            <w:pPr>
              <w:spacing w:after="0"/>
              <w:rPr>
                <w:sz w:val="20"/>
                <w:szCs w:val="20"/>
                <w:color w:val="auto"/>
              </w:rPr>
            </w:pPr>
          </w:p>
        </w:tc>
      </w:tr>
      <w:tr>
        <w:trPr>
          <w:trHeight w:val="27"/>
        </w:trPr>
        <w:tc>
          <w:tcPr>
            <w:tcW w:w="28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29"/>
        </w:trPr>
        <w:tc>
          <w:tcPr>
            <w:tcW w:w="28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3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9"/>
        </w:trPr>
        <w:tc>
          <w:tcPr>
            <w:tcW w:w="2800" w:type="dxa"/>
            <w:vAlign w:val="bottom"/>
            <w:tcBorders>
              <w:left w:val="single" w:sz="8" w:color="auto"/>
              <w:bottom w:val="single" w:sz="8" w:color="00497F"/>
              <w:right w:val="single" w:sz="8" w:color="00497F"/>
            </w:tcBorders>
            <w:shd w:val="clear" w:color="auto" w:fill="00497F"/>
          </w:tcPr>
          <w:p>
            <w:pPr>
              <w:ind w:left="40"/>
              <w:spacing w:after="0"/>
              <w:rPr>
                <w:sz w:val="20"/>
                <w:szCs w:val="20"/>
                <w:color w:val="auto"/>
              </w:rPr>
            </w:pPr>
            <w:r>
              <w:rPr>
                <w:rFonts w:ascii="Arial" w:cs="Arial" w:eastAsia="Arial" w:hAnsi="Arial"/>
                <w:sz w:val="18"/>
                <w:szCs w:val="18"/>
                <w:b w:val="1"/>
                <w:bCs w:val="1"/>
                <w:color w:val="FFFFFF"/>
              </w:rPr>
              <w:t>Aircraft Assets</w:t>
            </w:r>
          </w:p>
        </w:tc>
        <w:tc>
          <w:tcPr>
            <w:tcW w:w="1000" w:type="dxa"/>
            <w:vAlign w:val="bottom"/>
            <w:tcBorders>
              <w:bottom w:val="single" w:sz="8" w:color="00497F"/>
              <w:right w:val="single" w:sz="8" w:color="00497F"/>
            </w:tcBorders>
            <w:shd w:val="clear" w:color="auto" w:fill="00497F"/>
          </w:tcPr>
          <w:p>
            <w:pPr>
              <w:spacing w:after="0"/>
              <w:rPr>
                <w:sz w:val="22"/>
                <w:szCs w:val="22"/>
                <w:color w:val="auto"/>
              </w:rPr>
            </w:pPr>
          </w:p>
        </w:tc>
        <w:tc>
          <w:tcPr>
            <w:tcW w:w="2240" w:type="dxa"/>
            <w:vAlign w:val="bottom"/>
            <w:tcBorders>
              <w:bottom w:val="single" w:sz="8" w:color="00497F"/>
              <w:right w:val="single" w:sz="8" w:color="auto"/>
            </w:tcBorders>
            <w:shd w:val="clear" w:color="auto" w:fill="00497F"/>
          </w:tcPr>
          <w:p>
            <w:pPr>
              <w:spacing w:after="0"/>
              <w:rPr>
                <w:sz w:val="22"/>
                <w:szCs w:val="22"/>
                <w:color w:val="auto"/>
              </w:rPr>
            </w:pPr>
          </w:p>
        </w:tc>
        <w:tc>
          <w:tcPr>
            <w:tcW w:w="38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5"/>
        </w:trPr>
        <w:tc>
          <w:tcPr>
            <w:tcW w:w="2800" w:type="dxa"/>
            <w:vAlign w:val="bottom"/>
            <w:tcBorders>
              <w:top w:val="single" w:sz="8" w:color="auto"/>
              <w:left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Airframe Type</w:t>
            </w:r>
          </w:p>
        </w:tc>
        <w:tc>
          <w:tcPr>
            <w:tcW w:w="100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Arial" w:cs="Arial" w:eastAsia="Arial" w:hAnsi="Arial"/>
                <w:sz w:val="16"/>
                <w:szCs w:val="16"/>
                <w:color w:val="auto"/>
                <w:w w:val="94"/>
              </w:rPr>
              <w:t>Number</w:t>
            </w:r>
          </w:p>
        </w:tc>
        <w:tc>
          <w:tcPr>
            <w:tcW w:w="2240" w:type="dxa"/>
            <w:vAlign w:val="bottom"/>
            <w:tcBorders>
              <w:top w:val="single" w:sz="8" w:color="auto"/>
              <w:bottom w:val="single" w:sz="8" w:color="D8D8D8"/>
              <w:right w:val="single" w:sz="8" w:color="auto"/>
            </w:tcBorders>
            <w:shd w:val="clear" w:color="auto" w:fill="D8D8D8"/>
          </w:tcPr>
          <w:p>
            <w:pPr>
              <w:ind w:left="660"/>
              <w:spacing w:after="0"/>
              <w:rPr>
                <w:sz w:val="20"/>
                <w:szCs w:val="20"/>
                <w:color w:val="auto"/>
              </w:rPr>
            </w:pPr>
            <w:r>
              <w:rPr>
                <w:rFonts w:ascii="Arial" w:cs="Arial" w:eastAsia="Arial" w:hAnsi="Arial"/>
                <w:sz w:val="16"/>
                <w:szCs w:val="16"/>
                <w:color w:val="auto"/>
              </w:rPr>
              <w:t>Manufacturer</w:t>
            </w: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8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B757-200</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2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Boeing</w:t>
            </w: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B767-300ER</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Boeing</w:t>
            </w: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A320-200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Airbus</w:t>
            </w: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B737-800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Boeing</w:t>
            </w: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B737-700</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Boeing</w:t>
            </w: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800" w:type="dxa"/>
            <w:vAlign w:val="bottom"/>
          </w:tcPr>
          <w:p>
            <w:pPr>
              <w:spacing w:after="0"/>
              <w:rPr>
                <w:sz w:val="2"/>
                <w:szCs w:val="2"/>
                <w:color w:val="auto"/>
              </w:rPr>
            </w:pPr>
          </w:p>
        </w:tc>
        <w:tc>
          <w:tcPr>
            <w:tcW w:w="20" w:type="dxa"/>
            <w:vAlign w:val="bottom"/>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Aviation Leasing segment for the three and six months ended June 30, 2015 and June 30, 2014:</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2"/>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60" w:type="dxa"/>
            <w:vAlign w:val="bottom"/>
            <w:gridSpan w:val="3"/>
            <w:vMerge w:val="restart"/>
          </w:tcPr>
          <w:p>
            <w:pPr>
              <w:jc w:val="center"/>
              <w:ind w:left="37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Maintenance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3,999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2,622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7,385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2,604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13,807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5,324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8,483</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28,052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8,591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19,461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5,396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3,150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10,652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6,949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5,773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2,706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3,067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11,367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4,556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6,811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income</w:t>
      </w:r>
    </w:p>
    <w:p>
      <w:pPr>
        <w:sectPr>
          <w:pgSz w:w="11900" w:h="16838" w:orient="portrait"/>
          <w:cols w:equalWidth="0" w:num="1">
            <w:col w:w="11420"/>
          </w:cols>
          <w:pgMar w:left="240" w:top="688"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688"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580" w:type="dxa"/>
            <w:vAlign w:val="bottom"/>
            <w:gridSpan w:val="4"/>
            <w:vMerge w:val="restart"/>
          </w:tcPr>
          <w:p>
            <w:pPr>
              <w:ind w:left="200"/>
              <w:spacing w:after="0"/>
              <w:rPr>
                <w:sz w:val="20"/>
                <w:szCs w:val="20"/>
                <w:color w:val="auto"/>
              </w:rPr>
            </w:pPr>
            <w:r>
              <w:rPr>
                <w:rFonts w:ascii="Arial" w:cs="Arial" w:eastAsia="Arial" w:hAnsi="Arial"/>
                <w:sz w:val="16"/>
                <w:szCs w:val="16"/>
                <w:b w:val="1"/>
                <w:bCs w:val="1"/>
                <w:color w:val="auto"/>
              </w:rPr>
              <w:t>Three Months Ended June 30,</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w w:val="92"/>
              </w:rPr>
              <w:t>Six Months Ended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2580" w:type="dxa"/>
            <w:vAlign w:val="bottom"/>
            <w:gridSpan w:val="4"/>
            <w:vMerge w:val="continue"/>
          </w:tcPr>
          <w:p>
            <w:pPr>
              <w:spacing w:after="0"/>
              <w:rPr>
                <w:sz w:val="8"/>
                <w:szCs w:val="8"/>
                <w:color w:val="auto"/>
              </w:rPr>
            </w:pPr>
          </w:p>
        </w:tc>
        <w:tc>
          <w:tcPr>
            <w:tcW w:w="1620" w:type="dxa"/>
            <w:vAlign w:val="bottom"/>
            <w:gridSpan w:val="3"/>
            <w:vMerge w:val="restart"/>
          </w:tcPr>
          <w:p>
            <w:pPr>
              <w:ind w:left="300"/>
              <w:spacing w:after="0"/>
              <w:rPr>
                <w:sz w:val="20"/>
                <w:szCs w:val="20"/>
                <w:color w:val="auto"/>
              </w:rPr>
            </w:pPr>
            <w:r>
              <w:rPr>
                <w:rFonts w:ascii="Arial" w:cs="Arial" w:eastAsia="Arial" w:hAnsi="Arial"/>
                <w:sz w:val="16"/>
                <w:szCs w:val="16"/>
                <w:b w:val="1"/>
                <w:bCs w:val="1"/>
                <w:color w:val="auto"/>
              </w:rPr>
              <w:t>Change</w:t>
            </w:r>
          </w:p>
        </w:tc>
        <w:tc>
          <w:tcPr>
            <w:tcW w:w="1160" w:type="dxa"/>
            <w:vAlign w:val="bottom"/>
            <w:gridSpan w:val="3"/>
            <w:vMerge w:val="restart"/>
          </w:tcPr>
          <w:p>
            <w:pPr>
              <w:jc w:val="center"/>
              <w:ind w:left="37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1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3"/>
          </w:tcPr>
          <w:p>
            <w:pPr>
              <w:ind w:left="640"/>
              <w:spacing w:after="0"/>
              <w:rPr>
                <w:sz w:val="20"/>
                <w:szCs w:val="20"/>
                <w:color w:val="auto"/>
              </w:rPr>
            </w:pPr>
            <w:r>
              <w:rPr>
                <w:rFonts w:ascii="Arial" w:cs="Arial" w:eastAsia="Arial" w:hAnsi="Arial"/>
                <w:sz w:val="16"/>
                <w:szCs w:val="16"/>
                <w:b w:val="1"/>
                <w:bCs w:val="1"/>
                <w:color w:val="auto"/>
                <w:w w:val="87"/>
              </w:rPr>
              <w:t>(in 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2,255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2,215</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(1,931)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11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2,263</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2,229</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8,318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4,881</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16,977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6,264</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10,713</w:t>
            </w:r>
          </w:p>
        </w:tc>
        <w:tc>
          <w:tcPr>
            <w:tcW w:w="0" w:type="dxa"/>
            <w:vAlign w:val="bottom"/>
          </w:tcPr>
          <w:p>
            <w:pPr>
              <w:spacing w:after="0"/>
              <w:rPr>
                <w:sz w:val="1"/>
                <w:szCs w:val="1"/>
                <w:color w:val="auto"/>
              </w:rPr>
            </w:pPr>
          </w:p>
        </w:tc>
      </w:tr>
      <w:tr>
        <w:trPr>
          <w:trHeight w:val="33"/>
        </w:trPr>
        <w:tc>
          <w:tcPr>
            <w:tcW w:w="4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00"/>
          </w:cols>
          <w:pgMar w:left="240" w:top="531" w:right="259" w:bottom="1440" w:gutter="0" w:footer="0" w:header="0"/>
        </w:sectPr>
      </w:pPr>
    </w:p>
    <w:tbl>
      <w:tblPr>
        <w:tblLayout w:type="fixed"/>
        <w:tblInd w:w="40" w:type="dxa"/>
        <w:tblCellMar>
          <w:top w:w="0" w:type="dxa"/>
          <w:left w:w="0" w:type="dxa"/>
          <w:bottom w:w="0" w:type="dxa"/>
          <w:right w:w="0" w:type="dxa"/>
        </w:tblCellMar>
      </w:tblPr>
      <w:tr>
        <w:trPr>
          <w:trHeight w:val="220"/>
        </w:trPr>
        <w:tc>
          <w:tcPr>
            <w:tcW w:w="39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40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60" w:type="dxa"/>
            <w:vAlign w:val="bottom"/>
          </w:tcPr>
          <w:p>
            <w:pPr>
              <w:spacing w:after="0"/>
              <w:rPr>
                <w:sz w:val="20"/>
                <w:szCs w:val="20"/>
                <w:color w:val="auto"/>
              </w:rPr>
            </w:pPr>
            <w:r>
              <w:rPr>
                <w:rFonts w:ascii="Arial" w:cs="Arial" w:eastAsia="Arial" w:hAnsi="Arial"/>
                <w:sz w:val="16"/>
                <w:szCs w:val="16"/>
                <w:b w:val="1"/>
                <w:bCs w:val="1"/>
                <w:color w:val="auto"/>
              </w:rPr>
              <w:t>Net Income attributable to shareholders</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b w:val="1"/>
                <w:bCs w:val="1"/>
                <w:color w:val="auto"/>
              </w:rPr>
              <w:t>8,120</w:t>
            </w:r>
          </w:p>
        </w:tc>
        <w:tc>
          <w:tcPr>
            <w:tcW w:w="12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4,600</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3,520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6"/>
                <w:szCs w:val="16"/>
                <w:color w:val="auto"/>
              </w:rPr>
              <w:t>Add: Provision for income taxes</w:t>
            </w:r>
          </w:p>
        </w:tc>
        <w:tc>
          <w:tcPr>
            <w:tcW w:w="40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Add: Equity-based compensation expense</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Add: Acquisition and transaction expenses</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960" w:type="dxa"/>
            <w:vAlign w:val="bottom"/>
          </w:tcPr>
          <w:p>
            <w:pPr>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3960" w:type="dxa"/>
            <w:vAlign w:val="bottom"/>
            <w:vMerge w:val="restart"/>
          </w:tcPr>
          <w:p>
            <w:pPr>
              <w:spacing w:after="0"/>
              <w:rPr>
                <w:sz w:val="20"/>
                <w:szCs w:val="20"/>
                <w:color w:val="auto"/>
              </w:rPr>
            </w:pPr>
            <w:r>
              <w:rPr>
                <w:rFonts w:ascii="Arial" w:cs="Arial" w:eastAsia="Arial" w:hAnsi="Arial"/>
                <w:sz w:val="16"/>
                <w:szCs w:val="16"/>
                <w:color w:val="auto"/>
              </w:rPr>
              <w:t>and capital lease obligations</w:t>
            </w:r>
          </w:p>
        </w:tc>
        <w:tc>
          <w:tcPr>
            <w:tcW w:w="400" w:type="dxa"/>
            <w:vAlign w:val="bottom"/>
          </w:tcPr>
          <w:p>
            <w:pPr>
              <w:spacing w:after="0"/>
              <w:rPr>
                <w:sz w:val="8"/>
                <w:szCs w:val="8"/>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8"/>
                <w:szCs w:val="8"/>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3960" w:type="dxa"/>
            <w:vAlign w:val="bottom"/>
          </w:tcPr>
          <w:p>
            <w:pPr>
              <w:spacing w:after="0"/>
              <w:rPr>
                <w:sz w:val="20"/>
                <w:szCs w:val="20"/>
                <w:color w:val="auto"/>
              </w:rPr>
            </w:pPr>
            <w:r>
              <w:rPr>
                <w:rFonts w:ascii="Arial" w:cs="Arial" w:eastAsia="Arial" w:hAnsi="Arial"/>
                <w:sz w:val="16"/>
                <w:szCs w:val="16"/>
                <w:color w:val="auto"/>
              </w:rPr>
              <w:t>Add: Changes in fair value of non-hedge derivative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3960" w:type="dxa"/>
            <w:vAlign w:val="bottom"/>
            <w:vMerge w:val="restart"/>
          </w:tcPr>
          <w:p>
            <w:pPr>
              <w:spacing w:after="0"/>
              <w:rPr>
                <w:sz w:val="20"/>
                <w:szCs w:val="20"/>
                <w:color w:val="auto"/>
              </w:rPr>
            </w:pPr>
            <w:r>
              <w:rPr>
                <w:rFonts w:ascii="Arial" w:cs="Arial" w:eastAsia="Arial" w:hAnsi="Arial"/>
                <w:sz w:val="16"/>
                <w:szCs w:val="16"/>
                <w:color w:val="auto"/>
              </w:rPr>
              <w:t>instruments</w:t>
            </w:r>
          </w:p>
        </w:tc>
        <w:tc>
          <w:tcPr>
            <w:tcW w:w="400" w:type="dxa"/>
            <w:vAlign w:val="bottom"/>
          </w:tcPr>
          <w:p>
            <w:pPr>
              <w:spacing w:after="0"/>
              <w:rPr>
                <w:sz w:val="8"/>
                <w:szCs w:val="8"/>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8"/>
                <w:szCs w:val="8"/>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Add: Asset impairment charges</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960" w:type="dxa"/>
            <w:vAlign w:val="bottom"/>
          </w:tcPr>
          <w:p>
            <w:pPr>
              <w:spacing w:after="0"/>
              <w:rPr>
                <w:sz w:val="20"/>
                <w:szCs w:val="20"/>
                <w:color w:val="auto"/>
              </w:rPr>
            </w:pPr>
            <w:r>
              <w:rPr>
                <w:rFonts w:ascii="Arial" w:cs="Arial" w:eastAsia="Arial" w:hAnsi="Arial"/>
                <w:sz w:val="16"/>
                <w:szCs w:val="16"/>
                <w:color w:val="auto"/>
              </w:rPr>
              <w:t>Add: Pro-rata share of Adjusted Net Income from</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3960" w:type="dxa"/>
            <w:vAlign w:val="bottom"/>
            <w:vMerge w:val="restart"/>
          </w:tcPr>
          <w:p>
            <w:pPr>
              <w:spacing w:after="0"/>
              <w:rPr>
                <w:sz w:val="20"/>
                <w:szCs w:val="20"/>
                <w:color w:val="auto"/>
              </w:rPr>
            </w:pPr>
            <w:r>
              <w:rPr>
                <w:rFonts w:ascii="Arial" w:cs="Arial" w:eastAsia="Arial" w:hAnsi="Arial"/>
                <w:sz w:val="16"/>
                <w:szCs w:val="16"/>
                <w:color w:val="auto"/>
              </w:rPr>
              <w:t>unconsolidated entities</w:t>
            </w:r>
          </w:p>
        </w:tc>
        <w:tc>
          <w:tcPr>
            <w:tcW w:w="400" w:type="dxa"/>
            <w:vAlign w:val="bottom"/>
          </w:tcPr>
          <w:p>
            <w:pPr>
              <w:spacing w:after="0"/>
              <w:rPr>
                <w:sz w:val="8"/>
                <w:szCs w:val="8"/>
                <w:color w:val="auto"/>
              </w:rPr>
            </w:pP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8"/>
                <w:szCs w:val="8"/>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Add: Incentive allocations</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Less: Cash payments for income taxes</w:t>
            </w: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Less: Equity in earnings of unconsolidated entities</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6"/>
                <w:szCs w:val="16"/>
                <w:color w:val="auto"/>
              </w:rPr>
              <w:t>Less: Non-controlling share of Adjusted Net Income</w:t>
            </w:r>
          </w:p>
        </w:tc>
        <w:tc>
          <w:tcPr>
            <w:tcW w:w="4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Pr>
          <w:p>
            <w:pPr>
              <w:spacing w:after="0"/>
              <w:rPr>
                <w:sz w:val="20"/>
                <w:szCs w:val="20"/>
                <w:color w:val="auto"/>
              </w:rPr>
            </w:pPr>
            <w:r>
              <w:rPr>
                <w:rFonts w:ascii="Arial" w:cs="Arial" w:eastAsia="Arial" w:hAnsi="Arial"/>
                <w:sz w:val="16"/>
                <w:szCs w:val="16"/>
                <w:b w:val="1"/>
                <w:bCs w:val="1"/>
                <w:color w:val="auto"/>
              </w:rPr>
              <w:t>Adjusted Net Income</w:t>
            </w: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8,288</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4,881</w:t>
            </w:r>
          </w:p>
        </w:tc>
        <w:tc>
          <w:tcPr>
            <w:tcW w:w="12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3,407</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-2272030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-1929130</wp:posOffset>
            </wp:positionV>
            <wp:extent cx="722947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-1345565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29475"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-2623820</wp:posOffset>
            </wp:positionV>
            <wp:extent cx="72294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412</w:t>
            </w:r>
          </w:p>
        </w:tc>
        <w:tc>
          <w:tcPr>
            <w:tcW w:w="38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84"/>
        </w:trPr>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w w:val="85"/>
              </w:rPr>
              <w:t>16,565</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5,926</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10,639</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412</w:t>
            </w:r>
          </w:p>
        </w:tc>
        <w:tc>
          <w:tcPr>
            <w:tcW w:w="380" w:type="dxa"/>
            <w:vAlign w:val="bottom"/>
          </w:tcPr>
          <w:p>
            <w:pPr>
              <w:spacing w:after="0"/>
              <w:rPr>
                <w:sz w:val="18"/>
                <w:szCs w:val="18"/>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6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6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6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6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51"/>
        </w:trPr>
        <w:tc>
          <w:tcPr>
            <w:tcW w:w="6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8"/>
        </w:trPr>
        <w:tc>
          <w:tcPr>
            <w:tcW w:w="66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0" w:type="dxa"/>
            <w:vAlign w:val="bottom"/>
          </w:tcPr>
          <w:p>
            <w:pPr>
              <w:jc w:val="right"/>
              <w:ind w:right="79"/>
              <w:spacing w:after="0"/>
              <w:rPr>
                <w:sz w:val="20"/>
                <w:szCs w:val="20"/>
                <w:color w:val="auto"/>
              </w:rPr>
            </w:pPr>
            <w:r>
              <w:rPr>
                <w:rFonts w:ascii="Arial" w:cs="Arial" w:eastAsia="Arial" w:hAnsi="Arial"/>
                <w:sz w:val="16"/>
                <w:szCs w:val="16"/>
                <w:color w:val="auto"/>
              </w:rPr>
              <w:t>(227)</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6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 w:type="dxa"/>
            <w:vAlign w:val="bottom"/>
          </w:tcPr>
          <w:p>
            <w:pPr>
              <w:jc w:val="right"/>
              <w:ind w:right="139"/>
              <w:spacing w:after="0"/>
              <w:rPr>
                <w:sz w:val="20"/>
                <w:szCs w:val="20"/>
                <w:color w:val="auto"/>
              </w:rPr>
            </w:pPr>
            <w:r>
              <w:rPr>
                <w:rFonts w:ascii="Arial" w:cs="Arial" w:eastAsia="Arial" w:hAnsi="Arial"/>
                <w:sz w:val="16"/>
                <w:szCs w:val="16"/>
                <w:b w:val="1"/>
                <w:bCs w:val="1"/>
                <w:color w:val="auto"/>
                <w:w w:val="85"/>
              </w:rPr>
              <w:t>16,750</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6,264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10,486</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-8255</wp:posOffset>
            </wp:positionV>
            <wp:extent cx="711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835" cy="8890"/>
                    </a:xfrm>
                    <a:prstGeom prst="rect">
                      <a:avLst/>
                    </a:prstGeom>
                    <a:noFill/>
                  </pic:spPr>
                </pic:pic>
              </a:graphicData>
            </a:graphic>
          </wp:anchor>
        </w:drawing>
        <w:drawing>
          <wp:anchor simplePos="0" relativeHeight="251657728" behindDoc="1" locked="0" layoutInCell="0" allowOverlap="1">
            <wp:simplePos x="0" y="0"/>
            <wp:positionH relativeFrom="column">
              <wp:posOffset>-358775</wp:posOffset>
            </wp:positionH>
            <wp:positionV relativeFrom="paragraph">
              <wp:posOffset>-2443480</wp:posOffset>
            </wp:positionV>
            <wp:extent cx="711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20" w:space="460"/>
            <w:col w:w="3020"/>
          </w:cols>
          <w:pgMar w:left="240" w:top="531"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00"/>
          </w:cols>
          <w:pgMar w:left="240" w:top="531" w:right="259" w:bottom="1440" w:gutter="0" w:footer="0" w:header="0"/>
          <w:type w:val="continuous"/>
        </w:sectPr>
      </w:pPr>
    </w:p>
    <w:bookmarkStart w:id="47" w:name="page48"/>
    <w:bookmarkEnd w:id="47"/>
    <w:p>
      <w:pPr>
        <w:ind w:right="100"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Aviation Leasing segment for the three and six months ended June 30, 2015 and June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Add: Depreciation and amortization expense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7,153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4,203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14,565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4,559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10,006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15,471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31,542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11,012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20,530</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-93980</wp:posOffset>
            </wp:positionV>
            <wp:extent cx="4707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spacing w:after="0" w:line="42" w:lineRule="exact"/>
        <w:rPr>
          <w:sz w:val="20"/>
          <w:szCs w:val="20"/>
          <w:color w:val="auto"/>
        </w:rPr>
      </w:pPr>
    </w:p>
    <w:p>
      <w:pPr>
        <w:ind w:left="500" w:right="80" w:hanging="492"/>
        <w:spacing w:after="0" w:line="286" w:lineRule="auto"/>
        <w:tabs>
          <w:tab w:leader="none" w:pos="154" w:val="left"/>
        </w:tabs>
        <w:numPr>
          <w:ilvl w:val="0"/>
          <w:numId w:val="27"/>
        </w:numPr>
        <w:rPr>
          <w:rFonts w:ascii="Arial" w:cs="Arial" w:eastAsia="Arial" w:hAnsi="Arial"/>
          <w:sz w:val="8"/>
          <w:szCs w:val="8"/>
          <w:color w:val="auto"/>
        </w:rPr>
      </w:pPr>
      <w:r>
        <w:rPr>
          <w:rFonts w:ascii="Arial" w:cs="Arial" w:eastAsia="Arial" w:hAnsi="Arial"/>
          <w:sz w:val="13"/>
          <w:szCs w:val="13"/>
          <w:color w:val="auto"/>
        </w:rPr>
        <w:t>Depreciation and amortization expense includes $5,396 and $2,246 of depreciation expense, $1,697 and $704 of lease intangible amortization, and $60 and $0 of amortization for lease incentives in the three months ended June 30, 2015 and 2014, respectively. Depreciation and amortization expense includes $10,652 and $3,703 of depreciation expense, $3,793 and $856 of lease intangible amortization, and $120 and $0 of amortization for lease incentives in the six months ended June 30, 2015 and 2014,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Total revenue in the Aviation Leasing segment increased by $8,483 in the three months ended June 30, 2015 as compared to the three months ended June 30, 2014, due to higher lease income and maintenance revenue, driven by newly acquired assets on lease. Lease income increased by $5,861 in the three months ended June 30, 2015 as compared to the three months ended June 30, 2014 mainly due to higher (i) aircraft lease income of $4,538 primarily driven by the increase of ten aircraft acquired with in-place leases during the second half of 2014 and (ii) engine lease income of $1,294 primarily driven by eleven additional engines on lease in the three months ended June 30, 2015 as compared to 2014. Maintenance revenue increased by $2,622 in the three months ended June 30, 2015 as compared to the three months ended June 30, 2014 due to ten additional aircraft and additional engines on lease in 2015.</w:t>
      </w:r>
    </w:p>
    <w:p>
      <w:pPr>
        <w:spacing w:after="0" w:line="57" w:lineRule="exact"/>
        <w:rPr>
          <w:sz w:val="20"/>
          <w:szCs w:val="20"/>
          <w:color w:val="auto"/>
        </w:rPr>
      </w:pPr>
    </w:p>
    <w:p>
      <w:pPr>
        <w:ind w:right="160" w:firstLine="648"/>
        <w:spacing w:after="0" w:line="271" w:lineRule="auto"/>
        <w:rPr>
          <w:sz w:val="20"/>
          <w:szCs w:val="20"/>
          <w:color w:val="auto"/>
        </w:rPr>
      </w:pPr>
      <w:r>
        <w:rPr>
          <w:rFonts w:ascii="Arial" w:cs="Arial" w:eastAsia="Arial" w:hAnsi="Arial"/>
          <w:sz w:val="17"/>
          <w:szCs w:val="17"/>
          <w:color w:val="auto"/>
        </w:rPr>
        <w:t>Total revenues in the Aviation Leasing segment increased by $19,461 in the six months ended June 30, 2015 as compared to the six months ended June 30, 2014, driven by higher lease income, maintenance revenue, and an increase in other revenue. Lease income increased by $13,560 in the six months ended June 30, 2015 as compared to the six months ended June 30, 2014 mainly due to higher (i) aircraft lease income of $11,547 primarily driven by ten aircraft acquired with in-place leases during the second half of 2014 and (ii) engine lease income of $1,982 primarily driven by eleven additional engines on lease in the first six months of 2015 as compared to 2014. Maintenance revenue increased by $4,781 in the six months ended June 30, 2015 as compared to the six months ended June 30, 2014 due to ten additional aircraft and additional engines on lease in 2015. Other revenue increased by $1,120 in the six months ended June 30, 2015 as compared to the six months ended June 30, 2014 primarily due to income from the forfeiture of a security deposit in the six months ended June 30, 2015, which did not occur in the six months ended June 30,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Total expenses in the Aviation Leasing segment increased by $3,067 in the three months ended June 30, 2015 as compared to the three months ended June 30, 2014. This increase was primarily driven by depreciation and amortization expense, which increased by $3,150 due to the depreciation of ten new aircraft and eleven new engines in the three months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76" w:right="239" w:bottom="1440" w:gutter="0" w:footer="0" w:header="0"/>
        </w:sectPr>
      </w:pPr>
    </w:p>
    <w:bookmarkStart w:id="48" w:name="page49"/>
    <w:bookmarkEnd w:id="48"/>
    <w:p>
      <w:pPr>
        <w:ind w:right="120"/>
        <w:spacing w:after="0" w:line="304" w:lineRule="auto"/>
        <w:rPr>
          <w:sz w:val="20"/>
          <w:szCs w:val="20"/>
          <w:color w:val="auto"/>
        </w:rPr>
      </w:pPr>
      <w:r>
        <w:rPr>
          <w:rFonts w:ascii="Arial" w:cs="Arial" w:eastAsia="Arial" w:hAnsi="Arial"/>
          <w:sz w:val="15"/>
          <w:szCs w:val="15"/>
          <w:color w:val="auto"/>
        </w:rPr>
        <w:t>ended June 30, 2015 as compared to the three months ended June 30, 2014. The increase in total expenses was offset by a decrease in operating expenses of $83 in the three months ended June 30, 2015 as compared to the three months ended June 30, 2014, primarily the result of decreases in (i) insurance expense of $179 as the number of airplanes and aircraft engines requiring lessor coverage decreased and (ii) legal and consulting fees of $49. These decreases were offset by an increases in (i) servicer fee expense of $26 due to a greater number of engines on lease through the use of a third party servicer, (ii) other operating expenses of $32 primarily the result of additional engine storage and shipping fees for off-lease engines in the three months ended June 30, 2015,</w:t>
      </w:r>
    </w:p>
    <w:p>
      <w:pPr>
        <w:spacing w:after="0" w:line="2" w:lineRule="exact"/>
        <w:rPr>
          <w:sz w:val="20"/>
          <w:szCs w:val="20"/>
          <w:color w:val="auto"/>
        </w:rPr>
      </w:pPr>
    </w:p>
    <w:p>
      <w:pPr>
        <w:ind w:right="20" w:firstLine="8"/>
        <w:spacing w:after="0" w:line="261" w:lineRule="auto"/>
        <w:tabs>
          <w:tab w:leader="none" w:pos="31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software related costs of $57 and (iv) travel and entertainment expense of $42 primarily the result of our expanded customer base and business operations in the three months ended June 30, 2015 as compared to the three months ended June 30, 2014.</w:t>
      </w:r>
    </w:p>
    <w:p>
      <w:pPr>
        <w:spacing w:after="0" w:line="18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Total expenses in the Aviation Leasing segment increased by $6,811 in the six months ended June 30, 2015 as compared to the six months ended June 30, 2014. This increase was primarily driven by depreciation and amortization expense, which increased by $6,949 due to the addition of ten new aircraft and eleven new engines in the six months ended June 30, 2015. The increase in total expenses was offset by lower operating expenses of $138 in the six months ended June 30, 2015 as compared to the six months ended June 30, 2014, primarily the result of decreases in (i) insurance expense of $111 as the number of airplanes and aircraft engines requiring lessor coverage decreased, (ii) legal and consulting fee expenses of $69 and (iii) other expenses of $83 due to a larger number of engines coming off lease requiring transportation, preservation and storage in the six months ended June 30, 2014. These decreases in operating expenses were offset by an increase in software related costs of $57, and an increase in travel and entertainment expense of $75 primarily the result of the increase in our expanded customer base and business operations in the six months ended June 30, 2015 as compared to the six months ended June 30, 2014.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Total other income in the Aviation Leasing segment decreased by $1,979 and $1,937 in the three and six months ended June 30, 2015 as compared to the three and six months ended June 30, 2014, respectively driven by lower gain on sale of equipment of $1,971 and $1,931 in the three and six months ended June 30, 2015 as compared to the three and six months ended June 30, 2014,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Income attributable to shareholders increased by $3,520 and $10,639 in the three months and six months ended June 30, 2015 as compared to the three months and six months ended June 30, 2014, respectively, driven by the changes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Adjusted Net Income in the Aviation Leasing segment was $8,288 and $16,750 in the three and six months ended June 30, 2015, respectively, increasing by $3,407 and $10,486 as compared to the three and six months ended June 30, 2014, respectively, primarily driven by the changes to net income attributable to shareholders noted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380" w:firstLine="648"/>
        <w:spacing w:after="0" w:line="259" w:lineRule="auto"/>
        <w:rPr>
          <w:sz w:val="20"/>
          <w:szCs w:val="20"/>
          <w:color w:val="auto"/>
        </w:rPr>
      </w:pPr>
      <w:r>
        <w:rPr>
          <w:rFonts w:ascii="Arial" w:cs="Arial" w:eastAsia="Arial" w:hAnsi="Arial"/>
          <w:sz w:val="18"/>
          <w:szCs w:val="18"/>
          <w:color w:val="auto"/>
        </w:rPr>
        <w:t>Adjusted EBITDA in the Aviation Leasing segment was $15,471 and $31,542 in the three and six months ended June 30, 2015, respectively, increasing by $7,451 and $20,530 as compared to the three and six months ended June 30, 2014, respectively. In addition to the changes in Net Income attributable to shareholders noted above, this movement was primarily due to higher depreciation and amortization expense for the additional aircraft and engines owned and on lease in 2015 as compared to 2014.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76"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Offshore Energy Segment</w:t>
      </w:r>
    </w:p>
    <w:p>
      <w:pPr>
        <w:spacing w:after="0" w:line="12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our Offshore Energy segment, we own one remotely operated vehicle (“ROV”) support vessel, one construction support vessel and one anchor handling tug supply (“AHTS”) vessel. In addition we have contracted with a Norwegian shipyard to build a new inspection, maintenance, and repair (“IMR”) vessel. The chart below describes the assets in our Offshore Energy segment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54875" cy="2452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452370"/>
                    </a:xfrm>
                    <a:prstGeom prst="rect">
                      <a:avLst/>
                    </a:prstGeom>
                    <a:noFill/>
                  </pic:spPr>
                </pic:pic>
              </a:graphicData>
            </a:graphic>
          </wp:anchor>
        </w:drawing>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Offshore Energy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90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Asset Type</w:t>
            </w:r>
          </w:p>
        </w:tc>
        <w:tc>
          <w:tcPr>
            <w:tcW w:w="1140" w:type="dxa"/>
            <w:vAlign w:val="bottom"/>
            <w:tcBorders>
              <w:top w:val="single" w:sz="8" w:color="auto"/>
              <w:bottom w:val="single" w:sz="8" w:color="D8D8D8"/>
              <w:right w:val="single" w:sz="8" w:color="auto"/>
            </w:tcBorders>
            <w:shd w:val="clear" w:color="auto" w:fill="D8D8D8"/>
          </w:tcPr>
          <w:p>
            <w:pPr>
              <w:ind w:left="220"/>
              <w:spacing w:after="0"/>
              <w:rPr>
                <w:sz w:val="20"/>
                <w:szCs w:val="20"/>
                <w:color w:val="auto"/>
              </w:rPr>
            </w:pPr>
            <w:r>
              <w:rPr>
                <w:rFonts w:ascii="Arial" w:cs="Arial" w:eastAsia="Arial" w:hAnsi="Arial"/>
                <w:sz w:val="16"/>
                <w:szCs w:val="16"/>
                <w:color w:val="auto"/>
              </w:rPr>
              <w:t>Year Built</w:t>
            </w:r>
          </w:p>
        </w:tc>
        <w:tc>
          <w:tcPr>
            <w:tcW w:w="3520" w:type="dxa"/>
            <w:vAlign w:val="bottom"/>
            <w:tcBorders>
              <w:top w:val="single" w:sz="8" w:color="auto"/>
              <w:bottom w:val="single" w:sz="8" w:color="D8D8D8"/>
              <w:right w:val="single" w:sz="8" w:color="auto"/>
            </w:tcBorders>
            <w:shd w:val="clear" w:color="auto" w:fill="D8D8D8"/>
          </w:tcPr>
          <w:p>
            <w:pPr>
              <w:ind w:left="1380"/>
              <w:spacing w:after="0"/>
              <w:rPr>
                <w:sz w:val="20"/>
                <w:szCs w:val="20"/>
                <w:color w:val="auto"/>
              </w:rPr>
            </w:pPr>
            <w:r>
              <w:rPr>
                <w:rFonts w:ascii="Arial" w:cs="Arial" w:eastAsia="Arial" w:hAnsi="Arial"/>
                <w:sz w:val="16"/>
                <w:szCs w:val="16"/>
                <w:color w:val="auto"/>
              </w:rPr>
              <w:t>Description</w:t>
            </w:r>
          </w:p>
        </w:tc>
        <w:tc>
          <w:tcPr>
            <w:tcW w:w="182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Lease Expiration</w:t>
            </w:r>
          </w:p>
        </w:tc>
        <w:tc>
          <w:tcPr>
            <w:tcW w:w="2040" w:type="dxa"/>
            <w:vAlign w:val="bottom"/>
            <w:tcBorders>
              <w:top w:val="single" w:sz="8" w:color="auto"/>
              <w:bottom w:val="single" w:sz="8" w:color="D8D8D8"/>
            </w:tcBorders>
            <w:shd w:val="clear" w:color="auto" w:fill="D8D8D8"/>
          </w:tcPr>
          <w:p>
            <w:pPr>
              <w:ind w:left="28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90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AHTS Vessel</w:t>
            </w:r>
          </w:p>
        </w:tc>
        <w:tc>
          <w:tcPr>
            <w:tcW w:w="1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2010</w:t>
            </w:r>
          </w:p>
        </w:tc>
        <w:tc>
          <w:tcPr>
            <w:tcW w:w="35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Anchor handling tug supply vessel with</w:t>
            </w:r>
          </w:p>
        </w:tc>
        <w:tc>
          <w:tcPr>
            <w:tcW w:w="18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November 2023</w:t>
            </w: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Borders>
              <w:top w:val="single" w:sz="8" w:color="auto"/>
            </w:tcBorders>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30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and a total bollard pull of 68.5 tons</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Construction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2014</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August 2015 (firm</w:t>
            </w:r>
          </w:p>
        </w:tc>
        <w:tc>
          <w:tcPr>
            <w:tcW w:w="20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250-ton crane, 2,000 square meter</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period)</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deck space, a moon pool, and</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100 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ROV Support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Construction support vessel with</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April 2019</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accommodation for 120 personnel,</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 moon pool, and a 50-ton crane</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IMR Vessel</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EstimatedQ1</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IMR vessel with 150-ton crane,</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Estimated March</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20" w:type="dxa"/>
            <w:vAlign w:val="bottom"/>
          </w:tcPr>
          <w:p>
            <w:pPr>
              <w:spacing w:after="0"/>
              <w:rPr>
                <w:sz w:val="19"/>
                <w:szCs w:val="19"/>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1,100 square meter deck space, a</w:t>
            </w:r>
          </w:p>
        </w:tc>
        <w:tc>
          <w:tcPr>
            <w:tcW w:w="18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2024</w:t>
            </w: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Borders>
              <w:right w:val="single" w:sz="8" w:color="auto"/>
            </w:tcBorders>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moon pool, accommodation for 90</w:t>
            </w:r>
          </w:p>
        </w:tc>
        <w:tc>
          <w:tcPr>
            <w:tcW w:w="1820" w:type="dxa"/>
            <w:vAlign w:val="bottom"/>
            <w:tcBorders>
              <w:righ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900" w:type="dxa"/>
            <w:vAlign w:val="bottom"/>
            <w:tcBorders>
              <w:right w:val="single" w:sz="8" w:color="auto"/>
            </w:tcBorders>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35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personnel</w:t>
            </w:r>
          </w:p>
        </w:tc>
        <w:tc>
          <w:tcPr>
            <w:tcW w:w="1820" w:type="dxa"/>
            <w:vAlign w:val="bottom"/>
            <w:tcBorders>
              <w:right w:val="single" w:sz="8" w:color="auto"/>
            </w:tcBorders>
          </w:tcPr>
          <w:p>
            <w:pPr>
              <w:spacing w:after="0"/>
              <w:rPr>
                <w:sz w:val="20"/>
                <w:szCs w:val="20"/>
                <w:color w:val="auto"/>
              </w:rPr>
            </w:pPr>
          </w:p>
        </w:tc>
        <w:tc>
          <w:tcPr>
            <w:tcW w:w="2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90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Offshore Energy segment for the three and six months ended June 30, 2015 and June 30,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8,892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Finance lease income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6,932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2,304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4,628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13,799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9,223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2,978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2,831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570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2,261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5,847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1,066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4,781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4,215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8,205</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4,695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3,510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4,695</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w w:val="96"/>
              </w:rPr>
              <w:t>Less: Net income attributable to non-controlling interest in</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4,666</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688"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40"/>
          </w:cols>
          <w:pgMar w:left="240" w:top="688" w:right="21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4,666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Offshore Energy segment for the three and six months ended June 30, 2015 and June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ind w:left="520"/>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1,959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4,505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8,766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340" w:hanging="432"/>
        <w:spacing w:after="0" w:line="248" w:lineRule="auto"/>
        <w:tabs>
          <w:tab w:leader="none" w:pos="148" w:val="left"/>
        </w:tabs>
        <w:numPr>
          <w:ilvl w:val="0"/>
          <w:numId w:val="29"/>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June 30, 2015 and 2014: (i) depreciation expense of $56 and $56, (ii) and interest expense of $30 and $35, respectively. Non-controlling share of Adjusted EBITDA is comprised of the following items for the six months ended June 30, 2015 and 2014: (i) depreciation expense of $112 and $112, (ii) and interest expense of $61 and $71,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31"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Total revenues in the Offshore Energy segment increased by $4,628 and $9,223 in the three and six months ended June 30, 2015 as compared to the three and six months ended June 30, 2014, respectively, driven by higher lease income derived from a new offshore construction support vessel acquired and put into service in September 2014.</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Total expenses in the Offshore Energy segment increased by $2,261 and $4,781 in the three and six months ended June 30, 2015 as compared to the three and six months ended June 30, 2014, respectively. The offshore construction support vessel placed into service in September 2014 is the primary driver of greater depreciation and amortization, interest expense and operating expenses in the three and six months ended June 30, 2015 as compared to the three and six months ended June 30, 2014.</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Total other income in the Offshore Energy segment increased by $114 and $253 in the three and six months ended June 30, 2015 as compared to the three and six months ended June 30, 2014, respectively, primarily due to higher interest income and fees earned related to the loan made to our partner in the MT6015 joint venture.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Net Income attributable to shareholders increased by $2,457 and $4,666 in the three months and six months ended June 30, 2015 as compared to the three months and six months ended June 30, 2014, respectively, driven by net loss attributable to non-controlling interest in consolidated subsidiaries, as well as the changes discussed above.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Adjusted Net Income was $4,026 and $7,835 in three and six months ended June 30, 2015, respectively, increasing by $2,457 and $4,666 as compared to the three and six months ended June 30, 2014, respectively. This increase in each respective period was primarily due to the changes in Net Income attributable to shareholders noted above.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Adjusted EBITDA was $6,464 and $12,711 in three and six months ended June 30, 2015, respectively, increasing by $4,505 and $8,766 as compared to the three and six months ended June 30, 2014, respectively. In addition to the changes in Net Income attributable to shareholders, the increase in each respective period was primarily driven by higher (i) depreciation and amortization expense, (ii) interest expense and (iii) principal collections on the direct finance leases related to an offshore construction vessel.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76"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Shipping Containers Segment</w:t>
      </w:r>
    </w:p>
    <w:p>
      <w:pPr>
        <w:spacing w:after="0" w:line="121"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In our Shipping Containers segment, we own, either directly or through a joint venture, interests in approximately 149,000 maritime shipping containers and related equipment through three separate portfolios. Substantially all of these shipping containers are currently leased to operators or other third parties and, as of June 30, 2015, are 64.1% levered. The weighted average remaining lease term for these assets is 1.8 years. The chart below describes the assets in our Shipping Containers segment as of 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54875" cy="2950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2950210"/>
                    </a:xfrm>
                    <a:prstGeom prst="rect">
                      <a:avLst/>
                    </a:prstGeom>
                    <a:noFill/>
                  </pic:spPr>
                </pic:pic>
              </a:graphicData>
            </a:graphic>
          </wp:anchor>
        </w:drawing>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FFFFFF"/>
        </w:rPr>
        <w:t>Shipping Containers Assets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320" w:type="dxa"/>
            <w:vAlign w:val="bottom"/>
            <w:tcBorders>
              <w:top w:val="single" w:sz="8" w:color="auto"/>
              <w:bottom w:val="single" w:sz="8" w:color="D8D8D8"/>
              <w:right w:val="single" w:sz="8" w:color="auto"/>
            </w:tcBorders>
            <w:shd w:val="clear" w:color="auto" w:fill="D8D8D8"/>
          </w:tcPr>
          <w:p>
            <w:pPr>
              <w:ind w:left="180"/>
              <w:spacing w:after="0"/>
              <w:rPr>
                <w:sz w:val="20"/>
                <w:szCs w:val="20"/>
                <w:color w:val="auto"/>
              </w:rPr>
            </w:pPr>
            <w:r>
              <w:rPr>
                <w:rFonts w:ascii="Arial" w:cs="Arial" w:eastAsia="Arial" w:hAnsi="Arial"/>
                <w:sz w:val="16"/>
                <w:szCs w:val="16"/>
                <w:color w:val="auto"/>
              </w:rPr>
              <w:t>Number</w:t>
            </w:r>
          </w:p>
        </w:tc>
        <w:tc>
          <w:tcPr>
            <w:tcW w:w="1720" w:type="dxa"/>
            <w:vAlign w:val="bottom"/>
            <w:tcBorders>
              <w:top w:val="single" w:sz="8" w:color="auto"/>
              <w:bottom w:val="single" w:sz="8" w:color="D8D8D8"/>
              <w:right w:val="single" w:sz="8" w:color="auto"/>
            </w:tcBorders>
            <w:shd w:val="clear" w:color="auto" w:fill="D8D8D8"/>
          </w:tcPr>
          <w:p>
            <w:pPr>
              <w:ind w:left="680"/>
              <w:spacing w:after="0"/>
              <w:rPr>
                <w:sz w:val="20"/>
                <w:szCs w:val="20"/>
                <w:color w:val="auto"/>
              </w:rPr>
            </w:pPr>
            <w:r>
              <w:rPr>
                <w:rFonts w:ascii="Arial" w:cs="Arial" w:eastAsia="Arial" w:hAnsi="Arial"/>
                <w:sz w:val="16"/>
                <w:szCs w:val="16"/>
                <w:color w:val="auto"/>
              </w:rPr>
              <w:t>Type</w:t>
            </w:r>
          </w:p>
        </w:tc>
        <w:tc>
          <w:tcPr>
            <w:tcW w:w="1720" w:type="dxa"/>
            <w:vAlign w:val="bottom"/>
            <w:tcBorders>
              <w:top w:val="single" w:sz="8" w:color="auto"/>
              <w:bottom w:val="single" w:sz="8" w:color="D8D8D8"/>
              <w:right w:val="single" w:sz="8" w:color="auto"/>
            </w:tcBorders>
            <w:shd w:val="clear" w:color="auto" w:fill="D8D8D8"/>
          </w:tcPr>
          <w:p>
            <w:pPr>
              <w:ind w:left="420"/>
              <w:spacing w:after="0"/>
              <w:rPr>
                <w:sz w:val="20"/>
                <w:szCs w:val="20"/>
                <w:color w:val="auto"/>
              </w:rPr>
            </w:pPr>
            <w:r>
              <w:rPr>
                <w:rFonts w:ascii="Arial" w:cs="Arial" w:eastAsia="Arial" w:hAnsi="Arial"/>
                <w:sz w:val="16"/>
                <w:szCs w:val="16"/>
                <w:color w:val="auto"/>
              </w:rPr>
              <w:t>Average Age</w:t>
            </w:r>
          </w:p>
        </w:tc>
        <w:tc>
          <w:tcPr>
            <w:tcW w:w="1700" w:type="dxa"/>
            <w:vAlign w:val="bottom"/>
            <w:tcBorders>
              <w:top w:val="single" w:sz="8" w:color="auto"/>
              <w:bottom w:val="single" w:sz="8" w:color="D8D8D8"/>
              <w:right w:val="single" w:sz="8" w:color="auto"/>
            </w:tcBorders>
            <w:shd w:val="clear" w:color="auto" w:fill="D8D8D8"/>
          </w:tcPr>
          <w:p>
            <w:pPr>
              <w:ind w:left="460"/>
              <w:spacing w:after="0"/>
              <w:rPr>
                <w:sz w:val="20"/>
                <w:szCs w:val="20"/>
                <w:color w:val="auto"/>
              </w:rPr>
            </w:pPr>
            <w:r>
              <w:rPr>
                <w:rFonts w:ascii="Arial" w:cs="Arial" w:eastAsia="Arial" w:hAnsi="Arial"/>
                <w:sz w:val="16"/>
                <w:szCs w:val="16"/>
                <w:color w:val="auto"/>
              </w:rPr>
              <w:t>Lease Type</w:t>
            </w:r>
          </w:p>
        </w:tc>
        <w:tc>
          <w:tcPr>
            <w:tcW w:w="1700" w:type="dxa"/>
            <w:vAlign w:val="bottom"/>
            <w:tcBorders>
              <w:top w:val="single" w:sz="8" w:color="auto"/>
              <w:bottom w:val="single" w:sz="8" w:color="D8D8D8"/>
              <w:right w:val="single" w:sz="8" w:color="auto"/>
            </w:tcBorders>
            <w:shd w:val="clear" w:color="auto" w:fill="D8D8D8"/>
          </w:tcPr>
          <w:p>
            <w:pPr>
              <w:ind w:left="360"/>
              <w:spacing w:after="0"/>
              <w:rPr>
                <w:sz w:val="20"/>
                <w:szCs w:val="20"/>
                <w:color w:val="auto"/>
              </w:rPr>
            </w:pPr>
            <w:r>
              <w:rPr>
                <w:rFonts w:ascii="Arial" w:cs="Arial" w:eastAsia="Arial" w:hAnsi="Arial"/>
                <w:sz w:val="16"/>
                <w:szCs w:val="16"/>
                <w:color w:val="auto"/>
              </w:rPr>
              <w:t>Customer Mix</w:t>
            </w:r>
          </w:p>
        </w:tc>
        <w:tc>
          <w:tcPr>
            <w:tcW w:w="2260" w:type="dxa"/>
            <w:vAlign w:val="bottom"/>
            <w:tcBorders>
              <w:top w:val="single" w:sz="8" w:color="auto"/>
              <w:bottom w:val="single" w:sz="8" w:color="D8D8D8"/>
            </w:tcBorders>
            <w:shd w:val="clear" w:color="auto" w:fill="D8D8D8"/>
          </w:tcPr>
          <w:p>
            <w:pPr>
              <w:ind w:left="400"/>
              <w:spacing w:after="0"/>
              <w:rPr>
                <w:sz w:val="20"/>
                <w:szCs w:val="20"/>
                <w:color w:val="auto"/>
              </w:rPr>
            </w:pPr>
            <w:r>
              <w:rPr>
                <w:rFonts w:ascii="Arial" w:cs="Arial" w:eastAsia="Arial" w:hAnsi="Arial"/>
                <w:sz w:val="16"/>
                <w:szCs w:val="16"/>
                <w:color w:val="auto"/>
              </w:rPr>
              <w:t>Economic Interest (%)</w:t>
            </w:r>
          </w:p>
        </w:tc>
        <w:tc>
          <w:tcPr>
            <w:tcW w:w="20" w:type="dxa"/>
            <w:vAlign w:val="bottom"/>
            <w:tcBorders>
              <w:top w:val="single" w:sz="8" w:color="auto"/>
            </w:tcBorders>
          </w:tcPr>
          <w:p>
            <w:pPr>
              <w:spacing w:after="0"/>
              <w:rPr>
                <w:sz w:val="23"/>
                <w:szCs w:val="23"/>
                <w:color w:val="auto"/>
              </w:rPr>
            </w:pPr>
          </w:p>
        </w:tc>
      </w:tr>
      <w:tr>
        <w:trPr>
          <w:trHeight w:val="222"/>
        </w:trPr>
        <w:tc>
          <w:tcPr>
            <w:tcW w:w="232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Portfolio #1</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 Years</w:t>
            </w:r>
          </w:p>
        </w:tc>
        <w:tc>
          <w:tcPr>
            <w:tcW w:w="17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 Customers</w:t>
            </w: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51%</w:t>
            </w:r>
          </w:p>
        </w:tc>
        <w:tc>
          <w:tcPr>
            <w:tcW w:w="20" w:type="dxa"/>
            <w:vAlign w:val="bottom"/>
            <w:tcBorders>
              <w:top w:val="single" w:sz="8" w:color="auto"/>
            </w:tcBorders>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104,000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Lease/Operating</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Specials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Specials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#2</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20’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~10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 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39,000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HC Dry</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Portfolio #3</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Dry</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~11 years</w:t>
            </w: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Direct Finance</w:t>
            </w:r>
          </w:p>
        </w:tc>
        <w:tc>
          <w:tcPr>
            <w:tcW w:w="1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 Customer</w:t>
            </w: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20" w:type="dxa"/>
            <w:vAlign w:val="bottom"/>
          </w:tcPr>
          <w:p>
            <w:pPr>
              <w:spacing w:after="0"/>
              <w:rPr>
                <w:sz w:val="19"/>
                <w:szCs w:val="19"/>
                <w:color w:val="auto"/>
              </w:rPr>
            </w:pPr>
          </w:p>
        </w:tc>
      </w:tr>
      <w:tr>
        <w:trPr>
          <w:trHeight w:val="216"/>
        </w:trPr>
        <w:tc>
          <w:tcPr>
            <w:tcW w:w="23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6,000</w:t>
            </w: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45’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Lease</w:t>
            </w: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Reefer</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Dry</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23’ Chassis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3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40’ Chassis</w:t>
            </w: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53’ Chassis</w:t>
            </w:r>
          </w:p>
        </w:tc>
        <w:tc>
          <w:tcPr>
            <w:tcW w:w="172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3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Shipping Containers segment for the three and six months ended June 30, 2015 and June 30, 2014:</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Equipment leasing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Finance 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revenue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(460)</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742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781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1,575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Income before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2,375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2,858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4,840</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5,816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(976)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2,356</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2,842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4,805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5,698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4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580"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40"/>
          </w:cols>
          <w:pgMar w:left="240" w:top="580" w:right="21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1,527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2,376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2,869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(493)</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4,849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5,836</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100" w:hanging="432"/>
        <w:spacing w:after="0" w:line="255" w:lineRule="auto"/>
        <w:tabs>
          <w:tab w:leader="none" w:pos="148" w:val="left"/>
        </w:tabs>
        <w:numPr>
          <w:ilvl w:val="0"/>
          <w:numId w:val="30"/>
        </w:numPr>
        <w:rPr>
          <w:rFonts w:ascii="Arial" w:cs="Arial" w:eastAsia="Arial" w:hAnsi="Arial"/>
          <w:sz w:val="9"/>
          <w:szCs w:val="9"/>
          <w:color w:val="auto"/>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spacing w:after="0" w:line="19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sets forth a reconciliation of Net Income attributable to shareholders to Adjusted EBITDA for the Shipping Containers segment for the three and six months ended June 30, 2015 and June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tcPr>
          <w:p>
            <w:pPr>
              <w:ind w:left="40"/>
              <w:spacing w:after="0" w:line="239" w:lineRule="exact"/>
              <w:rPr>
                <w:sz w:val="20"/>
                <w:szCs w:val="20"/>
                <w:color w:val="auto"/>
              </w:rPr>
            </w:pPr>
            <w:r>
              <w:rPr>
                <w:rFonts w:ascii="Arial" w:cs="Arial" w:eastAsia="Arial" w:hAnsi="Arial"/>
                <w:sz w:val="16"/>
                <w:szCs w:val="16"/>
                <w:color w:val="auto"/>
              </w:rPr>
              <w:t xml:space="preserve">unconsolidated entities </w:t>
            </w:r>
            <w:r>
              <w:rPr>
                <w:rFonts w:ascii="Arial" w:cs="Arial" w:eastAsia="Arial" w:hAnsi="Arial"/>
                <w:sz w:val="21"/>
                <w:szCs w:val="21"/>
                <w:color w:val="auto"/>
                <w:vertAlign w:val="superscript"/>
              </w:rPr>
              <w:t>(2)</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8,337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10,831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16,595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(5,764)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13,106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20,460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(5,633)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 w:lineRule="exact"/>
        <w:rPr>
          <w:sz w:val="20"/>
          <w:szCs w:val="20"/>
          <w:color w:val="auto"/>
        </w:rPr>
      </w:pPr>
    </w:p>
    <w:p>
      <w:pPr>
        <w:ind w:left="440" w:right="160" w:hanging="432"/>
        <w:spacing w:after="0" w:line="245" w:lineRule="auto"/>
        <w:tabs>
          <w:tab w:leader="none" w:pos="148" w:val="left"/>
        </w:tabs>
        <w:numPr>
          <w:ilvl w:val="0"/>
          <w:numId w:val="31"/>
        </w:numPr>
        <w:rPr>
          <w:rFonts w:ascii="Arial" w:cs="Arial" w:eastAsia="Arial" w:hAnsi="Arial"/>
          <w:sz w:val="9"/>
          <w:szCs w:val="9"/>
          <w:color w:val="auto"/>
        </w:rPr>
      </w:pPr>
      <w:r>
        <w:rPr>
          <w:rFonts w:ascii="Arial" w:cs="Arial" w:eastAsia="Arial" w:hAnsi="Arial"/>
          <w:sz w:val="14"/>
          <w:szCs w:val="14"/>
          <w:color w:val="auto"/>
        </w:rPr>
        <w:t>The Company’s pro-rata share of Adjusted EBITDA from unconsolidated entities includes the following items for the three months ended June 30, 2015 and 2014: (i) net income of $1,172 and $1,454, (ii) interest expense of $415 and $641, (iii) depreciation and amortization expense of $307 and $343, and (iv) principal collections of finance leases of $3,512 and $5,899, respectively. The Company’s pro-rata share of Adjusted EBITDA from unconsolidated entities includes the following items for six months ended June 30, 2015 and 2014: (i) net income of $2,357 and $2,981, (ii) interest expense of $948 and $1,273, (iii) depreciation and amortization expense of $611 and $682, and (iv) principal collections of finance leases of $6,915 and $11,659, respectively.</w:t>
      </w:r>
    </w:p>
    <w:p>
      <w:pPr>
        <w:sectPr>
          <w:pgSz w:w="11900" w:h="16838" w:orient="portrait"/>
          <w:cols w:equalWidth="0" w:num="1">
            <w:col w:w="11420"/>
          </w:cols>
          <w:pgMar w:left="240" w:top="639"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639"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Total revenues in the Shipping Containers segment decreased by $229 and $460 in the three and six months ended June 30, 2015 as compared to the three and six months ended June 30, 2014 respectively, principally driven by lower finance lease income as a result of the amortization of the underlying principal balances.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Total expenses in the Shipping Containers segment decreased by $39 and $138 in the three and six months ended June 30, 2015 as compared to the three and six months ended June 30, 2014, respectively. This was driven by a decrease in interest expense of $95 and $189 in the three and six months ended June 30, 2015 as compared to the three and six months ended June 30, 2014, respectively primarily related to lower principal balances on the term loans entered into to finance the acquisition of shipping containers in prior periods. This was offset by higher operating expenses of $56 and $51 in the three and six months ended June 30, 2015 as compared to the three and six months ended June 30, 2014, respectively, driven by an increase in management fees.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200" w:firstLine="446"/>
        <w:spacing w:after="0" w:line="312" w:lineRule="auto"/>
        <w:rPr>
          <w:sz w:val="20"/>
          <w:szCs w:val="20"/>
          <w:color w:val="auto"/>
        </w:rPr>
      </w:pPr>
      <w:r>
        <w:rPr>
          <w:rFonts w:ascii="Arial" w:cs="Arial" w:eastAsia="Arial" w:hAnsi="Arial"/>
          <w:sz w:val="16"/>
          <w:szCs w:val="16"/>
          <w:color w:val="auto"/>
        </w:rPr>
        <w:t>Total other income in the Shipping Containers segment decreased $293 and $654 in the three and six months ended June 30, 2015 as compared to the three and six months ended June 30, 2014, respectively. The decrease was primarily due to lower equity in earnings of unconsolidated entities from our shipping container joint venture of $302 and $665 in the three and six months ended June 30, 2015 in relation to the prior comparable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140" w:firstLine="446"/>
        <w:spacing w:after="0" w:line="277" w:lineRule="auto"/>
        <w:rPr>
          <w:sz w:val="20"/>
          <w:szCs w:val="20"/>
          <w:color w:val="auto"/>
        </w:rPr>
      </w:pPr>
      <w:r>
        <w:rPr>
          <w:rFonts w:ascii="Arial" w:cs="Arial" w:eastAsia="Arial" w:hAnsi="Arial"/>
          <w:sz w:val="18"/>
          <w:szCs w:val="18"/>
          <w:color w:val="auto"/>
        </w:rPr>
        <w:t>Net Income attributable to shareholders increased by $486 and $893 in the three months and six months ended June 30, 2015 as compared to the three months and six months ended June 30, 2014, respectively, driven by the changes discussed above.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w:t>
      </w:r>
    </w:p>
    <w:p>
      <w:pPr>
        <w:spacing w:after="0" w:line="11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Adjusted Net Income was $2,376 and $4,849 in the three and six months ended June 30, 2015, decreasing by $493 and $987 in the three and six months ended June 30, 2015 as compared to the three and six months ended June 30, 2014, respectively. In addition to the changes in Net Income attributable to shareholders noted above, the decrease in each respective period was primarily impacted by lower provision for income taxes and a decrease in unrealized losses related to a non-hedge derivative instrument.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Adjusted EBITDA was $10,300 and $20,460 in the three and six months ended June 30, 2015, decreasing by $2,806 and $5,633 in the three and six months ended June 30, 2015 as compared to the three and six months ended June 30, 2014, respectively. In addition to the changes in Net Income attributable to shareholders noted above, the decrease in each respective period was primarily driven by a lower pro-rata share of Adjusted EBITDA from unconsolidated entities related to a shipping container joint venture, offset by higher principal collections on direct finance leases.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Jefferson Terminal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results of operations and reconciliation of Net loss attributable to shareholders to Adjusted Net Loss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Jefferson Terminal segment for the three and six months ended June 30, 2015 and June 30,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76" w:right="25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Lease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2,820</w:t>
            </w:r>
          </w:p>
        </w:tc>
        <w:tc>
          <w:tcPr>
            <w:tcW w:w="0" w:type="dxa"/>
            <w:vAlign w:val="bottom"/>
          </w:tcPr>
          <w:p>
            <w:pPr>
              <w:spacing w:after="0"/>
              <w:rPr>
                <w:sz w:val="1"/>
                <w:szCs w:val="1"/>
                <w:color w:val="auto"/>
              </w:rPr>
            </w:pPr>
          </w:p>
        </w:tc>
      </w:tr>
      <w:tr>
        <w:trPr>
          <w:trHeight w:val="237"/>
        </w:trPr>
        <w:tc>
          <w:tcPr>
            <w:tcW w:w="4000" w:type="dxa"/>
            <w:vAlign w:val="bottom"/>
          </w:tcPr>
          <w:p>
            <w:pPr>
              <w:ind w:left="80"/>
              <w:spacing w:after="0"/>
              <w:rPr>
                <w:sz w:val="20"/>
                <w:szCs w:val="20"/>
                <w:color w:val="auto"/>
              </w:rPr>
            </w:pPr>
            <w:r>
              <w:rPr>
                <w:rFonts w:ascii="Arial" w:cs="Arial" w:eastAsia="Arial" w:hAnsi="Arial"/>
                <w:sz w:val="16"/>
                <w:szCs w:val="16"/>
                <w:color w:val="auto"/>
              </w:rPr>
              <w:t>Terminal services revenues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3,963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7,199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7,199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10,019</w:t>
            </w:r>
          </w:p>
        </w:tc>
        <w:tc>
          <w:tcPr>
            <w:tcW w:w="0" w:type="dxa"/>
            <w:vAlign w:val="bottom"/>
          </w:tcPr>
          <w:p>
            <w:pPr>
              <w:spacing w:after="0"/>
              <w:rPr>
                <w:sz w:val="1"/>
                <w:szCs w:val="1"/>
                <w:color w:val="auto"/>
              </w:rPr>
            </w:pPr>
          </w:p>
        </w:tc>
      </w:tr>
      <w:tr>
        <w:trPr>
          <w:trHeight w:val="291"/>
        </w:trPr>
        <w:tc>
          <w:tcPr>
            <w:tcW w:w="40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9,501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9,450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16,174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16,123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6,769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6,724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6,106</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15,981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4,164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11,817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29,049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5,226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23,823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(10,607)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(6,443)</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(18,988)</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(5,226)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(13,762)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(10,656)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(4,266)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(6,390)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(19,037)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(5,328)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(13,709)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(6,111)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(4,266)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(1,845)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(10,838)</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(5,328)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(5,510)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1,772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(5,130)</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Loss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(5,741)</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(5,645)</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(9,956)</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(9,860)</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-130175</wp:posOffset>
            </wp:positionV>
            <wp:extent cx="47078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07890" cy="8890"/>
                    </a:xfrm>
                    <a:prstGeom prst="rect">
                      <a:avLst/>
                    </a:prstGeom>
                    <a:noFill/>
                  </pic:spPr>
                </pic:pic>
              </a:graphicData>
            </a:graphic>
          </wp:anchor>
        </w:drawing>
      </w:r>
    </w:p>
    <w:p>
      <w:pPr>
        <w:ind w:left="140" w:hanging="132"/>
        <w:spacing w:after="0"/>
        <w:tabs>
          <w:tab w:leader="none" w:pos="140" w:val="left"/>
        </w:tabs>
        <w:numPr>
          <w:ilvl w:val="0"/>
          <w:numId w:val="32"/>
        </w:numPr>
        <w:rPr>
          <w:rFonts w:ascii="Arial" w:cs="Arial" w:eastAsia="Arial" w:hAnsi="Arial"/>
          <w:sz w:val="8"/>
          <w:szCs w:val="8"/>
          <w:color w:val="auto"/>
        </w:rPr>
      </w:pPr>
      <w:r>
        <w:rPr>
          <w:rFonts w:ascii="Arial" w:cs="Arial" w:eastAsia="Arial" w:hAnsi="Arial"/>
          <w:sz w:val="13"/>
          <w:szCs w:val="13"/>
          <w:color w:val="auto"/>
        </w:rPr>
        <w:t>Non-controlling share of Adjusted Net Income is comprised of the following for the three months ended June 30, 2015: (i) equity-based compensation of $(366), (ii) provision for income tax of</w:t>
      </w:r>
    </w:p>
    <w:p>
      <w:pPr>
        <w:spacing w:after="0" w:line="13" w:lineRule="exact"/>
        <w:rPr>
          <w:sz w:val="20"/>
          <w:szCs w:val="20"/>
          <w:color w:val="auto"/>
        </w:rPr>
      </w:pPr>
    </w:p>
    <w:p>
      <w:pPr>
        <w:ind w:left="440" w:right="20"/>
        <w:spacing w:after="0" w:line="255" w:lineRule="auto"/>
        <w:rPr>
          <w:sz w:val="20"/>
          <w:szCs w:val="20"/>
          <w:color w:val="auto"/>
        </w:rPr>
      </w:pPr>
      <w:r>
        <w:rPr>
          <w:rFonts w:ascii="Arial" w:cs="Arial" w:eastAsia="Arial" w:hAnsi="Arial"/>
          <w:sz w:val="14"/>
          <w:szCs w:val="14"/>
          <w:color w:val="auto"/>
        </w:rPr>
        <w:t>$(20), and (iii) cash tax payments of $71. Non-controlling share of Adjusted Net Income is comprised of the following for the six months ended June 30, 2015: (i) equity-based compensation of $(707), (ii) provision for income tax of $(20), and (iii) cash tax payments of $71.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639" w:right="239" w:bottom="1440" w:gutter="0" w:footer="0" w:header="0"/>
        </w:sectPr>
      </w:pPr>
    </w:p>
    <w:bookmarkStart w:id="56" w:name="page57"/>
    <w:bookmarkEnd w:id="56"/>
    <w:p>
      <w:pPr>
        <w:ind w:right="240" w:firstLine="648"/>
        <w:spacing w:after="0" w:line="340"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Jefferson Terminal segment for the three and six months ended June 30, 2015 and June 30,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4,068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5,130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(5,130)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3,019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6,106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6,106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(2)</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(2,936)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(5,804)</w:t>
            </w:r>
          </w:p>
        </w:tc>
        <w:tc>
          <w:tcPr>
            <w:tcW w:w="0" w:type="dxa"/>
            <w:vAlign w:val="bottom"/>
          </w:tcPr>
          <w:p>
            <w:pPr>
              <w:spacing w:after="0"/>
              <w:rPr>
                <w:sz w:val="1"/>
                <w:szCs w:val="1"/>
                <w:color w:val="auto"/>
              </w:rPr>
            </w:pPr>
          </w:p>
        </w:tc>
      </w:tr>
      <w:tr>
        <w:trPr>
          <w:trHeight w:val="24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(1,895)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440" w:right="20" w:hanging="432"/>
        <w:spacing w:after="0" w:line="246" w:lineRule="auto"/>
        <w:tabs>
          <w:tab w:leader="none" w:pos="148" w:val="left"/>
        </w:tabs>
        <w:numPr>
          <w:ilvl w:val="0"/>
          <w:numId w:val="33"/>
        </w:numPr>
        <w:rPr>
          <w:rFonts w:ascii="Arial" w:cs="Arial" w:eastAsia="Arial" w:hAnsi="Arial"/>
          <w:sz w:val="9"/>
          <w:szCs w:val="9"/>
          <w:color w:val="auto"/>
        </w:rPr>
      </w:pPr>
      <w:r>
        <w:rPr>
          <w:rFonts w:ascii="Arial" w:cs="Arial" w:eastAsia="Arial" w:hAnsi="Arial"/>
          <w:sz w:val="14"/>
          <w:szCs w:val="14"/>
          <w:color w:val="auto"/>
        </w:rPr>
        <w:t>Non-controlling share of Adjusted EBITDA is comprised of the following items for the three months ended June 30, 2015 and 2014: (i) equity-based compensation of $366 and $0, (ii) provision for income taxes of $20 and $0, (iii) interest expense of $1,171 and $0, (iv) depreciation and amortization expense of $1,379 and $0, respectively. Non-controlling share of Adjusted EBITDA is comprised of the following items for the six months ended June 30, 2015 and 2014: (i) equity-based compensation of $707 and $0, (ii) provision for income taxes of $20 and $0, (iii) interest expense of $2,375 and $0, (iv) depreciation and amortization expense of $2,702 and $0,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540" w:firstLine="648"/>
        <w:spacing w:after="0" w:line="312" w:lineRule="auto"/>
        <w:rPr>
          <w:sz w:val="20"/>
          <w:szCs w:val="20"/>
          <w:color w:val="auto"/>
        </w:rPr>
      </w:pPr>
      <w:r>
        <w:rPr>
          <w:rFonts w:ascii="Arial" w:cs="Arial" w:eastAsia="Arial" w:hAnsi="Arial"/>
          <w:sz w:val="16"/>
          <w:szCs w:val="16"/>
          <w:color w:val="auto"/>
        </w:rPr>
        <w:t>Acquired in August 2014, Jefferson Terminal revenues in the three and six months ended June 30, 2015 were largely comprised of $3,963 and $7,199, respectively, related to terminal services. Additionally, in the three and six months ended June 30, 2015, Jefferson Terminal earned $1,410 and $2,820, respectively, in lease income related to tank railcars purchased and subsequently leased in the fourth quarter of 2014.</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Total expenses in the Jefferson Terminal segment increased by $11,817 and $23,823 in the three and six months ended June 30, 2015 as compared to the three and six months ended June 30, 2014, respectively. Expenses increased due to higher (i) operating expenses of $9,450 and $16,123 incurred in connection with terminal operations, including $919 and $1,772 of equity-based compensation expense, (ii) amortization expense related to acquired customer relationships of $884 and $1,768 (iii) depreciation expense of $2,577 and $5,001 related to tank railcars and property, plant and equipment and (iv) interest expense of $3,019 and $6,106 related to term debt used to finance the purchase of Jefferson Terminal, as well as amounts outstanding on previously issued municipal bonds. Expenses in the three and six months ended June 30, 2014 were mainly comprised of acquisition and transaction costs for the acquisition of Jefferson Terminal in August 2014.</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Net loss attributable to shareholders was $6,111 and $10,838 in the three and six months ended June 30, 2015, respectively, increasing by $1,845 and $5,510 in the three and six months ended June 30, 2015 as compared to the three and six months ended June 30, 2014, respectively. In addition to the changes discussed above, Net loss attributable to shareholders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27" w:right="239" w:bottom="1440" w:gutter="0" w:footer="0" w:header="0"/>
        </w:sectPr>
      </w:pPr>
    </w:p>
    <w:bookmarkStart w:id="57" w:name="page58"/>
    <w:bookmarkEnd w:id="57"/>
    <w:p>
      <w:pPr>
        <w:ind w:right="80"/>
        <w:spacing w:after="0" w:line="277" w:lineRule="auto"/>
        <w:rPr>
          <w:sz w:val="20"/>
          <w:szCs w:val="20"/>
          <w:color w:val="auto"/>
        </w:rPr>
      </w:pPr>
      <w:r>
        <w:rPr>
          <w:rFonts w:ascii="Arial" w:cs="Arial" w:eastAsia="Arial" w:hAnsi="Arial"/>
          <w:sz w:val="18"/>
          <w:szCs w:val="18"/>
          <w:color w:val="auto"/>
        </w:rPr>
        <w:t>also affected by net loss attributable to non-controlling interest in consolidated subsidiaries, which was $4,545 and $8,199 for the three and six months ended June 30,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Adjusted Net Loss was $5,741 and $9,956 in the three and six months ended June 30, 2015, respectively, increasing by $5,645 and $9,860 as compared to the three and six months ended June 30, 2014, respectively. In addition to the changes in Net loss attributable to shareholders noted above, the increase in each respective period was driven by the absence of acquisition and transaction expenses of $4,068 and $5,130 incurred related to the acquisition of Jefferson Terminal during the three and six months ended June 30, 2014, respectively. Adjusted Net Loss was also affected by the non-controlling share of Adjusted Net Loss of $315 and $656 offset by equity-based compensation expense of $919 and 1,772 in the three and six months ended June 30, 2015,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Adjusted EBITDA was $(1,599) and $(1,946) in the three and six months ended June 30, 2015, decreasing by $1,548 and $1,895 as compared to the three and six months ended June 30, 2014, respectively.</w:t>
      </w:r>
    </w:p>
    <w:p>
      <w:pPr>
        <w:spacing w:after="0" w:line="6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the three months ended June 30, 2015, in addition to the changes in Net loss attributable to shareholders noted above, Adjusted EBITDA was impacted by (i) non-controlling share of Adjusted EBITDA of $(2,936), comprised of equity-based compensation expense of $366, provision for income taxes of $20, interest expense of $1,171, and depreciation and amortization expense of $1,379 and (ii) lower acquisition and transaction expenses of $4,068 in the three months ended June 30, 2015 as compared to the three months ended June 30, 2014. These were offset by higher (i) depreciation and amortization expense of $3,416 related to acquired customer relationships, tank railcars and property, plant and equipment, (ii) interest expense of $3,019 and (iii) equity-based compensation expense of $919, in the three months ended June 30, 2015 as compared to the three months ended June 30, 2014.</w:t>
      </w:r>
    </w:p>
    <w:p>
      <w:pPr>
        <w:spacing w:after="0" w:line="5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the six months ended June 30, 2015, in addition to the changes in Net loss attributable to shareholders noted above, Adjusted EBITDA was impacted by (i) non-controlling share of Adjusted EBITDA of $(5,804), comprised of equity-based compensation expense of $707, provision for income taxes of $20, interest expense of $2,375, and depreciation and amortization expense of $2,702 in the six months ended June 30, 2015 and (ii) lower acquisition and transaction expenses of $(5,130) in the six months ended June 30, 2015 as compared to the six months ended June 30, 2014. These were offset by higher (i) depreciation and amortization expense of $6,724 related to acquired customer relationships, tank railcars and property, plant and equipment, (ii) interest expense of $6,106 and (iii) equity-based compensation expense of $1,772, in the six months ended June 30, 2015 as compared to the six months ended June 30,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Railroad Segment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results of operations and reconciliation of Net loss attributable to shareholders to Adjusted Net Loss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Railroad segment for the three and six months ended June 30, 2015 and June 30, 2014: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6"/>
                <w:szCs w:val="16"/>
                <w:b w:val="1"/>
                <w:bCs w:val="1"/>
                <w:color w:val="auto"/>
                <w:w w:val="90"/>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center"/>
              <w:ind w:left="35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Infrastructure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Rail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11,847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10,863</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5,558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984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4,574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11,847</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984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10,863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7,795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5,101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2,694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15,518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7,410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8,108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Gain on sale of equipment, net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other income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1,884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(3,664)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(6,426)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2,762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(4,117)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1,884</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(3,664)</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(6,426)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2,762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Net loss attributable to non-controlling interest in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consolidated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(4,117)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(5,208)</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Less: Non-controlling share of Adjusted Net Income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Adjusted Net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(710)</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(2,772)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w:t>
      </w:r>
    </w:p>
    <w:p>
      <w:pPr>
        <w:spacing w:after="0" w:line="17" w:lineRule="exact"/>
        <w:rPr>
          <w:sz w:val="20"/>
          <w:szCs w:val="20"/>
          <w:color w:val="auto"/>
        </w:rPr>
      </w:pPr>
    </w:p>
    <w:p>
      <w:pPr>
        <w:ind w:left="440" w:right="460" w:hanging="432"/>
        <w:spacing w:after="0" w:line="293" w:lineRule="auto"/>
        <w:tabs>
          <w:tab w:leader="none" w:pos="148" w:val="left"/>
        </w:tabs>
        <w:numPr>
          <w:ilvl w:val="0"/>
          <w:numId w:val="34"/>
        </w:numPr>
        <w:rPr>
          <w:rFonts w:ascii="Arial" w:cs="Arial" w:eastAsia="Arial" w:hAnsi="Arial"/>
          <w:sz w:val="8"/>
          <w:szCs w:val="8"/>
          <w:color w:val="auto"/>
        </w:rPr>
      </w:pPr>
      <w:r>
        <w:rPr>
          <w:rFonts w:ascii="Arial" w:cs="Arial" w:eastAsia="Arial" w:hAnsi="Arial"/>
          <w:sz w:val="13"/>
          <w:szCs w:val="13"/>
          <w:color w:val="auto"/>
        </w:rPr>
        <w:t>Non-controlling share of Adjusted Net Income is comprised of equity-based compensation of $(11) and $0, respectively, for the three months ended June 30, 2015 and June 30, 2014. Non-controlling share of Adjusted Net Income is comprised of equity-based compensation of $(24) and $0, respectively, for the six months ended June 30, 2015 and June 30, 2014.</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55" w:right="239" w:bottom="1440" w:gutter="0" w:footer="0" w:header="0"/>
        </w:sectPr>
      </w:pPr>
    </w:p>
    <w:bookmarkStart w:id="59" w:name="page60"/>
    <w:bookmarkEnd w:id="59"/>
    <w:p>
      <w:pPr>
        <w:ind w:right="200" w:firstLine="446"/>
        <w:spacing w:after="0" w:line="277" w:lineRule="auto"/>
        <w:rPr>
          <w:sz w:val="20"/>
          <w:szCs w:val="20"/>
          <w:color w:val="auto"/>
        </w:rPr>
      </w:pPr>
      <w:r>
        <w:rPr>
          <w:rFonts w:ascii="Arial" w:cs="Arial" w:eastAsia="Arial" w:hAnsi="Arial"/>
          <w:sz w:val="18"/>
          <w:szCs w:val="18"/>
          <w:color w:val="auto"/>
        </w:rPr>
        <w:t>The following table sets forth a reconciliation of Net loss attributable to shareholders to Adjusted EBITDA for the Railroad segment for the three and six months ended June 30, 2015 and June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38"/>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4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2,899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(5,208)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6"/>
                <w:szCs w:val="16"/>
                <w:color w:val="auto"/>
              </w:rPr>
              <w:t xml:space="preserve">Less: Non-controlling share of Adjusted EBITDA </w:t>
            </w:r>
            <w:r>
              <w:rPr>
                <w:rFonts w:ascii="Arial" w:cs="Arial" w:eastAsia="Arial" w:hAnsi="Arial"/>
                <w:sz w:val="21"/>
                <w:szCs w:val="21"/>
                <w:color w:val="auto"/>
                <w:vertAlign w:val="superscript"/>
              </w:rPr>
              <w:t>(1)</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4"/>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w:t>
      </w:r>
    </w:p>
    <w:p>
      <w:pPr>
        <w:spacing w:after="0" w:line="13" w:lineRule="exact"/>
        <w:rPr>
          <w:sz w:val="20"/>
          <w:szCs w:val="20"/>
          <w:color w:val="auto"/>
        </w:rPr>
      </w:pPr>
    </w:p>
    <w:p>
      <w:pPr>
        <w:ind w:left="140" w:hanging="132"/>
        <w:spacing w:after="0"/>
        <w:tabs>
          <w:tab w:leader="none" w:pos="140" w:val="left"/>
        </w:tabs>
        <w:numPr>
          <w:ilvl w:val="0"/>
          <w:numId w:val="35"/>
        </w:numPr>
        <w:rPr>
          <w:rFonts w:ascii="Arial" w:cs="Arial" w:eastAsia="Arial" w:hAnsi="Arial"/>
          <w:sz w:val="8"/>
          <w:szCs w:val="8"/>
          <w:color w:val="auto"/>
        </w:rPr>
      </w:pPr>
      <w:r>
        <w:rPr>
          <w:rFonts w:ascii="Arial" w:cs="Arial" w:eastAsia="Arial" w:hAnsi="Arial"/>
          <w:sz w:val="13"/>
          <w:szCs w:val="13"/>
          <w:color w:val="auto"/>
        </w:rPr>
        <w:t>Non-controlling share of Adjusted EBITDA is comprised of the following items for the three months ended June 30, 2015: (i) equity-based compensation of $11, (ii) interest expense of $6, and</w:t>
      </w:r>
    </w:p>
    <w:p>
      <w:pPr>
        <w:spacing w:after="0" w:line="12" w:lineRule="exact"/>
        <w:rPr>
          <w:rFonts w:ascii="Arial" w:cs="Arial" w:eastAsia="Arial" w:hAnsi="Arial"/>
          <w:sz w:val="8"/>
          <w:szCs w:val="8"/>
          <w:color w:val="auto"/>
        </w:rPr>
      </w:pPr>
    </w:p>
    <w:p>
      <w:pPr>
        <w:ind w:left="440" w:right="120"/>
        <w:spacing w:after="0" w:line="255" w:lineRule="auto"/>
        <w:tabs>
          <w:tab w:leader="none" w:pos="692" w:val="left"/>
        </w:tabs>
        <w:numPr>
          <w:ilvl w:val="1"/>
          <w:numId w:val="35"/>
        </w:numPr>
        <w:rPr>
          <w:rFonts w:ascii="Arial" w:cs="Arial" w:eastAsia="Arial" w:hAnsi="Arial"/>
          <w:sz w:val="14"/>
          <w:szCs w:val="14"/>
          <w:color w:val="auto"/>
        </w:rPr>
      </w:pPr>
      <w:r>
        <w:rPr>
          <w:rFonts w:ascii="Arial" w:cs="Arial" w:eastAsia="Arial" w:hAnsi="Arial"/>
          <w:sz w:val="14"/>
          <w:szCs w:val="14"/>
          <w:color w:val="auto"/>
        </w:rPr>
        <w:t>depreciation and amortization expense of $15. Non-controlling share of Adjusted EBITDA is comprised of the following items for the six months ended June 30, 2015: (i) equity-based compensation of $24, (ii) interest expense of $9, and (iii) depreciation and amortization expense of $27.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firstLine="446"/>
        <w:spacing w:after="0" w:line="279" w:lineRule="auto"/>
        <w:rPr>
          <w:sz w:val="20"/>
          <w:szCs w:val="20"/>
          <w:color w:val="auto"/>
        </w:rPr>
      </w:pPr>
      <w:r>
        <w:rPr>
          <w:rFonts w:ascii="Arial" w:cs="Arial" w:eastAsia="Arial" w:hAnsi="Arial"/>
          <w:sz w:val="17"/>
          <w:szCs w:val="17"/>
          <w:color w:val="auto"/>
        </w:rPr>
        <w:t>Total revenues in the Railroad segment of $5,558 and $11,847 in the three and six months ended June 30, 2015, respectively, related to revenue generated from CMQR. CMQR was acquired during the second quarter of 2014, generating $984 of revenue, primarily related to freight rail revenue, in both the three and six months ended June 30, 2014. In the three and six months ended June 30, 2015, rail revenues consisted of $4,835 and $10,267 in freight rail revenue, respectively and $723 and $1,580 in ancillary services and other miscellaneous rail revenues,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300" w:firstLine="446"/>
        <w:spacing w:after="0" w:line="277" w:lineRule="auto"/>
        <w:rPr>
          <w:sz w:val="20"/>
          <w:szCs w:val="20"/>
          <w:color w:val="auto"/>
        </w:rPr>
      </w:pPr>
      <w:r>
        <w:rPr>
          <w:rFonts w:ascii="Arial" w:cs="Arial" w:eastAsia="Arial" w:hAnsi="Arial"/>
          <w:sz w:val="18"/>
          <w:szCs w:val="18"/>
          <w:color w:val="auto"/>
        </w:rPr>
        <w:t>Total expenses in the Railroad segment were $7,795 and $15,518 in the three and six months ended June 30, 2015, respectively as compared to total expenses of $5,101 and $7,410 in the three and six months ended June 30, 2014, respectively.</w:t>
      </w:r>
    </w:p>
    <w:p>
      <w:pPr>
        <w:spacing w:after="0" w:line="62" w:lineRule="exact"/>
        <w:rPr>
          <w:sz w:val="20"/>
          <w:szCs w:val="20"/>
          <w:color w:val="auto"/>
        </w:rPr>
      </w:pPr>
    </w:p>
    <w:p>
      <w:pPr>
        <w:ind w:right="60" w:firstLine="446"/>
        <w:spacing w:after="0" w:line="297" w:lineRule="auto"/>
        <w:rPr>
          <w:sz w:val="20"/>
          <w:szCs w:val="20"/>
          <w:color w:val="auto"/>
        </w:rPr>
      </w:pPr>
      <w:r>
        <w:rPr>
          <w:rFonts w:ascii="Arial" w:cs="Arial" w:eastAsia="Arial" w:hAnsi="Arial"/>
          <w:sz w:val="16"/>
          <w:szCs w:val="16"/>
          <w:color w:val="auto"/>
        </w:rPr>
        <w:t>Expenses were comprised of (i) operating expenses of $7,215 and $14,299 incurred in connection with railroad operations, (ii) depreciation expense of $405 and $903 related to property, plant, and equipment, (iii) amortization expense of $14 and $25 related to acquired customer relationships and (iv) interest expense of $161 and $291 related to borrowings under the CMQR Credit Agreement used to finance construction and improvements to the railroad, in the three and six months ended June 30, 2015, respectively. Expenses in the three and six months ended June 30, 2014 were mainly comprised of acquisition and transaction expenses and operating expenses incurred since the acquisition during the second quarter of 2014.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117" w:lineRule="exact"/>
        <w:rPr>
          <w:sz w:val="20"/>
          <w:szCs w:val="20"/>
          <w:color w:val="auto"/>
        </w:rPr>
      </w:pPr>
    </w:p>
    <w:p>
      <w:pPr>
        <w:ind w:right="160" w:firstLine="446"/>
        <w:spacing w:after="0" w:line="312" w:lineRule="auto"/>
        <w:rPr>
          <w:sz w:val="20"/>
          <w:szCs w:val="20"/>
          <w:color w:val="auto"/>
        </w:rPr>
      </w:pPr>
      <w:r>
        <w:rPr>
          <w:rFonts w:ascii="Arial" w:cs="Arial" w:eastAsia="Arial" w:hAnsi="Arial"/>
          <w:sz w:val="16"/>
          <w:szCs w:val="16"/>
          <w:color w:val="auto"/>
        </w:rPr>
        <w:t>Net loss attributable to shareholders was $2,154 and $3,552 in the three and six months ended June 30, 2015, respectively compared to a net loss of $4,117 and $6,426 for the three and six months ended June 30, 2014, respectively. In addition to the changes discussed above, the increase was also due to a net loss attributable to non-controlling interest in consolidated subsidiaries of $79 and $112 for the three and six months ended June 30, 2015,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0"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Adjusted Net Loss was $1,928 and $2,772 in the three and six months ended June 30, 2015, increasing by $710 and $1,554 as compared to the three and six months ended June 30, 2014, respectively. In addition to the changes in Net loss attributable to shareholders noted above, Adjusted Net Loss was impacted by equity-based compensation expense of $237 and $804 recorded in the three and six months ended June 30, 2015, respectively, and the absence of acquisition and transaction expenses of $2,899 and $5,208 incurred in the three and six months ended June 30, 2014, in connection with the acquisition of CMQR,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Adjusted EBITDA was $(1,369) and $(1,589) in the three and six months ended June 30, 2015, decreasing by $277 and $497 as compared to the three and six months ended June 30, 2014, respectively.</w:t>
      </w:r>
    </w:p>
    <w:p>
      <w:pPr>
        <w:spacing w:after="0" w:line="62" w:lineRule="exact"/>
        <w:rPr>
          <w:sz w:val="20"/>
          <w:szCs w:val="20"/>
          <w:color w:val="auto"/>
        </w:rPr>
      </w:pPr>
    </w:p>
    <w:p>
      <w:pPr>
        <w:ind w:right="340" w:firstLine="446"/>
        <w:spacing w:after="0" w:line="259" w:lineRule="auto"/>
        <w:rPr>
          <w:sz w:val="20"/>
          <w:szCs w:val="20"/>
          <w:color w:val="auto"/>
        </w:rPr>
      </w:pPr>
      <w:r>
        <w:rPr>
          <w:rFonts w:ascii="Arial" w:cs="Arial" w:eastAsia="Arial" w:hAnsi="Arial"/>
          <w:sz w:val="18"/>
          <w:szCs w:val="18"/>
          <w:color w:val="auto"/>
        </w:rPr>
        <w:t>In addition to the changes in Net loss attributable to shareholders noted above, Adjusted EBITDA was also impacted by higher (i) equity-based compensation expense of $237 and 804, (ii) depreciation and amortization expense of $293 and $802, (iii) interest expense of $161 and 291 and (iv) non-controlling share of Adjusted EBITDA of $(32) and (60) in the three and six months ended June 30, 2015 as compared to the three and six months ended June 30, 2014, respectively.</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76"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Corporate</w:t>
      </w:r>
    </w:p>
    <w:p>
      <w:pPr>
        <w:spacing w:after="0" w:line="12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presents our results of operations and reconciliation of Net loss attributable to shareholders to Adjusted Net Loss for Corporate for the three and six months ended June 30, 2015 and June 30,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721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2,337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and transaction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Management fees and incentive allocation to affiliate</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5,899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4,062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b w:val="1"/>
                <w:bCs w:val="1"/>
                <w:color w:val="auto"/>
              </w:rPr>
              <w:t>Total expenses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7,072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1,980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5,092</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10,202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7,237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(7,237)</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rPr>
              <w:t>Less: Net income (loss) attributable to non-controlling</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interest in consolidated subsidiaries</w:t>
            </w:r>
          </w:p>
        </w:tc>
        <w:tc>
          <w:tcPr>
            <w:tcW w:w="16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(7,239)</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Net Income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Cash payments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Net Income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(5,384)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2015 and June 30,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688"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20" w:type="dxa"/>
            <w:vAlign w:val="bottom"/>
            <w:gridSpan w:val="5"/>
            <w:vMerge w:val="restart"/>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8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20" w:type="dxa"/>
            <w:vAlign w:val="bottom"/>
            <w:gridSpan w:val="5"/>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8"/>
                <w:szCs w:val="8"/>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1"/>
        </w:trPr>
        <w:tc>
          <w:tcPr>
            <w:tcW w:w="40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vMerge w:val="continue"/>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 attributable to shareholders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(7,074)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(7,239)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Provision for income taxes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Equity-based compensation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Acquisition and transaction expenses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Add: Losses on the modification or extinguishment of debt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and capital lease obligations</w:t>
            </w:r>
          </w:p>
        </w:tc>
        <w:tc>
          <w:tcPr>
            <w:tcW w:w="1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Changes in fair value of non-hedge derivative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instruments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Asset impairment charges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Incentive allocations</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Depreciation and amortization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Add: Interest expense</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Principal collections on direct finance leases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Add: Pro-rata share of Adjusted EBITDA from</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unconsolidated entities</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Equity in earnings of unconsolidated entities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Less: Non-controlling share of Adjusted EBITDA</w:t>
            </w:r>
          </w:p>
        </w:tc>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(5,429)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80" w:firstLine="446"/>
        <w:spacing w:after="0" w:line="255" w:lineRule="auto"/>
        <w:rPr>
          <w:sz w:val="20"/>
          <w:szCs w:val="20"/>
          <w:color w:val="auto"/>
        </w:rPr>
      </w:pPr>
      <w:r>
        <w:rPr>
          <w:rFonts w:ascii="Arial" w:cs="Arial" w:eastAsia="Arial" w:hAnsi="Arial"/>
          <w:sz w:val="18"/>
          <w:szCs w:val="18"/>
          <w:color w:val="auto"/>
        </w:rPr>
        <w:t>In Corporate, total expenses increased by $5,092 and $7,237 in the three and six months ended June 30, 2015 as compared to the three and six months ended June 30, 2014, respectively. This was mainly due to higher (i) management fees of $2,399 and $4,062 attributable to an increase in the weighted average contributed capital and capital raised during the Company’s IPO, (ii) general and administrative expenses of $1,268 and $1,389 primarily related to personnel and infrastructure as we expand our customer base and lines of businesses, including reimbursements to our manager and (iii) acquisition and transaction expenses for abandoned transaction opportunities of $1,425 and $1,831, in the three and six months ended June 30, 2015 as compared to the three and six months ended June 30, 2014,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Loss</w:t>
      </w:r>
    </w:p>
    <w:p>
      <w:pPr>
        <w:spacing w:after="0" w:line="117"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Adjusted Net Loss was $5,452 and $8,214 in the three and six months ended June 30, 2015, increasing by $3,645 and $5,384, as compared to the three and six months ended June 30, 2014, respectively. In addition to the changes in Net loss attributable to shareholders noted above, Adjusted Net Loss was primarily impacted by higher acquisition and transaction expenses incurred for potential acquisition opportunities in the three and six months ended June 30, 2015, which is excluded from Adjusted Net Loss.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17" w:lineRule="exact"/>
        <w:rPr>
          <w:sz w:val="20"/>
          <w:szCs w:val="20"/>
          <w:color w:val="auto"/>
        </w:rPr>
      </w:pPr>
    </w:p>
    <w:p>
      <w:pPr>
        <w:jc w:val="both"/>
        <w:ind w:right="220" w:firstLine="446"/>
        <w:spacing w:after="0" w:line="279" w:lineRule="auto"/>
        <w:rPr>
          <w:sz w:val="20"/>
          <w:szCs w:val="20"/>
          <w:color w:val="auto"/>
        </w:rPr>
      </w:pPr>
      <w:r>
        <w:rPr>
          <w:rFonts w:ascii="Arial" w:cs="Arial" w:eastAsia="Arial" w:hAnsi="Arial"/>
          <w:sz w:val="17"/>
          <w:szCs w:val="17"/>
          <w:color w:val="auto"/>
        </w:rPr>
        <w:t>Adjusted EBITDA was $(5,452) and $(8,214) in the three and six months ended June 30, 2015, decreasing by $3,645 and $5,429 as compared to the three and six months ended June 30, 2014, respectively. In addition to the changes in Net loss attributable to shareholders noted above, the decrease in each respective period was primarily impacted by higher acquisition and transaction expenses incurred for potential acquisition opportunities in the three and six months ended June 30, 2015, as well as equity-based compensation expense recorded in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Affiliates and Affiliated Entities</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are managed by FIG LLC (the “Manager”), an affiliate of Fortress, pursuant to a management agreement (the “Management Agreement”) which provides for the Company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639"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conflict of interest. Please see Note 14 to our consolidated financial statements included elsewhere in this filing for more information.</w:t>
      </w:r>
    </w:p>
    <w:p>
      <w:pPr>
        <w:spacing w:after="0" w:line="117"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A non-controlling interest holder of Jefferson Terminal provides construction services for Jefferson Terminal. At June 30, 2015 and December 31, 2014, accounts payable due to this vendor was $5,212 and $14,025,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August 11, 2015, the Company’s Board of Directors declared a cash dividend on its common stock of $0.15 per share for the quarter ended June 30, 2015, payable on August 31, 2015 to the holders of record on August 21, 2015.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446"/>
        <w:spacing w:after="0" w:line="342" w:lineRule="auto"/>
        <w:rPr>
          <w:sz w:val="20"/>
          <w:szCs w:val="20"/>
          <w:color w:val="auto"/>
        </w:rPr>
      </w:pPr>
      <w:r>
        <w:rPr>
          <w:rFonts w:ascii="Arial" w:cs="Arial" w:eastAsia="Arial" w:hAnsi="Arial"/>
          <w:sz w:val="16"/>
          <w:szCs w:val="16"/>
          <w:color w:val="auto"/>
        </w:rPr>
        <w:t>Our principal uses of liquidity have been (i) acquisitions of transportation infrastructure and equipment, (ii) distributions to our partners, (iii) expenses associated with our operating activities and (iv) debt service obligations associated with our investments (all dollar amounts are expressed in thousands).</w:t>
      </w:r>
    </w:p>
    <w:p>
      <w:pPr>
        <w:spacing w:after="0" w:line="16" w:lineRule="exact"/>
        <w:rPr>
          <w:sz w:val="20"/>
          <w:szCs w:val="20"/>
          <w:color w:val="auto"/>
        </w:rPr>
      </w:pPr>
    </w:p>
    <w:p>
      <w:pPr>
        <w:ind w:left="880" w:hanging="318"/>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six months ended June 30, 2015 and 2014, cash used for the purpose of making investments was $101,611 and $125,623, respectively.</w:t>
      </w:r>
    </w:p>
    <w:p>
      <w:pPr>
        <w:spacing w:after="0" w:line="140" w:lineRule="exact"/>
        <w:rPr>
          <w:rFonts w:ascii="Arial" w:cs="Arial" w:eastAsia="Arial" w:hAnsi="Arial"/>
          <w:sz w:val="16"/>
          <w:szCs w:val="16"/>
          <w:color w:val="auto"/>
        </w:rPr>
      </w:pPr>
    </w:p>
    <w:p>
      <w:pPr>
        <w:ind w:left="880" w:right="52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six months ended June 30, 2015 and 2014, distributions to shareholders were $44,917 and $8,410, respectively, and distributions to non-controlling interest were $254 and $233, respectively.</w:t>
      </w:r>
    </w:p>
    <w:p>
      <w:pPr>
        <w:spacing w:after="0" w:line="62" w:lineRule="exact"/>
        <w:rPr>
          <w:rFonts w:ascii="Arial" w:cs="Arial" w:eastAsia="Arial" w:hAnsi="Arial"/>
          <w:sz w:val="18"/>
          <w:szCs w:val="18"/>
          <w:color w:val="auto"/>
        </w:rPr>
      </w:pPr>
    </w:p>
    <w:p>
      <w:pPr>
        <w:ind w:left="880" w:right="140" w:hanging="318"/>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62" w:lineRule="exact"/>
        <w:rPr>
          <w:sz w:val="20"/>
          <w:szCs w:val="20"/>
          <w:color w:val="auto"/>
        </w:rPr>
      </w:pPr>
    </w:p>
    <w:p>
      <w:pPr>
        <w:ind w:right="540" w:firstLine="446"/>
        <w:spacing w:after="0" w:line="291" w:lineRule="auto"/>
        <w:rPr>
          <w:sz w:val="20"/>
          <w:szCs w:val="20"/>
          <w:color w:val="auto"/>
        </w:rPr>
      </w:pPr>
      <w:r>
        <w:rPr>
          <w:rFonts w:ascii="Arial" w:cs="Arial" w:eastAsia="Arial" w:hAnsi="Arial"/>
          <w:sz w:val="16"/>
          <w:szCs w:val="16"/>
          <w:color w:val="auto"/>
        </w:rPr>
        <w:t>Our principal sources of liquidity to fund these uses have been (i) revenues from our infrastructure and equipment assets (including finance lease collections and maintenance reserve collections) net of operating expenses, (ii) borrowings, (iii) distributions received from unconsolidated investees,</w:t>
      </w: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capital contributions from our shareholders and (v) proceeds from the issuance of common shares.</w:t>
      </w:r>
    </w:p>
    <w:p>
      <w:pPr>
        <w:spacing w:after="0" w:line="102" w:lineRule="exact"/>
        <w:rPr>
          <w:rFonts w:ascii="Arial" w:cs="Arial" w:eastAsia="Arial" w:hAnsi="Arial"/>
          <w:sz w:val="18"/>
          <w:szCs w:val="18"/>
          <w:color w:val="auto"/>
        </w:rPr>
      </w:pPr>
    </w:p>
    <w:p>
      <w:pPr>
        <w:ind w:left="880" w:right="280" w:hanging="318"/>
        <w:spacing w:after="0" w:line="277" w:lineRule="auto"/>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six months ended June 30, 2015 and 2014, cash flows from operating activities, plus the principal collections on finance leases and maintenance reserve collections were $25,103 and $13,415, respectively.</w:t>
      </w:r>
    </w:p>
    <w:p>
      <w:pPr>
        <w:spacing w:after="0" w:line="62" w:lineRule="exact"/>
        <w:rPr>
          <w:rFonts w:ascii="Arial" w:cs="Arial" w:eastAsia="Arial" w:hAnsi="Arial"/>
          <w:sz w:val="18"/>
          <w:szCs w:val="18"/>
          <w:color w:val="auto"/>
        </w:rPr>
      </w:pPr>
    </w:p>
    <w:p>
      <w:pPr>
        <w:jc w:val="both"/>
        <w:ind w:left="880" w:right="200" w:hanging="318"/>
        <w:spacing w:after="0" w:line="264" w:lineRule="auto"/>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six months ended June 30, 2015, additional borrowings of $200 were obtained in connection with the CMQR Credit Agreement and we made total principal repayments of $8,633. During six months ended June 30, 2014, there were no additional borrowings and we made total principal repayments of $4,761.</w:t>
      </w:r>
    </w:p>
    <w:p>
      <w:pPr>
        <w:spacing w:after="0" w:line="73" w:lineRule="exact"/>
        <w:rPr>
          <w:rFonts w:ascii="Arial" w:cs="Arial" w:eastAsia="Arial" w:hAnsi="Arial"/>
          <w:sz w:val="18"/>
          <w:szCs w:val="18"/>
          <w:color w:val="auto"/>
        </w:rPr>
      </w:pPr>
    </w:p>
    <w:p>
      <w:pPr>
        <w:ind w:left="880" w:right="300" w:hanging="318"/>
        <w:spacing w:after="0" w:line="308" w:lineRule="auto"/>
        <w:tabs>
          <w:tab w:leader="none" w:pos="8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During the six months ended June 30, 2015 and 2014, we received $1,888 and $6,761 in cash distributions from our unconsolidated investees, respectively, of which $604 and $4,358 was included in cash flows from operating activities, respectively.</w:t>
      </w:r>
    </w:p>
    <w:p>
      <w:pPr>
        <w:spacing w:after="0" w:line="38" w:lineRule="exact"/>
        <w:rPr>
          <w:rFonts w:ascii="Arial" w:cs="Arial" w:eastAsia="Arial" w:hAnsi="Arial"/>
          <w:sz w:val="17"/>
          <w:szCs w:val="17"/>
          <w:color w:val="auto"/>
        </w:rPr>
      </w:pPr>
    </w:p>
    <w:p>
      <w:pPr>
        <w:ind w:left="880" w:hanging="318"/>
        <w:spacing w:after="0"/>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six months ended June 30, 2015 and 2014, proceeds from the sale of assets were $1,625 and $14,360, respectively.</w:t>
      </w:r>
    </w:p>
    <w:p>
      <w:pPr>
        <w:spacing w:after="0" w:line="117" w:lineRule="exact"/>
        <w:rPr>
          <w:rFonts w:ascii="Arial" w:cs="Arial" w:eastAsia="Arial" w:hAnsi="Arial"/>
          <w:sz w:val="18"/>
          <w:szCs w:val="18"/>
          <w:color w:val="auto"/>
        </w:rPr>
      </w:pPr>
    </w:p>
    <w:p>
      <w:pPr>
        <w:ind w:left="880" w:right="340" w:hanging="318"/>
        <w:spacing w:after="0" w:line="277" w:lineRule="auto"/>
        <w:tabs>
          <w:tab w:leader="none" w:pos="8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During the six months ended June 30, 2015 and 2014, capital contributions from shareholders were $295,879 and $159,100, respectively, and capital contributions from non-controlling interests were $29,869 and $0, respectively.</w:t>
      </w:r>
    </w:p>
    <w:p>
      <w:pPr>
        <w:spacing w:after="0" w:line="62" w:lineRule="exact"/>
        <w:rPr>
          <w:rFonts w:ascii="Arial" w:cs="Arial" w:eastAsia="Arial" w:hAnsi="Arial"/>
          <w:sz w:val="18"/>
          <w:szCs w:val="18"/>
          <w:color w:val="auto"/>
        </w:rPr>
      </w:pPr>
    </w:p>
    <w:p>
      <w:pPr>
        <w:ind w:left="880" w:hanging="318"/>
        <w:spacing w:after="0"/>
        <w:tabs>
          <w:tab w:leader="none" w:pos="8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During the six months ended June 30, 2015, proceeds from the issuance of common stock were $352,346, net of issuance costs of $1,711 .</w:t>
      </w:r>
    </w:p>
    <w:p>
      <w:pPr>
        <w:spacing w:after="0" w:line="129" w:lineRule="exact"/>
        <w:rPr>
          <w:sz w:val="20"/>
          <w:szCs w:val="20"/>
          <w:color w:val="auto"/>
        </w:rPr>
      </w:pPr>
    </w:p>
    <w:p>
      <w:pPr>
        <w:ind w:right="100" w:firstLine="554"/>
        <w:spacing w:after="0" w:line="264" w:lineRule="auto"/>
        <w:rPr>
          <w:sz w:val="20"/>
          <w:szCs w:val="20"/>
          <w:color w:val="auto"/>
        </w:rPr>
      </w:pPr>
      <w:r>
        <w:rPr>
          <w:rFonts w:ascii="Arial" w:cs="Arial" w:eastAsia="Arial" w:hAnsi="Arial"/>
          <w:sz w:val="18"/>
          <w:szCs w:val="18"/>
          <w:color w:val="auto"/>
        </w:rPr>
        <w:t>The Company is currently evaluating over $1.5 billion of potential Infrastructure and Equipment Leasing transactions which could occur within the next 12 months. However, as of the date of this filing, none of the above-referenced pipeline transactions or negotiations are definitive or included within the planned liquidity needs of the Company.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Historical Cash Flow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Comparison of the six months ended June 30, 2015 and June 30,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compares the historical cash flow for the six months ended June 30, 2015 and June 30, 2014:</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Six months ended June 30,</w:t>
            </w:r>
          </w:p>
        </w:tc>
        <w:tc>
          <w:tcPr>
            <w:tcW w:w="20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w w:val="91"/>
              </w:rPr>
              <w:t>Six Months Ended June 30,</w:t>
            </w:r>
          </w:p>
        </w:tc>
      </w:tr>
      <w:tr>
        <w:trPr>
          <w:trHeight w:val="210"/>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tcPr>
          <w:p>
            <w:pPr>
              <w:jc w:val="right"/>
              <w:ind w:right="839"/>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2000" w:type="dxa"/>
            <w:vAlign w:val="bottom"/>
          </w:tcPr>
          <w:p>
            <w:pPr>
              <w:jc w:val="right"/>
              <w:ind w:right="779"/>
              <w:spacing w:after="0"/>
              <w:rPr>
                <w:sz w:val="20"/>
                <w:szCs w:val="20"/>
                <w:color w:val="auto"/>
              </w:rPr>
            </w:pPr>
            <w:r>
              <w:rPr>
                <w:rFonts w:ascii="Arial" w:cs="Arial" w:eastAsia="Arial" w:hAnsi="Arial"/>
                <w:sz w:val="16"/>
                <w:szCs w:val="16"/>
                <w:b w:val="1"/>
                <w:bCs w:val="1"/>
                <w:color w:val="auto"/>
              </w:rPr>
              <w:t>2014</w:t>
            </w:r>
          </w:p>
        </w:tc>
      </w:tr>
      <w:tr>
        <w:trPr>
          <w:trHeight w:val="33"/>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3"/>
          </w:tcPr>
          <w:p>
            <w:pPr>
              <w:spacing w:after="0"/>
              <w:rPr>
                <w:sz w:val="2"/>
                <w:szCs w:val="2"/>
                <w:color w:val="auto"/>
              </w:rPr>
            </w:pPr>
          </w:p>
        </w:tc>
      </w:tr>
      <w:tr>
        <w:trPr>
          <w:trHeight w:val="217"/>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6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 Data:</w:t>
            </w:r>
          </w:p>
        </w:tc>
        <w:tc>
          <w:tcPr>
            <w:tcW w:w="1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060" w:type="dxa"/>
            <w:vAlign w:val="bottom"/>
          </w:tcPr>
          <w:p>
            <w:pPr>
              <w:jc w:val="right"/>
              <w:ind w:right="99"/>
              <w:spacing w:after="0"/>
              <w:rPr>
                <w:sz w:val="20"/>
                <w:szCs w:val="20"/>
                <w:color w:val="auto"/>
              </w:rPr>
            </w:pPr>
            <w:r>
              <w:rPr>
                <w:rFonts w:ascii="Arial" w:cs="Arial" w:eastAsia="Arial" w:hAnsi="Arial"/>
                <w:sz w:val="16"/>
                <w:szCs w:val="16"/>
                <w:color w:val="auto"/>
              </w:rPr>
              <w:t>14,631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ind w:right="39"/>
              <w:spacing w:after="0"/>
              <w:rPr>
                <w:sz w:val="20"/>
                <w:szCs w:val="20"/>
                <w:color w:val="auto"/>
              </w:rPr>
            </w:pPr>
            <w:r>
              <w:rPr>
                <w:rFonts w:ascii="Arial" w:cs="Arial" w:eastAsia="Arial" w:hAnsi="Arial"/>
                <w:sz w:val="16"/>
                <w:szCs w:val="16"/>
                <w:color w:val="auto"/>
              </w:rPr>
              <w:t>6,576</w:t>
            </w:r>
          </w:p>
        </w:tc>
      </w:tr>
      <w:tr>
        <w:trPr>
          <w:trHeight w:val="33"/>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(89,226)</w:t>
            </w:r>
          </w:p>
        </w:tc>
        <w:tc>
          <w:tcPr>
            <w:tcW w:w="2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(103,195)</w:t>
            </w:r>
          </w:p>
        </w:tc>
      </w:tr>
      <w:tr>
        <w:trPr>
          <w:trHeight w:val="237"/>
        </w:trPr>
        <w:tc>
          <w:tcPr>
            <w:tcW w:w="694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623,784</w:t>
            </w:r>
          </w:p>
        </w:tc>
        <w:tc>
          <w:tcPr>
            <w:tcW w:w="2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147,594</w:t>
            </w:r>
          </w:p>
        </w:tc>
      </w:tr>
    </w:tbl>
    <w:p>
      <w:pPr>
        <w:spacing w:after="0" w:line="127" w:lineRule="exact"/>
        <w:rPr>
          <w:sz w:val="20"/>
          <w:szCs w:val="20"/>
          <w:color w:val="auto"/>
        </w:rPr>
      </w:pPr>
    </w:p>
    <w:p>
      <w:pPr>
        <w:ind w:right="80" w:firstLine="446"/>
        <w:spacing w:after="0" w:line="270" w:lineRule="auto"/>
        <w:rPr>
          <w:sz w:val="20"/>
          <w:szCs w:val="20"/>
          <w:color w:val="auto"/>
        </w:rPr>
      </w:pPr>
      <w:r>
        <w:rPr>
          <w:rFonts w:ascii="Arial" w:cs="Arial" w:eastAsia="Arial" w:hAnsi="Arial"/>
          <w:sz w:val="17"/>
          <w:szCs w:val="17"/>
          <w:color w:val="auto"/>
        </w:rPr>
        <w:t>Net cash provided by operating activities was $14,631 in the six months ended June 30, 2015 as compared to $6,576 in the six months ended June 30, 2014, representing a $8,055 increase. Net loss was $3,328 in the six months ended June 30, 2015, compared to income of $415 in the six months ended June 30, 2014, a decrease of $3,743. The increase in net cash provided by operating activities was driven by non-cash adjustments to reconcile net income which include an increase of (i) $16,704 relating to depreciation and amortization, (ii) $3,057 of amortization of lease intangibles and incentives, (iii) $665 in equity in earnings of unconsolidated entities, (iv) $2,600 of equity based compensation and (v) $1,924 of gain on sale of equipment, offset by a decrease due to income from forfeiture of security deposits of $1,120 and a decrease in operating distributions of $3,754 as compared to 2014. Offsetting the increase in non-cash adjustments to reconcile net income was higher cash outflows in accounts payable and accrued liabilities of $13,598 related to the continued expansion of our business, an increase in accounts receivable by $1,944 related to an increase in our customer base, an increase in management fees payable of $2,711, offset by decrease in cash outflows for other assets of $9,459.</w:t>
      </w:r>
    </w:p>
    <w:p>
      <w:pPr>
        <w:spacing w:after="0" w:line="74"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Net cash used in investing activities was $89,226 and $103,195 in the six months ended June 30, 2015 and 2014, respectively, representing a $13,969 decrease. Cash used in the acquisition of leasing equipment and related lease intangibles decreased year over year by $35,842 in 2015 as compared to 2014. Additionally, cash was used to fund our other investment related to Jefferson Terminal of $51,939 and purchase CMQR of $11,308 in the six months ended June 30, 2014, both of which did not occur in June 30, 2015. These decreases were offset by higher cash flows used in the six months ended June 30, 2015 as compared to the six months ended June 30, 2014 for (i) the acquisitions of property plant and equipment of $70,321 related to the continued expansion and development of Jefferson Terminal and CMQR and (ii) purchase deposits of $4,756 for aircraft and aircraft engines, as well as a decrease in proceeds from sale of assets of $12,735 for the six months ended June 30, 2015 as compared to June 30, 2014.</w:t>
      </w:r>
    </w:p>
    <w:p>
      <w:pPr>
        <w:spacing w:after="0" w:line="70" w:lineRule="exact"/>
        <w:rPr>
          <w:sz w:val="20"/>
          <w:szCs w:val="20"/>
          <w:color w:val="auto"/>
        </w:rPr>
      </w:pPr>
    </w:p>
    <w:p>
      <w:pPr>
        <w:ind w:right="120" w:firstLine="446"/>
        <w:spacing w:after="0" w:line="276" w:lineRule="auto"/>
        <w:rPr>
          <w:sz w:val="20"/>
          <w:szCs w:val="20"/>
          <w:color w:val="auto"/>
        </w:rPr>
      </w:pPr>
      <w:r>
        <w:rPr>
          <w:rFonts w:ascii="Arial" w:cs="Arial" w:eastAsia="Arial" w:hAnsi="Arial"/>
          <w:sz w:val="17"/>
          <w:szCs w:val="17"/>
          <w:color w:val="auto"/>
        </w:rPr>
        <w:t>Net cash provided by financing activities was $623,784 and $147,594 in six months ended June 30, 2015 and 2014, respectively, representing a $476,190 increase. Such increase was attributable to (i) the issuance of common shares net of issuance costs paid of $352,346, (ii) an increase in capital contributions from shareholders of $136,779 and (iii) an increase in capital contributions from non-controlling interests of $29,869. These increases in cash inflows were offset by (i) an increase in cash outflows for maintenance deposits, net of receipts of $2,686, (ii) an increase in debt repayment, net of proceeds from borrowings of $3,672 and (iii) an increase in capital distributions to shareholders of $36,507.</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73"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84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Six Months Ended June</w:t>
            </w:r>
          </w:p>
        </w:tc>
        <w:tc>
          <w:tcPr>
            <w:tcW w:w="140" w:type="dxa"/>
            <w:vAlign w:val="bottom"/>
          </w:tcPr>
          <w:p>
            <w:pPr>
              <w:spacing w:after="0"/>
              <w:rPr>
                <w:sz w:val="17"/>
                <w:szCs w:val="17"/>
                <w:color w:val="auto"/>
              </w:rPr>
            </w:pPr>
          </w:p>
        </w:tc>
        <w:tc>
          <w:tcPr>
            <w:tcW w:w="154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Six Months Ended</w:t>
            </w:r>
          </w:p>
        </w:tc>
      </w:tr>
      <w:tr>
        <w:trPr>
          <w:trHeight w:val="210"/>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499"/>
              <w:spacing w:after="0"/>
              <w:rPr>
                <w:sz w:val="20"/>
                <w:szCs w:val="20"/>
                <w:color w:val="auto"/>
              </w:rPr>
            </w:pPr>
            <w:r>
              <w:rPr>
                <w:rFonts w:ascii="Arial" w:cs="Arial" w:eastAsia="Arial" w:hAnsi="Arial"/>
                <w:sz w:val="16"/>
                <w:szCs w:val="16"/>
                <w:b w:val="1"/>
                <w:bCs w:val="1"/>
                <w:color w:val="auto"/>
              </w:rPr>
              <w:t>30, 2015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ind w:right="299"/>
              <w:spacing w:after="0"/>
              <w:rPr>
                <w:sz w:val="20"/>
                <w:szCs w:val="20"/>
                <w:color w:val="auto"/>
              </w:rPr>
            </w:pPr>
            <w:r>
              <w:rPr>
                <w:rFonts w:ascii="Arial" w:cs="Arial" w:eastAsia="Arial" w:hAnsi="Arial"/>
                <w:sz w:val="16"/>
                <w:szCs w:val="16"/>
                <w:b w:val="1"/>
                <w:bCs w:val="1"/>
                <w:color w:val="auto"/>
              </w:rPr>
              <w:t>June 30, 2014</w:t>
            </w:r>
          </w:p>
        </w:tc>
      </w:tr>
      <w:tr>
        <w:trPr>
          <w:trHeight w:val="33"/>
        </w:trPr>
        <w:tc>
          <w:tcPr>
            <w:tcW w:w="79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6,576</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Add: Principal Collections on Finance Leases</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6,142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5,665</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Proceeds from sale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14,360</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Add: Return of Capital Distributions from Unconsolidated Entities</w:t>
            </w:r>
          </w:p>
        </w:tc>
        <w:tc>
          <w:tcPr>
            <w:tcW w:w="34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2,403</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Required Payments on Debt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Less: Capital Distributions to Non-Controlling Interest</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33"/>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Exclude: Changes in Working Capital</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(976)</w:t>
            </w:r>
          </w:p>
        </w:tc>
      </w:tr>
      <w:tr>
        <w:trPr>
          <w:trHeight w:val="244"/>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Funds Available for Distribution (FAD)</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22,131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23,034</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w:t>
      </w:r>
    </w:p>
    <w:p>
      <w:pPr>
        <w:spacing w:after="0" w:line="121" w:lineRule="exact"/>
        <w:rPr>
          <w:sz w:val="20"/>
          <w:szCs w:val="20"/>
          <w:color w:val="auto"/>
        </w:rPr>
      </w:pPr>
    </w:p>
    <w:p>
      <w:pPr>
        <w:jc w:val="both"/>
        <w:ind w:right="60" w:firstLine="648"/>
        <w:spacing w:after="0" w:line="257" w:lineRule="auto"/>
        <w:rPr>
          <w:sz w:val="20"/>
          <w:szCs w:val="20"/>
          <w:color w:val="auto"/>
        </w:rPr>
      </w:pPr>
      <w:r>
        <w:rPr>
          <w:rFonts w:ascii="Arial" w:cs="Arial" w:eastAsia="Arial" w:hAnsi="Arial"/>
          <w:sz w:val="18"/>
          <w:szCs w:val="18"/>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when evaluating the Company’s ability to meet its stated dividend policy. Specifically:</w:t>
      </w:r>
    </w:p>
    <w:p>
      <w:pPr>
        <w:spacing w:after="0" w:line="80" w:lineRule="exact"/>
        <w:rPr>
          <w:sz w:val="20"/>
          <w:szCs w:val="20"/>
          <w:color w:val="auto"/>
        </w:rPr>
      </w:pPr>
    </w:p>
    <w:p>
      <w:pPr>
        <w:ind w:left="660" w:right="50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include equity capital raised, proceeds from any debt issuance or future equity offering, historical cash and cash equivalents and expected investments in the Company’s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give pro forma effect to prior acquisitions, certain of which cannot be quantified.</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While FAD reflects the cash inflows from sale of certain assets, FAD does not reflect the cash outflows to acquire assets as the Company relies on alternative sources of liquidity to fund such purchases.</w:t>
      </w:r>
    </w:p>
    <w:p>
      <w:pPr>
        <w:spacing w:after="0" w:line="62" w:lineRule="exact"/>
        <w:rPr>
          <w:rFonts w:ascii="Arial" w:cs="Arial" w:eastAsia="Arial" w:hAnsi="Arial"/>
          <w:sz w:val="18"/>
          <w:szCs w:val="18"/>
          <w:color w:val="auto"/>
        </w:rPr>
      </w:pPr>
    </w:p>
    <w:p>
      <w:pPr>
        <w:ind w:left="660" w:right="24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40"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Management has significant discretion to make distributions and the Company is not bound by any contractual provision that requires it to use cash for distributions.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If such factors were included in FAD, there can be no assurance that the results would be consistent with the Company’s presentation of FAD.</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ind w:right="60" w:firstLine="446"/>
        <w:spacing w:after="0" w:line="277" w:lineRule="auto"/>
        <w:rPr>
          <w:sz w:val="20"/>
          <w:szCs w:val="20"/>
          <w:color w:val="auto"/>
        </w:rPr>
      </w:pPr>
      <w:r>
        <w:rPr>
          <w:rFonts w:ascii="Arial" w:cs="Arial" w:eastAsia="Arial" w:hAnsi="Arial"/>
          <w:sz w:val="18"/>
          <w:szCs w:val="18"/>
          <w:color w:val="auto"/>
        </w:rPr>
        <w:t>There were no material changes in our debt agreements as disclosed in our Amendment No. 7 to our Registration Statement on Form S-1, filed with the Securities and Exchange Commission (“SEC”) on May 14,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31"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future obligations, by period due, as of June 30, 2015, under our various contractual obligations and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June 30, 2015.</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20" w:type="dxa"/>
            <w:vAlign w:val="bottom"/>
            <w:gridSpan w:val="8"/>
          </w:tcPr>
          <w:p>
            <w:pPr>
              <w:ind w:left="80"/>
              <w:spacing w:after="0"/>
              <w:rPr>
                <w:sz w:val="20"/>
                <w:szCs w:val="20"/>
                <w:color w:val="auto"/>
              </w:rPr>
            </w:pPr>
            <w:r>
              <w:rPr>
                <w:rFonts w:ascii="Arial" w:cs="Arial" w:eastAsia="Arial" w:hAnsi="Arial"/>
                <w:sz w:val="16"/>
                <w:szCs w:val="16"/>
                <w:b w:val="1"/>
                <w:bCs w:val="1"/>
                <w:color w:val="auto"/>
              </w:rPr>
              <w:t>Payments Due by Period (in thousands)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20"/>
                <w:szCs w:val="20"/>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4"/>
              </w:rPr>
              <w:t>Thereafter</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Container Loan #1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Container Loan #2</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17,947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6,609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7,371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 payable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FTAI Pride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70,313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3,125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48,438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CMQR Credit Agreement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Jefferson Terminal Credit Agreement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99,250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91,750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Jefferson Bonds Payable </w:t>
            </w:r>
            <w:r>
              <w:rPr>
                <w:rFonts w:ascii="Arial" w:cs="Arial" w:eastAsia="Arial" w:hAnsi="Arial"/>
                <w:sz w:val="21"/>
                <w:szCs w:val="21"/>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344,730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1,545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337,550</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w w:val="92"/>
              </w:rPr>
              <w:t>Total principal payments on loans and bonds payable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582,498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15,294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24,623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50,485</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103,463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50,511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338,122</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6"/>
                <w:szCs w:val="16"/>
                <w:color w:val="auto"/>
              </w:rPr>
              <w:t xml:space="preserve">Total estimated interest payments </w:t>
            </w:r>
            <w:r>
              <w:rPr>
                <w:rFonts w:ascii="Arial" w:cs="Arial" w:eastAsia="Arial" w:hAnsi="Arial"/>
                <w:sz w:val="21"/>
                <w:szCs w:val="21"/>
                <w:color w:val="auto"/>
                <w:vertAlign w:val="superscript"/>
              </w:rPr>
              <w:t>(2)</w:t>
            </w: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84,828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11,304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17,870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16,551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26,421</w:t>
            </w:r>
          </w:p>
        </w:tc>
        <w:tc>
          <w:tcPr>
            <w:tcW w:w="0" w:type="dxa"/>
            <w:vAlign w:val="bottom"/>
          </w:tcPr>
          <w:p>
            <w:pPr>
              <w:spacing w:after="0"/>
              <w:rPr>
                <w:sz w:val="1"/>
                <w:szCs w:val="1"/>
                <w:color w:val="auto"/>
              </w:rPr>
            </w:pPr>
          </w:p>
        </w:tc>
      </w:tr>
      <w:tr>
        <w:trPr>
          <w:trHeight w:val="324"/>
        </w:trPr>
        <w:tc>
          <w:tcPr>
            <w:tcW w:w="35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Operating lease obligations</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68,275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2,609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5,026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3,891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47,673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24"/>
        </w:trPr>
        <w:tc>
          <w:tcPr>
            <w:tcW w:w="35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735,677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29,215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72,077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115,038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59,559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412,224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00" w:hanging="192"/>
        <w:spacing w:after="0" w:line="208" w:lineRule="auto"/>
        <w:tabs>
          <w:tab w:leader="none" w:pos="20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Includes $298,000 of tendered bonds which do not convey principal or interest payments while held by the Company and excludes unamortized premium.</w:t>
      </w:r>
    </w:p>
    <w:p>
      <w:pPr>
        <w:spacing w:after="0" w:line="2" w:lineRule="exact"/>
        <w:rPr>
          <w:rFonts w:ascii="Arial" w:cs="Arial" w:eastAsia="Arial" w:hAnsi="Arial"/>
          <w:sz w:val="22"/>
          <w:szCs w:val="22"/>
          <w:color w:val="auto"/>
          <w:vertAlign w:val="superscript"/>
        </w:rPr>
      </w:pPr>
    </w:p>
    <w:p>
      <w:pPr>
        <w:ind w:left="440" w:right="260" w:hanging="432"/>
        <w:spacing w:after="0" w:line="262" w:lineRule="auto"/>
        <w:tabs>
          <w:tab w:leader="none" w:pos="186"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Estimated interest payments based on rates as of June 30, 2015; excludes interest payments on $298,000 of tendered bonds which do not convey interest while held by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There were no material changes in our critical accounting policies as disclosed in Amendment No. 7 to our Registration Statement on Form S-1, filed with the SEC on May 14,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see note 2 to our consolidated financial statements included elsewhere in this filing for recent accounting pronouncements.</w:t>
      </w:r>
    </w:p>
    <w:p>
      <w:pPr>
        <w:spacing w:after="0" w:line="3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Market risk represents the risk of changes in value of a financial instrument, caused by fluctuations in interest rates and foreign exchange rates.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these factors could cause fluctuations in our results of operations and cash flows. We are exposed to the market risks described below.</w:t>
      </w:r>
    </w:p>
    <w:p>
      <w:pPr>
        <w:spacing w:after="0" w:line="3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80" w:firstLine="446"/>
        <w:spacing w:after="0" w:line="259" w:lineRule="auto"/>
        <w:rPr>
          <w:sz w:val="20"/>
          <w:szCs w:val="20"/>
          <w:color w:val="auto"/>
        </w:rPr>
      </w:pPr>
      <w:r>
        <w:rPr>
          <w:rFonts w:ascii="Arial" w:cs="Arial" w:eastAsia="Arial" w:hAnsi="Arial"/>
          <w:sz w:val="18"/>
          <w:szCs w:val="18"/>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688" w:right="239" w:bottom="1440" w:gutter="0" w:footer="0" w:header="0"/>
        </w:sectPr>
      </w:pPr>
    </w:p>
    <w:bookmarkStart w:id="67" w:name="page68"/>
    <w:bookmarkEnd w:id="67"/>
    <w:p>
      <w:pPr>
        <w:ind w:firstLine="446"/>
        <w:spacing w:after="0" w:line="302"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46" w:lineRule="exact"/>
        <w:rPr>
          <w:sz w:val="20"/>
          <w:szCs w:val="20"/>
          <w:color w:val="auto"/>
        </w:rPr>
      </w:pPr>
    </w:p>
    <w:p>
      <w:pPr>
        <w:ind w:right="100" w:firstLine="446"/>
        <w:spacing w:after="0" w:line="271" w:lineRule="auto"/>
        <w:rPr>
          <w:sz w:val="20"/>
          <w:szCs w:val="20"/>
          <w:color w:val="auto"/>
        </w:rPr>
      </w:pPr>
      <w:r>
        <w:rPr>
          <w:rFonts w:ascii="Arial" w:cs="Arial" w:eastAsia="Arial" w:hAnsi="Arial"/>
          <w:sz w:val="17"/>
          <w:szCs w:val="17"/>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71" w:lineRule="exact"/>
        <w:rPr>
          <w:sz w:val="20"/>
          <w:szCs w:val="20"/>
          <w:color w:val="auto"/>
        </w:rPr>
      </w:pPr>
    </w:p>
    <w:p>
      <w:pPr>
        <w:ind w:right="40" w:firstLine="446"/>
        <w:spacing w:after="0" w:line="286" w:lineRule="auto"/>
        <w:rPr>
          <w:sz w:val="20"/>
          <w:szCs w:val="20"/>
          <w:color w:val="auto"/>
        </w:rPr>
      </w:pPr>
      <w:r>
        <w:rPr>
          <w:rFonts w:ascii="Arial" w:cs="Arial" w:eastAsia="Arial" w:hAnsi="Arial"/>
          <w:sz w:val="17"/>
          <w:szCs w:val="17"/>
          <w:color w:val="auto"/>
        </w:rPr>
        <w:t>As of June 30, 2015,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$2.3 million and $(2.3) million, respectively, over the next twelve months before the impact of interest rate derivatives.</w:t>
      </w:r>
    </w:p>
    <w:p>
      <w:pPr>
        <w:spacing w:after="0" w:line="5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Through the use of an interest rate swap, we have reduced our exposure to interest rate changes with respect to 70% of the outstanding principal balance of Container Loan #1. Through the use of an interest rate cap, we have reduced our exposure to interest rate changes with respect to 50% of the outstanding principal balance of that portion of Container Loan #2 attributable to equipment which is subject to direct finance leases having a five year term (representing a notional amount of approximately $2.5 million at June 30, 2015).</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446"/>
        <w:spacing w:after="0" w:line="255" w:lineRule="auto"/>
        <w:rPr>
          <w:sz w:val="20"/>
          <w:szCs w:val="20"/>
          <w:color w:val="auto"/>
        </w:rPr>
      </w:pPr>
      <w:r>
        <w:rPr>
          <w:rFonts w:ascii="Arial" w:cs="Arial" w:eastAsia="Arial" w:hAnsi="Arial"/>
          <w:sz w:val="18"/>
          <w:szCs w:val="18"/>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29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20" w:firstLine="446"/>
        <w:spacing w:after="0" w:line="273" w:lineRule="auto"/>
        <w:rPr>
          <w:sz w:val="20"/>
          <w:szCs w:val="20"/>
          <w:color w:val="auto"/>
        </w:rPr>
      </w:pPr>
      <w:r>
        <w:rPr>
          <w:rFonts w:ascii="Arial" w:cs="Arial" w:eastAsia="Arial" w:hAnsi="Arial"/>
          <w:sz w:val="17"/>
          <w:szCs w:val="17"/>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U.S. Securities Exchange Act of 1934 (the “Exchange Act”)). Based upon that evaluation, the Company’s Chief Executive Officer and Chief Financial Officer have concluded that these disclosure controls and procedures were effective as of and for the period covered by this report. 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283"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may be involved in litigation matters arising in the ordinary course of our business. Although we will be unable to predict with certainty the eventual outcome of any litigation, in the opinion of management, our legal proceedings are not expected to have a material adverse effect on our financial position or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76" w:right="239" w:bottom="1440" w:gutter="0" w:footer="0" w:header="0"/>
        </w:sectPr>
      </w:pPr>
    </w:p>
    <w:bookmarkStart w:id="68" w:name="page69"/>
    <w:bookmarkEnd w:id="68"/>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stock.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groups: risks related to our business, risks related to our Manager, risks related to taxation and risks related to our common shares. However, these categories do overlap and should not be considered exclusive.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16"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59"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Further, demand for our assets is related to passenger and cargo traffic growth, which in turn is dependent on general business and economic conditions. We cannot assure you that the recent global economic downturn will not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70" w:lineRule="exact"/>
        <w:rPr>
          <w:sz w:val="20"/>
          <w:szCs w:val="20"/>
          <w:color w:val="auto"/>
        </w:rPr>
      </w:pPr>
    </w:p>
    <w:p>
      <w:pPr>
        <w:ind w:right="280" w:firstLine="432"/>
        <w:spacing w:after="0" w:line="375" w:lineRule="auto"/>
        <w:rPr>
          <w:sz w:val="20"/>
          <w:szCs w:val="20"/>
          <w:color w:val="auto"/>
        </w:rPr>
      </w:pPr>
      <w:r>
        <w:rPr>
          <w:rFonts w:ascii="Arial" w:cs="Arial" w:eastAsia="Arial" w:hAnsi="Arial"/>
          <w:sz w:val="15"/>
          <w:szCs w:val="15"/>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 w:lineRule="exact"/>
        <w:rPr>
          <w:sz w:val="20"/>
          <w:szCs w:val="20"/>
          <w:color w:val="auto"/>
        </w:rPr>
      </w:pPr>
    </w:p>
    <w:p>
      <w:pPr>
        <w:jc w:val="both"/>
        <w:ind w:right="160" w:firstLine="432"/>
        <w:spacing w:after="0" w:line="286" w:lineRule="auto"/>
        <w:rPr>
          <w:sz w:val="20"/>
          <w:szCs w:val="20"/>
          <w:color w:val="auto"/>
        </w:rPr>
      </w:pPr>
      <w:r>
        <w:rPr>
          <w:rFonts w:ascii="Arial" w:cs="Arial" w:eastAsia="Arial" w:hAnsi="Arial"/>
          <w:sz w:val="17"/>
          <w:szCs w:val="17"/>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57" w:lineRule="exact"/>
        <w:rPr>
          <w:sz w:val="20"/>
          <w:szCs w:val="20"/>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demand for the type of assets that we purchase;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macroeconomic conditions, including market prices for commodities that our assets may serve;</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geopolitical events, including war, prolonged armed conflict and acts of terrorism;</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outbreaks of communicable diseases and natural disasters;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governmental regulation;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credit;</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restructurings and bankruptcies of companies in the industries in which we operate, including our customers;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manufacturer production levels and technological innovation;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manufacturers merging or exiting the industry or ceasing to produce certain asset types;</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retirement and obsolescence of the assets that we own;</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railroad infrastructure may be damaged, including by flooding and railroad derailments;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72" w:right="259" w:bottom="1440" w:gutter="0" w:footer="0" w:header="0"/>
        </w:sectPr>
      </w:pPr>
    </w:p>
    <w:bookmarkStart w:id="69" w:name="page70"/>
    <w:bookmarkEnd w:id="69"/>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in supply levels of assets in the market due to the sale or merging of operating lessors; and</w:t>
      </w:r>
    </w:p>
    <w:p>
      <w:pPr>
        <w:spacing w:after="0" w:line="117" w:lineRule="exact"/>
        <w:rPr>
          <w:rFonts w:ascii="Arial" w:cs="Arial" w:eastAsia="Arial" w:hAnsi="Arial"/>
          <w:sz w:val="18"/>
          <w:szCs w:val="18"/>
          <w:color w:val="auto"/>
        </w:rPr>
      </w:pPr>
    </w:p>
    <w:p>
      <w:pPr>
        <w:ind w:left="1060" w:hanging="647"/>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reintroduction of previously unused or dormant assets into the industries in which we operate.</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can be no assurance that any target returns will be achieved.</w:t>
      </w:r>
    </w:p>
    <w:p>
      <w:pPr>
        <w:spacing w:after="0" w:line="11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79"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71"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50"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62" w:lineRule="exact"/>
        <w:rPr>
          <w:sz w:val="20"/>
          <w:szCs w:val="20"/>
          <w:color w:val="auto"/>
        </w:rPr>
      </w:pPr>
    </w:p>
    <w:p>
      <w:pPr>
        <w:ind w:right="160" w:firstLine="432"/>
        <w:spacing w:after="0" w:line="290"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5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0" w:name="page71"/>
    <w:bookmarkEnd w:id="70"/>
    <w:p>
      <w:pPr>
        <w:ind w:right="440"/>
        <w:spacing w:after="0" w:line="264" w:lineRule="auto"/>
        <w:rPr>
          <w:sz w:val="20"/>
          <w:szCs w:val="20"/>
          <w:color w:val="auto"/>
        </w:rPr>
      </w:pPr>
      <w:r>
        <w:rPr>
          <w:rFonts w:ascii="Arial" w:cs="Arial" w:eastAsia="Arial" w:hAnsi="Arial"/>
          <w:sz w:val="18"/>
          <w:szCs w:val="18"/>
          <w:color w:val="auto"/>
        </w:rPr>
        <w:t>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62"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58"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73"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operate in highly competitive markets.</w:t>
      </w:r>
    </w:p>
    <w:p>
      <w:pPr>
        <w:spacing w:after="0" w:line="117" w:lineRule="exact"/>
        <w:rPr>
          <w:sz w:val="20"/>
          <w:szCs w:val="20"/>
          <w:color w:val="auto"/>
        </w:rPr>
      </w:pPr>
    </w:p>
    <w:p>
      <w:pPr>
        <w:ind w:right="100" w:firstLine="432"/>
        <w:spacing w:after="0" w:line="254" w:lineRule="auto"/>
        <w:rPr>
          <w:sz w:val="20"/>
          <w:szCs w:val="20"/>
          <w:color w:val="auto"/>
        </w:rPr>
      </w:pPr>
      <w:r>
        <w:rPr>
          <w:rFonts w:ascii="Arial" w:cs="Arial" w:eastAsia="Arial" w:hAnsi="Arial"/>
          <w:sz w:val="18"/>
          <w:szCs w:val="18"/>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other affiliates of Fortress.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84"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63"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62"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1" w:name="page72"/>
    <w:bookmarkEnd w:id="71"/>
    <w:p>
      <w:pPr>
        <w:ind w:right="180"/>
        <w:spacing w:after="0" w:line="264" w:lineRule="auto"/>
        <w:rPr>
          <w:sz w:val="20"/>
          <w:szCs w:val="20"/>
          <w:color w:val="auto"/>
        </w:rPr>
      </w:pPr>
      <w:r>
        <w:rPr>
          <w:rFonts w:ascii="Arial" w:cs="Arial" w:eastAsia="Arial" w:hAnsi="Arial"/>
          <w:sz w:val="18"/>
          <w:szCs w:val="18"/>
          <w:color w:val="auto"/>
        </w:rPr>
        <w:t>developed. As a result, the remedies available and the relative success and expedience of collection and enforcement proceedings with respect to the our owned assets in various jurisdictions cannot be predicted. To the extent more of our business shifts to areas outside of the United States and Europe, such as China, it may become more difficult and expensive to enforce our rights and recover our assets.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Certain liens may arise on our assets.</w:t>
      </w:r>
    </w:p>
    <w:p>
      <w:pPr>
        <w:spacing w:after="0" w:line="117"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two of our subsidiaries in connection with acquisitions of shipping containers.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values of the assets that we purchase may fluctuate due to various factors.</w:t>
      </w:r>
    </w:p>
    <w:p>
      <w:pPr>
        <w:spacing w:after="0" w:line="11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140"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are subject to the risks and costs of obsolescence of our assets.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76" w:right="239" w:bottom="1440" w:gutter="0" w:footer="0" w:header="0"/>
        </w:sectPr>
      </w:pPr>
    </w:p>
    <w:bookmarkStart w:id="72" w:name="page73"/>
    <w:bookmarkEnd w:id="72"/>
    <w:p>
      <w:pPr>
        <w:ind w:right="100" w:firstLine="432"/>
        <w:spacing w:after="0" w:line="375" w:lineRule="auto"/>
        <w:rPr>
          <w:sz w:val="20"/>
          <w:szCs w:val="20"/>
          <w:color w:val="auto"/>
        </w:rPr>
      </w:pPr>
      <w:r>
        <w:rPr>
          <w:rFonts w:ascii="Arial" w:cs="Arial" w:eastAsia="Arial" w:hAnsi="Arial"/>
          <w:sz w:val="15"/>
          <w:szCs w:val="15"/>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rail sector is subject to extensive laws, regulations and other requirements including, but not limited to, those relating to the environment, safety, employment, labor, immigration, minimum wages and overtime pay, health care and benefits, working conditions, public accessibility and other requirements. These laws and regulations are enforced by federal agencies including the Environmental Protection Agency, or EPA, the Department of Transportation, or DOT, the Occupational Safety and Health Act, or OSHA, the Federal Railroad Administration, or FRA, as well as numerous other state, local and federal agencies. Ongoing compliance with, or a violation of, these laws, regulations and other requirements could have a material adverse effect on our business, financial condition and results of operations.</w:t>
      </w:r>
    </w:p>
    <w:p>
      <w:pPr>
        <w:spacing w:after="0" w:line="8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In April 2015, we received a notice from Transport Canada that it is investigating a possible violation under the Railway Safety Act related to inspections of our operations conducted in March 2015. We believe we are in compliance with applicable requirements, and, while we cannot predict with certainty the outcome of the investigation, we do not believe it will have a material adverse effect on the Company. Violation of environmental or other laws, regulations and permits can result in the imposition of significant administrative, civil and criminal penalties, injunctions and construction bans or delays.</w:t>
      </w:r>
    </w:p>
    <w:p>
      <w:pPr>
        <w:spacing w:after="0" w:line="71"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Legislation passed by Congress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5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Under various federal, state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 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81" w:lineRule="exact"/>
        <w:rPr>
          <w:sz w:val="20"/>
          <w:szCs w:val="20"/>
          <w:color w:val="auto"/>
        </w:rPr>
      </w:pPr>
    </w:p>
    <w:p>
      <w:pPr>
        <w:ind w:right="200" w:firstLine="432"/>
        <w:spacing w:after="0" w:line="291"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5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62"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76" w:right="239" w:bottom="1440" w:gutter="0" w:footer="0" w:header="0"/>
        </w:sectPr>
      </w:pPr>
    </w:p>
    <w:bookmarkStart w:id="73" w:name="page74"/>
    <w:bookmarkEnd w:id="73"/>
    <w:p>
      <w:pPr>
        <w:ind w:firstLine="648"/>
        <w:spacing w:after="0" w:line="289"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(such as ethanol, crude oil and other flammable liquids). The new standard applies for all cars manufactured after October 1, 2015, and existing tank cars must be retrofitted within the next three to eight years. The operational controls applicable include reduced speed restrictions, and maximum lengths on trains carrying these materials. Retrofitting our tank cars will be required under these new standards. While we may be able to pass some of these costs on to our customers, there may be additional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5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8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62"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For example, the 2011 earthquake in Japan and the related nuclear reactor accidents have caused the disruption of cargo shipping lines by closing off certain ports and requiring additional precautionary and safety measures at other ports around the world.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assets generally require routine maintenance, and we may be exposed to unforeseen maintenance costs.</w:t>
      </w:r>
    </w:p>
    <w:p>
      <w:pPr>
        <w:spacing w:after="0" w:line="117"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7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62"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76" w:right="259" w:bottom="1440" w:gutter="0" w:footer="0" w:header="0"/>
        </w:sectPr>
      </w:pPr>
    </w:p>
    <w:bookmarkStart w:id="74" w:name="page75"/>
    <w:bookmarkEnd w:id="74"/>
    <w:p>
      <w:pPr>
        <w:ind w:right="80"/>
        <w:spacing w:after="0" w:line="264" w:lineRule="auto"/>
        <w:rPr>
          <w:sz w:val="20"/>
          <w:szCs w:val="20"/>
          <w:color w:val="auto"/>
        </w:rPr>
      </w:pPr>
      <w:r>
        <w:rPr>
          <w:rFonts w:ascii="Arial" w:cs="Arial" w:eastAsia="Arial" w:hAnsi="Arial"/>
          <w:sz w:val="18"/>
          <w:szCs w:val="18"/>
          <w:color w:val="auto"/>
        </w:rPr>
        <w:t>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73"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b w:val="1"/>
          <w:bCs w:val="1"/>
          <w:i w:val="1"/>
          <w:iCs w:val="1"/>
          <w:color w:val="auto"/>
        </w:rPr>
        <w:t>It is impossible to predict whether third parties will allege liability related to our purchase of the MM&amp;A assets out of bankruptcy, including possible claims related to the July 6, 2013 train derailment near Lac-Mégantic, Quebec.</w:t>
      </w:r>
    </w:p>
    <w:p>
      <w:pPr>
        <w:spacing w:after="0" w:line="62"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On July 6, 2013, prior to our ownership, a train carrying crude oil on the MM&amp;A line derailed near Lac-Mégantic, Quebec which resulted in fires that claimed the lives of 47 individuals (the “Incident”). Approximately 2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may arise in the future. No claims have been made or threatened against us as of June 30, 2015 and we do not anticipate any expenditures relating to environmental clean-up (including impacts to the Chaudière River) as a result of the Incident.</w:t>
      </w:r>
    </w:p>
    <w:p>
      <w:pPr>
        <w:spacing w:after="0" w:line="8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62"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85"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62"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six months)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6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Our Shipping Containers segment is affected by the lack of an international title registry for containers, which increases the risk of ownership disputes.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76" w:right="239" w:bottom="1440" w:gutter="0" w:footer="0" w:header="0"/>
        </w:sectPr>
      </w:pPr>
    </w:p>
    <w:bookmarkStart w:id="75" w:name="page76"/>
    <w:bookmarkEnd w:id="75"/>
    <w:p>
      <w:pPr>
        <w:ind w:firstLine="90"/>
        <w:spacing w:after="0" w:line="277" w:lineRule="auto"/>
        <w:rPr>
          <w:sz w:val="20"/>
          <w:szCs w:val="20"/>
          <w:color w:val="auto"/>
        </w:rPr>
      </w:pPr>
      <w:r>
        <w:rPr>
          <w:rFonts w:ascii="Arial" w:cs="Arial" w:eastAsia="Arial" w:hAnsi="Arial"/>
          <w:sz w:val="18"/>
          <w:szCs w:val="18"/>
          <w:b w:val="1"/>
          <w:bCs w:val="1"/>
          <w:i w:val="1"/>
          <w:iCs w:val="1"/>
          <w:color w:val="auto"/>
        </w:rPr>
        <w:t>Our international operations involve additional risks, which could adversely affect our business, prospects, financial condition, results of operations and cash flows.</w:t>
      </w:r>
    </w:p>
    <w:p>
      <w:pPr>
        <w:spacing w:after="0" w:line="6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and our customers operate in various regions throughout the world. As a result, we may, directly or indirectly, be exposed to political and other uncertainties, including risks of:</w:t>
      </w:r>
    </w:p>
    <w:p>
      <w:pPr>
        <w:spacing w:after="0" w:line="62" w:lineRule="exact"/>
        <w:rPr>
          <w:sz w:val="20"/>
          <w:szCs w:val="20"/>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terrorist acts, armed hostilities, war and civil disturbances;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acts of piracy;</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significant governmental influence over many aspects of local economies;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seizure, nationalization or expropriation of property or equipment;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repudiation, nullification, modification or renegotiation of contracts;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limitations on insurance coverage, such as war risk coverage, in certain areas;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foreign and U.S. monetary policy and foreign currency fluctuations and devaluations;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inability to repatriate income or capital;</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complications associated with repairing and replacing equipment in remote locations;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import-export quotas, wage and price controls, imposition of trade barriers;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U.S. and foreign sanctions or trade embargoes;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restrictions on the transfer of funds into or out of countries in which we operate;</w:t>
      </w:r>
    </w:p>
    <w:p>
      <w:pPr>
        <w:spacing w:after="0" w:line="117" w:lineRule="exact"/>
        <w:rPr>
          <w:rFonts w:ascii="Arial" w:cs="Arial" w:eastAsia="Arial" w:hAnsi="Arial"/>
          <w:sz w:val="18"/>
          <w:szCs w:val="18"/>
          <w:color w:val="auto"/>
        </w:rPr>
      </w:pPr>
    </w:p>
    <w:p>
      <w:pPr>
        <w:ind w:left="1300" w:hanging="887"/>
        <w:spacing w:after="0"/>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compliance with U.S. Treasury sanctions regulations restricting doing business with certain nations or specially designated nationals;</w:t>
      </w:r>
    </w:p>
    <w:p>
      <w:pPr>
        <w:spacing w:after="0" w:line="128" w:lineRule="exact"/>
        <w:rPr>
          <w:rFonts w:ascii="Arial" w:cs="Arial" w:eastAsia="Arial" w:hAnsi="Arial"/>
          <w:sz w:val="17"/>
          <w:szCs w:val="17"/>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regulatory or financial requirements to comply with foreign bureaucratic actions;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compliance with applicable anti-corruption laws and regulations;</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changing taxation policies, including confiscatory taxation;</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other forms of government regulation and economic conditions that are beyond our control; and</w:t>
      </w:r>
    </w:p>
    <w:p>
      <w:pPr>
        <w:spacing w:after="0" w:line="117" w:lineRule="exact"/>
        <w:rPr>
          <w:rFonts w:ascii="Arial" w:cs="Arial" w:eastAsia="Arial" w:hAnsi="Arial"/>
          <w:sz w:val="18"/>
          <w:szCs w:val="18"/>
          <w:color w:val="auto"/>
        </w:rPr>
      </w:pPr>
    </w:p>
    <w:p>
      <w:pPr>
        <w:ind w:left="1060" w:hanging="620"/>
        <w:spacing w:after="0"/>
        <w:tabs>
          <w:tab w:leader="none" w:pos="10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governmental corruption.</w:t>
      </w:r>
    </w:p>
    <w:p>
      <w:pPr>
        <w:spacing w:after="0" w:line="11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Any of these or other risks could adversely impact our customers’ international operations which could materially adversely impact our operating results and growth opportunities.</w:t>
      </w:r>
    </w:p>
    <w:p>
      <w:pPr>
        <w:spacing w:after="0" w:line="62" w:lineRule="exact"/>
        <w:rPr>
          <w:sz w:val="20"/>
          <w:szCs w:val="20"/>
          <w:color w:val="auto"/>
        </w:rPr>
      </w:pPr>
    </w:p>
    <w:p>
      <w:pPr>
        <w:ind w:right="520" w:firstLine="432"/>
        <w:spacing w:after="0" w:line="342"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6"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70"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76" w:right="279" w:bottom="1440" w:gutter="0" w:footer="0" w:header="0"/>
        </w:sectPr>
      </w:pPr>
    </w:p>
    <w:bookmarkStart w:id="76" w:name="page77"/>
    <w:bookmarkEnd w:id="76"/>
    <w:p>
      <w:pPr>
        <w:ind w:right="40"/>
        <w:spacing w:after="0" w:line="259" w:lineRule="auto"/>
        <w:rPr>
          <w:sz w:val="20"/>
          <w:szCs w:val="20"/>
          <w:color w:val="auto"/>
        </w:rPr>
      </w:pPr>
      <w:r>
        <w:rPr>
          <w:rFonts w:ascii="Arial" w:cs="Arial" w:eastAsia="Arial" w:hAnsi="Arial"/>
          <w:sz w:val="18"/>
          <w:szCs w:val="18"/>
          <w:color w:val="auto"/>
        </w:rPr>
        <w:t>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7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As we have and may continue to acquire assets located in emerging markets throughout the world, we may be exposed to any one or a combination of these risks, which could adversely affect our operating results.</w:t>
      </w:r>
    </w:p>
    <w:p>
      <w:pPr>
        <w:spacing w:after="0" w:line="6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6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61"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39"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79" w:lineRule="exact"/>
        <w:rPr>
          <w:sz w:val="20"/>
          <w:szCs w:val="20"/>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competition from market participants;</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and/or industry trends, including pricing for the products or services offered by our operating businesses;</w:t>
      </w:r>
    </w:p>
    <w:p>
      <w:pPr>
        <w:spacing w:after="0" w:line="171" w:lineRule="exact"/>
        <w:rPr>
          <w:rFonts w:ascii="Arial" w:cs="Arial" w:eastAsia="Arial" w:hAnsi="Arial"/>
          <w:sz w:val="18"/>
          <w:szCs w:val="18"/>
          <w:color w:val="auto"/>
        </w:rPr>
      </w:pPr>
    </w:p>
    <w:p>
      <w:pPr>
        <w:ind w:left="880" w:right="6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and/or continued availability of necessary permits, licenses, approvals and agreements from governmental agencies and third parties as are required to construct and operate such businesses;</w:t>
      </w:r>
    </w:p>
    <w:p>
      <w:pPr>
        <w:spacing w:after="0" w:line="116"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or deficiencies in the design or construction of development projects;</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unforeseen engineering, environmental or geological problems;</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increases in construction and operating costs due to changes in the cost and availability of fuel, power, materials and supplies;</w:t>
      </w:r>
    </w:p>
    <w:p>
      <w:pPr>
        <w:spacing w:after="0" w:line="182" w:lineRule="exact"/>
        <w:rPr>
          <w:rFonts w:ascii="Arial" w:cs="Arial" w:eastAsia="Arial" w:hAnsi="Arial"/>
          <w:sz w:val="17"/>
          <w:szCs w:val="17"/>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and cost of skilled labor and equipment;</w:t>
      </w:r>
    </w:p>
    <w:p>
      <w:pPr>
        <w:spacing w:after="0" w:line="171" w:lineRule="exact"/>
        <w:rPr>
          <w:rFonts w:ascii="Arial" w:cs="Arial" w:eastAsia="Arial" w:hAnsi="Arial"/>
          <w:sz w:val="18"/>
          <w:szCs w:val="18"/>
          <w:color w:val="auto"/>
        </w:rPr>
      </w:pPr>
    </w:p>
    <w:p>
      <w:pPr>
        <w:ind w:left="880" w:right="180" w:hanging="359"/>
        <w:spacing w:after="0" w:line="264"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27" w:lineRule="exact"/>
        <w:rPr>
          <w:rFonts w:ascii="Arial" w:cs="Arial" w:eastAsia="Arial" w:hAnsi="Arial"/>
          <w:sz w:val="18"/>
          <w:szCs w:val="18"/>
          <w:color w:val="auto"/>
        </w:rPr>
      </w:pPr>
    </w:p>
    <w:p>
      <w:pPr>
        <w:ind w:left="880" w:hanging="359"/>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liability for injury or casualty losses which are not covered by insurance;</w:t>
      </w:r>
    </w:p>
    <w:p>
      <w:pPr>
        <w:spacing w:after="0" w:line="171" w:lineRule="exact"/>
        <w:rPr>
          <w:rFonts w:ascii="Arial" w:cs="Arial" w:eastAsia="Arial" w:hAnsi="Arial"/>
          <w:sz w:val="18"/>
          <w:szCs w:val="18"/>
          <w:color w:val="auto"/>
        </w:rPr>
      </w:pPr>
    </w:p>
    <w:p>
      <w:pPr>
        <w:ind w:left="880" w:right="20" w:hanging="359"/>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potential opposition from non-governmental organizations, environmental groups, local or other groups which may delay or prevent development activities;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76" w:right="279" w:bottom="1440" w:gutter="0" w:footer="0" w:header="0"/>
        </w:sectPr>
      </w:pPr>
    </w:p>
    <w:bookmarkStart w:id="77" w:name="page78"/>
    <w:bookmarkEnd w:id="77"/>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local and economic conditions;</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legal requirements; and</w:t>
      </w:r>
    </w:p>
    <w:p>
      <w:pPr>
        <w:spacing w:after="0" w:line="171" w:lineRule="exact"/>
        <w:rPr>
          <w:rFonts w:ascii="Arial" w:cs="Arial" w:eastAsia="Arial" w:hAnsi="Arial"/>
          <w:sz w:val="18"/>
          <w:szCs w:val="18"/>
          <w:color w:val="auto"/>
        </w:rPr>
      </w:pPr>
    </w:p>
    <w:p>
      <w:pPr>
        <w:ind w:left="880" w:hanging="359"/>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force majeure events, including catastrophes and adverse weather conditions.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these factors could materially affect our business, financial condition, liquidity and results of operations.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Terrorist attacks could negatively impact our operations and our profitability and may expose us to liability and reputational damage.</w:t>
      </w:r>
    </w:p>
    <w:p>
      <w:pPr>
        <w:spacing w:after="0" w:line="129"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58"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Because we are a recently formed company with a limited operating history, our historical financial and operating data may not be representative of our future results.</w:t>
      </w:r>
    </w:p>
    <w:p>
      <w:pPr>
        <w:spacing w:after="0" w:line="62"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Future changes in accounting rules could significantly impact how both we and our customers account for our leases.</w:t>
      </w:r>
    </w:p>
    <w:p>
      <w:pPr>
        <w:spacing w:after="0" w:line="117"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Our consolidated financial statements are prepared in accordance with GAAP. In May 2013, the Financial Accounting Standards Board (“FASB”) issued a revised exposure draft, “Leases” (the “Lease ED”), which would replace the existing guidance in the Accounting Standards Codification 840 (“ASC 840”), Leases. Pursuant to the Lease ED, leases would be classified as either leases of property or leases of assets other than property. Leases of property will continue to use operating lease accounting. Leases of assets other than property would use the receivable residual approach. Under the receivable residual approach, a lease receivable would be recognized for the lessor’s right to receive lease payments, a portion of the carrying amount of the underlying asset would be allocated between the right of use granted to the lessee and the lessor’s residual value and profit or loss would only be recognized at commencement if it is reasonably assured. It is anticipated that the final standard would have an effective date no earlier than 2017. When and if the proposed guidance becomes effective, it may have a significant impact on our consolidated financial statements.</w:t>
      </w:r>
    </w:p>
    <w:p>
      <w:pPr>
        <w:spacing w:after="0" w:line="71" w:lineRule="exact"/>
        <w:rPr>
          <w:sz w:val="20"/>
          <w:szCs w:val="20"/>
          <w:color w:val="auto"/>
        </w:rPr>
      </w:pPr>
    </w:p>
    <w:p>
      <w:pPr>
        <w:ind w:right="400" w:firstLine="432"/>
        <w:spacing w:after="0" w:line="342"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6"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inability to obtain sufficient capital would constrain our ability to grow our portfolio and to increase our revenues.</w:t>
      </w:r>
    </w:p>
    <w:p>
      <w:pPr>
        <w:spacing w:after="0" w:line="117"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76" w:right="239" w:bottom="1440" w:gutter="0" w:footer="0" w:header="0"/>
        </w:sectPr>
      </w:pPr>
    </w:p>
    <w:bookmarkStart w:id="78" w:name="page79"/>
    <w:bookmarkEnd w:id="78"/>
    <w:p>
      <w:pPr>
        <w:ind w:right="640"/>
        <w:spacing w:after="0" w:line="277" w:lineRule="auto"/>
        <w:rPr>
          <w:sz w:val="20"/>
          <w:szCs w:val="20"/>
          <w:color w:val="auto"/>
        </w:rPr>
      </w:pPr>
      <w:r>
        <w:rPr>
          <w:rFonts w:ascii="Arial" w:cs="Arial" w:eastAsia="Arial" w:hAnsi="Arial"/>
          <w:sz w:val="18"/>
          <w:szCs w:val="18"/>
          <w:color w:val="auto"/>
        </w:rPr>
        <w:t>value of such assets. If the appraised value of such assets declines, we may be required to reduce the principal outstanding under our debt facilities or otherwise be unable to incur new borrowings.</w:t>
      </w:r>
    </w:p>
    <w:p>
      <w:pPr>
        <w:spacing w:after="0" w:line="6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62" w:lineRule="exact"/>
        <w:rPr>
          <w:sz w:val="20"/>
          <w:szCs w:val="20"/>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meet the terms and maturities of our existing and future debt facilities;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purchase new assets or refinance existing assets;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fund our working capital needs and maintain adequate liquidity; and</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finance other growth initiatives.</w:t>
      </w:r>
    </w:p>
    <w:p>
      <w:pPr>
        <w:spacing w:after="0" w:line="171"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of 1940, it could have a material adverse effect on our business, prospects, financial condition, results of operations and cash flows.”</w:t>
      </w:r>
    </w:p>
    <w:p>
      <w:pPr>
        <w:spacing w:after="0" w:line="79"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62"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61"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If we are deemed an “investment company” under the Investment Company Act of 1940, it could have a material adverse effect on our business, prospects, financial condition, results of operations and cash flows.</w:t>
      </w:r>
    </w:p>
    <w:p>
      <w:pPr>
        <w:spacing w:after="0" w:line="62" w:lineRule="exact"/>
        <w:rPr>
          <w:sz w:val="20"/>
          <w:szCs w:val="20"/>
          <w:color w:val="auto"/>
        </w:rPr>
      </w:pPr>
    </w:p>
    <w:p>
      <w:pPr>
        <w:ind w:firstLine="432"/>
        <w:spacing w:after="0" w:line="253" w:lineRule="auto"/>
        <w:rPr>
          <w:sz w:val="20"/>
          <w:szCs w:val="20"/>
          <w:color w:val="auto"/>
        </w:rPr>
      </w:pPr>
      <w:r>
        <w:rPr>
          <w:rFonts w:ascii="Arial" w:cs="Arial" w:eastAsia="Arial" w:hAnsi="Arial"/>
          <w:sz w:val="18"/>
          <w:szCs w:val="18"/>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8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8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If we or any of our subsidiaries were required to register as an investment company under the Investment Company Act, the registered entity would become subject to substantial regulation that would significantly change our operations, and we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76" w:right="259" w:bottom="1440" w:gutter="0" w:footer="0" w:header="0"/>
        </w:sectPr>
      </w:pPr>
    </w:p>
    <w:bookmarkStart w:id="79" w:name="page80"/>
    <w:bookmarkEnd w:id="79"/>
    <w:p>
      <w:pPr>
        <w:ind w:right="280"/>
        <w:spacing w:after="0" w:line="342" w:lineRule="auto"/>
        <w:rPr>
          <w:sz w:val="20"/>
          <w:szCs w:val="20"/>
          <w:color w:val="auto"/>
        </w:rPr>
      </w:pPr>
      <w:r>
        <w:rPr>
          <w:rFonts w:ascii="Arial" w:cs="Arial" w:eastAsia="Arial" w:hAnsi="Arial"/>
          <w:sz w:val="16"/>
          <w:szCs w:val="16"/>
          <w:color w:val="auto"/>
        </w:rPr>
        <w:t>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Manager</w:t>
      </w:r>
    </w:p>
    <w:p>
      <w:pPr>
        <w:spacing w:after="0" w:line="121"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62" w:lineRule="exact"/>
        <w:rPr>
          <w:sz w:val="20"/>
          <w:szCs w:val="20"/>
          <w:color w:val="auto"/>
        </w:rPr>
      </w:pPr>
    </w:p>
    <w:p>
      <w:pPr>
        <w:ind w:right="260" w:firstLine="432"/>
        <w:spacing w:after="0" w:line="290" w:lineRule="auto"/>
        <w:rPr>
          <w:sz w:val="20"/>
          <w:szCs w:val="20"/>
          <w:color w:val="auto"/>
        </w:rPr>
      </w:pPr>
      <w:r>
        <w:rPr>
          <w:rFonts w:ascii="Arial" w:cs="Arial" w:eastAsia="Arial" w:hAnsi="Arial"/>
          <w:sz w:val="16"/>
          <w:szCs w:val="16"/>
          <w:color w:val="auto"/>
        </w:rPr>
        <w:t>Our officers and other individuals who perform services for us are employees of our Manager.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that are key to us. An inability to find a suitable replacement for any departing employee of our Manager or Fortress on a timely basis could materially adversely affect our ability to operate and grow our business.</w:t>
      </w:r>
    </w:p>
    <w:p>
      <w:pPr>
        <w:spacing w:after="0" w:line="58"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w:t>
      </w:r>
    </w:p>
    <w:p>
      <w:pPr>
        <w:spacing w:after="0" w:line="11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Our Management Agreement, the Partnership Agreement and our operating agreement were not negotiated among affiliated parties, and their terms, including fees payable, may not be as favorable to us as if they had been negotiated with an unaffiliated third-party.</w:t>
      </w:r>
    </w:p>
    <w:p>
      <w:pPr>
        <w:spacing w:after="0" w:line="6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Trac Intermodal and Florida East Coast Railway, L.L.C. Although we have the same Manager, we may compete with entities affiliated with our Manager or Fortress, including Seacastle Ships Holdings Inc., Trac Intermodal and Florida East Coast Railway, L.L.C.,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$69.9 billion of assets under management as of March 31, 2015.</w:t>
      </w:r>
    </w:p>
    <w:p>
      <w:pPr>
        <w:spacing w:after="0" w:line="67" w:lineRule="exact"/>
        <w:rPr>
          <w:sz w:val="20"/>
          <w:szCs w:val="20"/>
          <w:color w:val="auto"/>
        </w:rPr>
      </w:pPr>
    </w:p>
    <w:p>
      <w:pPr>
        <w:ind w:right="20" w:firstLine="225"/>
        <w:spacing w:after="0" w:line="254" w:lineRule="auto"/>
        <w:rPr>
          <w:sz w:val="20"/>
          <w:szCs w:val="20"/>
          <w:color w:val="auto"/>
        </w:rPr>
      </w:pPr>
      <w:r>
        <w:rPr>
          <w:rFonts w:ascii="Arial" w:cs="Arial" w:eastAsia="Arial" w:hAnsi="Arial"/>
          <w:sz w:val="18"/>
          <w:szCs w:val="18"/>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76" w:right="239" w:bottom="1440" w:gutter="0" w:footer="0" w:header="0"/>
        </w:sectPr>
      </w:pPr>
    </w:p>
    <w:bookmarkStart w:id="80" w:name="page81"/>
    <w:bookmarkEnd w:id="80"/>
    <w:p>
      <w:pPr>
        <w:ind w:right="60"/>
        <w:spacing w:after="0" w:line="264" w:lineRule="auto"/>
        <w:rPr>
          <w:sz w:val="20"/>
          <w:szCs w:val="20"/>
          <w:color w:val="auto"/>
        </w:rPr>
      </w:pPr>
      <w:r>
        <w:rPr>
          <w:rFonts w:ascii="Arial" w:cs="Arial" w:eastAsia="Arial" w:hAnsi="Arial"/>
          <w:sz w:val="18"/>
          <w:szCs w:val="18"/>
          <w:color w:val="auto"/>
        </w:rPr>
        <w:t>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73"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It is possible that actual, potential or perceived conflicts could give rise to investor dissatisfaction, litigation or regulatory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61" w:lineRule="exact"/>
        <w:rPr>
          <w:sz w:val="20"/>
          <w:szCs w:val="20"/>
          <w:color w:val="auto"/>
        </w:rPr>
      </w:pPr>
    </w:p>
    <w:p>
      <w:pPr>
        <w:ind w:right="60" w:firstLine="432"/>
        <w:spacing w:after="0" w:line="291"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59"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b w:val="1"/>
          <w:bCs w:val="1"/>
          <w:i w:val="1"/>
          <w:iCs w:val="1"/>
          <w:color w:val="auto"/>
        </w:rPr>
        <w:t>Our directors have approved a broad asset acquisition strategy for our Manager and do not approve each acquisition made by our Manager. In addition, we may change our strategy without a shareholder vote, which may result in our acquiring assets that are different, riskier or less profitable than our current assets.</w:t>
      </w:r>
    </w:p>
    <w:p>
      <w:pPr>
        <w:spacing w:after="0" w:line="73" w:lineRule="exact"/>
        <w:rPr>
          <w:sz w:val="20"/>
          <w:szCs w:val="20"/>
          <w:color w:val="auto"/>
        </w:rPr>
      </w:pPr>
    </w:p>
    <w:p>
      <w:pPr>
        <w:ind w:right="120" w:firstLine="432"/>
        <w:spacing w:after="0" w:line="289"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59" w:lineRule="exact"/>
        <w:rPr>
          <w:sz w:val="20"/>
          <w:szCs w:val="20"/>
          <w:color w:val="auto"/>
        </w:rPr>
      </w:pPr>
    </w:p>
    <w:p>
      <w:pPr>
        <w:ind w:right="20" w:firstLine="432"/>
        <w:spacing w:after="0" w:line="253" w:lineRule="auto"/>
        <w:rPr>
          <w:sz w:val="20"/>
          <w:szCs w:val="20"/>
          <w:color w:val="auto"/>
        </w:rPr>
      </w:pPr>
      <w:r>
        <w:rPr>
          <w:rFonts w:ascii="Arial" w:cs="Arial" w:eastAsia="Arial" w:hAnsi="Arial"/>
          <w:sz w:val="18"/>
          <w:szCs w:val="18"/>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76" w:right="259" w:bottom="1440" w:gutter="0" w:footer="0" w:header="0"/>
        </w:sectPr>
      </w:pPr>
    </w:p>
    <w:bookmarkStart w:id="81" w:name="page82"/>
    <w:bookmarkEnd w:id="81"/>
    <w:p>
      <w:pPr>
        <w:ind w:right="40" w:firstLine="432"/>
        <w:spacing w:after="0" w:line="277" w:lineRule="auto"/>
        <w:rPr>
          <w:sz w:val="20"/>
          <w:szCs w:val="20"/>
          <w:color w:val="auto"/>
        </w:rPr>
      </w:pPr>
      <w:r>
        <w:rPr>
          <w:rFonts w:ascii="Arial" w:cs="Arial" w:eastAsia="Arial" w:hAnsi="Arial"/>
          <w:sz w:val="18"/>
          <w:szCs w:val="18"/>
          <w:b w:val="1"/>
          <w:bCs w:val="1"/>
          <w:i w:val="1"/>
          <w:iCs w:val="1"/>
          <w:color w:val="auto"/>
        </w:rPr>
        <w:t>Our Manager will not be liable to us for any acts or omissions performed in accordance with the Management Agreement, including with respect to the performance of our assets.</w:t>
      </w:r>
    </w:p>
    <w:p>
      <w:pPr>
        <w:spacing w:after="0" w:line="6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and employees will not be liable to us or any of our subsidiaries, to our board of directors, or our or any subsidiary’s shareholders or partners for any acts or omissions by our Manager, its members, managers, officers or employees,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6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6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Taxation</w:t>
      </w:r>
    </w:p>
    <w:p>
      <w:pPr>
        <w:spacing w:after="0" w:line="12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Shareholders may be subject to U.S. federal income tax on their share of our taxable income, regardless of whether they receive any cash dividends from us.</w:t>
      </w:r>
    </w:p>
    <w:p>
      <w:pPr>
        <w:spacing w:after="0" w:line="62"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7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 gain or loss on a sale or other disposition of our common shares could be more or less than expected.</w:t>
      </w:r>
    </w:p>
    <w:p>
      <w:pPr>
        <w:spacing w:after="0" w:line="117"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76" w:right="239" w:bottom="1440" w:gutter="0" w:footer="0" w:header="0"/>
        </w:sectPr>
      </w:pPr>
    </w:p>
    <w:bookmarkStart w:id="82" w:name="page83"/>
    <w:bookmarkEnd w:id="82"/>
    <w:p>
      <w:pPr>
        <w:ind w:right="20"/>
        <w:spacing w:after="0" w:line="277" w:lineRule="auto"/>
        <w:rPr>
          <w:sz w:val="20"/>
          <w:szCs w:val="20"/>
          <w:color w:val="auto"/>
        </w:rPr>
      </w:pPr>
      <w:r>
        <w:rPr>
          <w:rFonts w:ascii="Arial" w:cs="Arial" w:eastAsia="Arial" w:hAnsi="Arial"/>
          <w:sz w:val="18"/>
          <w:szCs w:val="18"/>
          <w:color w:val="auto"/>
        </w:rPr>
        <w:t>price is less than their original cost to such shareholder. A portion of the amount realized, whether or not representing gain, may be treated as ordinary income to such shareholder.</w:t>
      </w:r>
    </w:p>
    <w:p>
      <w:pPr>
        <w:spacing w:after="0" w:line="62" w:lineRule="exact"/>
        <w:rPr>
          <w:sz w:val="20"/>
          <w:szCs w:val="20"/>
          <w:color w:val="auto"/>
        </w:rPr>
      </w:pPr>
    </w:p>
    <w:p>
      <w:pPr>
        <w:ind w:right="920" w:firstLine="432"/>
        <w:spacing w:after="0" w:line="342"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6"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73"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If we are treated as a corporation for U.S. federal income tax purposes, the value of the shares could be adversely affected.</w:t>
      </w:r>
    </w:p>
    <w:p>
      <w:pPr>
        <w:spacing w:after="0" w:line="117"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7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6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6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6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76" w:right="239" w:bottom="1440" w:gutter="0" w:footer="0" w:header="0"/>
        </w:sectPr>
      </w:pPr>
    </w:p>
    <w:bookmarkStart w:id="83" w:name="page84"/>
    <w:bookmarkEnd w:id="83"/>
    <w:p>
      <w:pPr>
        <w:ind w:right="40"/>
        <w:spacing w:after="0" w:line="259" w:lineRule="auto"/>
        <w:rPr>
          <w:sz w:val="20"/>
          <w:szCs w:val="20"/>
          <w:color w:val="auto"/>
        </w:rPr>
      </w:pPr>
      <w:r>
        <w:rPr>
          <w:rFonts w:ascii="Arial" w:cs="Arial" w:eastAsia="Arial" w:hAnsi="Arial"/>
          <w:sz w:val="18"/>
          <w:szCs w:val="18"/>
          <w:color w:val="auto"/>
        </w:rPr>
        <w:t>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79"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38" w:lineRule="exact"/>
        <w:rPr>
          <w:sz w:val="20"/>
          <w:szCs w:val="20"/>
          <w:color w:val="auto"/>
        </w:rPr>
      </w:pPr>
    </w:p>
    <w:p>
      <w:pPr>
        <w:jc w:val="both"/>
        <w:ind w:right="140" w:firstLine="432"/>
        <w:spacing w:after="0" w:line="259" w:lineRule="auto"/>
        <w:rPr>
          <w:sz w:val="20"/>
          <w:szCs w:val="20"/>
          <w:color w:val="auto"/>
        </w:rPr>
      </w:pPr>
      <w:r>
        <w:rPr>
          <w:rFonts w:ascii="Arial" w:cs="Arial" w:eastAsia="Arial" w:hAnsi="Arial"/>
          <w:sz w:val="18"/>
          <w:szCs w:val="18"/>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Tax-exempt shareholders may face certain adverse U.S. tax consequences from owning our common shares.</w:t>
      </w:r>
    </w:p>
    <w:p>
      <w:pPr>
        <w:spacing w:after="0" w:line="117" w:lineRule="exact"/>
        <w:rPr>
          <w:sz w:val="20"/>
          <w:szCs w:val="20"/>
          <w:color w:val="auto"/>
        </w:rPr>
      </w:pPr>
    </w:p>
    <w:p>
      <w:pPr>
        <w:ind w:right="140" w:firstLine="432"/>
        <w:spacing w:after="0" w:line="289"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hold or acquire certain investments through an entity classified as a PFIC or CFC for U.S. federal income tax purposes.</w:t>
      </w:r>
    </w:p>
    <w:p>
      <w:pPr>
        <w:spacing w:after="0" w:line="117"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73"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4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14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76" w:right="239" w:bottom="1440" w:gutter="0" w:footer="0" w:header="0"/>
        </w:sectPr>
      </w:pPr>
    </w:p>
    <w:bookmarkStart w:id="84" w:name="page85"/>
    <w:bookmarkEnd w:id="84"/>
    <w:p>
      <w:pPr>
        <w:spacing w:after="0" w:line="342" w:lineRule="auto"/>
        <w:rPr>
          <w:sz w:val="20"/>
          <w:szCs w:val="20"/>
          <w:color w:val="auto"/>
        </w:rPr>
      </w:pPr>
      <w:r>
        <w:rPr>
          <w:rFonts w:ascii="Arial" w:cs="Arial" w:eastAsia="Arial" w:hAnsi="Arial"/>
          <w:sz w:val="16"/>
          <w:szCs w:val="16"/>
          <w:color w:val="auto"/>
        </w:rPr>
        <w:t>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16" w:lineRule="exact"/>
        <w:rPr>
          <w:sz w:val="20"/>
          <w:szCs w:val="20"/>
          <w:color w:val="auto"/>
        </w:rPr>
      </w:pPr>
    </w:p>
    <w:p>
      <w:pPr>
        <w:ind w:right="40" w:firstLine="432"/>
        <w:spacing w:after="0" w:line="34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6"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84"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58"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6" w:lineRule="exact"/>
        <w:rPr>
          <w:sz w:val="20"/>
          <w:szCs w:val="20"/>
          <w:color w:val="auto"/>
        </w:rPr>
      </w:pPr>
    </w:p>
    <w:p>
      <w:pPr>
        <w:ind w:right="80" w:firstLine="432"/>
        <w:spacing w:after="0" w:line="291"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59" w:lineRule="exact"/>
        <w:rPr>
          <w:sz w:val="20"/>
          <w:szCs w:val="20"/>
          <w:color w:val="auto"/>
        </w:rPr>
      </w:pPr>
    </w:p>
    <w:p>
      <w:pPr>
        <w:ind w:right="260" w:firstLine="432"/>
        <w:spacing w:after="0" w:line="375" w:lineRule="auto"/>
        <w:rPr>
          <w:sz w:val="20"/>
          <w:szCs w:val="20"/>
          <w:color w:val="auto"/>
        </w:rPr>
      </w:pPr>
      <w:r>
        <w:rPr>
          <w:rFonts w:ascii="Arial" w:cs="Arial" w:eastAsia="Arial" w:hAnsi="Arial"/>
          <w:sz w:val="15"/>
          <w:szCs w:val="15"/>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46"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76" w:right="259" w:bottom="1440" w:gutter="0" w:footer="0" w:header="0"/>
        </w:sectPr>
      </w:pPr>
    </w:p>
    <w:bookmarkStart w:id="85" w:name="page86"/>
    <w:bookmarkEnd w:id="85"/>
    <w:p>
      <w:pPr>
        <w:ind w:right="260" w:firstLine="432"/>
        <w:spacing w:after="0" w:line="277" w:lineRule="auto"/>
        <w:rPr>
          <w:sz w:val="20"/>
          <w:szCs w:val="20"/>
          <w:color w:val="auto"/>
        </w:rPr>
      </w:pPr>
      <w:r>
        <w:rPr>
          <w:rFonts w:ascii="Arial" w:cs="Arial" w:eastAsia="Arial" w:hAnsi="Arial"/>
          <w:sz w:val="18"/>
          <w:szCs w:val="18"/>
          <w:b w:val="1"/>
          <w:bCs w:val="1"/>
          <w:i w:val="1"/>
          <w:iCs w:val="1"/>
          <w:color w:val="auto"/>
        </w:rPr>
        <w:t>The sale or exchange of 50% or more of our common shares within a 12-month period will result in our termination for U.S. federal income tax purposes.</w:t>
      </w:r>
    </w:p>
    <w:p>
      <w:pPr>
        <w:spacing w:after="0" w:line="6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Common Shares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There can be no assurance that the market for our shares will provide you with adequate liquidity.</w:t>
      </w:r>
    </w:p>
    <w:p>
      <w:pPr>
        <w:spacing w:after="0" w:line="117" w:lineRule="exact"/>
        <w:rPr>
          <w:sz w:val="20"/>
          <w:szCs w:val="20"/>
          <w:color w:val="auto"/>
        </w:rPr>
      </w:pPr>
    </w:p>
    <w:p>
      <w:pPr>
        <w:jc w:val="both"/>
        <w:ind w:right="300" w:firstLine="432"/>
        <w:spacing w:after="0" w:line="286" w:lineRule="auto"/>
        <w:rPr>
          <w:sz w:val="20"/>
          <w:szCs w:val="20"/>
          <w:color w:val="auto"/>
        </w:rPr>
      </w:pPr>
      <w:r>
        <w:rPr>
          <w:rFonts w:ascii="Arial" w:cs="Arial" w:eastAsia="Arial" w:hAnsi="Arial"/>
          <w:sz w:val="17"/>
          <w:szCs w:val="17"/>
          <w:color w:val="auto"/>
        </w:rPr>
        <w:t>There can be no assurance that an active trading market for our common shares will develop or be sustained in the future. Accordingly, if an active trading market for our common shares does not develop or is not maintained, the liquidity of our common shares, your ability to sell your common shares when desired and the prices that you may obtain for your common shares will be adversely affected.</w:t>
      </w:r>
    </w:p>
    <w:p>
      <w:pPr>
        <w:spacing w:after="0" w:line="57"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common shares may be volatile, which could result in rapid and substantial losses for our shareholders.</w:t>
      </w:r>
    </w:p>
    <w:p>
      <w:pPr>
        <w:spacing w:after="0" w:line="6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Even if an active trading market develops, 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80" w:lineRule="exact"/>
        <w:rPr>
          <w:sz w:val="20"/>
          <w:szCs w:val="20"/>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shift in our investor base;</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comparable companies;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investments, acquisitions or dispositions;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shares;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operating and share price performance of other comparable companies;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conditions; and</w:t>
      </w:r>
    </w:p>
    <w:p>
      <w:pPr>
        <w:spacing w:after="0" w:line="171" w:lineRule="exact"/>
        <w:rPr>
          <w:rFonts w:ascii="Arial" w:cs="Arial" w:eastAsia="Arial" w:hAnsi="Arial"/>
          <w:sz w:val="18"/>
          <w:szCs w:val="18"/>
          <w:color w:val="auto"/>
        </w:rPr>
      </w:pPr>
    </w:p>
    <w:p>
      <w:pPr>
        <w:ind w:left="1060" w:hanging="647"/>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in the markets and market sectors in which we participate.</w:t>
      </w:r>
    </w:p>
    <w:p>
      <w:pPr>
        <w:spacing w:after="0" w:line="171"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7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within the meaning of the Securities Act, and due to our taking advantage of certain exemptions from various reporting requirements applicable to emerging growth companies, our common shares could be less attractive to investors.</w:t>
      </w:r>
    </w:p>
    <w:p>
      <w:pPr>
        <w:spacing w:after="0" w:line="38"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w:t>
      </w:r>
    </w:p>
    <w:p>
      <w:pPr>
        <w:spacing w:after="0" w:line="1" w:lineRule="exact"/>
        <w:rPr>
          <w:sz w:val="20"/>
          <w:szCs w:val="20"/>
          <w:color w:val="auto"/>
        </w:rPr>
      </w:pPr>
    </w:p>
    <w:p>
      <w:pPr>
        <w:ind w:left="5620" w:right="3480" w:hanging="5612"/>
        <w:spacing w:after="0" w:line="542" w:lineRule="auto"/>
        <w:tabs>
          <w:tab w:leader="none" w:pos="2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preceding three-86</w:t>
      </w:r>
    </w:p>
    <w:p>
      <w:pPr>
        <w:sectPr>
          <w:pgSz w:w="11900" w:h="16838" w:orient="portrait"/>
          <w:cols w:equalWidth="0" w:num="1">
            <w:col w:w="11380"/>
          </w:cols>
          <w:pgMar w:left="240" w:top="476" w:right="279" w:bottom="1440" w:gutter="0" w:footer="0" w:header="0"/>
        </w:sectPr>
      </w:pPr>
    </w:p>
    <w:bookmarkStart w:id="86" w:name="page87"/>
    <w:bookmarkEnd w:id="86"/>
    <w:p>
      <w:pPr>
        <w:ind w:right="20"/>
        <w:spacing w:after="0" w:line="277" w:lineRule="auto"/>
        <w:rPr>
          <w:sz w:val="20"/>
          <w:szCs w:val="20"/>
          <w:color w:val="auto"/>
        </w:rPr>
      </w:pPr>
      <w:r>
        <w:rPr>
          <w:rFonts w:ascii="Arial" w:cs="Arial" w:eastAsia="Arial" w:hAnsi="Arial"/>
          <w:sz w:val="18"/>
          <w:szCs w:val="18"/>
          <w:color w:val="auto"/>
        </w:rPr>
        <w:t>year period. Because we have taken advantage of each of these exemptions, we do not know if some investors will find our common shares less attractive as a result. The result may be a less active trading market for our common shares and our share price may be more volatile.</w:t>
      </w:r>
    </w:p>
    <w:p>
      <w:pPr>
        <w:spacing w:after="0" w:line="62"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62" w:lineRule="exact"/>
        <w:rPr>
          <w:sz w:val="20"/>
          <w:szCs w:val="20"/>
          <w:color w:val="auto"/>
        </w:rPr>
      </w:pPr>
    </w:p>
    <w:p>
      <w:pPr>
        <w:ind w:right="40" w:firstLine="432"/>
        <w:spacing w:after="0" w:line="270" w:lineRule="auto"/>
        <w:rPr>
          <w:sz w:val="20"/>
          <w:szCs w:val="20"/>
          <w:color w:val="auto"/>
        </w:rPr>
      </w:pPr>
      <w:r>
        <w:rPr>
          <w:rFonts w:ascii="Arial" w:cs="Arial" w:eastAsia="Arial" w:hAnsi="Arial"/>
          <w:sz w:val="17"/>
          <w:szCs w:val="17"/>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While we have begun the process of evaluating our internal controls, we are in the early phases of our review.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If we fail to implement the requirements of Section 404 in a timely manner, we may be subject to sanctions or investigation by regulatory authorities, including the SEC or the NYSE. Furthermore, if we discover a material weakness, our share price could decline and our ability to raise capital could be impaired.</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Your percentage ownership in us may be diluted in the future.</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71" w:lineRule="exact"/>
        <w:rPr>
          <w:sz w:val="20"/>
          <w:szCs w:val="20"/>
          <w:color w:val="auto"/>
        </w:rPr>
      </w:pPr>
    </w:p>
    <w:p>
      <w:pPr>
        <w:ind w:right="40" w:firstLine="225"/>
        <w:spacing w:after="0" w:line="253" w:lineRule="auto"/>
        <w:rPr>
          <w:sz w:val="20"/>
          <w:szCs w:val="20"/>
          <w:color w:val="auto"/>
        </w:rPr>
      </w:pPr>
      <w:r>
        <w:rPr>
          <w:rFonts w:ascii="Arial" w:cs="Arial" w:eastAsia="Arial" w:hAnsi="Arial"/>
          <w:sz w:val="18"/>
          <w:szCs w:val="18"/>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8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 or issuances of shares of our common shares could adversely affect the market price of our common shares.</w:t>
      </w:r>
    </w:p>
    <w:p>
      <w:pPr>
        <w:spacing w:after="0" w:line="117" w:lineRule="exact"/>
        <w:rPr>
          <w:sz w:val="20"/>
          <w:szCs w:val="20"/>
          <w:color w:val="auto"/>
        </w:rPr>
      </w:pPr>
    </w:p>
    <w:p>
      <w:pPr>
        <w:jc w:val="both"/>
        <w:ind w:right="120" w:firstLine="432"/>
        <w:spacing w:after="0" w:line="286" w:lineRule="auto"/>
        <w:rPr>
          <w:sz w:val="20"/>
          <w:szCs w:val="20"/>
          <w:color w:val="auto"/>
        </w:rPr>
      </w:pPr>
      <w:r>
        <w:rPr>
          <w:rFonts w:ascii="Arial" w:cs="Arial" w:eastAsia="Arial" w:hAnsi="Arial"/>
          <w:sz w:val="17"/>
          <w:szCs w:val="17"/>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5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We and our executive officers, directors, Initial Shareholders and the General Partner have agreed that, for a period of 180 days from May 14, 2015, we and they will not, without the prior written consent of the representatives of the underwriters in our initial public offering, dispose of or hedge any shares or any securities convertible into or exchangeable for our common shares. The underwriters, in their sole discretion, may release any of the securities subject to these lock-up agreements at any time, which, in the case of officers and directors, shall be with notice. If the restrictions under the lock-up agreements are waived or upon the expiration of the lock-up agreements, a substantial amount of our common shares may become available for sale into the market, subject to applicable law, which could reduce the market price for our common shares.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76" w:right="239" w:bottom="1440" w:gutter="0" w:footer="0" w:header="0"/>
        </w:sectPr>
      </w:pPr>
    </w:p>
    <w:bookmarkStart w:id="87" w:name="page88"/>
    <w:bookmarkEnd w:id="87"/>
    <w:p>
      <w:pPr>
        <w:ind w:firstLine="432"/>
        <w:spacing w:after="0" w:line="286" w:lineRule="auto"/>
        <w:rPr>
          <w:sz w:val="20"/>
          <w:szCs w:val="20"/>
          <w:color w:val="auto"/>
        </w:rPr>
      </w:pPr>
      <w:r>
        <w:rPr>
          <w:rFonts w:ascii="Arial" w:cs="Arial" w:eastAsia="Arial" w:hAnsi="Arial"/>
          <w:sz w:val="17"/>
          <w:szCs w:val="17"/>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57"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65"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b w:val="1"/>
          <w:bCs w:val="1"/>
          <w:i w:val="1"/>
          <w:iCs w:val="1"/>
          <w:color w:val="auto"/>
        </w:rPr>
        <w:t>Our determination of how much leverage to use to finance our acquisitions may adversely affect our return on our assets and may reduce funds available for distribution.</w:t>
      </w:r>
    </w:p>
    <w:p>
      <w:pPr>
        <w:spacing w:after="0" w:line="6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While we currently intend to pay regular quarterly dividends to our shareholders, we may change our dividend policy at any time.</w:t>
      </w:r>
    </w:p>
    <w:p>
      <w:pPr>
        <w:spacing w:after="0" w:line="129" w:lineRule="exact"/>
        <w:rPr>
          <w:sz w:val="20"/>
          <w:szCs w:val="20"/>
          <w:color w:val="auto"/>
        </w:rPr>
      </w:pPr>
    </w:p>
    <w:p>
      <w:pPr>
        <w:ind w:right="80" w:firstLine="432"/>
        <w:spacing w:after="0" w:line="286"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The declaration and payment of dividends to holders of our common shares will be at the discretion of our board of directors in accordance with applicable law after taking into account various factors, including actual results of operations, liquidity and financial condition, restrictions imposed by applicable law, our taxable income, our operating expenses and other factors our board of directors deem relevant. Our long term goal is to maintain a payout ratio of between</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50-60% of funds available for distribution, with remaining amounts used primarily to fund our future acquisitions and opportunities. As a public company, there can be no assurance that we will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For example, the Jefferson Terminal Credit Agreement (as herein defined) contains a covenant that limits its ability to pay dividends to us. See “Management’s Discussion and Analysis of Financial Condition and Results of Operations-Debt Obligations” for a discussion of the restrictions on distributions contained in the Jefferson Terminal Credit Agreement.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7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Anti-takeover provisions in our operating agreement and Delaware law could delay or prevent a change in control.</w:t>
      </w:r>
    </w:p>
    <w:p>
      <w:pPr>
        <w:spacing w:after="0" w:line="117"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76" w:right="239" w:bottom="1440" w:gutter="0" w:footer="0" w:header="0"/>
        </w:sectPr>
      </w:pPr>
    </w:p>
    <w:bookmarkStart w:id="88" w:name="page89"/>
    <w:bookmarkEnd w:id="88"/>
    <w:p>
      <w:pPr>
        <w:ind w:right="240" w:firstLine="432"/>
        <w:spacing w:after="0" w:line="342"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6"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As a public company, we will incur additional costs and face increased demands on our management.</w:t>
      </w:r>
    </w:p>
    <w:p>
      <w:pPr>
        <w:spacing w:after="0" w:line="117"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a newly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added independent directors and created additional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59"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62"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The trading market for our common shares will be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7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immediately following the signature page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76" w:right="259" w:bottom="1440" w:gutter="0" w:footer="0" w:header="0"/>
        </w:sectPr>
      </w:pPr>
    </w:p>
    <w:bookmarkStart w:id="89" w:name="page90"/>
    <w:bookmarkEnd w:id="89"/>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FORTRESS TRANSPORTATION AND INFRASTRUCTURE INVESTORS LLC</w:t>
      </w:r>
    </w:p>
    <w:p>
      <w:pPr>
        <w:spacing w:after="0" w:line="387"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12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w w:val="91"/>
              </w:rPr>
              <w:t>August 12, 2015</w:t>
            </w:r>
          </w:p>
        </w:tc>
        <w:tc>
          <w:tcPr>
            <w:tcW w:w="2240" w:type="dxa"/>
            <w:vAlign w:val="bottom"/>
          </w:tcPr>
          <w:p>
            <w:pPr>
              <w:spacing w:after="0"/>
              <w:rPr>
                <w:sz w:val="23"/>
                <w:szCs w:val="23"/>
                <w:color w:val="auto"/>
              </w:rPr>
            </w:pPr>
          </w:p>
        </w:tc>
      </w:tr>
      <w:tr>
        <w:trPr>
          <w:trHeight w:val="837"/>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20"/>
              <w:spacing w:after="0"/>
              <w:rPr>
                <w:sz w:val="20"/>
                <w:szCs w:val="20"/>
                <w:color w:val="auto"/>
              </w:rPr>
            </w:pPr>
            <w:r>
              <w:rPr>
                <w:rFonts w:ascii="Arial" w:cs="Arial" w:eastAsia="Arial" w:hAnsi="Arial"/>
                <w:sz w:val="18"/>
                <w:szCs w:val="18"/>
                <w:color w:val="auto"/>
              </w:rPr>
              <w:t>/s/ Jonathan G. Atkeson</w:t>
            </w:r>
          </w:p>
        </w:tc>
      </w:tr>
      <w:tr>
        <w:trPr>
          <w:trHeight w:val="27"/>
        </w:trPr>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Jonathan G. Atkeson</w:t>
            </w:r>
          </w:p>
        </w:tc>
      </w:tr>
      <w:tr>
        <w:trPr>
          <w:trHeight w:val="256"/>
        </w:trPr>
        <w:tc>
          <w:tcPr>
            <w:tcW w:w="1220" w:type="dxa"/>
            <w:vAlign w:val="bottom"/>
          </w:tcPr>
          <w:p>
            <w:pPr>
              <w:spacing w:after="0"/>
              <w:rPr>
                <w:sz w:val="22"/>
                <w:szCs w:val="22"/>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w w:val="91"/>
              </w:rPr>
              <w:t>August 12, 2015</w:t>
            </w:r>
          </w:p>
        </w:tc>
        <w:tc>
          <w:tcPr>
            <w:tcW w:w="2240" w:type="dxa"/>
            <w:vAlign w:val="bottom"/>
          </w:tcPr>
          <w:p>
            <w:pPr>
              <w:spacing w:after="0"/>
              <w:rPr>
                <w:sz w:val="23"/>
                <w:szCs w:val="23"/>
                <w:color w:val="auto"/>
              </w:rPr>
            </w:pPr>
          </w:p>
        </w:tc>
      </w:tr>
      <w:tr>
        <w:trPr>
          <w:trHeight w:val="837"/>
        </w:trPr>
        <w:tc>
          <w:tcPr>
            <w:tcW w:w="1220" w:type="dxa"/>
            <w:vAlign w:val="bottom"/>
          </w:tcPr>
          <w:p>
            <w:pPr>
              <w:spacing w:after="0"/>
              <w:rPr>
                <w:sz w:val="20"/>
                <w:szCs w:val="20"/>
                <w:color w:val="auto"/>
              </w:rPr>
            </w:pPr>
            <w:r>
              <w:rPr>
                <w:rFonts w:ascii="Arial" w:cs="Arial" w:eastAsia="Arial" w:hAnsi="Arial"/>
                <w:sz w:val="18"/>
                <w:szCs w:val="18"/>
                <w:color w:val="auto"/>
              </w:rPr>
              <w:t>By:</w:t>
            </w:r>
          </w:p>
        </w:tc>
        <w:tc>
          <w:tcPr>
            <w:tcW w:w="2240" w:type="dxa"/>
            <w:vAlign w:val="bottom"/>
          </w:tcPr>
          <w:p>
            <w:pPr>
              <w:ind w:left="20"/>
              <w:spacing w:after="0"/>
              <w:rPr>
                <w:sz w:val="20"/>
                <w:szCs w:val="20"/>
                <w:color w:val="auto"/>
              </w:rPr>
            </w:pPr>
            <w:r>
              <w:rPr>
                <w:rFonts w:ascii="Arial" w:cs="Arial" w:eastAsia="Arial" w:hAnsi="Arial"/>
                <w:sz w:val="18"/>
                <w:szCs w:val="18"/>
                <w:color w:val="auto"/>
              </w:rPr>
              <w:t>/s/ Scott Christopher</w:t>
            </w:r>
          </w:p>
        </w:tc>
      </w:tr>
      <w:tr>
        <w:trPr>
          <w:trHeight w:val="27"/>
        </w:trPr>
        <w:tc>
          <w:tcPr>
            <w:tcW w:w="12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Scott Christopher</w:t>
            </w:r>
          </w:p>
        </w:tc>
      </w:tr>
      <w:tr>
        <w:trPr>
          <w:trHeight w:val="270"/>
        </w:trPr>
        <w:tc>
          <w:tcPr>
            <w:tcW w:w="1220" w:type="dxa"/>
            <w:vAlign w:val="bottom"/>
          </w:tcPr>
          <w:p>
            <w:pPr>
              <w:spacing w:after="0"/>
              <w:rPr>
                <w:sz w:val="23"/>
                <w:szCs w:val="23"/>
                <w:color w:val="auto"/>
              </w:rPr>
            </w:pPr>
          </w:p>
        </w:tc>
        <w:tc>
          <w:tcPr>
            <w:tcW w:w="22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0"/>
        </w:trPr>
        <w:tc>
          <w:tcPr>
            <w:tcW w:w="1220" w:type="dxa"/>
            <w:vAlign w:val="bottom"/>
          </w:tcPr>
          <w:p>
            <w:pPr>
              <w:spacing w:after="0"/>
              <w:rPr>
                <w:sz w:val="20"/>
                <w:szCs w:val="20"/>
                <w:color w:val="auto"/>
              </w:rPr>
            </w:pPr>
            <w:r>
              <w:rPr>
                <w:rFonts w:ascii="Arial" w:cs="Arial" w:eastAsia="Arial" w:hAnsi="Arial"/>
                <w:sz w:val="18"/>
                <w:szCs w:val="18"/>
                <w:color w:val="auto"/>
                <w:w w:val="91"/>
              </w:rPr>
              <w:t>August 12, 2015</w:t>
            </w:r>
          </w:p>
        </w:tc>
        <w:tc>
          <w:tcPr>
            <w:tcW w:w="2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1440" w:right="4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8540" w:type="dxa"/>
            <w:vAlign w:val="bottom"/>
          </w:tcPr>
          <w:p>
            <w:pPr>
              <w:ind w:left="2360"/>
              <w:spacing w:after="0"/>
              <w:rPr>
                <w:sz w:val="20"/>
                <w:szCs w:val="20"/>
                <w:color w:val="auto"/>
              </w:rPr>
            </w:pPr>
            <w:r>
              <w:rPr>
                <w:rFonts w:ascii="Arial" w:cs="Arial" w:eastAsia="Arial" w:hAnsi="Arial"/>
                <w:sz w:val="18"/>
                <w:szCs w:val="18"/>
                <w:b w:val="1"/>
                <w:bCs w:val="1"/>
                <w:color w:val="auto"/>
              </w:rPr>
              <w:t>INDEX TO EXHIBITS</w:t>
            </w:r>
          </w:p>
        </w:tc>
      </w:tr>
      <w:tr>
        <w:trPr>
          <w:trHeight w:val="594"/>
        </w:trPr>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Exhibit No.</w:t>
            </w:r>
          </w:p>
        </w:tc>
        <w:tc>
          <w:tcPr>
            <w:tcW w:w="8540" w:type="dxa"/>
            <w:vAlign w:val="bottom"/>
          </w:tcPr>
          <w:p>
            <w:pPr>
              <w:ind w:left="38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000" w:type="dxa"/>
            <w:vAlign w:val="bottom"/>
          </w:tcPr>
          <w:p>
            <w:pPr>
              <w:spacing w:after="0"/>
              <w:rPr>
                <w:sz w:val="2"/>
                <w:szCs w:val="2"/>
                <w:color w:val="auto"/>
              </w:rPr>
            </w:pPr>
          </w:p>
        </w:tc>
        <w:tc>
          <w:tcPr>
            <w:tcW w:w="8540" w:type="dxa"/>
            <w:vAlign w:val="bottom"/>
            <w:tcBorders>
              <w:bottom w:val="single" w:sz="8" w:color="auto"/>
            </w:tcBorders>
          </w:tcPr>
          <w:p>
            <w:pPr>
              <w:spacing w:after="0"/>
              <w:rPr>
                <w:sz w:val="2"/>
                <w:szCs w:val="2"/>
                <w:color w:val="auto"/>
              </w:rPr>
            </w:pPr>
          </w:p>
        </w:tc>
      </w:tr>
      <w:tr>
        <w:trPr>
          <w:trHeight w:val="371"/>
        </w:trPr>
        <w:tc>
          <w:tcPr>
            <w:tcW w:w="2000" w:type="dxa"/>
            <w:vAlign w:val="bottom"/>
          </w:tcPr>
          <w:p>
            <w:pPr>
              <w:spacing w:after="0"/>
              <w:rPr>
                <w:sz w:val="20"/>
                <w:szCs w:val="20"/>
                <w:color w:val="auto"/>
              </w:rPr>
            </w:pPr>
            <w:r>
              <w:rPr>
                <w:rFonts w:ascii="Arial" w:cs="Arial" w:eastAsia="Arial" w:hAnsi="Arial"/>
                <w:sz w:val="18"/>
                <w:szCs w:val="18"/>
                <w:color w:val="auto"/>
              </w:rPr>
              <w:t>3.1</w:t>
            </w:r>
          </w:p>
        </w:tc>
        <w:tc>
          <w:tcPr>
            <w:tcW w:w="8540" w:type="dxa"/>
            <w:vAlign w:val="bottom"/>
          </w:tcPr>
          <w:p>
            <w:pPr>
              <w:ind w:left="20"/>
              <w:spacing w:after="0"/>
              <w:rPr>
                <w:sz w:val="20"/>
                <w:szCs w:val="20"/>
                <w:color w:val="auto"/>
              </w:rPr>
            </w:pPr>
            <w:r>
              <w:rPr>
                <w:rFonts w:ascii="Arial" w:cs="Arial" w:eastAsia="Arial" w:hAnsi="Arial"/>
                <w:sz w:val="18"/>
                <w:szCs w:val="18"/>
                <w:color w:val="auto"/>
                <w:w w:val="93"/>
              </w:rPr>
              <w:t>Certificate of Formation (incorporated by reference to Amendment No. 4 to the Registrant’s Registration Statement</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on Form S-1, filed April 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3.2</w:t>
            </w:r>
          </w:p>
        </w:tc>
        <w:tc>
          <w:tcPr>
            <w:tcW w:w="8540" w:type="dxa"/>
            <w:vAlign w:val="bottom"/>
          </w:tcPr>
          <w:p>
            <w:pPr>
              <w:ind w:left="20"/>
              <w:spacing w:after="0"/>
              <w:rPr>
                <w:sz w:val="20"/>
                <w:szCs w:val="20"/>
                <w:color w:val="auto"/>
              </w:rPr>
            </w:pPr>
            <w:r>
              <w:rPr>
                <w:rFonts w:ascii="Arial" w:cs="Arial" w:eastAsia="Arial" w:hAnsi="Arial"/>
                <w:sz w:val="18"/>
                <w:szCs w:val="18"/>
                <w:color w:val="auto"/>
                <w:w w:val="91"/>
              </w:rPr>
              <w:t>Amended and Restated Limited Liability Company Agreement of Fortress Transportation and Infrastructure Investors</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LLC (incorporated by reference 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10.1</w:t>
            </w:r>
          </w:p>
        </w:tc>
        <w:tc>
          <w:tcPr>
            <w:tcW w:w="8540" w:type="dxa"/>
            <w:vAlign w:val="bottom"/>
          </w:tcPr>
          <w:p>
            <w:pPr>
              <w:ind w:left="20"/>
              <w:spacing w:after="0"/>
              <w:rPr>
                <w:sz w:val="20"/>
                <w:szCs w:val="20"/>
                <w:color w:val="auto"/>
              </w:rPr>
            </w:pPr>
            <w:r>
              <w:rPr>
                <w:rFonts w:ascii="Arial" w:cs="Arial" w:eastAsia="Arial" w:hAnsi="Arial"/>
                <w:sz w:val="18"/>
                <w:szCs w:val="18"/>
                <w:color w:val="auto"/>
                <w:w w:val="96"/>
              </w:rPr>
              <w:t>Fourth Amended and Restated Partnership Agreement of Fortress Worldwide Transportation and Infrastructure</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6"/>
              </w:rPr>
              <w:t>General Partnership (incorporated by reference 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10.2</w:t>
            </w:r>
          </w:p>
        </w:tc>
        <w:tc>
          <w:tcPr>
            <w:tcW w:w="8540" w:type="dxa"/>
            <w:vAlign w:val="bottom"/>
          </w:tcPr>
          <w:p>
            <w:pPr>
              <w:ind w:left="20"/>
              <w:spacing w:after="0"/>
              <w:rPr>
                <w:sz w:val="20"/>
                <w:szCs w:val="20"/>
                <w:color w:val="auto"/>
              </w:rPr>
            </w:pPr>
            <w:r>
              <w:rPr>
                <w:rFonts w:ascii="Arial" w:cs="Arial" w:eastAsia="Arial" w:hAnsi="Arial"/>
                <w:sz w:val="18"/>
                <w:szCs w:val="18"/>
                <w:color w:val="auto"/>
              </w:rPr>
              <w:t>Management and Advisory Agreement, dated as of May 20, 2015, between Fortress Transportation and</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4"/>
              </w:rPr>
              <w:t>Infrastructure Investors LLC and FIG LLC (incorporated by reference to the Registrant’s Report on Form 8-K, filed</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10.3</w:t>
            </w:r>
          </w:p>
        </w:tc>
        <w:tc>
          <w:tcPr>
            <w:tcW w:w="8540" w:type="dxa"/>
            <w:vAlign w:val="bottom"/>
          </w:tcPr>
          <w:p>
            <w:pPr>
              <w:ind w:left="20"/>
              <w:spacing w:after="0"/>
              <w:rPr>
                <w:sz w:val="20"/>
                <w:szCs w:val="20"/>
                <w:color w:val="auto"/>
              </w:rPr>
            </w:pPr>
            <w:r>
              <w:rPr>
                <w:rFonts w:ascii="Arial" w:cs="Arial" w:eastAsia="Arial" w:hAnsi="Arial"/>
                <w:sz w:val="18"/>
                <w:szCs w:val="18"/>
                <w:color w:val="auto"/>
                <w:w w:val="97"/>
              </w:rPr>
              <w:t>Fortress Transportation and Infrastructure Investors LLC Nonqualified Stock Option and Incentive Award Plan</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(incorporated by reference 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10.4</w:t>
            </w:r>
          </w:p>
        </w:tc>
        <w:tc>
          <w:tcPr>
            <w:tcW w:w="8540" w:type="dxa"/>
            <w:vAlign w:val="bottom"/>
          </w:tcPr>
          <w:p>
            <w:pPr>
              <w:ind w:left="20"/>
              <w:spacing w:after="0"/>
              <w:rPr>
                <w:sz w:val="20"/>
                <w:szCs w:val="20"/>
                <w:color w:val="auto"/>
              </w:rPr>
            </w:pPr>
            <w:r>
              <w:rPr>
                <w:rFonts w:ascii="Arial" w:cs="Arial" w:eastAsia="Arial" w:hAnsi="Arial"/>
                <w:sz w:val="18"/>
                <w:szCs w:val="18"/>
                <w:color w:val="auto"/>
                <w:w w:val="98"/>
              </w:rPr>
              <w:t>Registration Rights Agreement, dated as of May 20, 2015, among Fortress Transportation and Infrastructure</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Investors LLC, FIG LLC and Fortress Transportation and Infrastructure Master GP LLC (incorporated by reference</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to the Registrant’s Report on Form 8-K, filed on May 21,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10.5</w:t>
            </w:r>
          </w:p>
        </w:tc>
        <w:tc>
          <w:tcPr>
            <w:tcW w:w="8540" w:type="dxa"/>
            <w:vAlign w:val="bottom"/>
          </w:tcPr>
          <w:p>
            <w:pPr>
              <w:ind w:left="20"/>
              <w:spacing w:after="0"/>
              <w:rPr>
                <w:sz w:val="20"/>
                <w:szCs w:val="20"/>
                <w:color w:val="auto"/>
              </w:rPr>
            </w:pPr>
            <w:r>
              <w:rPr>
                <w:rFonts w:ascii="Arial" w:cs="Arial" w:eastAsia="Arial" w:hAnsi="Arial"/>
                <w:sz w:val="18"/>
                <w:szCs w:val="18"/>
                <w:color w:val="auto"/>
                <w:w w:val="93"/>
              </w:rPr>
              <w:t>Form of director and officer indemnification agreement of Fortress Transportation and Infrastructure Investors LLC</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(incorporated by reference to Amendment No. 4 to the Registrant’s Registration Statement on Form S-1, filed April</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10.6</w:t>
            </w:r>
          </w:p>
        </w:tc>
        <w:tc>
          <w:tcPr>
            <w:tcW w:w="8540" w:type="dxa"/>
            <w:vAlign w:val="bottom"/>
          </w:tcPr>
          <w:p>
            <w:pPr>
              <w:ind w:left="20"/>
              <w:spacing w:after="0"/>
              <w:rPr>
                <w:sz w:val="20"/>
                <w:szCs w:val="20"/>
                <w:color w:val="auto"/>
              </w:rPr>
            </w:pPr>
            <w:r>
              <w:rPr>
                <w:rFonts w:ascii="Arial" w:cs="Arial" w:eastAsia="Arial" w:hAnsi="Arial"/>
                <w:sz w:val="18"/>
                <w:szCs w:val="18"/>
                <w:color w:val="auto"/>
                <w:w w:val="96"/>
              </w:rPr>
              <w:t>Credit Agreement, dated as of August 27, 2014, among Morgan Stanley Senior Funding, Inc., as administrative</w:t>
            </w:r>
          </w:p>
        </w:tc>
      </w:tr>
      <w:tr>
        <w:trPr>
          <w:trHeight w:val="216"/>
        </w:trPr>
        <w:tc>
          <w:tcPr>
            <w:tcW w:w="2000" w:type="dxa"/>
            <w:vAlign w:val="bottom"/>
          </w:tcPr>
          <w:p>
            <w:pPr>
              <w:spacing w:after="0"/>
              <w:rPr>
                <w:sz w:val="18"/>
                <w:szCs w:val="18"/>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w w:val="93"/>
              </w:rPr>
              <w:t>agent, Jefferson Gulf Coast Energy Partners LLC and the other lenders party thereto (incorporated by reference to</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Amendment No. 4 to the Registrant’s Registration Statement on Form S-1, filed April 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21.1</w:t>
            </w:r>
          </w:p>
        </w:tc>
        <w:tc>
          <w:tcPr>
            <w:tcW w:w="8540" w:type="dxa"/>
            <w:vAlign w:val="bottom"/>
          </w:tcPr>
          <w:p>
            <w:pPr>
              <w:ind w:left="20"/>
              <w:spacing w:after="0"/>
              <w:rPr>
                <w:sz w:val="20"/>
                <w:szCs w:val="20"/>
                <w:color w:val="auto"/>
              </w:rPr>
            </w:pPr>
            <w:r>
              <w:rPr>
                <w:rFonts w:ascii="Arial" w:cs="Arial" w:eastAsia="Arial" w:hAnsi="Arial"/>
                <w:sz w:val="18"/>
                <w:szCs w:val="18"/>
                <w:color w:val="auto"/>
                <w:w w:val="97"/>
              </w:rPr>
              <w:t>Subsidiaries of the Registrant (incorporated by reference to Amendment No. 4 to the Registrant’s Registration</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Statement on Form S-1, filed April 30, 2015).</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31.1</w:t>
            </w: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Executive Officer pursuant to Rule 13a-14(a)/15d-14(a), as adopted pursuant to Section 302 of</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31.2</w:t>
            </w:r>
          </w:p>
        </w:tc>
        <w:tc>
          <w:tcPr>
            <w:tcW w:w="8540" w:type="dxa"/>
            <w:vAlign w:val="bottom"/>
          </w:tcPr>
          <w:p>
            <w:pPr>
              <w:ind w:left="20"/>
              <w:spacing w:after="0"/>
              <w:rPr>
                <w:sz w:val="20"/>
                <w:szCs w:val="20"/>
                <w:color w:val="auto"/>
              </w:rPr>
            </w:pPr>
            <w:r>
              <w:rPr>
                <w:rFonts w:ascii="Arial" w:cs="Arial" w:eastAsia="Arial" w:hAnsi="Arial"/>
                <w:sz w:val="18"/>
                <w:szCs w:val="18"/>
                <w:color w:val="auto"/>
                <w:w w:val="92"/>
              </w:rPr>
              <w:t>Certification of Chief Financial Officer pursuant to Rule 13a-14(a)/15d-14(a), as adopted pursuant to Section 302 of</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32.1</w:t>
            </w:r>
          </w:p>
        </w:tc>
        <w:tc>
          <w:tcPr>
            <w:tcW w:w="8540" w:type="dxa"/>
            <w:vAlign w:val="bottom"/>
          </w:tcPr>
          <w:p>
            <w:pPr>
              <w:ind w:left="20"/>
              <w:spacing w:after="0"/>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the Sarbanes-Oxley Act of 2002.</w:t>
            </w:r>
          </w:p>
        </w:tc>
      </w:tr>
      <w:tr>
        <w:trPr>
          <w:trHeight w:val="256"/>
        </w:trPr>
        <w:tc>
          <w:tcPr>
            <w:tcW w:w="2000" w:type="dxa"/>
            <w:vAlign w:val="bottom"/>
          </w:tcPr>
          <w:p>
            <w:pPr>
              <w:spacing w:after="0"/>
              <w:rPr>
                <w:sz w:val="20"/>
                <w:szCs w:val="20"/>
                <w:color w:val="auto"/>
              </w:rPr>
            </w:pPr>
            <w:r>
              <w:rPr>
                <w:rFonts w:ascii="Arial" w:cs="Arial" w:eastAsia="Arial" w:hAnsi="Arial"/>
                <w:sz w:val="18"/>
                <w:szCs w:val="18"/>
                <w:color w:val="auto"/>
              </w:rPr>
              <w:t>32.2</w:t>
            </w:r>
          </w:p>
        </w:tc>
        <w:tc>
          <w:tcPr>
            <w:tcW w:w="8540" w:type="dxa"/>
            <w:vAlign w:val="bottom"/>
          </w:tcPr>
          <w:p>
            <w:pPr>
              <w:ind w:left="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w:t>
            </w:r>
          </w:p>
        </w:tc>
      </w:tr>
      <w:tr>
        <w:trPr>
          <w:trHeight w:val="230"/>
        </w:trPr>
        <w:tc>
          <w:tcPr>
            <w:tcW w:w="2000" w:type="dxa"/>
            <w:vAlign w:val="bottom"/>
          </w:tcPr>
          <w:p>
            <w:pPr>
              <w:spacing w:after="0"/>
              <w:rPr>
                <w:sz w:val="20"/>
                <w:szCs w:val="20"/>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Sarbanes-Oxley Act of 2002.</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101.INS</w:t>
            </w:r>
          </w:p>
        </w:tc>
        <w:tc>
          <w:tcPr>
            <w:tcW w:w="85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101.SCH</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101.CAL</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101.DEF</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101.LAB</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2000" w:type="dxa"/>
            <w:vAlign w:val="bottom"/>
          </w:tcPr>
          <w:p>
            <w:pPr>
              <w:spacing w:after="0"/>
              <w:rPr>
                <w:sz w:val="20"/>
                <w:szCs w:val="20"/>
                <w:color w:val="auto"/>
              </w:rPr>
            </w:pPr>
            <w:r>
              <w:rPr>
                <w:rFonts w:ascii="Arial" w:cs="Arial" w:eastAsia="Arial" w:hAnsi="Arial"/>
                <w:sz w:val="18"/>
                <w:szCs w:val="18"/>
                <w:color w:val="auto"/>
              </w:rPr>
              <w:t>101.PRE</w:t>
            </w:r>
          </w:p>
        </w:tc>
        <w:tc>
          <w:tcPr>
            <w:tcW w:w="85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2000" w:type="dxa"/>
            <w:vAlign w:val="bottom"/>
          </w:tcPr>
          <w:p>
            <w:pPr>
              <w:spacing w:after="0"/>
              <w:rPr>
                <w:sz w:val="24"/>
                <w:szCs w:val="24"/>
                <w:color w:val="auto"/>
              </w:rPr>
            </w:pPr>
          </w:p>
        </w:tc>
        <w:tc>
          <w:tcPr>
            <w:tcW w:w="8540" w:type="dxa"/>
            <w:vAlign w:val="bottom"/>
          </w:tcPr>
          <w:p>
            <w:pPr>
              <w:ind w:left="3160"/>
              <w:spacing w:after="0"/>
              <w:rPr>
                <w:sz w:val="20"/>
                <w:szCs w:val="20"/>
                <w:color w:val="auto"/>
              </w:rPr>
            </w:pPr>
            <w:r>
              <w:rPr>
                <w:rFonts w:ascii="Arial" w:cs="Arial" w:eastAsia="Arial" w:hAnsi="Arial"/>
                <w:sz w:val="18"/>
                <w:szCs w:val="18"/>
                <w:color w:val="auto"/>
              </w:rPr>
              <w:t>91</w:t>
            </w:r>
          </w:p>
        </w:tc>
      </w:tr>
    </w:tbl>
    <w:p>
      <w:pPr>
        <w:sectPr>
          <w:pgSz w:w="11900" w:h="16838" w:orient="portrait"/>
          <w:cols w:equalWidth="0" w:num="1">
            <w:col w:w="10540"/>
          </w:cols>
          <w:pgMar w:left="700" w:top="580" w:right="65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P. Adams. Jr., certify that:</w:t>
      </w:r>
    </w:p>
    <w:p>
      <w:pPr>
        <w:spacing w:after="0" w:line="225" w:lineRule="exact"/>
        <w:rPr>
          <w:sz w:val="20"/>
          <w:szCs w:val="20"/>
          <w:color w:val="auto"/>
        </w:rPr>
      </w:pPr>
    </w:p>
    <w:p>
      <w:pPr>
        <w:ind w:left="320" w:hanging="312"/>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15"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760" w:firstLine="8"/>
        <w:spacing w:after="0" w:line="277" w:lineRule="auto"/>
        <w:tabs>
          <w:tab w:leader="none" w:pos="3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have:</w:t>
      </w:r>
    </w:p>
    <w:p>
      <w:pPr>
        <w:spacing w:after="0" w:line="116" w:lineRule="exact"/>
        <w:rPr>
          <w:rFonts w:ascii="Arial" w:cs="Arial" w:eastAsia="Arial" w:hAnsi="Arial"/>
          <w:sz w:val="18"/>
          <w:szCs w:val="18"/>
          <w:color w:val="auto"/>
        </w:rPr>
      </w:pPr>
    </w:p>
    <w:p>
      <w:pPr>
        <w:ind w:right="240" w:firstLine="656"/>
        <w:spacing w:after="0" w:line="264" w:lineRule="auto"/>
        <w:tabs>
          <w:tab w:leader="none" w:pos="9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040" w:hanging="384"/>
        <w:spacing w:after="0"/>
        <w:tabs>
          <w:tab w:leader="none" w:pos="10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740" w:firstLine="656"/>
        <w:spacing w:after="0" w:line="342" w:lineRule="auto"/>
        <w:tabs>
          <w:tab w:leader="none" w:pos="968"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20" w:firstLine="656"/>
        <w:spacing w:after="0" w:line="342" w:lineRule="auto"/>
        <w:tabs>
          <w:tab w:leader="none" w:pos="978"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right="440" w:firstLine="8"/>
        <w:spacing w:after="0" w:line="308" w:lineRule="auto"/>
        <w:tabs>
          <w:tab w:leader="none" w:pos="31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right="140" w:firstLine="656"/>
        <w:spacing w:after="0" w:line="277" w:lineRule="auto"/>
        <w:tabs>
          <w:tab w:leader="none" w:pos="9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656"/>
        <w:spacing w:after="0" w:line="277" w:lineRule="auto"/>
        <w:tabs>
          <w:tab w:leader="none" w:pos="96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6"/>
                <w:szCs w:val="16"/>
                <w:color w:val="auto"/>
              </w:rPr>
              <w:t>August 12, 2015</w:t>
            </w:r>
          </w:p>
        </w:tc>
        <w:tc>
          <w:tcPr>
            <w:tcW w:w="5700" w:type="dxa"/>
            <w:vAlign w:val="bottom"/>
          </w:tcPr>
          <w:p>
            <w:pPr>
              <w:ind w:left="20"/>
              <w:spacing w:after="0"/>
              <w:rPr>
                <w:sz w:val="20"/>
                <w:szCs w:val="20"/>
                <w:color w:val="auto"/>
              </w:rPr>
            </w:pPr>
            <w:r>
              <w:rPr>
                <w:rFonts w:ascii="Arial" w:cs="Arial" w:eastAsia="Arial" w:hAnsi="Arial"/>
                <w:sz w:val="18"/>
                <w:szCs w:val="18"/>
                <w:color w:val="auto"/>
              </w:rPr>
              <w:t>/s/ Joseph P. Adams, Jr.</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Joseph P. Adams, Jr.</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58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G. Atkeson, certify that:</w:t>
      </w:r>
    </w:p>
    <w:p>
      <w:pPr>
        <w:spacing w:after="0" w:line="225"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Fortress Transportation and Infrastructure Investors LLC;</w:t>
      </w:r>
    </w:p>
    <w:p>
      <w:pPr>
        <w:spacing w:after="0" w:line="171" w:lineRule="exact"/>
        <w:rPr>
          <w:rFonts w:ascii="Arial" w:cs="Arial" w:eastAsia="Arial" w:hAnsi="Arial"/>
          <w:sz w:val="18"/>
          <w:szCs w:val="18"/>
          <w:color w:val="auto"/>
        </w:rPr>
      </w:pPr>
    </w:p>
    <w:p>
      <w:pPr>
        <w:ind w:right="440" w:firstLine="8"/>
        <w:spacing w:after="0" w:line="342" w:lineRule="auto"/>
        <w:tabs>
          <w:tab w:leader="none" w:pos="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0" w:firstLine="8"/>
        <w:spacing w:after="0" w:line="277" w:lineRule="auto"/>
        <w:tabs>
          <w:tab w:leader="none" w:pos="31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760" w:firstLine="8"/>
        <w:spacing w:after="0" w:line="277" w:lineRule="auto"/>
        <w:tabs>
          <w:tab w:leader="none" w:pos="31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have:</w:t>
      </w:r>
    </w:p>
    <w:p>
      <w:pPr>
        <w:spacing w:after="0" w:line="116" w:lineRule="exact"/>
        <w:rPr>
          <w:rFonts w:ascii="Arial" w:cs="Arial" w:eastAsia="Arial" w:hAnsi="Arial"/>
          <w:sz w:val="18"/>
          <w:szCs w:val="18"/>
          <w:color w:val="auto"/>
        </w:rPr>
      </w:pPr>
    </w:p>
    <w:p>
      <w:pPr>
        <w:ind w:right="240" w:firstLine="656"/>
        <w:spacing w:after="0" w:line="264"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040" w:hanging="384"/>
        <w:spacing w:after="0"/>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71" w:lineRule="exact"/>
        <w:rPr>
          <w:rFonts w:ascii="Arial" w:cs="Arial" w:eastAsia="Arial" w:hAnsi="Arial"/>
          <w:sz w:val="18"/>
          <w:szCs w:val="18"/>
          <w:color w:val="auto"/>
        </w:rPr>
      </w:pPr>
    </w:p>
    <w:p>
      <w:pPr>
        <w:ind w:right="740" w:firstLine="656"/>
        <w:spacing w:after="0" w:line="342" w:lineRule="auto"/>
        <w:tabs>
          <w:tab w:leader="none" w:pos="968"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220" w:firstLine="656"/>
        <w:spacing w:after="0" w:line="342" w:lineRule="auto"/>
        <w:tabs>
          <w:tab w:leader="none" w:pos="978"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9" w:lineRule="exact"/>
        <w:rPr>
          <w:rFonts w:ascii="Arial" w:cs="Arial" w:eastAsia="Arial" w:hAnsi="Arial"/>
          <w:sz w:val="16"/>
          <w:szCs w:val="16"/>
          <w:color w:val="auto"/>
        </w:rPr>
      </w:pPr>
    </w:p>
    <w:p>
      <w:pPr>
        <w:ind w:right="440" w:firstLine="8"/>
        <w:spacing w:after="0" w:line="308" w:lineRule="auto"/>
        <w:tabs>
          <w:tab w:leader="none" w:pos="3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right="140" w:firstLine="656"/>
        <w:spacing w:after="0" w:line="277" w:lineRule="auto"/>
        <w:tabs>
          <w:tab w:leader="none" w:pos="9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00" w:firstLine="656"/>
        <w:spacing w:after="0" w:line="277" w:lineRule="auto"/>
        <w:tabs>
          <w:tab w:leader="none" w:pos="9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6"/>
                <w:szCs w:val="16"/>
                <w:color w:val="auto"/>
              </w:rPr>
              <w:t>August 12, 2015</w:t>
            </w:r>
          </w:p>
        </w:tc>
        <w:tc>
          <w:tcPr>
            <w:tcW w:w="5700" w:type="dxa"/>
            <w:vAlign w:val="bottom"/>
          </w:tcPr>
          <w:p>
            <w:pPr>
              <w:ind w:left="20"/>
              <w:spacing w:after="0"/>
              <w:rPr>
                <w:sz w:val="20"/>
                <w:szCs w:val="20"/>
                <w:color w:val="auto"/>
              </w:rPr>
            </w:pPr>
            <w:r>
              <w:rPr>
                <w:rFonts w:ascii="Arial" w:cs="Arial" w:eastAsia="Arial" w:hAnsi="Arial"/>
                <w:sz w:val="18"/>
                <w:szCs w:val="18"/>
                <w:color w:val="auto"/>
              </w:rPr>
              <w:t>/s/ Jonathan G. Atkeson</w:t>
            </w:r>
          </w:p>
        </w:tc>
      </w:tr>
      <w:tr>
        <w:trPr>
          <w:trHeight w:val="27"/>
        </w:trPr>
        <w:tc>
          <w:tcPr>
            <w:tcW w:w="568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(Date)</w:t>
            </w:r>
          </w:p>
        </w:tc>
        <w:tc>
          <w:tcPr>
            <w:tcW w:w="5700" w:type="dxa"/>
            <w:vAlign w:val="bottom"/>
          </w:tcPr>
          <w:p>
            <w:pPr>
              <w:ind w:left="20"/>
              <w:spacing w:after="0"/>
              <w:rPr>
                <w:sz w:val="20"/>
                <w:szCs w:val="20"/>
                <w:color w:val="auto"/>
              </w:rPr>
            </w:pPr>
            <w:r>
              <w:rPr>
                <w:rFonts w:ascii="Arial" w:cs="Arial" w:eastAsia="Arial" w:hAnsi="Arial"/>
                <w:sz w:val="18"/>
                <w:szCs w:val="18"/>
                <w:color w:val="auto"/>
              </w:rPr>
              <w:t>Jonathan G. Atkeson</w:t>
            </w:r>
          </w:p>
        </w:tc>
      </w:tr>
      <w:tr>
        <w:trPr>
          <w:trHeight w:val="270"/>
        </w:trPr>
        <w:tc>
          <w:tcPr>
            <w:tcW w:w="568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80" w:right="23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June 30, 2015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P. Adams, Jr.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August 12, 2015</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00"/>
          </w:cols>
          <w:pgMar w:left="240" w:top="580" w:right="25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on Form 10-Q of Fortress Transportation and Infrastructure Investors LLC (the “Company”) for the quarterly period ended June 30, 2015 as filed with the Securities and Exchange Commission on the date hereof (the “Report”), Jonathan G. Atkeson, as Chief Financial Officer of the Company,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400" w:hanging="392"/>
        <w:spacing w:after="0"/>
        <w:tabs>
          <w:tab w:leader="none" w:pos="4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Jonathan G. Atkeson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Jonathan G. Atkeson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12, 2015</w:t>
      </w:r>
    </w:p>
    <w:p>
      <w:pPr>
        <w:spacing w:after="0" w:line="225"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 of Filing</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3"/>
    </w:lvl>
  </w:abstractNum>
  <w:abstractNum w:abstractNumId="4">
    <w:nsid w:val="2CA88611"/>
    <w:multiLevelType w:val="hybridMultilevel"/>
    <w:lvl w:ilvl="0">
      <w:lvlJc w:val="left"/>
      <w:lvlText w:val="%1."/>
      <w:numFmt w:val="decimal"/>
      <w:start w:val="4"/>
    </w:lvl>
  </w:abstractNum>
  <w:abstractNum w:abstractNumId="5">
    <w:nsid w:val="836C40E"/>
    <w:multiLevelType w:val="hybridMultilevel"/>
    <w:lvl w:ilvl="0">
      <w:lvlJc w:val="left"/>
      <w:lvlText w:val="%1."/>
      <w:numFmt w:val="decimal"/>
      <w:start w:val="5"/>
    </w:lvl>
  </w:abstractNum>
  <w:abstractNum w:abstractNumId="6">
    <w:nsid w:val="2901D82"/>
    <w:multiLevelType w:val="hybridMultilevel"/>
    <w:lvl w:ilvl="0">
      <w:lvlJc w:val="left"/>
      <w:lvlText w:val="%1."/>
      <w:numFmt w:val="decimal"/>
      <w:start w:val="6"/>
    </w:lvl>
  </w:abstractNum>
  <w:abstractNum w:abstractNumId="7">
    <w:nsid w:val="3A95F874"/>
    <w:multiLevelType w:val="hybridMultilevel"/>
    <w:lvl w:ilvl="0">
      <w:lvlJc w:val="left"/>
      <w:lvlText w:val="%1."/>
      <w:numFmt w:val="decimal"/>
      <w:start w:val="7"/>
    </w:lvl>
  </w:abstractNum>
  <w:abstractNum w:abstractNumId="8">
    <w:nsid w:val="8138641"/>
    <w:multiLevelType w:val="hybridMultilevel"/>
    <w:lvl w:ilvl="0">
      <w:lvlJc w:val="left"/>
      <w:lvlText w:val="%1."/>
      <w:numFmt w:val="decimal"/>
      <w:start w:val="8"/>
    </w:lvl>
  </w:abstractNum>
  <w:abstractNum w:abstractNumId="9">
    <w:nsid w:val="1E7FF521"/>
    <w:multiLevelType w:val="hybridMultilevel"/>
    <w:lvl w:ilvl="0">
      <w:lvlJc w:val="left"/>
      <w:lvlText w:val="%1."/>
      <w:numFmt w:val="decimal"/>
      <w:start w:val="10"/>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1."/>
      <w:numFmt w:val="decimal"/>
      <w:start w:val="11"/>
    </w:lvl>
  </w:abstractNum>
  <w:abstractNum w:abstractNumId="13">
    <w:nsid w:val="22221A70"/>
    <w:multiLevelType w:val="hybridMultilevel"/>
    <w:lvl w:ilvl="0">
      <w:lvlJc w:val="left"/>
      <w:lvlText w:val="%1."/>
      <w:numFmt w:val="decimal"/>
      <w:start w:val="12"/>
    </w:lvl>
  </w:abstractNum>
  <w:abstractNum w:abstractNumId="14">
    <w:nsid w:val="4516DDE9"/>
    <w:multiLevelType w:val="hybridMultilevel"/>
    <w:lvl w:ilvl="0">
      <w:lvlJc w:val="left"/>
      <w:lvlText w:val="%1."/>
      <w:numFmt w:val="decimal"/>
      <w:start w:val="13"/>
    </w:lvl>
  </w:abstractNum>
  <w:abstractNum w:abstractNumId="15">
    <w:nsid w:val="3006C83E"/>
    <w:multiLevelType w:val="hybridMultilevel"/>
    <w:lvl w:ilvl="0">
      <w:lvlJc w:val="left"/>
      <w:lvlText w:val="%1."/>
      <w:numFmt w:val="decimal"/>
      <w:start w:val="14"/>
    </w:lvl>
  </w:abstractNum>
  <w:abstractNum w:abstractNumId="16">
    <w:nsid w:val="614FD4A1"/>
    <w:multiLevelType w:val="hybridMultilevel"/>
    <w:lvl w:ilvl="0">
      <w:lvlJc w:val="left"/>
      <w:lvlText w:val="%1."/>
      <w:numFmt w:val="decimal"/>
      <w:start w:val="15"/>
    </w:lvl>
  </w:abstractNum>
  <w:abstractNum w:abstractNumId="17">
    <w:nsid w:val="419AC241"/>
    <w:multiLevelType w:val="hybridMultilevel"/>
    <w:lvl w:ilvl="0">
      <w:lvlJc w:val="left"/>
      <w:lvlText w:val="%1."/>
      <w:numFmt w:val="decimal"/>
      <w:start w:val="16"/>
    </w:lvl>
  </w:abstractNum>
  <w:abstractNum w:abstractNumId="18">
    <w:nsid w:val="5577F8E1"/>
    <w:multiLevelType w:val="hybridMultilevel"/>
    <w:lvl w:ilvl="0">
      <w:lvlJc w:val="left"/>
      <w:lvlText w:val="%1."/>
      <w:numFmt w:val="decimal"/>
      <w:start w:val="17"/>
    </w:lvl>
  </w:abstractNum>
  <w:abstractNum w:abstractNumId="19">
    <w:nsid w:val="440BADFC"/>
    <w:multiLevelType w:val="hybridMultilevel"/>
    <w:lvl w:ilvl="0">
      <w:lvlJc w:val="left"/>
      <w:lvlText w:val="%1."/>
      <w:numFmt w:val="decimal"/>
      <w:start w:val="18"/>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lowerLetter"/>
      <w:start w:val="2"/>
    </w:lvl>
  </w:abstractNum>
  <w:abstractNum w:abstractNumId="23">
    <w:nsid w:val="7724C67E"/>
    <w:multiLevelType w:val="hybridMultilevel"/>
    <w:lvl w:ilvl="0">
      <w:lvlJc w:val="left"/>
      <w:lvlText w:val="(%1)"/>
      <w:numFmt w:val="lowerLetter"/>
      <w:start w:val="2"/>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3"/>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lowerRoman"/>
      <w:start w:val="3"/>
    </w:lvl>
  </w:abstractNum>
  <w:abstractNum w:abstractNumId="28">
    <w:nsid w:val="2D517796"/>
    <w:multiLevelType w:val="hybridMultilevel"/>
    <w:lvl w:ilvl="0">
      <w:lvlJc w:val="left"/>
      <w:lvlText w:val="(%1)"/>
      <w:numFmt w:val="decimal"/>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2"/>
    </w:lvl>
  </w:abstractNum>
  <w:abstractNum w:abstractNumId="31">
    <w:nsid w:val="3855585C"/>
    <w:multiLevelType w:val="hybridMultilevel"/>
    <w:lvl w:ilvl="0">
      <w:lvlJc w:val="left"/>
      <w:lvlText w:val="(%1)"/>
      <w:numFmt w:val="decimal"/>
      <w:start w:val="1"/>
    </w:lvl>
  </w:abstractNum>
  <w:abstractNum w:abstractNumId="32">
    <w:nsid w:val="70A64E2A"/>
    <w:multiLevelType w:val="hybridMultilevel"/>
    <w:lvl w:ilvl="0">
      <w:lvlJc w:val="left"/>
      <w:lvlText w:val="(%1)"/>
      <w:numFmt w:val="decimal"/>
      <w:start w:val="2"/>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1"/>
    </w:lvl>
    <w:lvl w:ilvl="1">
      <w:lvlJc w:val="left"/>
      <w:lvlText w:val="(%2)"/>
      <w:numFmt w:val="lowerRoman"/>
      <w:start w:val="3"/>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lowerRoman"/>
      <w:start w:val="4"/>
    </w:lvl>
    <w:lvl w:ilvl="1">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lvl w:ilvl="1">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1)"/>
      <w:numFmt w:val="lowerLetter"/>
      <w:start w:val="4"/>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2019-12-29T16:42:48Z</dcterms:created>
  <dcterms:modified xsi:type="dcterms:W3CDTF">2019-12-29T16:42:48Z</dcterms:modified>
</cp:coreProperties>
</file>